
<file path=[Content_Types].xml><?xml version="1.0" encoding="utf-8"?>
<Types xmlns="http://schemas.openxmlformats.org/package/2006/content-types">
  <Default Extension="xml" ContentType="application/xml"/>
  <Default Extension="xlsx" ContentType="application/vnd.openxmlformats-officedocument.spreadsheetml.sheet"/>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rPr>
          <w:rFonts w:hint="eastAsia" w:ascii="Times New Roman" w:hAnsi="Times New Roman" w:eastAsia="方正小标宋简体" w:cs="Times New Roman"/>
          <w:color w:val="auto"/>
          <w:kern w:val="2"/>
          <w:sz w:val="72"/>
          <w:szCs w:val="72"/>
          <w:highlight w:val="none"/>
          <w:lang w:val="en-US" w:eastAsia="zh-CN" w:bidi="ar-SA"/>
        </w:rPr>
      </w:pPr>
      <w:bookmarkStart w:id="0" w:name="_Toc15377193"/>
      <w:bookmarkStart w:id="1" w:name="_Toc15396597"/>
      <w:bookmarkStart w:id="2" w:name="_Toc15396475"/>
      <w:bookmarkStart w:id="3" w:name="_Toc15378441"/>
      <w:bookmarkStart w:id="4" w:name="_Toc15377425"/>
      <w:bookmarkStart w:id="5" w:name="_Toc15306267"/>
    </w:p>
    <w:p>
      <w:pPr>
        <w:pStyle w:val="6"/>
        <w:rPr>
          <w:rFonts w:hint="eastAsia" w:ascii="Times New Roman" w:hAnsi="Times New Roman" w:eastAsia="方正小标宋简体" w:cs="Times New Roman"/>
          <w:color w:val="auto"/>
          <w:kern w:val="2"/>
          <w:sz w:val="72"/>
          <w:szCs w:val="72"/>
          <w:highlight w:val="none"/>
          <w:lang w:val="en-US" w:eastAsia="zh-CN" w:bidi="ar-SA"/>
        </w:rPr>
      </w:pPr>
    </w:p>
    <w:p>
      <w:pPr>
        <w:pStyle w:val="6"/>
        <w:rPr>
          <w:rFonts w:hint="eastAsia" w:ascii="Times New Roman" w:hAnsi="Times New Roman" w:eastAsia="方正小标宋简体" w:cs="Times New Roman"/>
          <w:color w:val="auto"/>
          <w:kern w:val="2"/>
          <w:sz w:val="72"/>
          <w:szCs w:val="72"/>
          <w:highlight w:val="none"/>
          <w:lang w:val="en-US" w:eastAsia="zh-CN" w:bidi="ar-SA"/>
        </w:rPr>
      </w:pPr>
    </w:p>
    <w:p>
      <w:pPr>
        <w:pStyle w:val="6"/>
        <w:jc w:val="center"/>
        <w:rPr>
          <w:rFonts w:hint="eastAsia" w:ascii="Times New Roman" w:eastAsia="方正小标宋简体" w:cs="Times New Roman"/>
          <w:color w:val="auto"/>
          <w:kern w:val="2"/>
          <w:sz w:val="44"/>
          <w:szCs w:val="44"/>
          <w:highlight w:val="none"/>
          <w:lang w:val="en-US" w:eastAsia="zh-CN" w:bidi="ar-SA"/>
        </w:rPr>
      </w:pPr>
      <w:r>
        <w:rPr>
          <w:rFonts w:hint="eastAsia" w:ascii="Times New Roman" w:hAnsi="Times New Roman" w:eastAsia="方正小标宋简体" w:cs="Times New Roman"/>
          <w:color w:val="auto"/>
          <w:kern w:val="2"/>
          <w:sz w:val="44"/>
          <w:szCs w:val="44"/>
          <w:highlight w:val="none"/>
          <w:lang w:val="en-US" w:eastAsia="zh-CN" w:bidi="ar-SA"/>
        </w:rPr>
        <w:t>2024年度</w:t>
      </w:r>
      <w:r>
        <w:rPr>
          <w:rFonts w:hint="eastAsia" w:ascii="Times New Roman" w:eastAsia="方正小标宋简体" w:cs="Times New Roman"/>
          <w:color w:val="auto"/>
          <w:kern w:val="2"/>
          <w:sz w:val="44"/>
          <w:szCs w:val="44"/>
          <w:highlight w:val="none"/>
          <w:lang w:val="en-US" w:eastAsia="zh-CN" w:bidi="ar-SA"/>
        </w:rPr>
        <w:t>四川省阿坝州</w:t>
      </w:r>
    </w:p>
    <w:p>
      <w:pPr>
        <w:pStyle w:val="6"/>
        <w:jc w:val="center"/>
        <w:rPr>
          <w:rFonts w:hint="default" w:ascii="Times New Roman" w:hAnsi="Times New Roman" w:eastAsia="方正小标宋简体" w:cs="Times New Roman"/>
          <w:color w:val="auto"/>
          <w:kern w:val="2"/>
          <w:sz w:val="44"/>
          <w:szCs w:val="44"/>
          <w:highlight w:val="none"/>
          <w:lang w:val="en-US" w:eastAsia="zh-CN" w:bidi="ar-SA"/>
        </w:rPr>
      </w:pPr>
      <w:r>
        <w:rPr>
          <w:rFonts w:hint="eastAsia" w:ascii="Times New Roman" w:eastAsia="方正小标宋简体" w:cs="Times New Roman"/>
          <w:color w:val="auto"/>
          <w:kern w:val="2"/>
          <w:sz w:val="44"/>
          <w:szCs w:val="44"/>
          <w:highlight w:val="none"/>
          <w:lang w:val="en-US" w:eastAsia="zh-CN" w:bidi="ar-SA"/>
        </w:rPr>
        <w:t>茂县就业服务中心</w:t>
      </w:r>
      <w:r>
        <w:rPr>
          <w:rFonts w:hint="eastAsia" w:ascii="Times New Roman" w:hAnsi="Times New Roman" w:eastAsia="方正小标宋简体" w:cs="Times New Roman"/>
          <w:color w:val="auto"/>
          <w:kern w:val="2"/>
          <w:sz w:val="44"/>
          <w:szCs w:val="44"/>
          <w:highlight w:val="none"/>
          <w:lang w:val="en-US" w:eastAsia="zh-CN" w:bidi="ar-SA"/>
        </w:rPr>
        <w:t>部门决算公开</w:t>
      </w:r>
      <w:r>
        <w:rPr>
          <w:rFonts w:hint="eastAsia" w:ascii="Times New Roman" w:eastAsia="方正小标宋简体" w:cs="Times New Roman"/>
          <w:color w:val="auto"/>
          <w:kern w:val="2"/>
          <w:sz w:val="44"/>
          <w:szCs w:val="44"/>
          <w:highlight w:val="none"/>
          <w:lang w:val="en-US" w:eastAsia="zh-CN" w:bidi="ar-SA"/>
        </w:rPr>
        <w:t>报告</w:t>
      </w:r>
    </w:p>
    <w:p>
      <w:pPr>
        <w:spacing w:line="600" w:lineRule="exact"/>
        <w:jc w:val="center"/>
        <w:outlineLvl w:val="0"/>
        <w:rPr>
          <w:rFonts w:ascii="Times New Roman" w:hAnsi="Times New Roman" w:eastAsia="方正小标宋简体"/>
          <w:color w:val="auto"/>
          <w:sz w:val="72"/>
          <w:szCs w:val="72"/>
          <w:highlight w:val="none"/>
        </w:rPr>
      </w:pPr>
    </w:p>
    <w:p>
      <w:pPr>
        <w:pStyle w:val="21"/>
        <w:rPr>
          <w:rFonts w:ascii="Times New Roman" w:hAnsi="Times New Roman"/>
        </w:rPr>
        <w:sectPr>
          <w:headerReference r:id="rId3" w:type="default"/>
          <w:footerReference r:id="rId4" w:type="default"/>
          <w:pgSz w:w="11906" w:h="16838"/>
          <w:pgMar w:top="1440" w:right="1800" w:bottom="1440" w:left="1800" w:header="851" w:footer="992" w:gutter="0"/>
          <w:pgNumType w:fmt="numberInDash" w:start="1"/>
          <w:cols w:space="425" w:num="1"/>
          <w:titlePg/>
          <w:docGrid w:type="lines" w:linePitch="312" w:charSpace="0"/>
        </w:sectPr>
      </w:pPr>
    </w:p>
    <w:p>
      <w:pPr>
        <w:rPr>
          <w:rFonts w:ascii="Times New Roman" w:hAnsi="Times New Roman"/>
        </w:rPr>
      </w:pPr>
    </w:p>
    <w:bookmarkEnd w:id="0"/>
    <w:bookmarkEnd w:id="1"/>
    <w:bookmarkEnd w:id="2"/>
    <w:bookmarkEnd w:id="3"/>
    <w:bookmarkEnd w:id="4"/>
    <w:bookmarkEnd w:id="5"/>
    <w:p>
      <w:pPr>
        <w:widowControl/>
        <w:jc w:val="center"/>
        <w:rPr>
          <w:rFonts w:ascii="Times New Roman" w:hAnsi="Times New Roman" w:eastAsia="黑体"/>
          <w:color w:val="auto"/>
          <w:sz w:val="48"/>
          <w:szCs w:val="48"/>
          <w:highlight w:val="none"/>
        </w:rPr>
      </w:pPr>
      <w:r>
        <w:rPr>
          <w:rFonts w:hint="eastAsia" w:ascii="Times New Roman" w:hAnsi="Times New Roman" w:eastAsia="黑体"/>
          <w:color w:val="auto"/>
          <w:sz w:val="48"/>
          <w:szCs w:val="48"/>
          <w:highlight w:val="none"/>
        </w:rPr>
        <w:t>目录</w:t>
      </w:r>
    </w:p>
    <w:p>
      <w:pPr>
        <w:widowControl/>
        <w:jc w:val="center"/>
        <w:rPr>
          <w:rFonts w:ascii="Times New Roman" w:hAnsi="Times New Roman" w:eastAsia="黑体" w:cstheme="minorBidi"/>
          <w:color w:val="auto"/>
          <w:sz w:val="28"/>
          <w:szCs w:val="28"/>
          <w:highlight w:val="none"/>
        </w:rPr>
      </w:pPr>
    </w:p>
    <w:p>
      <w:pPr>
        <w:pStyle w:val="12"/>
        <w:tabs>
          <w:tab w:val="center" w:pos="4213"/>
          <w:tab w:val="left" w:pos="7660"/>
        </w:tabs>
        <w:jc w:val="left"/>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ab/>
      </w:r>
      <w:r>
        <w:rPr>
          <w:rFonts w:hint="eastAsia" w:ascii="Times New Roman" w:hAnsi="Times New Roman" w:eastAsia="仿宋_GB2312" w:cs="仿宋_GB2312"/>
          <w:color w:val="auto"/>
          <w:sz w:val="32"/>
          <w:szCs w:val="32"/>
          <w:highlight w:val="none"/>
        </w:rPr>
        <w:t>公开时间：20</w:t>
      </w:r>
      <w:r>
        <w:rPr>
          <w:rFonts w:hint="eastAsia" w:ascii="Times New Roman" w:hAnsi="Times New Roman" w:eastAsia="仿宋_GB2312" w:cs="仿宋_GB2312"/>
          <w:color w:val="auto"/>
          <w:sz w:val="32"/>
          <w:szCs w:val="32"/>
          <w:highlight w:val="none"/>
          <w:lang w:val="en-US" w:eastAsia="zh-CN"/>
        </w:rPr>
        <w:t>2</w:t>
      </w:r>
      <w:r>
        <w:rPr>
          <w:rFonts w:hint="default" w:ascii="Times New Roman" w:hAnsi="Times New Roman" w:eastAsia="仿宋_GB2312" w:cs="仿宋_GB2312"/>
          <w:color w:val="auto"/>
          <w:sz w:val="32"/>
          <w:szCs w:val="32"/>
          <w:highlight w:val="none"/>
          <w:lang w:eastAsia="zh-CN"/>
        </w:rPr>
        <w:t>5</w:t>
      </w:r>
      <w:bookmarkStart w:id="81" w:name="_GoBack"/>
      <w:bookmarkEnd w:id="81"/>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val="en-US" w:eastAsia="zh-CN"/>
        </w:rPr>
        <w:t>9</w:t>
      </w:r>
      <w:r>
        <w:rPr>
          <w:rFonts w:hint="eastAsia" w:ascii="Times New Roman" w:hAnsi="Times New Roman" w:eastAsia="仿宋_GB2312" w:cs="仿宋_GB2312"/>
          <w:color w:val="auto"/>
          <w:sz w:val="32"/>
          <w:szCs w:val="32"/>
          <w:highlight w:val="none"/>
        </w:rPr>
        <w:t>月</w:t>
      </w:r>
      <w:r>
        <w:rPr>
          <w:rFonts w:hint="eastAsia" w:ascii="Times New Roman" w:hAnsi="Times New Roman" w:eastAsia="仿宋_GB2312" w:cs="仿宋_GB2312"/>
          <w:color w:val="auto"/>
          <w:sz w:val="32"/>
          <w:szCs w:val="32"/>
          <w:highlight w:val="none"/>
          <w:lang w:val="en-US" w:eastAsia="zh-CN"/>
        </w:rPr>
        <w:t>25</w:t>
      </w:r>
      <w:r>
        <w:rPr>
          <w:rFonts w:hint="eastAsia" w:ascii="Times New Roman" w:hAnsi="Times New Roman" w:eastAsia="仿宋_GB2312" w:cs="仿宋_GB2312"/>
          <w:color w:val="auto"/>
          <w:sz w:val="32"/>
          <w:szCs w:val="32"/>
          <w:highlight w:val="none"/>
        </w:rPr>
        <w:t>日</w:t>
      </w:r>
      <w:r>
        <w:rPr>
          <w:rFonts w:hint="eastAsia" w:ascii="Times New Roman" w:hAnsi="Times New Roman" w:eastAsia="仿宋_GB2312" w:cs="仿宋_GB2312"/>
          <w:color w:val="auto"/>
          <w:sz w:val="32"/>
          <w:szCs w:val="32"/>
          <w:highlight w:val="none"/>
          <w:lang w:eastAsia="zh-CN"/>
        </w:rPr>
        <w:tab/>
      </w:r>
    </w:p>
    <w:p>
      <w:pPr>
        <w:rPr>
          <w:rFonts w:ascii="Times New Roman" w:hAnsi="Times New Roman"/>
          <w:color w:val="auto"/>
          <w:highlight w:val="none"/>
        </w:rPr>
      </w:pPr>
    </w:p>
    <w:p>
      <w:pPr>
        <w:pStyle w:val="12"/>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560" w:lineRule="exact"/>
        <w:textAlignment w:val="auto"/>
      </w:pPr>
      <w:r>
        <w:fldChar w:fldCharType="begin"/>
      </w:r>
      <w:r>
        <w:instrText xml:space="preserve">TOC \o "1-2" \h \u </w:instrText>
      </w:r>
      <w:r>
        <w:fldChar w:fldCharType="separate"/>
      </w:r>
      <w:r>
        <w:fldChar w:fldCharType="begin"/>
      </w:r>
      <w:r>
        <w:instrText xml:space="preserve"> HYPERLINK \l _Toc20496 </w:instrText>
      </w:r>
      <w:r>
        <w:fldChar w:fldCharType="separate"/>
      </w:r>
      <w:r>
        <w:rPr>
          <w:rFonts w:hint="eastAsia" w:ascii="Times New Roman" w:hAnsi="Times New Roman" w:eastAsia="方正小标宋简体" w:cs="方正小标宋简体"/>
          <w:highlight w:val="none"/>
        </w:rPr>
        <w:t>第一部分</w:t>
      </w:r>
      <w:r>
        <w:rPr>
          <w:rFonts w:hint="eastAsia" w:ascii="Times New Roman" w:hAnsi="Times New Roman" w:eastAsia="方正小标宋简体" w:cs="方正小标宋简体"/>
          <w:highlight w:val="none"/>
          <w:lang w:val="en-US" w:eastAsia="zh-CN"/>
        </w:rPr>
        <w:t xml:space="preserve"> </w:t>
      </w:r>
      <w:r>
        <w:rPr>
          <w:rFonts w:hint="eastAsia" w:ascii="Times New Roman" w:hAnsi="Times New Roman" w:eastAsia="方正小标宋简体" w:cs="方正小标宋简体"/>
          <w:highlight w:val="none"/>
        </w:rPr>
        <w:t xml:space="preserve"> </w:t>
      </w:r>
      <w:r>
        <w:rPr>
          <w:rFonts w:hint="eastAsia" w:ascii="Times New Roman" w:hAnsi="Times New Roman" w:eastAsia="方正小标宋简体" w:cs="方正小标宋简体"/>
          <w:bCs w:val="0"/>
          <w:highlight w:val="none"/>
        </w:rPr>
        <w:t>部门概况</w:t>
      </w:r>
      <w:r>
        <w:tab/>
      </w:r>
      <w:r>
        <w:fldChar w:fldCharType="begin"/>
      </w:r>
      <w:r>
        <w:instrText xml:space="preserve"> PAGEREF _Toc20496 \h </w:instrText>
      </w:r>
      <w:r>
        <w:fldChar w:fldCharType="separate"/>
      </w:r>
      <w:r>
        <w:t>- 3 -</w:t>
      </w:r>
      <w:r>
        <w:fldChar w:fldCharType="end"/>
      </w:r>
      <w:r>
        <w:fldChar w:fldCharType="end"/>
      </w:r>
    </w:p>
    <w:p>
      <w:pPr>
        <w:pStyle w:val="15"/>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560" w:lineRule="exact"/>
        <w:textAlignment w:val="auto"/>
      </w:pPr>
      <w:r>
        <w:fldChar w:fldCharType="begin"/>
      </w:r>
      <w:r>
        <w:instrText xml:space="preserve"> HYPERLINK \l _Toc13599 </w:instrText>
      </w:r>
      <w:r>
        <w:fldChar w:fldCharType="separate"/>
      </w:r>
      <w:r>
        <w:rPr>
          <w:rFonts w:hint="eastAsia" w:ascii="Times New Roman" w:hAnsi="Times New Roman" w:eastAsia="黑体"/>
          <w:highlight w:val="none"/>
        </w:rPr>
        <w:t>一、</w:t>
      </w:r>
      <w:r>
        <w:rPr>
          <w:rFonts w:hint="eastAsia" w:ascii="Times New Roman" w:hAnsi="Times New Roman" w:eastAsia="黑体"/>
          <w:highlight w:val="none"/>
          <w:lang w:eastAsia="zh-CN"/>
        </w:rPr>
        <w:t>部门职责</w:t>
      </w:r>
      <w:r>
        <w:tab/>
      </w:r>
      <w:r>
        <w:fldChar w:fldCharType="begin"/>
      </w:r>
      <w:r>
        <w:instrText xml:space="preserve"> PAGEREF _Toc30086 \h </w:instrText>
      </w:r>
      <w:r>
        <w:fldChar w:fldCharType="separate"/>
      </w:r>
      <w:r>
        <w:t xml:space="preserve">- </w:t>
      </w:r>
      <w:r>
        <w:rPr>
          <w:rFonts w:hint="eastAsia"/>
          <w:lang w:val="en-US" w:eastAsia="zh-CN"/>
        </w:rPr>
        <w:t>3</w:t>
      </w:r>
      <w:r>
        <w:t>-</w:t>
      </w:r>
      <w:r>
        <w:fldChar w:fldCharType="end"/>
      </w:r>
      <w:r>
        <w:fldChar w:fldCharType="end"/>
      </w:r>
    </w:p>
    <w:p>
      <w:pPr>
        <w:pStyle w:val="15"/>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560" w:lineRule="exact"/>
        <w:textAlignment w:val="auto"/>
      </w:pPr>
      <w:r>
        <w:fldChar w:fldCharType="begin"/>
      </w:r>
      <w:r>
        <w:instrText xml:space="preserve"> HYPERLINK \l _Toc31661 </w:instrText>
      </w:r>
      <w:r>
        <w:fldChar w:fldCharType="separate"/>
      </w:r>
      <w:r>
        <w:rPr>
          <w:rFonts w:hint="eastAsia" w:ascii="Times New Roman" w:hAnsi="Times New Roman" w:eastAsia="黑体"/>
          <w:highlight w:val="none"/>
        </w:rPr>
        <w:t>二、机</w:t>
      </w:r>
      <w:r>
        <w:rPr>
          <w:rFonts w:hint="eastAsia" w:ascii="Times New Roman" w:hAnsi="Times New Roman" w:eastAsia="黑体"/>
          <w:bCs w:val="0"/>
          <w:highlight w:val="none"/>
        </w:rPr>
        <w:t>构设置</w:t>
      </w:r>
      <w:r>
        <w:tab/>
      </w:r>
      <w:r>
        <w:fldChar w:fldCharType="begin"/>
      </w:r>
      <w:r>
        <w:instrText xml:space="preserve"> PAGEREF _Toc30086 \h </w:instrText>
      </w:r>
      <w:r>
        <w:fldChar w:fldCharType="separate"/>
      </w:r>
      <w:r>
        <w:t>-</w:t>
      </w:r>
      <w:r>
        <w:rPr>
          <w:rFonts w:hint="eastAsia"/>
          <w:lang w:val="en-US" w:eastAsia="zh-CN"/>
        </w:rPr>
        <w:t>4</w:t>
      </w:r>
      <w:r>
        <w:t xml:space="preserve"> -</w:t>
      </w:r>
      <w:r>
        <w:fldChar w:fldCharType="end"/>
      </w:r>
      <w:r>
        <w:fldChar w:fldCharType="end"/>
      </w:r>
    </w:p>
    <w:p>
      <w:pPr>
        <w:pStyle w:val="12"/>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560" w:lineRule="exact"/>
        <w:textAlignment w:val="auto"/>
      </w:pPr>
      <w:r>
        <w:fldChar w:fldCharType="begin"/>
      </w:r>
      <w:r>
        <w:instrText xml:space="preserve"> HYPERLINK \l _Toc16703 </w:instrText>
      </w:r>
      <w:r>
        <w:fldChar w:fldCharType="separate"/>
      </w:r>
      <w:r>
        <w:rPr>
          <w:rFonts w:hint="eastAsia" w:ascii="Times New Roman" w:hAnsi="Times New Roman" w:eastAsia="方正小标宋简体" w:cs="方正小标宋简体"/>
          <w:highlight w:val="none"/>
        </w:rPr>
        <w:t>第二部分</w:t>
      </w:r>
      <w:r>
        <w:rPr>
          <w:rFonts w:hint="eastAsia" w:ascii="Times New Roman" w:hAnsi="Times New Roman" w:eastAsia="方正小标宋简体" w:cs="方正小标宋简体"/>
          <w:highlight w:val="none"/>
          <w:lang w:val="en-US" w:eastAsia="zh-CN"/>
        </w:rPr>
        <w:t xml:space="preserve"> </w:t>
      </w:r>
      <w:r>
        <w:rPr>
          <w:rFonts w:hint="eastAsia" w:ascii="Times New Roman" w:hAnsi="Times New Roman" w:eastAsia="方正小标宋简体" w:cs="方正小标宋简体"/>
          <w:highlight w:val="none"/>
        </w:rPr>
        <w:t xml:space="preserve"> </w:t>
      </w:r>
      <w:r>
        <w:rPr>
          <w:rFonts w:hint="eastAsia" w:ascii="Times New Roman" w:hAnsi="Times New Roman" w:eastAsia="方正小标宋简体" w:cs="方正小标宋简体"/>
          <w:highlight w:val="none"/>
          <w:lang w:val="en-US" w:eastAsia="zh-CN"/>
        </w:rPr>
        <w:t>2024年度</w:t>
      </w:r>
      <w:r>
        <w:rPr>
          <w:rFonts w:hint="eastAsia" w:ascii="Times New Roman" w:hAnsi="Times New Roman" w:eastAsia="方正小标宋简体" w:cs="方正小标宋简体"/>
          <w:highlight w:val="none"/>
        </w:rPr>
        <w:t>部门决算情况说明</w:t>
      </w:r>
      <w:r>
        <w:tab/>
      </w:r>
      <w:r>
        <w:fldChar w:fldCharType="begin"/>
      </w:r>
      <w:r>
        <w:instrText xml:space="preserve"> PAGEREF _Toc16703 \h </w:instrText>
      </w:r>
      <w:r>
        <w:fldChar w:fldCharType="separate"/>
      </w:r>
      <w:r>
        <w:t>- 5 -</w:t>
      </w:r>
      <w:r>
        <w:fldChar w:fldCharType="end"/>
      </w:r>
      <w:r>
        <w:fldChar w:fldCharType="end"/>
      </w:r>
    </w:p>
    <w:p>
      <w:pPr>
        <w:pStyle w:val="15"/>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560" w:lineRule="exact"/>
        <w:textAlignment w:val="auto"/>
      </w:pPr>
      <w:r>
        <w:fldChar w:fldCharType="begin"/>
      </w:r>
      <w:r>
        <w:instrText xml:space="preserve"> HYPERLINK \l _Toc30086 </w:instrText>
      </w:r>
      <w:r>
        <w:fldChar w:fldCharType="separate"/>
      </w:r>
      <w:r>
        <w:rPr>
          <w:rFonts w:hint="eastAsia" w:ascii="Times New Roman" w:hAnsi="Times New Roman" w:eastAsia="黑体"/>
          <w:szCs w:val="32"/>
          <w:highlight w:val="none"/>
          <w:lang w:eastAsia="zh-CN"/>
        </w:rPr>
        <w:t>一、</w:t>
      </w:r>
      <w:r>
        <w:rPr>
          <w:rFonts w:hint="eastAsia" w:ascii="Times New Roman" w:hAnsi="Times New Roman" w:eastAsia="黑体"/>
          <w:szCs w:val="32"/>
          <w:highlight w:val="none"/>
        </w:rPr>
        <w:t>收</w:t>
      </w:r>
      <w:r>
        <w:rPr>
          <w:rFonts w:hint="eastAsia" w:ascii="Times New Roman" w:hAnsi="Times New Roman" w:eastAsia="黑体"/>
          <w:highlight w:val="none"/>
        </w:rPr>
        <w:t>入支出决算总体情况说明</w:t>
      </w:r>
      <w:r>
        <w:tab/>
      </w:r>
      <w:r>
        <w:fldChar w:fldCharType="begin"/>
      </w:r>
      <w:r>
        <w:instrText xml:space="preserve"> PAGEREF _Toc30086 \h </w:instrText>
      </w:r>
      <w:r>
        <w:fldChar w:fldCharType="separate"/>
      </w:r>
      <w:r>
        <w:t>- 5 -</w:t>
      </w:r>
      <w:r>
        <w:fldChar w:fldCharType="end"/>
      </w:r>
      <w:r>
        <w:fldChar w:fldCharType="end"/>
      </w:r>
    </w:p>
    <w:p>
      <w:pPr>
        <w:pStyle w:val="15"/>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560" w:lineRule="exact"/>
        <w:textAlignment w:val="auto"/>
      </w:pPr>
      <w:r>
        <w:fldChar w:fldCharType="begin"/>
      </w:r>
      <w:r>
        <w:instrText xml:space="preserve"> HYPERLINK \l _Toc19043 </w:instrText>
      </w:r>
      <w:r>
        <w:fldChar w:fldCharType="separate"/>
      </w:r>
      <w:r>
        <w:rPr>
          <w:rFonts w:hint="eastAsia" w:ascii="Times New Roman" w:hAnsi="Times New Roman" w:eastAsia="黑体"/>
          <w:szCs w:val="32"/>
          <w:highlight w:val="none"/>
          <w:lang w:eastAsia="zh-CN"/>
        </w:rPr>
        <w:t>二、收入决算情况说明</w:t>
      </w:r>
      <w:r>
        <w:tab/>
      </w:r>
      <w:r>
        <w:fldChar w:fldCharType="begin"/>
      </w:r>
      <w:r>
        <w:instrText xml:space="preserve"> PAGEREF _Toc19043 \h </w:instrText>
      </w:r>
      <w:r>
        <w:fldChar w:fldCharType="separate"/>
      </w:r>
      <w:r>
        <w:t>- 5 -</w:t>
      </w:r>
      <w:r>
        <w:fldChar w:fldCharType="end"/>
      </w:r>
      <w:r>
        <w:fldChar w:fldCharType="end"/>
      </w:r>
    </w:p>
    <w:p>
      <w:pPr>
        <w:pStyle w:val="15"/>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560" w:lineRule="exact"/>
        <w:textAlignment w:val="auto"/>
      </w:pPr>
      <w:r>
        <w:fldChar w:fldCharType="begin"/>
      </w:r>
      <w:r>
        <w:instrText xml:space="preserve"> HYPERLINK \l _Toc18668 </w:instrText>
      </w:r>
      <w:r>
        <w:fldChar w:fldCharType="separate"/>
      </w:r>
      <w:r>
        <w:rPr>
          <w:rFonts w:hint="eastAsia" w:ascii="Times New Roman" w:hAnsi="Times New Roman" w:eastAsia="黑体"/>
          <w:szCs w:val="32"/>
          <w:highlight w:val="none"/>
          <w:lang w:eastAsia="zh-CN"/>
        </w:rPr>
        <w:t>三、</w:t>
      </w:r>
      <w:r>
        <w:rPr>
          <w:rFonts w:hint="eastAsia" w:ascii="Times New Roman" w:hAnsi="Times New Roman" w:eastAsia="黑体"/>
          <w:szCs w:val="32"/>
          <w:highlight w:val="none"/>
        </w:rPr>
        <w:t>支</w:t>
      </w:r>
      <w:r>
        <w:rPr>
          <w:rFonts w:hint="eastAsia" w:ascii="Times New Roman" w:hAnsi="Times New Roman" w:eastAsia="黑体"/>
          <w:highlight w:val="none"/>
        </w:rPr>
        <w:t>出决算情况说明</w:t>
      </w:r>
      <w:r>
        <w:tab/>
      </w:r>
      <w:r>
        <w:fldChar w:fldCharType="begin"/>
      </w:r>
      <w:r>
        <w:instrText xml:space="preserve"> PAGEREF _Toc18668 \h </w:instrText>
      </w:r>
      <w:r>
        <w:fldChar w:fldCharType="separate"/>
      </w:r>
      <w:r>
        <w:t>- 6 -</w:t>
      </w:r>
      <w:r>
        <w:fldChar w:fldCharType="end"/>
      </w:r>
      <w:r>
        <w:fldChar w:fldCharType="end"/>
      </w:r>
    </w:p>
    <w:p>
      <w:pPr>
        <w:pStyle w:val="15"/>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560" w:lineRule="exact"/>
        <w:textAlignment w:val="auto"/>
      </w:pPr>
      <w:r>
        <w:fldChar w:fldCharType="begin"/>
      </w:r>
      <w:r>
        <w:instrText xml:space="preserve"> HYPERLINK \l _Toc3392 </w:instrText>
      </w:r>
      <w:r>
        <w:fldChar w:fldCharType="separate"/>
      </w:r>
      <w:r>
        <w:rPr>
          <w:rFonts w:hint="eastAsia" w:ascii="Times New Roman" w:hAnsi="Times New Roman" w:eastAsia="黑体"/>
          <w:szCs w:val="32"/>
          <w:highlight w:val="none"/>
        </w:rPr>
        <w:t>四、财</w:t>
      </w:r>
      <w:r>
        <w:rPr>
          <w:rFonts w:hint="eastAsia" w:ascii="Times New Roman" w:hAnsi="Times New Roman" w:eastAsia="黑体"/>
          <w:highlight w:val="none"/>
        </w:rPr>
        <w:t>政拨款收入支出决算总体情况说明</w:t>
      </w:r>
      <w:r>
        <w:tab/>
      </w:r>
      <w:r>
        <w:fldChar w:fldCharType="begin"/>
      </w:r>
      <w:r>
        <w:instrText xml:space="preserve"> PAGEREF _Toc3392 \h </w:instrText>
      </w:r>
      <w:r>
        <w:fldChar w:fldCharType="separate"/>
      </w:r>
      <w:r>
        <w:t>- 6 -</w:t>
      </w:r>
      <w:r>
        <w:fldChar w:fldCharType="end"/>
      </w:r>
      <w:r>
        <w:fldChar w:fldCharType="end"/>
      </w:r>
    </w:p>
    <w:p>
      <w:pPr>
        <w:pStyle w:val="15"/>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560" w:lineRule="exact"/>
        <w:textAlignment w:val="auto"/>
      </w:pPr>
      <w:r>
        <w:fldChar w:fldCharType="begin"/>
      </w:r>
      <w:r>
        <w:instrText xml:space="preserve"> HYPERLINK \l _Toc30340 </w:instrText>
      </w:r>
      <w:r>
        <w:fldChar w:fldCharType="separate"/>
      </w:r>
      <w:r>
        <w:rPr>
          <w:rFonts w:hint="eastAsia" w:ascii="Times New Roman" w:hAnsi="Times New Roman" w:eastAsia="黑体"/>
          <w:szCs w:val="32"/>
          <w:highlight w:val="none"/>
        </w:rPr>
        <w:t>五、一</w:t>
      </w:r>
      <w:r>
        <w:rPr>
          <w:rFonts w:hint="eastAsia" w:ascii="Times New Roman" w:hAnsi="Times New Roman" w:eastAsia="黑体"/>
          <w:highlight w:val="none"/>
        </w:rPr>
        <w:t>般公共预算财政拨款支出决算情况说明</w:t>
      </w:r>
      <w:r>
        <w:tab/>
      </w:r>
      <w:r>
        <w:fldChar w:fldCharType="begin"/>
      </w:r>
      <w:r>
        <w:instrText xml:space="preserve"> PAGEREF _Toc30340 \h </w:instrText>
      </w:r>
      <w:r>
        <w:fldChar w:fldCharType="separate"/>
      </w:r>
      <w:r>
        <w:t>- 7 -</w:t>
      </w:r>
      <w:r>
        <w:fldChar w:fldCharType="end"/>
      </w:r>
      <w:r>
        <w:fldChar w:fldCharType="end"/>
      </w:r>
    </w:p>
    <w:p>
      <w:pPr>
        <w:pStyle w:val="15"/>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560" w:lineRule="exact"/>
        <w:textAlignment w:val="auto"/>
      </w:pPr>
      <w:r>
        <w:fldChar w:fldCharType="begin"/>
      </w:r>
      <w:r>
        <w:instrText xml:space="preserve"> HYPERLINK \l _Toc20035 </w:instrText>
      </w:r>
      <w:r>
        <w:fldChar w:fldCharType="separate"/>
      </w:r>
      <w:r>
        <w:rPr>
          <w:rFonts w:hint="eastAsia" w:ascii="Times New Roman" w:hAnsi="Times New Roman" w:eastAsia="黑体"/>
          <w:szCs w:val="32"/>
          <w:highlight w:val="none"/>
        </w:rPr>
        <w:t>六、一</w:t>
      </w:r>
      <w:r>
        <w:rPr>
          <w:rFonts w:hint="eastAsia" w:ascii="Times New Roman" w:hAnsi="Times New Roman" w:eastAsia="黑体"/>
          <w:highlight w:val="none"/>
        </w:rPr>
        <w:t>般公共预算财政拨款基本支出决算情况说明</w:t>
      </w:r>
      <w:r>
        <w:tab/>
      </w:r>
      <w:r>
        <w:fldChar w:fldCharType="begin"/>
      </w:r>
      <w:r>
        <w:instrText xml:space="preserve"> PAGEREF _Toc20035 \h </w:instrText>
      </w:r>
      <w:r>
        <w:fldChar w:fldCharType="separate"/>
      </w:r>
      <w:r>
        <w:t>- 10 -</w:t>
      </w:r>
      <w:r>
        <w:fldChar w:fldCharType="end"/>
      </w:r>
      <w:r>
        <w:fldChar w:fldCharType="end"/>
      </w:r>
    </w:p>
    <w:p>
      <w:pPr>
        <w:pStyle w:val="15"/>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560" w:lineRule="exact"/>
        <w:textAlignment w:val="auto"/>
      </w:pPr>
      <w:r>
        <w:fldChar w:fldCharType="begin"/>
      </w:r>
      <w:r>
        <w:instrText xml:space="preserve"> HYPERLINK \l _Toc83 </w:instrText>
      </w:r>
      <w:r>
        <w:fldChar w:fldCharType="separate"/>
      </w:r>
      <w:r>
        <w:rPr>
          <w:rFonts w:hint="eastAsia" w:ascii="Times New Roman" w:hAnsi="Times New Roman" w:eastAsia="黑体"/>
          <w:szCs w:val="32"/>
          <w:highlight w:val="none"/>
        </w:rPr>
        <w:t>七、</w:t>
      </w:r>
      <w:r>
        <w:rPr>
          <w:rFonts w:hint="eastAsia" w:ascii="Times New Roman" w:hAnsi="Times New Roman" w:eastAsia="黑体"/>
          <w:highlight w:val="none"/>
        </w:rPr>
        <w:t>财政拨款“三公”经费支出决算情况说明</w:t>
      </w:r>
      <w:r>
        <w:tab/>
      </w:r>
      <w:r>
        <w:fldChar w:fldCharType="begin"/>
      </w:r>
      <w:r>
        <w:instrText xml:space="preserve"> PAGEREF _Toc83 \h </w:instrText>
      </w:r>
      <w:r>
        <w:fldChar w:fldCharType="separate"/>
      </w:r>
      <w:r>
        <w:t>- 11 -</w:t>
      </w:r>
      <w:r>
        <w:fldChar w:fldCharType="end"/>
      </w:r>
      <w:r>
        <w:fldChar w:fldCharType="end"/>
      </w:r>
    </w:p>
    <w:p>
      <w:pPr>
        <w:pStyle w:val="15"/>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560" w:lineRule="exact"/>
        <w:textAlignment w:val="auto"/>
      </w:pPr>
      <w:r>
        <w:fldChar w:fldCharType="begin"/>
      </w:r>
      <w:r>
        <w:instrText xml:space="preserve"> HYPERLINK \l _Toc8816 </w:instrText>
      </w:r>
      <w:r>
        <w:fldChar w:fldCharType="separate"/>
      </w:r>
      <w:r>
        <w:rPr>
          <w:rFonts w:hint="eastAsia" w:ascii="Times New Roman" w:hAnsi="Times New Roman" w:eastAsia="黑体"/>
          <w:szCs w:val="32"/>
          <w:highlight w:val="none"/>
        </w:rPr>
        <w:t>八、</w:t>
      </w:r>
      <w:r>
        <w:rPr>
          <w:rFonts w:hint="eastAsia" w:ascii="Times New Roman" w:hAnsi="Times New Roman" w:eastAsia="黑体"/>
          <w:highlight w:val="none"/>
        </w:rPr>
        <w:t>政府性基金预算支出决算情况说明</w:t>
      </w:r>
      <w:r>
        <w:tab/>
      </w:r>
      <w:r>
        <w:fldChar w:fldCharType="begin"/>
      </w:r>
      <w:r>
        <w:instrText xml:space="preserve"> PAGEREF _Toc8816 \h </w:instrText>
      </w:r>
      <w:r>
        <w:fldChar w:fldCharType="separate"/>
      </w:r>
      <w:r>
        <w:t>- 12 -</w:t>
      </w:r>
      <w:r>
        <w:fldChar w:fldCharType="end"/>
      </w:r>
      <w:r>
        <w:fldChar w:fldCharType="end"/>
      </w:r>
    </w:p>
    <w:p>
      <w:pPr>
        <w:pStyle w:val="15"/>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560" w:lineRule="exact"/>
        <w:textAlignment w:val="auto"/>
      </w:pPr>
      <w:r>
        <w:fldChar w:fldCharType="begin"/>
      </w:r>
      <w:r>
        <w:instrText xml:space="preserve"> HYPERLINK \l _Toc9885 </w:instrText>
      </w:r>
      <w:r>
        <w:fldChar w:fldCharType="separate"/>
      </w:r>
      <w:r>
        <w:rPr>
          <w:rFonts w:hint="eastAsia" w:ascii="Times New Roman" w:hAnsi="Times New Roman" w:eastAsia="黑体"/>
          <w:highlight w:val="none"/>
          <w:lang w:eastAsia="zh-CN"/>
        </w:rPr>
        <w:t>九、</w:t>
      </w:r>
      <w:r>
        <w:rPr>
          <w:rFonts w:hint="eastAsia" w:ascii="Times New Roman" w:hAnsi="Times New Roman" w:eastAsia="黑体"/>
          <w:highlight w:val="none"/>
        </w:rPr>
        <w:t>国有资本经营预算支出决算情况说明</w:t>
      </w:r>
      <w:r>
        <w:tab/>
      </w:r>
      <w:r>
        <w:fldChar w:fldCharType="begin"/>
      </w:r>
      <w:r>
        <w:instrText xml:space="preserve"> PAGEREF _Toc9885 \h </w:instrText>
      </w:r>
      <w:r>
        <w:fldChar w:fldCharType="separate"/>
      </w:r>
      <w:r>
        <w:t>- 12 -</w:t>
      </w:r>
      <w:r>
        <w:fldChar w:fldCharType="end"/>
      </w:r>
      <w:r>
        <w:fldChar w:fldCharType="end"/>
      </w:r>
    </w:p>
    <w:p>
      <w:pPr>
        <w:pStyle w:val="15"/>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560" w:lineRule="exact"/>
        <w:textAlignment w:val="auto"/>
      </w:pPr>
      <w:r>
        <w:fldChar w:fldCharType="begin"/>
      </w:r>
      <w:r>
        <w:instrText xml:space="preserve"> HYPERLINK \l _Toc24630 </w:instrText>
      </w:r>
      <w:r>
        <w:fldChar w:fldCharType="separate"/>
      </w:r>
      <w:r>
        <w:rPr>
          <w:rFonts w:hint="eastAsia" w:ascii="Times New Roman" w:hAnsi="Times New Roman" w:eastAsia="黑体"/>
          <w:highlight w:val="none"/>
          <w:lang w:eastAsia="zh-CN"/>
        </w:rPr>
        <w:t>十、</w:t>
      </w:r>
      <w:r>
        <w:rPr>
          <w:rFonts w:hint="eastAsia" w:ascii="Times New Roman" w:hAnsi="Times New Roman" w:eastAsia="黑体"/>
          <w:highlight w:val="none"/>
        </w:rPr>
        <w:t>其他重要事项的情况说明</w:t>
      </w:r>
      <w:r>
        <w:tab/>
      </w:r>
      <w:r>
        <w:fldChar w:fldCharType="begin"/>
      </w:r>
      <w:r>
        <w:instrText xml:space="preserve"> PAGEREF _Toc24630 \h </w:instrText>
      </w:r>
      <w:r>
        <w:fldChar w:fldCharType="separate"/>
      </w:r>
      <w:r>
        <w:t>- 12 -</w:t>
      </w:r>
      <w:r>
        <w:fldChar w:fldCharType="end"/>
      </w:r>
      <w:r>
        <w:fldChar w:fldCharType="end"/>
      </w:r>
    </w:p>
    <w:p>
      <w:pPr>
        <w:pStyle w:val="12"/>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560" w:lineRule="exact"/>
        <w:textAlignment w:val="auto"/>
      </w:pPr>
      <w:r>
        <w:fldChar w:fldCharType="begin"/>
      </w:r>
      <w:r>
        <w:instrText xml:space="preserve"> HYPERLINK \l _Toc4094 </w:instrText>
      </w:r>
      <w:r>
        <w:fldChar w:fldCharType="separate"/>
      </w:r>
      <w:r>
        <w:rPr>
          <w:rFonts w:hint="eastAsia" w:ascii="黑体" w:hAnsi="黑体" w:eastAsia="黑体" w:cs="黑体"/>
        </w:rPr>
        <w:t>第</w:t>
      </w:r>
      <w:r>
        <w:rPr>
          <w:rFonts w:hint="eastAsia" w:ascii="黑体" w:hAnsi="黑体" w:eastAsia="黑体" w:cs="黑体"/>
          <w:lang w:eastAsia="zh-CN"/>
        </w:rPr>
        <w:t>三</w:t>
      </w:r>
      <w:r>
        <w:rPr>
          <w:rFonts w:hint="eastAsia" w:ascii="黑体" w:hAnsi="黑体" w:eastAsia="黑体" w:cs="黑体"/>
        </w:rPr>
        <w:t>部分</w:t>
      </w:r>
      <w:r>
        <w:rPr>
          <w:rFonts w:hint="eastAsia" w:ascii="黑体" w:hAnsi="黑体" w:eastAsia="黑体" w:cs="黑体"/>
          <w:lang w:val="en-US" w:eastAsia="zh-CN"/>
        </w:rPr>
        <w:t xml:space="preserve">  </w:t>
      </w:r>
      <w:r>
        <w:rPr>
          <w:rFonts w:hint="eastAsia" w:ascii="黑体" w:hAnsi="黑体" w:eastAsia="黑体" w:cs="黑体"/>
        </w:rPr>
        <w:t>名词解释</w:t>
      </w:r>
      <w:r>
        <w:tab/>
      </w:r>
      <w:r>
        <w:fldChar w:fldCharType="begin"/>
      </w:r>
      <w:r>
        <w:instrText xml:space="preserve"> PAGEREF _Toc4094 \h </w:instrText>
      </w:r>
      <w:r>
        <w:fldChar w:fldCharType="separate"/>
      </w:r>
      <w:r>
        <w:t>- 16 -</w:t>
      </w:r>
      <w:r>
        <w:fldChar w:fldCharType="end"/>
      </w:r>
      <w:r>
        <w:fldChar w:fldCharType="end"/>
      </w:r>
    </w:p>
    <w:p>
      <w:pPr>
        <w:pStyle w:val="12"/>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560" w:lineRule="exact"/>
        <w:textAlignment w:val="auto"/>
      </w:pPr>
      <w:r>
        <w:fldChar w:fldCharType="begin"/>
      </w:r>
      <w:r>
        <w:instrText xml:space="preserve"> HYPERLINK \l _Toc7709 </w:instrText>
      </w:r>
      <w:r>
        <w:fldChar w:fldCharType="separate"/>
      </w:r>
      <w:r>
        <w:rPr>
          <w:rFonts w:hint="eastAsia" w:ascii="Times New Roman" w:hAnsi="Times New Roman" w:eastAsia="黑体"/>
          <w:szCs w:val="44"/>
          <w:highlight w:val="none"/>
        </w:rPr>
        <w:t>第四部分</w:t>
      </w:r>
      <w:r>
        <w:rPr>
          <w:rFonts w:hint="eastAsia" w:ascii="Times New Roman" w:hAnsi="Times New Roman" w:eastAsia="黑体"/>
          <w:szCs w:val="44"/>
          <w:highlight w:val="none"/>
          <w:lang w:val="en-US" w:eastAsia="zh-CN"/>
        </w:rPr>
        <w:t xml:space="preserve"> </w:t>
      </w:r>
      <w:r>
        <w:rPr>
          <w:rFonts w:hint="eastAsia" w:ascii="Times New Roman" w:hAnsi="Times New Roman" w:eastAsia="黑体"/>
          <w:szCs w:val="44"/>
          <w:highlight w:val="none"/>
        </w:rPr>
        <w:t xml:space="preserve"> 附件</w:t>
      </w:r>
      <w:r>
        <w:tab/>
      </w:r>
      <w:r>
        <w:fldChar w:fldCharType="begin"/>
      </w:r>
      <w:r>
        <w:instrText xml:space="preserve"> PAGEREF _Toc7709 \h </w:instrText>
      </w:r>
      <w:r>
        <w:fldChar w:fldCharType="separate"/>
      </w:r>
      <w:r>
        <w:t>- 2</w:t>
      </w:r>
      <w:r>
        <w:rPr>
          <w:rFonts w:hint="eastAsia"/>
          <w:lang w:val="en-US" w:eastAsia="zh-CN"/>
        </w:rPr>
        <w:t>2</w:t>
      </w:r>
      <w:r>
        <w:t xml:space="preserve"> -</w:t>
      </w:r>
      <w:r>
        <w:fldChar w:fldCharType="end"/>
      </w:r>
      <w:r>
        <w:fldChar w:fldCharType="end"/>
      </w:r>
    </w:p>
    <w:p>
      <w:pPr>
        <w:pStyle w:val="12"/>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560" w:lineRule="exact"/>
        <w:textAlignment w:val="auto"/>
      </w:pPr>
      <w:r>
        <w:fldChar w:fldCharType="begin"/>
      </w:r>
      <w:r>
        <w:instrText xml:space="preserve"> HYPERLINK \l _Toc14672 </w:instrText>
      </w:r>
      <w:r>
        <w:fldChar w:fldCharType="separate"/>
      </w:r>
      <w:r>
        <w:rPr>
          <w:rFonts w:hint="eastAsia" w:ascii="Times New Roman" w:hAnsi="Times New Roman" w:eastAsia="黑体"/>
          <w:szCs w:val="44"/>
          <w:highlight w:val="none"/>
        </w:rPr>
        <w:t>第</w:t>
      </w:r>
      <w:r>
        <w:rPr>
          <w:rFonts w:hint="eastAsia" w:ascii="Times New Roman" w:hAnsi="Times New Roman" w:eastAsia="黑体"/>
          <w:bCs/>
          <w:highlight w:val="none"/>
        </w:rPr>
        <w:t xml:space="preserve">五部分 </w:t>
      </w:r>
      <w:r>
        <w:rPr>
          <w:rFonts w:hint="eastAsia" w:ascii="Times New Roman" w:hAnsi="Times New Roman" w:eastAsia="黑体"/>
          <w:bCs/>
          <w:highlight w:val="none"/>
          <w:lang w:val="en-US" w:eastAsia="zh-CN"/>
        </w:rPr>
        <w:t xml:space="preserve"> </w:t>
      </w:r>
      <w:r>
        <w:rPr>
          <w:rFonts w:hint="eastAsia" w:ascii="Times New Roman" w:hAnsi="Times New Roman" w:eastAsia="黑体"/>
          <w:bCs/>
          <w:highlight w:val="none"/>
        </w:rPr>
        <w:t>附表</w:t>
      </w:r>
      <w:r>
        <w:tab/>
      </w:r>
      <w:r>
        <w:fldChar w:fldCharType="begin"/>
      </w:r>
      <w:r>
        <w:instrText xml:space="preserve"> PAGEREF _Toc14672 \h </w:instrText>
      </w:r>
      <w:r>
        <w:fldChar w:fldCharType="separate"/>
      </w:r>
      <w:r>
        <w:t>- 6</w:t>
      </w:r>
      <w:r>
        <w:rPr>
          <w:rFonts w:hint="eastAsia"/>
          <w:lang w:val="en-US" w:eastAsia="zh-CN"/>
        </w:rPr>
        <w:t>7</w:t>
      </w:r>
      <w:r>
        <w:t xml:space="preserve"> -</w:t>
      </w:r>
      <w:r>
        <w:fldChar w:fldCharType="end"/>
      </w:r>
      <w:r>
        <w:fldChar w:fldCharType="end"/>
      </w:r>
    </w:p>
    <w:p>
      <w:r>
        <w:fldChar w:fldCharType="end"/>
      </w:r>
    </w:p>
    <w:p>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p>
    <w:p>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p>
    <w:p>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一、收入支出决算总表</w:t>
      </w:r>
    </w:p>
    <w:p>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二、收入决算表</w:t>
      </w:r>
    </w:p>
    <w:p>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三、支出决算表</w:t>
      </w:r>
    </w:p>
    <w:p>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四、财政拨款收入支出决算总表</w:t>
      </w:r>
    </w:p>
    <w:p>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五、财政拨款支出决算明细表</w:t>
      </w:r>
    </w:p>
    <w:p>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六、一般公共预算财政拨款支出决算表</w:t>
      </w:r>
    </w:p>
    <w:p>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七、一般公共预算财政拨款支出决算明细表</w:t>
      </w:r>
    </w:p>
    <w:p>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八、一般公共预算财政拨款基本支出决算</w:t>
      </w:r>
      <w:r>
        <w:rPr>
          <w:rFonts w:hint="eastAsia" w:ascii="Times New Roman" w:hAnsi="Times New Roman" w:eastAsia="仿宋_GB2312" w:cs="仿宋_GB2312"/>
          <w:color w:val="auto"/>
          <w:sz w:val="32"/>
          <w:szCs w:val="32"/>
          <w:highlight w:val="none"/>
          <w:lang w:eastAsia="zh-CN"/>
        </w:rPr>
        <w:t>明细</w:t>
      </w:r>
      <w:r>
        <w:rPr>
          <w:rFonts w:hint="eastAsia" w:ascii="Times New Roman" w:hAnsi="Times New Roman" w:eastAsia="仿宋_GB2312" w:cs="仿宋_GB2312"/>
          <w:color w:val="auto"/>
          <w:sz w:val="32"/>
          <w:szCs w:val="32"/>
          <w:highlight w:val="none"/>
        </w:rPr>
        <w:t>表</w:t>
      </w:r>
    </w:p>
    <w:p>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九、一般公共预算财政拨款项目支出决算表</w:t>
      </w:r>
    </w:p>
    <w:p>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十、政府性基金预算财政拨款收入支出决算表</w:t>
      </w:r>
    </w:p>
    <w:p>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十一、国有资本经营预算财政拨款收入支出决算表</w:t>
      </w:r>
    </w:p>
    <w:p>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十二、</w:t>
      </w:r>
      <w:r>
        <w:rPr>
          <w:rFonts w:hint="eastAsia" w:ascii="Times New Roman" w:hAnsi="Times New Roman" w:eastAsia="仿宋_GB2312" w:cs="仿宋_GB2312"/>
          <w:color w:val="auto"/>
          <w:sz w:val="32"/>
          <w:szCs w:val="32"/>
          <w:highlight w:val="none"/>
          <w:lang w:val="en-US" w:eastAsia="zh-CN"/>
        </w:rPr>
        <w:t>国有资本经营预算财政拨款支出决算表</w:t>
      </w:r>
    </w:p>
    <w:p>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b/>
          <w:bCs/>
          <w:color w:val="auto"/>
          <w:sz w:val="32"/>
          <w:szCs w:val="32"/>
          <w:highlight w:val="none"/>
          <w:lang w:eastAsia="zh-CN"/>
        </w:rPr>
      </w:pPr>
      <w:r>
        <w:rPr>
          <w:rFonts w:hint="eastAsia" w:ascii="Times New Roman" w:hAnsi="Times New Roman" w:eastAsia="仿宋_GB2312" w:cs="仿宋_GB2312"/>
          <w:color w:val="auto"/>
          <w:sz w:val="32"/>
          <w:szCs w:val="32"/>
          <w:highlight w:val="none"/>
        </w:rPr>
        <w:t>十三、财政拨款“三公”经费支出决算表</w:t>
      </w:r>
    </w:p>
    <w:p>
      <w:pPr>
        <w:keepNext w:val="0"/>
        <w:keepLines w:val="0"/>
        <w:pageBreakBefore w:val="0"/>
        <w:widowControl/>
        <w:kinsoku/>
        <w:wordWrap/>
        <w:overflowPunct/>
        <w:topLinePunct w:val="0"/>
        <w:autoSpaceDE/>
        <w:autoSpaceDN/>
        <w:bidi w:val="0"/>
        <w:spacing w:line="560" w:lineRule="exact"/>
        <w:jc w:val="left"/>
        <w:textAlignment w:val="auto"/>
        <w:rPr>
          <w:rFonts w:hint="eastAsia" w:ascii="Times New Roman" w:hAnsi="Times New Roman" w:eastAsia="仿宋_GB2312" w:cs="仿宋_GB2312"/>
          <w:bCs/>
          <w:color w:val="auto"/>
          <w:kern w:val="44"/>
          <w:sz w:val="32"/>
          <w:szCs w:val="32"/>
          <w:highlight w:val="none"/>
        </w:rPr>
      </w:pPr>
      <w:bookmarkStart w:id="6" w:name="_Toc15396599"/>
      <w:bookmarkStart w:id="7" w:name="_Toc15377196"/>
      <w:r>
        <w:rPr>
          <w:rFonts w:hint="eastAsia" w:ascii="Times New Roman" w:hAnsi="Times New Roman" w:eastAsia="仿宋_GB2312" w:cs="仿宋_GB2312"/>
          <w:b/>
          <w:color w:val="auto"/>
          <w:sz w:val="32"/>
          <w:szCs w:val="32"/>
          <w:highlight w:val="none"/>
        </w:rPr>
        <w:br w:type="page"/>
      </w:r>
    </w:p>
    <w:p>
      <w:pPr>
        <w:pStyle w:val="3"/>
        <w:jc w:val="center"/>
        <w:rPr>
          <w:rFonts w:ascii="Times New Roman" w:hAnsi="Times New Roman" w:eastAsia="黑体"/>
          <w:color w:val="auto"/>
          <w:sz w:val="32"/>
          <w:szCs w:val="32"/>
          <w:highlight w:val="none"/>
        </w:rPr>
      </w:pPr>
      <w:bookmarkStart w:id="8" w:name="_Toc20496"/>
      <w:r>
        <w:rPr>
          <w:rFonts w:hint="eastAsia" w:ascii="Times New Roman" w:hAnsi="Times New Roman" w:eastAsia="方正小标宋简体" w:cs="方正小标宋简体"/>
          <w:b w:val="0"/>
          <w:color w:val="auto"/>
          <w:highlight w:val="none"/>
        </w:rPr>
        <w:t>第一部分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Style w:val="30"/>
          <w:rFonts w:hint="eastAsia" w:ascii="Times New Roman" w:hAnsi="Times New Roman" w:eastAsia="方正小标宋简体" w:cs="方正小标宋简体"/>
          <w:b w:val="0"/>
          <w:bCs w:val="0"/>
          <w:color w:val="auto"/>
          <w:highlight w:val="none"/>
        </w:rPr>
        <w:t>部门概况</w:t>
      </w:r>
      <w:bookmarkEnd w:id="6"/>
      <w:bookmarkEnd w:id="7"/>
      <w:bookmarkEnd w:id="8"/>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textAlignment w:val="auto"/>
        <w:rPr>
          <w:rFonts w:hint="eastAsia" w:ascii="仿宋_GB2312" w:hAnsi="仿宋_GB2312" w:eastAsia="仿宋_GB2312" w:cs="仿宋_GB2312"/>
          <w:b/>
          <w:bCs/>
          <w:sz w:val="32"/>
          <w:szCs w:val="32"/>
          <w:lang w:val="en-US" w:eastAsia="zh-CN"/>
        </w:rPr>
      </w:pPr>
      <w:r>
        <w:rPr>
          <w:rFonts w:hint="eastAsia" w:ascii="黑体" w:hAnsi="黑体" w:eastAsia="黑体" w:cs="黑体"/>
          <w:b/>
          <w:bCs/>
          <w:sz w:val="32"/>
          <w:szCs w:val="32"/>
          <w:lang w:val="en-US" w:eastAsia="zh-CN"/>
        </w:rPr>
        <w:t>一、部门职责</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1.全</w:t>
      </w:r>
      <w:r>
        <w:rPr>
          <w:rFonts w:hint="eastAsia" w:ascii="仿宋_GB2312" w:hAnsi="仿宋_GB2312" w:eastAsia="仿宋_GB2312" w:cs="仿宋_GB2312"/>
          <w:sz w:val="32"/>
          <w:szCs w:val="32"/>
        </w:rPr>
        <w:t>面贯彻落实党和政府促进就业创业的方针政策及各项扶持政策，为城乡劳动者提供就业政策法规咨询，职业供求信息以及职业培训信息发布，职业指导和职业介绍。</w:t>
      </w:r>
    </w:p>
    <w:p>
      <w:pPr>
        <w:numPr>
          <w:ilvl w:val="0"/>
          <w:numId w:val="0"/>
        </w:numPr>
        <w:ind w:firstLine="640" w:firstLineChars="200"/>
        <w:rPr>
          <w:rFonts w:hint="eastAsia" w:ascii="仿宋_GB2312" w:eastAsia="仿宋_GB2312"/>
          <w:sz w:val="32"/>
          <w:szCs w:val="32"/>
          <w:shd w:val="clear" w:color="auto" w:fill="FFFFFF"/>
        </w:rPr>
      </w:pPr>
      <w:r>
        <w:rPr>
          <w:rFonts w:hint="eastAsia" w:ascii="仿宋_GB2312" w:eastAsia="仿宋_GB2312"/>
          <w:sz w:val="32"/>
          <w:szCs w:val="32"/>
          <w:shd w:val="clear" w:color="auto" w:fill="FFFFFF"/>
          <w:lang w:val="en-US" w:eastAsia="zh-CN"/>
        </w:rPr>
        <w:t>2.</w:t>
      </w:r>
      <w:r>
        <w:rPr>
          <w:rFonts w:hint="eastAsia" w:ascii="仿宋_GB2312" w:eastAsia="仿宋_GB2312"/>
          <w:sz w:val="32"/>
          <w:szCs w:val="32"/>
          <w:shd w:val="clear" w:color="auto" w:fill="FFFFFF"/>
        </w:rPr>
        <w:t>免费为城乡劳动者开展创业培训、技能培训等职业技能培训。</w:t>
      </w:r>
    </w:p>
    <w:p>
      <w:pPr>
        <w:numPr>
          <w:ilvl w:val="0"/>
          <w:numId w:val="0"/>
        </w:numPr>
        <w:ind w:firstLine="640" w:firstLineChars="200"/>
        <w:rPr>
          <w:rFonts w:hint="eastAsia" w:ascii="仿宋_GB2312" w:eastAsia="仿宋_GB2312"/>
          <w:sz w:val="32"/>
          <w:szCs w:val="32"/>
          <w:shd w:val="clear" w:color="auto" w:fill="FFFFFF"/>
        </w:rPr>
      </w:pPr>
      <w:r>
        <w:rPr>
          <w:rFonts w:hint="eastAsia" w:ascii="仿宋_GB2312" w:eastAsia="仿宋_GB2312"/>
          <w:sz w:val="32"/>
          <w:szCs w:val="32"/>
          <w:shd w:val="clear" w:color="auto" w:fill="FFFFFF"/>
          <w:lang w:val="en-US" w:eastAsia="zh-CN"/>
        </w:rPr>
        <w:t>3.</w:t>
      </w:r>
      <w:r>
        <w:rPr>
          <w:rFonts w:hint="eastAsia" w:ascii="仿宋_GB2312" w:eastAsia="仿宋_GB2312"/>
          <w:sz w:val="32"/>
          <w:szCs w:val="32"/>
          <w:shd w:val="clear" w:color="auto" w:fill="FFFFFF"/>
        </w:rPr>
        <w:t>以创业带动就业，全面落实</w:t>
      </w:r>
      <w:r>
        <w:rPr>
          <w:rFonts w:hint="eastAsia" w:ascii="仿宋_GB2312" w:eastAsia="仿宋_GB2312"/>
          <w:sz w:val="32"/>
          <w:szCs w:val="32"/>
          <w:lang w:eastAsia="zh-CN"/>
        </w:rPr>
        <w:t>创业</w:t>
      </w:r>
      <w:r>
        <w:rPr>
          <w:rFonts w:hint="eastAsia" w:ascii="仿宋_GB2312" w:eastAsia="仿宋_GB2312"/>
          <w:sz w:val="32"/>
          <w:szCs w:val="32"/>
        </w:rPr>
        <w:t>担保</w:t>
      </w:r>
      <w:r>
        <w:rPr>
          <w:rFonts w:hint="eastAsia" w:ascii="仿宋_GB2312" w:eastAsia="仿宋_GB2312"/>
          <w:sz w:val="32"/>
          <w:szCs w:val="32"/>
          <w:shd w:val="clear" w:color="auto" w:fill="FFFFFF"/>
        </w:rPr>
        <w:t>贷款贴息、社保补贴等扶持政策，促使各类失业人员通过从事个体经营、自谋职业、灵活就业、创办企业带动和吸纳就业。</w:t>
      </w:r>
    </w:p>
    <w:p>
      <w:pPr>
        <w:numPr>
          <w:ilvl w:val="0"/>
          <w:numId w:val="0"/>
        </w:numPr>
        <w:ind w:firstLine="640" w:firstLineChars="200"/>
        <w:rPr>
          <w:rFonts w:hint="eastAsia" w:ascii="仿宋_GB2312" w:eastAsia="仿宋_GB2312"/>
          <w:sz w:val="32"/>
          <w:szCs w:val="32"/>
          <w:shd w:val="clear" w:color="auto" w:fill="FFFFFF"/>
        </w:rPr>
      </w:pPr>
      <w:r>
        <w:rPr>
          <w:rFonts w:hint="eastAsia" w:ascii="仿宋_GB2312" w:eastAsia="仿宋_GB2312"/>
          <w:sz w:val="32"/>
          <w:szCs w:val="32"/>
          <w:shd w:val="clear" w:color="auto" w:fill="FFFFFF"/>
          <w:lang w:val="en-US" w:eastAsia="zh-CN"/>
        </w:rPr>
        <w:t>4.</w:t>
      </w:r>
      <w:r>
        <w:rPr>
          <w:rFonts w:hint="eastAsia" w:ascii="仿宋_GB2312" w:eastAsia="仿宋_GB2312"/>
          <w:sz w:val="32"/>
          <w:szCs w:val="32"/>
          <w:shd w:val="clear" w:color="auto" w:fill="FFFFFF"/>
        </w:rPr>
        <w:t>做好未就业高校毕业生参加就业见习和自主创业工作，落实好高校毕业生创业补贴政策。</w:t>
      </w:r>
    </w:p>
    <w:p>
      <w:pPr>
        <w:numPr>
          <w:ilvl w:val="0"/>
          <w:numId w:val="0"/>
        </w:numPr>
        <w:ind w:firstLine="640" w:firstLineChars="200"/>
        <w:rPr>
          <w:rFonts w:hint="eastAsia" w:ascii="仿宋_GB2312" w:eastAsia="仿宋_GB2312"/>
          <w:sz w:val="32"/>
          <w:szCs w:val="32"/>
          <w:shd w:val="clear" w:color="auto" w:fill="FFFFFF"/>
        </w:rPr>
      </w:pPr>
      <w:r>
        <w:rPr>
          <w:rFonts w:hint="eastAsia" w:ascii="仿宋_GB2312" w:eastAsia="仿宋_GB2312"/>
          <w:sz w:val="32"/>
          <w:szCs w:val="32"/>
          <w:shd w:val="clear" w:color="auto" w:fill="FFFFFF"/>
          <w:lang w:val="en-US" w:eastAsia="zh-CN"/>
        </w:rPr>
        <w:t>5.</w:t>
      </w:r>
      <w:r>
        <w:rPr>
          <w:rFonts w:hint="eastAsia" w:ascii="仿宋_GB2312" w:eastAsia="仿宋_GB2312"/>
          <w:sz w:val="32"/>
          <w:szCs w:val="32"/>
          <w:shd w:val="clear" w:color="auto" w:fill="FFFFFF"/>
        </w:rPr>
        <w:t>按照中央关于推动家庭服务业发展促进就业的方针政策，落实各项扶持政策，促进和带动更多的城乡劳动者通过从事家庭服务业实现就业，大力开发公益性岗位，落实岗位补贴及社保补贴。</w:t>
      </w:r>
    </w:p>
    <w:p>
      <w:pPr>
        <w:numPr>
          <w:ilvl w:val="0"/>
          <w:numId w:val="0"/>
        </w:numPr>
        <w:ind w:firstLine="640" w:firstLineChars="200"/>
        <w:rPr>
          <w:rFonts w:hint="eastAsia" w:ascii="仿宋_GB2312" w:eastAsia="仿宋_GB2312"/>
          <w:sz w:val="32"/>
          <w:szCs w:val="32"/>
        </w:rPr>
      </w:pPr>
      <w:r>
        <w:rPr>
          <w:rFonts w:hint="eastAsia" w:ascii="仿宋_GB2312" w:eastAsia="仿宋_GB2312"/>
          <w:sz w:val="32"/>
          <w:szCs w:val="32"/>
          <w:shd w:val="clear" w:color="auto" w:fill="FFFFFF"/>
          <w:lang w:val="en-US" w:eastAsia="zh-CN"/>
        </w:rPr>
        <w:t>6.</w:t>
      </w:r>
      <w:r>
        <w:rPr>
          <w:rFonts w:hint="eastAsia" w:ascii="仿宋_GB2312" w:eastAsia="仿宋_GB2312"/>
          <w:sz w:val="32"/>
          <w:szCs w:val="32"/>
          <w:shd w:val="clear" w:color="auto" w:fill="FFFFFF"/>
        </w:rPr>
        <w:t>促进有劳动能力、有就业愿望的所有劳动者实现充分就业。</w:t>
      </w:r>
      <w:r>
        <w:rPr>
          <w:rFonts w:hint="eastAsia" w:ascii="仿宋_GB2312" w:eastAsia="仿宋_GB2312"/>
          <w:sz w:val="32"/>
          <w:szCs w:val="32"/>
        </w:rPr>
        <w:t>对就业困难人员实施就业援助，办理就业、失业登记等各项公共就业服务。</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textAlignment w:val="auto"/>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二、机构设置</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茂县就业服务中心下属二级</w:t>
      </w:r>
      <w:r>
        <w:rPr>
          <w:rFonts w:hint="eastAsia" w:ascii="仿宋_GB2312" w:hAnsi="仿宋_GB2312" w:eastAsia="仿宋_GB2312" w:cs="仿宋_GB2312"/>
          <w:sz w:val="32"/>
          <w:szCs w:val="32"/>
          <w:lang w:eastAsia="zh-CN"/>
        </w:rPr>
        <w:t>预算</w:t>
      </w:r>
      <w:r>
        <w:rPr>
          <w:rFonts w:hint="eastAsia" w:ascii="仿宋_GB2312" w:hAnsi="仿宋_GB2312" w:eastAsia="仿宋_GB2312" w:cs="仿宋_GB2312"/>
          <w:sz w:val="32"/>
          <w:szCs w:val="32"/>
        </w:rPr>
        <w:t>单位</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个，其中行政单位</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个，参照公务员法管理的事业单位</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个，其他事业单位</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个。</w:t>
      </w:r>
    </w:p>
    <w:p>
      <w:pPr>
        <w:widowControl/>
        <w:jc w:val="left"/>
        <w:rPr>
          <w:rFonts w:ascii="Times New Roman" w:hAnsi="Times New Roman" w:eastAsia="仿宋"/>
          <w:color w:val="auto"/>
          <w:kern w:val="0"/>
          <w:sz w:val="32"/>
          <w:szCs w:val="32"/>
          <w:highlight w:val="none"/>
        </w:rPr>
      </w:pPr>
      <w:r>
        <w:rPr>
          <w:rFonts w:ascii="Times New Roman" w:hAnsi="Times New Roman" w:eastAsia="仿宋"/>
          <w:color w:val="auto"/>
          <w:sz w:val="32"/>
          <w:szCs w:val="32"/>
          <w:highlight w:val="none"/>
        </w:rPr>
        <w:br w:type="page"/>
      </w:r>
    </w:p>
    <w:p>
      <w:pPr>
        <w:pStyle w:val="3"/>
        <w:jc w:val="center"/>
        <w:rPr>
          <w:rFonts w:ascii="Times New Roman" w:hAnsi="Times New Roman"/>
          <w:color w:val="auto"/>
          <w:highlight w:val="none"/>
        </w:rPr>
      </w:pPr>
      <w:bookmarkStart w:id="9" w:name="_Toc15396602"/>
      <w:bookmarkStart w:id="10" w:name="_Toc16703"/>
      <w:bookmarkStart w:id="11" w:name="_Toc15377204"/>
      <w:r>
        <w:rPr>
          <w:rFonts w:hint="eastAsia" w:ascii="Times New Roman" w:hAnsi="Times New Roman" w:eastAsia="方正小标宋简体" w:cs="方正小标宋简体"/>
          <w:b w:val="0"/>
          <w:color w:val="auto"/>
          <w:highlight w:val="none"/>
        </w:rPr>
        <w:t>第二部分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Fonts w:hint="eastAsia" w:ascii="Times New Roman" w:hAnsi="Times New Roman" w:eastAsia="方正小标宋简体" w:cs="方正小标宋简体"/>
          <w:b w:val="0"/>
          <w:color w:val="auto"/>
          <w:highlight w:val="none"/>
          <w:lang w:val="en-US" w:eastAsia="zh-CN"/>
        </w:rPr>
        <w:t>2024年度</w:t>
      </w:r>
      <w:r>
        <w:rPr>
          <w:rFonts w:hint="eastAsia" w:ascii="Times New Roman" w:hAnsi="Times New Roman" w:eastAsia="方正小标宋简体" w:cs="方正小标宋简体"/>
          <w:b w:val="0"/>
          <w:color w:val="auto"/>
          <w:highlight w:val="none"/>
        </w:rPr>
        <w:t>部门决算情况说明</w:t>
      </w:r>
      <w:bookmarkEnd w:id="9"/>
      <w:bookmarkEnd w:id="10"/>
      <w:bookmarkEnd w:id="11"/>
    </w:p>
    <w:p>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31"/>
          <w:rFonts w:hint="eastAsia" w:ascii="Times New Roman" w:hAnsi="Times New Roman" w:eastAsia="黑体"/>
          <w:b w:val="0"/>
          <w:color w:val="auto"/>
          <w:highlight w:val="none"/>
        </w:rPr>
      </w:pPr>
      <w:bookmarkStart w:id="12" w:name="_Toc15396603"/>
      <w:bookmarkStart w:id="13" w:name="_Toc30086"/>
      <w:bookmarkStart w:id="14" w:name="_Toc15377205"/>
      <w:r>
        <w:rPr>
          <w:rFonts w:hint="eastAsia" w:ascii="Times New Roman" w:hAnsi="Times New Roman" w:eastAsia="黑体"/>
          <w:color w:val="auto"/>
          <w:sz w:val="32"/>
          <w:szCs w:val="32"/>
          <w:highlight w:val="none"/>
          <w:lang w:eastAsia="zh-CN"/>
        </w:rPr>
        <w:t>一、</w:t>
      </w:r>
      <w:r>
        <w:rPr>
          <w:rFonts w:hint="eastAsia" w:ascii="Times New Roman" w:hAnsi="Times New Roman" w:eastAsia="黑体"/>
          <w:color w:val="auto"/>
          <w:sz w:val="32"/>
          <w:szCs w:val="32"/>
          <w:highlight w:val="none"/>
        </w:rPr>
        <w:t>收</w:t>
      </w:r>
      <w:r>
        <w:rPr>
          <w:rStyle w:val="31"/>
          <w:rFonts w:hint="eastAsia" w:ascii="Times New Roman" w:hAnsi="Times New Roman" w:eastAsia="黑体"/>
          <w:b w:val="0"/>
          <w:color w:val="auto"/>
          <w:highlight w:val="none"/>
        </w:rPr>
        <w:t>入支出决算总体情况说明</w:t>
      </w:r>
      <w:bookmarkEnd w:id="12"/>
      <w:bookmarkEnd w:id="13"/>
      <w:bookmarkEnd w:id="14"/>
    </w:p>
    <w:p>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仿宋_GB2312" w:cs="仿宋_GB2312"/>
          <w:color w:val="auto"/>
          <w:sz w:val="32"/>
          <w:szCs w:val="32"/>
          <w:highlight w:val="none"/>
          <w:lang w:eastAsia="zh-CN"/>
        </w:rPr>
      </w:pPr>
      <w:bookmarkStart w:id="15" w:name="_Toc6064"/>
      <w:r>
        <w:rPr>
          <w:rFonts w:hint="eastAsia" w:ascii="Times New Roman" w:hAnsi="Times New Roman" w:eastAsia="仿宋_GB2312" w:cs="仿宋_GB2312"/>
          <w:color w:val="auto"/>
          <w:sz w:val="32"/>
          <w:szCs w:val="32"/>
          <w:highlight w:val="none"/>
          <w:lang w:eastAsia="zh-CN"/>
        </w:rPr>
        <w:t>2024年度收入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总计</w:t>
      </w:r>
      <w:r>
        <w:rPr>
          <w:rFonts w:hint="eastAsia" w:ascii="Times New Roman" w:hAnsi="Times New Roman" w:eastAsia="仿宋_GB2312" w:cs="仿宋_GB2312"/>
          <w:color w:val="auto"/>
          <w:sz w:val="32"/>
          <w:szCs w:val="32"/>
          <w:highlight w:val="none"/>
          <w:lang w:eastAsia="zh-CN"/>
        </w:rPr>
        <w:t>均为</w:t>
      </w:r>
      <w:r>
        <w:rPr>
          <w:rFonts w:hint="eastAsia" w:ascii="仿宋_GB2312" w:hAnsi="仿宋_GB2312" w:eastAsia="仿宋_GB2312" w:cs="仿宋_GB2312"/>
          <w:sz w:val="32"/>
          <w:szCs w:val="32"/>
        </w:rPr>
        <w:t>2032.73</w:t>
      </w:r>
      <w:r>
        <w:rPr>
          <w:rFonts w:hint="eastAsia" w:ascii="Times New Roman" w:hAnsi="Times New Roman" w:eastAsia="仿宋_GB2312" w:cs="仿宋_GB2312"/>
          <w:color w:val="auto"/>
          <w:sz w:val="32"/>
          <w:szCs w:val="32"/>
          <w:highlight w:val="none"/>
        </w:rPr>
        <w:t>万元。与</w:t>
      </w:r>
      <w:r>
        <w:rPr>
          <w:rFonts w:hint="eastAsia" w:ascii="Times New Roman" w:hAnsi="Times New Roman" w:eastAsia="仿宋_GB2312" w:cs="仿宋_GB2312"/>
          <w:color w:val="auto"/>
          <w:sz w:val="32"/>
          <w:szCs w:val="32"/>
          <w:highlight w:val="none"/>
          <w:lang w:eastAsia="zh-CN"/>
        </w:rPr>
        <w:t>202</w:t>
      </w:r>
      <w:r>
        <w:rPr>
          <w:rFonts w:hint="eastAsia" w:ascii="Times New Roman" w:hAnsi="Times New Roman" w:eastAsia="仿宋_GB2312" w:cs="仿宋_GB2312"/>
          <w:color w:val="auto"/>
          <w:sz w:val="32"/>
          <w:szCs w:val="32"/>
          <w:highlight w:val="none"/>
          <w:lang w:val="en-US" w:eastAsia="zh-CN"/>
        </w:rPr>
        <w:t>3</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eastAsia="zh-CN"/>
        </w:rPr>
        <w:t>度</w:t>
      </w:r>
      <w:r>
        <w:rPr>
          <w:rFonts w:hint="eastAsia" w:ascii="Times New Roman" w:hAnsi="Times New Roman" w:eastAsia="仿宋_GB2312" w:cs="仿宋_GB2312"/>
          <w:color w:val="auto"/>
          <w:sz w:val="32"/>
          <w:szCs w:val="32"/>
          <w:highlight w:val="none"/>
        </w:rPr>
        <w:t>相比，</w:t>
      </w:r>
      <w:r>
        <w:rPr>
          <w:rFonts w:hint="eastAsia" w:ascii="Times New Roman" w:hAnsi="Times New Roman" w:eastAsia="仿宋_GB2312" w:cs="仿宋_GB2312"/>
          <w:color w:val="auto"/>
          <w:sz w:val="32"/>
          <w:szCs w:val="32"/>
          <w:highlight w:val="none"/>
          <w:lang w:eastAsia="zh-CN"/>
        </w:rPr>
        <w:t>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总计各增加</w:t>
      </w:r>
      <w:r>
        <w:rPr>
          <w:rFonts w:hint="eastAsia" w:eastAsia="仿宋_GB2312" w:cs="仿宋_GB2312"/>
          <w:color w:val="auto"/>
          <w:sz w:val="32"/>
          <w:szCs w:val="32"/>
          <w:highlight w:val="none"/>
          <w:lang w:val="en-US" w:eastAsia="zh-CN"/>
        </w:rPr>
        <w:t>201.47</w:t>
      </w:r>
      <w:r>
        <w:rPr>
          <w:rFonts w:hint="eastAsia" w:ascii="Times New Roman" w:hAnsi="Times New Roman" w:eastAsia="仿宋_GB2312" w:cs="仿宋_GB2312"/>
          <w:color w:val="auto"/>
          <w:sz w:val="32"/>
          <w:szCs w:val="32"/>
          <w:highlight w:val="none"/>
        </w:rPr>
        <w:t>万元，增长</w:t>
      </w:r>
      <w:r>
        <w:rPr>
          <w:rFonts w:hint="eastAsia" w:eastAsia="仿宋_GB2312" w:cs="仿宋_GB2312"/>
          <w:color w:val="auto"/>
          <w:sz w:val="32"/>
          <w:szCs w:val="32"/>
          <w:highlight w:val="none"/>
          <w:lang w:val="en-US" w:eastAsia="zh-CN"/>
        </w:rPr>
        <w:t>11.01</w:t>
      </w:r>
      <w:r>
        <w:rPr>
          <w:rFonts w:hint="eastAsia" w:ascii="Times New Roman" w:hAnsi="Times New Roman" w:eastAsia="仿宋_GB2312" w:cs="仿宋_GB2312"/>
          <w:color w:val="auto"/>
          <w:sz w:val="32"/>
          <w:szCs w:val="32"/>
          <w:highlight w:val="none"/>
        </w:rPr>
        <w:t>%。主要变动原因是</w:t>
      </w:r>
      <w:bookmarkEnd w:id="15"/>
      <w:r>
        <w:rPr>
          <w:rFonts w:hint="eastAsia" w:eastAsia="仿宋_GB2312" w:cs="仿宋_GB2312"/>
          <w:color w:val="auto"/>
          <w:sz w:val="32"/>
          <w:szCs w:val="32"/>
          <w:highlight w:val="none"/>
          <w:lang w:eastAsia="zh-CN"/>
        </w:rPr>
        <w:t>：</w:t>
      </w:r>
      <w:r>
        <w:rPr>
          <w:rFonts w:hint="eastAsia" w:ascii="仿宋" w:hAnsi="仿宋" w:eastAsia="仿宋"/>
          <w:color w:val="auto"/>
          <w:sz w:val="32"/>
          <w:szCs w:val="32"/>
          <w:highlight w:val="none"/>
          <w:lang w:val="en-US" w:eastAsia="zh-CN"/>
        </w:rPr>
        <w:t>项目资金增加。</w:t>
      </w:r>
    </w:p>
    <w:p>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drawing>
          <wp:inline distT="0" distB="0" distL="114300" distR="114300">
            <wp:extent cx="5256530" cy="2988310"/>
            <wp:effectExtent l="5080" t="4445" r="11430" b="9525"/>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黑体"/>
          <w:color w:val="auto"/>
          <w:sz w:val="32"/>
          <w:szCs w:val="32"/>
          <w:highlight w:val="none"/>
          <w:lang w:eastAsia="zh-CN"/>
        </w:rPr>
      </w:pPr>
      <w:bookmarkStart w:id="16" w:name="_Toc15377206"/>
      <w:bookmarkStart w:id="17" w:name="_Toc19043"/>
      <w:bookmarkStart w:id="18" w:name="_Toc15396604"/>
      <w:r>
        <w:rPr>
          <w:rFonts w:hint="eastAsia" w:ascii="Times New Roman" w:hAnsi="Times New Roman" w:eastAsia="黑体"/>
          <w:color w:val="auto"/>
          <w:sz w:val="32"/>
          <w:szCs w:val="32"/>
          <w:highlight w:val="none"/>
          <w:lang w:eastAsia="zh-CN"/>
        </w:rPr>
        <w:t>二、收入决算情况说明</w:t>
      </w:r>
      <w:bookmarkEnd w:id="16"/>
      <w:bookmarkEnd w:id="17"/>
      <w:bookmarkEnd w:id="18"/>
    </w:p>
    <w:p>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Times New Roman" w:hAnsi="Times New Roman" w:eastAsia="仿宋_GB2312" w:cs="仿宋_GB2312"/>
          <w:b/>
          <w:bCs/>
          <w:color w:val="auto"/>
          <w:sz w:val="32"/>
          <w:szCs w:val="32"/>
          <w:highlight w:val="none"/>
          <w:lang w:eastAsia="zh-CN"/>
        </w:rPr>
      </w:pPr>
      <w:bookmarkStart w:id="19" w:name="_Toc9257"/>
      <w:r>
        <w:rPr>
          <w:rFonts w:hint="eastAsia" w:ascii="仿宋_GB2312" w:hAnsi="仿宋_GB2312" w:eastAsia="仿宋_GB2312" w:cs="仿宋_GB2312"/>
          <w:color w:val="auto"/>
          <w:sz w:val="32"/>
          <w:szCs w:val="32"/>
          <w:highlight w:val="none"/>
          <w:lang w:eastAsia="zh-CN"/>
        </w:rPr>
        <w:t>2024年度本年收入合计</w:t>
      </w:r>
      <w:r>
        <w:rPr>
          <w:rFonts w:hint="eastAsia" w:ascii="仿宋_GB2312" w:hAnsi="仿宋_GB2312" w:eastAsia="仿宋_GB2312" w:cs="仿宋_GB2312"/>
          <w:sz w:val="32"/>
          <w:szCs w:val="32"/>
        </w:rPr>
        <w:t>2032.73万元，其中：一般公共预算财政拨款收入2032.73</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100</w:t>
      </w:r>
      <w:r>
        <w:rPr>
          <w:rFonts w:hint="eastAsia" w:ascii="仿宋_GB2312" w:hAnsi="仿宋_GB2312" w:eastAsia="仿宋_GB2312" w:cs="仿宋_GB2312"/>
          <w:color w:val="auto"/>
          <w:sz w:val="32"/>
          <w:szCs w:val="32"/>
          <w:highlight w:val="none"/>
          <w:lang w:eastAsia="zh-CN"/>
        </w:rPr>
        <w:t>%</w:t>
      </w:r>
      <w:bookmarkEnd w:id="19"/>
      <w:r>
        <w:rPr>
          <w:rFonts w:hint="eastAsia" w:ascii="仿宋_GB2312" w:hAnsi="仿宋_GB2312" w:eastAsia="仿宋_GB2312" w:cs="仿宋_GB2312"/>
          <w:color w:val="auto"/>
          <w:sz w:val="32"/>
          <w:szCs w:val="32"/>
          <w:highlight w:val="none"/>
          <w:lang w:eastAsia="zh-CN"/>
        </w:rPr>
        <w:t>。</w:t>
      </w:r>
    </w:p>
    <w:p>
      <w:pPr>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drawing>
          <wp:inline distT="0" distB="0" distL="114300" distR="114300">
            <wp:extent cx="5256530" cy="2988310"/>
            <wp:effectExtent l="5080" t="4445" r="11430" b="9525"/>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31"/>
          <w:rFonts w:hint="eastAsia" w:ascii="Times New Roman" w:hAnsi="Times New Roman" w:eastAsia="黑体"/>
          <w:b w:val="0"/>
          <w:color w:val="auto"/>
          <w:highlight w:val="none"/>
        </w:rPr>
      </w:pPr>
      <w:bookmarkStart w:id="20" w:name="_Toc15377207"/>
      <w:bookmarkStart w:id="21" w:name="_Toc18668"/>
      <w:bookmarkStart w:id="22" w:name="_Toc15396605"/>
      <w:r>
        <w:rPr>
          <w:rFonts w:hint="eastAsia" w:ascii="Times New Roman" w:hAnsi="Times New Roman" w:eastAsia="黑体"/>
          <w:color w:val="auto"/>
          <w:sz w:val="32"/>
          <w:szCs w:val="32"/>
          <w:highlight w:val="none"/>
          <w:lang w:eastAsia="zh-CN"/>
        </w:rPr>
        <w:t>三、</w:t>
      </w:r>
      <w:r>
        <w:rPr>
          <w:rFonts w:hint="eastAsia" w:ascii="Times New Roman" w:hAnsi="Times New Roman" w:eastAsia="黑体"/>
          <w:color w:val="auto"/>
          <w:sz w:val="32"/>
          <w:szCs w:val="32"/>
          <w:highlight w:val="none"/>
        </w:rPr>
        <w:t>支</w:t>
      </w:r>
      <w:r>
        <w:rPr>
          <w:rStyle w:val="31"/>
          <w:rFonts w:hint="eastAsia" w:ascii="Times New Roman" w:hAnsi="Times New Roman" w:eastAsia="黑体"/>
          <w:b w:val="0"/>
          <w:color w:val="auto"/>
          <w:highlight w:val="none"/>
        </w:rPr>
        <w:t>出决算情况说明</w:t>
      </w:r>
      <w:bookmarkEnd w:id="20"/>
      <w:bookmarkEnd w:id="21"/>
      <w:bookmarkEnd w:id="22"/>
    </w:p>
    <w:p>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Times New Roman" w:hAnsi="Times New Roman" w:eastAsia="仿宋_GB2312" w:cs="仿宋_GB2312"/>
          <w:color w:val="auto"/>
          <w:sz w:val="32"/>
          <w:szCs w:val="32"/>
          <w:highlight w:val="none"/>
          <w:lang w:eastAsia="zh-CN"/>
        </w:rPr>
      </w:pPr>
      <w:bookmarkStart w:id="23" w:name="_Toc27986"/>
      <w:r>
        <w:rPr>
          <w:rFonts w:hint="eastAsia" w:ascii="仿宋_GB2312" w:hAnsi="仿宋_GB2312" w:eastAsia="仿宋_GB2312" w:cs="仿宋_GB2312"/>
          <w:color w:val="auto"/>
          <w:sz w:val="32"/>
          <w:szCs w:val="32"/>
          <w:highlight w:val="none"/>
          <w:lang w:eastAsia="zh-CN"/>
        </w:rPr>
        <w:t>2024年度本年支出合计</w:t>
      </w:r>
      <w:r>
        <w:rPr>
          <w:rFonts w:hint="eastAsia" w:ascii="仿宋_GB2312" w:hAnsi="仿宋_GB2312" w:eastAsia="仿宋_GB2312" w:cs="仿宋_GB2312"/>
          <w:sz w:val="32"/>
          <w:szCs w:val="32"/>
        </w:rPr>
        <w:t>2032.73</w:t>
      </w:r>
      <w:r>
        <w:rPr>
          <w:rFonts w:hint="eastAsia" w:ascii="仿宋_GB2312" w:hAnsi="仿宋_GB2312" w:eastAsia="仿宋_GB2312" w:cs="仿宋_GB2312"/>
          <w:color w:val="auto"/>
          <w:sz w:val="32"/>
          <w:szCs w:val="32"/>
          <w:highlight w:val="none"/>
          <w:lang w:eastAsia="zh-CN"/>
        </w:rPr>
        <w:t>万元，其中：基本支出</w:t>
      </w:r>
      <w:r>
        <w:rPr>
          <w:rFonts w:hint="eastAsia" w:ascii="仿宋_GB2312" w:hAnsi="仿宋_GB2312" w:eastAsia="仿宋_GB2312" w:cs="仿宋_GB2312"/>
          <w:sz w:val="32"/>
          <w:szCs w:val="32"/>
        </w:rPr>
        <w:t>289.9</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14.26</w:t>
      </w:r>
      <w:r>
        <w:rPr>
          <w:rFonts w:hint="eastAsia" w:ascii="仿宋_GB2312" w:hAnsi="仿宋_GB2312" w:eastAsia="仿宋_GB2312" w:cs="仿宋_GB2312"/>
          <w:color w:val="auto"/>
          <w:sz w:val="32"/>
          <w:szCs w:val="32"/>
          <w:highlight w:val="none"/>
          <w:lang w:eastAsia="zh-CN"/>
        </w:rPr>
        <w:t>%；项目支出</w:t>
      </w:r>
      <w:r>
        <w:rPr>
          <w:rFonts w:hint="eastAsia" w:ascii="仿宋_GB2312" w:hAnsi="仿宋_GB2312" w:eastAsia="仿宋_GB2312" w:cs="仿宋_GB2312"/>
          <w:sz w:val="32"/>
          <w:szCs w:val="32"/>
        </w:rPr>
        <w:t>1742.82</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85.73</w:t>
      </w:r>
      <w:r>
        <w:rPr>
          <w:rFonts w:hint="eastAsia" w:ascii="仿宋_GB2312" w:hAnsi="仿宋_GB2312" w:eastAsia="仿宋_GB2312" w:cs="仿宋_GB2312"/>
          <w:color w:val="auto"/>
          <w:sz w:val="32"/>
          <w:szCs w:val="32"/>
          <w:highlight w:val="none"/>
          <w:lang w:eastAsia="zh-CN"/>
        </w:rPr>
        <w:t>%</w:t>
      </w:r>
      <w:bookmarkEnd w:id="23"/>
      <w:r>
        <w:rPr>
          <w:rFonts w:hint="eastAsia" w:ascii="仿宋_GB2312" w:hAnsi="仿宋_GB2312" w:eastAsia="仿宋_GB2312" w:cs="仿宋_GB2312"/>
          <w:color w:val="auto"/>
          <w:sz w:val="32"/>
          <w:szCs w:val="32"/>
          <w:highlight w:val="none"/>
          <w:lang w:eastAsia="zh-CN"/>
        </w:rPr>
        <w:t>。</w:t>
      </w:r>
    </w:p>
    <w:p>
      <w:pPr>
        <w:ind w:firstLine="800" w:firstLineChars="250"/>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drawing>
          <wp:inline distT="0" distB="0" distL="114300" distR="114300">
            <wp:extent cx="5256530" cy="2988310"/>
            <wp:effectExtent l="5080" t="4445" r="11430" b="9525"/>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spacing w:line="600" w:lineRule="exact"/>
        <w:ind w:firstLine="640" w:firstLineChars="200"/>
        <w:outlineLvl w:val="1"/>
        <w:rPr>
          <w:rStyle w:val="31"/>
          <w:rFonts w:ascii="Times New Roman" w:hAnsi="Times New Roman" w:eastAsia="黑体"/>
          <w:b w:val="0"/>
          <w:color w:val="auto"/>
          <w:highlight w:val="none"/>
        </w:rPr>
      </w:pPr>
      <w:bookmarkStart w:id="24" w:name="_Toc3392"/>
      <w:bookmarkStart w:id="25" w:name="_Toc15396606"/>
      <w:bookmarkStart w:id="26" w:name="_Toc15377208"/>
      <w:r>
        <w:rPr>
          <w:rFonts w:hint="eastAsia" w:ascii="Times New Roman" w:hAnsi="Times New Roman" w:eastAsia="黑体"/>
          <w:color w:val="auto"/>
          <w:sz w:val="32"/>
          <w:szCs w:val="32"/>
          <w:highlight w:val="none"/>
        </w:rPr>
        <w:t>四、财</w:t>
      </w:r>
      <w:r>
        <w:rPr>
          <w:rStyle w:val="31"/>
          <w:rFonts w:hint="eastAsia" w:ascii="Times New Roman" w:hAnsi="Times New Roman" w:eastAsia="黑体"/>
          <w:b w:val="0"/>
          <w:color w:val="auto"/>
          <w:highlight w:val="none"/>
        </w:rPr>
        <w:t>政拨款收入支出决算总体情况说明</w:t>
      </w:r>
      <w:bookmarkEnd w:id="24"/>
      <w:bookmarkEnd w:id="25"/>
      <w:bookmarkEnd w:id="26"/>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2024年度财政拨款收入、支出总计均为</w:t>
      </w:r>
      <w:r>
        <w:rPr>
          <w:rFonts w:hint="eastAsia" w:ascii="仿宋_GB2312" w:hAnsi="仿宋_GB2312" w:eastAsia="仿宋_GB2312" w:cs="仿宋_GB2312"/>
          <w:sz w:val="32"/>
          <w:szCs w:val="32"/>
        </w:rPr>
        <w:t>2032.73</w:t>
      </w:r>
      <w:r>
        <w:rPr>
          <w:rFonts w:hint="eastAsia" w:ascii="Times New Roman" w:hAnsi="Times New Roman" w:eastAsia="仿宋_GB2312" w:cs="仿宋_GB2312"/>
          <w:color w:val="auto"/>
          <w:kern w:val="2"/>
          <w:sz w:val="32"/>
          <w:szCs w:val="32"/>
          <w:highlight w:val="none"/>
          <w:lang w:val="en-US" w:eastAsia="zh-CN" w:bidi="ar-SA"/>
        </w:rPr>
        <w:t>万元。与2023年度相比，财政拨款收入、支出各</w:t>
      </w:r>
      <w:r>
        <w:rPr>
          <w:rFonts w:hint="eastAsia" w:ascii="Times New Roman" w:hAnsi="Times New Roman" w:eastAsia="仿宋_GB2312" w:cs="仿宋_GB2312"/>
          <w:color w:val="auto"/>
          <w:sz w:val="32"/>
          <w:szCs w:val="32"/>
          <w:highlight w:val="none"/>
        </w:rPr>
        <w:t>增加</w:t>
      </w:r>
      <w:r>
        <w:rPr>
          <w:rFonts w:hint="eastAsia" w:eastAsia="仿宋_GB2312" w:cs="仿宋_GB2312"/>
          <w:color w:val="auto"/>
          <w:sz w:val="32"/>
          <w:szCs w:val="32"/>
          <w:highlight w:val="none"/>
          <w:lang w:val="en-US" w:eastAsia="zh-CN"/>
        </w:rPr>
        <w:t>201.47</w:t>
      </w:r>
      <w:r>
        <w:rPr>
          <w:rFonts w:hint="eastAsia" w:ascii="Times New Roman" w:hAnsi="Times New Roman" w:eastAsia="仿宋_GB2312" w:cs="仿宋_GB2312"/>
          <w:color w:val="auto"/>
          <w:sz w:val="32"/>
          <w:szCs w:val="32"/>
          <w:highlight w:val="none"/>
        </w:rPr>
        <w:t>万元，增长</w:t>
      </w:r>
      <w:r>
        <w:rPr>
          <w:rFonts w:hint="eastAsia" w:eastAsia="仿宋_GB2312" w:cs="仿宋_GB2312"/>
          <w:color w:val="auto"/>
          <w:sz w:val="32"/>
          <w:szCs w:val="32"/>
          <w:highlight w:val="none"/>
          <w:lang w:val="en-US" w:eastAsia="zh-CN"/>
        </w:rPr>
        <w:t>11.01</w:t>
      </w:r>
      <w:r>
        <w:rPr>
          <w:rFonts w:hint="eastAsia" w:ascii="Times New Roman" w:hAnsi="Times New Roman" w:eastAsia="仿宋_GB2312" w:cs="仿宋_GB2312"/>
          <w:color w:val="auto"/>
          <w:sz w:val="32"/>
          <w:szCs w:val="32"/>
          <w:highlight w:val="none"/>
        </w:rPr>
        <w:t>%。主要变动原因是</w:t>
      </w:r>
      <w:r>
        <w:rPr>
          <w:rFonts w:hint="eastAsia" w:eastAsia="仿宋_GB2312" w:cs="仿宋_GB2312"/>
          <w:color w:val="auto"/>
          <w:sz w:val="32"/>
          <w:szCs w:val="32"/>
          <w:highlight w:val="none"/>
          <w:lang w:eastAsia="zh-CN"/>
        </w:rPr>
        <w:t>：</w:t>
      </w:r>
      <w:r>
        <w:rPr>
          <w:rFonts w:hint="eastAsia" w:ascii="仿宋" w:hAnsi="仿宋" w:eastAsia="仿宋"/>
          <w:color w:val="auto"/>
          <w:sz w:val="32"/>
          <w:szCs w:val="32"/>
          <w:highlight w:val="none"/>
          <w:lang w:val="en-US" w:eastAsia="zh-CN"/>
        </w:rPr>
        <w:t>项目资金增加。</w:t>
      </w:r>
    </w:p>
    <w:p>
      <w:pPr>
        <w:spacing w:line="600" w:lineRule="exact"/>
        <w:ind w:firstLine="640" w:firstLineChars="200"/>
        <w:outlineLvl w:val="1"/>
        <w:rPr>
          <w:rStyle w:val="31"/>
          <w:rFonts w:ascii="Times New Roman" w:hAnsi="Times New Roman" w:eastAsia="黑体"/>
          <w:b w:val="0"/>
          <w:color w:val="auto"/>
          <w:highlight w:val="none"/>
        </w:rPr>
      </w:pPr>
      <w:bookmarkStart w:id="27" w:name="_Toc15377209"/>
      <w:bookmarkStart w:id="28" w:name="_Toc15396607"/>
      <w:bookmarkStart w:id="29" w:name="_Toc30340"/>
      <w:r>
        <w:rPr>
          <w:rFonts w:hint="eastAsia" w:ascii="Times New Roman" w:hAnsi="Times New Roman" w:eastAsia="黑体"/>
          <w:color w:val="auto"/>
          <w:sz w:val="32"/>
          <w:szCs w:val="32"/>
          <w:highlight w:val="none"/>
        </w:rPr>
        <w:t>五、</w:t>
      </w:r>
      <w:r>
        <w:rPr>
          <w:rFonts w:hint="eastAsia" w:ascii="Times New Roman" w:hAnsi="Times New Roman" w:eastAsia="黑体"/>
          <w:b/>
          <w:color w:val="auto"/>
          <w:sz w:val="32"/>
          <w:szCs w:val="32"/>
          <w:highlight w:val="none"/>
        </w:rPr>
        <w:t>一</w:t>
      </w:r>
      <w:r>
        <w:rPr>
          <w:rStyle w:val="31"/>
          <w:rFonts w:hint="eastAsia" w:ascii="Times New Roman" w:hAnsi="Times New Roman" w:eastAsia="黑体"/>
          <w:b w:val="0"/>
          <w:color w:val="auto"/>
          <w:highlight w:val="none"/>
        </w:rPr>
        <w:t>般公共预算财政拨款支出决算情况说明</w:t>
      </w:r>
      <w:bookmarkEnd w:id="27"/>
      <w:bookmarkEnd w:id="28"/>
      <w:bookmarkEnd w:id="29"/>
    </w:p>
    <w:p>
      <w:pPr>
        <w:spacing w:line="600" w:lineRule="exact"/>
        <w:ind w:firstLine="642" w:firstLineChars="200"/>
        <w:outlineLvl w:val="2"/>
        <w:rPr>
          <w:rFonts w:hint="eastAsia" w:ascii="Times New Roman" w:hAnsi="Times New Roman" w:eastAsia="楷体_GB2312" w:cs="楷体_GB2312"/>
          <w:b/>
          <w:color w:val="auto"/>
          <w:sz w:val="32"/>
          <w:szCs w:val="32"/>
          <w:highlight w:val="none"/>
        </w:rPr>
      </w:pPr>
      <w:bookmarkStart w:id="30" w:name="_Toc15377210"/>
      <w:r>
        <w:rPr>
          <w:rFonts w:hint="eastAsia" w:ascii="Times New Roman" w:hAnsi="Times New Roman" w:eastAsia="楷体_GB2312" w:cs="楷体_GB2312"/>
          <w:b/>
          <w:color w:val="auto"/>
          <w:sz w:val="32"/>
          <w:szCs w:val="32"/>
          <w:highlight w:val="none"/>
        </w:rPr>
        <w:t>（一）一般公共预算财政拨款支出决算总体情况</w:t>
      </w:r>
      <w:bookmarkEnd w:id="30"/>
    </w:p>
    <w:p>
      <w:pPr>
        <w:spacing w:line="600" w:lineRule="exact"/>
        <w:ind w:firstLine="640"/>
        <w:rPr>
          <w:rFonts w:hint="eastAsia" w:ascii="仿宋" w:hAnsi="仿宋" w:eastAsia="仿宋"/>
          <w:color w:val="auto"/>
          <w:sz w:val="32"/>
          <w:szCs w:val="32"/>
          <w:highlight w:val="none"/>
          <w:lang w:val="en-US" w:eastAsia="zh-CN"/>
        </w:rPr>
      </w:pPr>
      <w:r>
        <w:rPr>
          <w:rFonts w:hint="eastAsia" w:ascii="仿宋_GB2312" w:hAnsi="仿宋_GB2312" w:eastAsia="仿宋_GB2312" w:cs="仿宋_GB2312"/>
          <w:color w:val="auto"/>
          <w:kern w:val="2"/>
          <w:sz w:val="32"/>
          <w:szCs w:val="32"/>
          <w:highlight w:val="none"/>
          <w:lang w:val="en-US" w:eastAsia="zh-CN" w:bidi="ar-SA"/>
        </w:rPr>
        <w:t>2024年度一般公共预算财政拨款支出</w:t>
      </w:r>
      <w:r>
        <w:rPr>
          <w:rFonts w:hint="eastAsia" w:ascii="仿宋_GB2312" w:hAnsi="仿宋_GB2312" w:eastAsia="仿宋_GB2312" w:cs="仿宋_GB2312"/>
          <w:sz w:val="32"/>
          <w:szCs w:val="32"/>
        </w:rPr>
        <w:t>2032.73</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100</w:t>
      </w:r>
      <w:r>
        <w:rPr>
          <w:rFonts w:hint="eastAsia" w:ascii="仿宋_GB2312" w:hAnsi="仿宋_GB2312" w:eastAsia="仿宋_GB2312" w:cs="仿宋_GB2312"/>
          <w:color w:val="auto"/>
          <w:kern w:val="2"/>
          <w:sz w:val="32"/>
          <w:szCs w:val="32"/>
          <w:highlight w:val="none"/>
          <w:lang w:val="en-US" w:eastAsia="zh-CN" w:bidi="ar-SA"/>
        </w:rPr>
        <w:t>%。与2023年度相比，一般公共预算财政拨款支出</w:t>
      </w:r>
      <w:r>
        <w:rPr>
          <w:rFonts w:hint="eastAsia" w:ascii="Times New Roman" w:hAnsi="Times New Roman" w:eastAsia="仿宋_GB2312" w:cs="仿宋_GB2312"/>
          <w:color w:val="auto"/>
          <w:sz w:val="32"/>
          <w:szCs w:val="32"/>
          <w:highlight w:val="none"/>
        </w:rPr>
        <w:t>增加</w:t>
      </w:r>
      <w:r>
        <w:rPr>
          <w:rFonts w:hint="eastAsia" w:eastAsia="仿宋_GB2312" w:cs="仿宋_GB2312"/>
          <w:color w:val="auto"/>
          <w:sz w:val="32"/>
          <w:szCs w:val="32"/>
          <w:highlight w:val="none"/>
          <w:lang w:val="en-US" w:eastAsia="zh-CN"/>
        </w:rPr>
        <w:t>201.47</w:t>
      </w:r>
      <w:r>
        <w:rPr>
          <w:rFonts w:hint="eastAsia" w:ascii="Times New Roman" w:hAnsi="Times New Roman" w:eastAsia="仿宋_GB2312" w:cs="仿宋_GB2312"/>
          <w:color w:val="auto"/>
          <w:sz w:val="32"/>
          <w:szCs w:val="32"/>
          <w:highlight w:val="none"/>
        </w:rPr>
        <w:t>万元，增长</w:t>
      </w:r>
      <w:r>
        <w:rPr>
          <w:rFonts w:hint="eastAsia" w:eastAsia="仿宋_GB2312" w:cs="仿宋_GB2312"/>
          <w:color w:val="auto"/>
          <w:sz w:val="32"/>
          <w:szCs w:val="32"/>
          <w:highlight w:val="none"/>
          <w:lang w:val="en-US" w:eastAsia="zh-CN"/>
        </w:rPr>
        <w:t>11.01</w:t>
      </w:r>
      <w:r>
        <w:rPr>
          <w:rFonts w:hint="eastAsia" w:ascii="Times New Roman" w:hAnsi="Times New Roman" w:eastAsia="仿宋_GB2312" w:cs="仿宋_GB2312"/>
          <w:color w:val="auto"/>
          <w:sz w:val="32"/>
          <w:szCs w:val="32"/>
          <w:highlight w:val="none"/>
        </w:rPr>
        <w:t>%。主要变动原因是</w:t>
      </w:r>
      <w:r>
        <w:rPr>
          <w:rFonts w:hint="eastAsia" w:eastAsia="仿宋_GB2312" w:cs="仿宋_GB2312"/>
          <w:color w:val="auto"/>
          <w:sz w:val="32"/>
          <w:szCs w:val="32"/>
          <w:highlight w:val="none"/>
          <w:lang w:eastAsia="zh-CN"/>
        </w:rPr>
        <w:t>：</w:t>
      </w:r>
      <w:r>
        <w:rPr>
          <w:rFonts w:hint="eastAsia" w:ascii="仿宋" w:hAnsi="仿宋" w:eastAsia="仿宋"/>
          <w:color w:val="auto"/>
          <w:sz w:val="32"/>
          <w:szCs w:val="32"/>
          <w:highlight w:val="none"/>
          <w:lang w:val="en-US" w:eastAsia="zh-CN"/>
        </w:rPr>
        <w:t>项目资金增加。</w:t>
      </w:r>
    </w:p>
    <w:p>
      <w:pPr>
        <w:spacing w:line="600" w:lineRule="exact"/>
        <w:rPr>
          <w:rFonts w:hint="eastAsia" w:ascii="Times New Roman" w:hAnsi="Times New Roman" w:eastAsia="楷体_GB2312" w:cs="楷体_GB2312"/>
          <w:b/>
          <w:color w:val="auto"/>
          <w:sz w:val="32"/>
          <w:szCs w:val="32"/>
          <w:highlight w:val="none"/>
        </w:rPr>
      </w:pPr>
      <w:r>
        <w:rPr>
          <w:rFonts w:hint="eastAsia" w:ascii="Times New Roman" w:hAnsi="Times New Roman" w:eastAsia="仿宋_GB2312" w:cs="仿宋_GB2312"/>
          <w:color w:val="auto"/>
          <w:sz w:val="32"/>
          <w:szCs w:val="32"/>
          <w:highlight w:val="none"/>
          <w:lang w:eastAsia="zh-CN"/>
        </w:rPr>
        <w:drawing>
          <wp:anchor distT="0" distB="0" distL="114300" distR="114300" simplePos="0" relativeHeight="251659264" behindDoc="0" locked="0" layoutInCell="1" allowOverlap="1">
            <wp:simplePos x="0" y="0"/>
            <wp:positionH relativeFrom="column">
              <wp:posOffset>106680</wp:posOffset>
            </wp:positionH>
            <wp:positionV relativeFrom="paragraph">
              <wp:posOffset>165100</wp:posOffset>
            </wp:positionV>
            <wp:extent cx="5256530" cy="2988310"/>
            <wp:effectExtent l="5080" t="4445" r="11430" b="9525"/>
            <wp:wrapTopAndBottom/>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bookmarkStart w:id="31" w:name="_Toc15377211"/>
      <w:r>
        <w:rPr>
          <w:rFonts w:hint="eastAsia" w:eastAsia="仿宋_GB2312" w:cs="仿宋_GB2312"/>
          <w:color w:val="auto"/>
          <w:sz w:val="32"/>
          <w:szCs w:val="32"/>
          <w:highlight w:val="none"/>
          <w:lang w:val="en-US" w:eastAsia="zh-CN"/>
        </w:rPr>
        <w:t xml:space="preserve">   </w:t>
      </w:r>
      <w:r>
        <w:rPr>
          <w:rFonts w:hint="eastAsia" w:ascii="Times New Roman" w:hAnsi="Times New Roman" w:eastAsia="楷体_GB2312" w:cs="楷体_GB2312"/>
          <w:b/>
          <w:color w:val="auto"/>
          <w:sz w:val="32"/>
          <w:szCs w:val="32"/>
          <w:highlight w:val="none"/>
        </w:rPr>
        <w:t>（二）一般公共预算财政拨款支出决算结构情况</w:t>
      </w:r>
      <w:bookmarkEnd w:id="31"/>
    </w:p>
    <w:p>
      <w:pPr>
        <w:spacing w:line="600" w:lineRule="exact"/>
        <w:ind w:firstLine="640"/>
        <w:rPr>
          <w:rFonts w:hint="eastAsia" w:ascii="仿宋" w:hAnsi="仿宋" w:eastAsia="仿宋" w:cs="Times New Roman"/>
          <w:color w:val="auto"/>
          <w:sz w:val="32"/>
          <w:szCs w:val="32"/>
          <w:highlight w:val="none"/>
          <w:lang w:eastAsia="zh-CN"/>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2024年度一般公共预算财政拨款支出</w:t>
      </w:r>
      <w:r>
        <w:rPr>
          <w:rFonts w:hint="eastAsia" w:ascii="仿宋_GB2312" w:hAnsi="仿宋_GB2312" w:eastAsia="仿宋_GB2312" w:cs="仿宋_GB2312"/>
          <w:sz w:val="32"/>
          <w:szCs w:val="32"/>
        </w:rPr>
        <w:t>2032.73</w:t>
      </w:r>
      <w:r>
        <w:rPr>
          <w:rFonts w:hint="eastAsia" w:ascii="仿宋_GB2312" w:hAnsi="仿宋_GB2312" w:eastAsia="仿宋_GB2312" w:cs="仿宋_GB2312"/>
          <w:color w:val="auto"/>
          <w:kern w:val="2"/>
          <w:sz w:val="32"/>
          <w:szCs w:val="32"/>
          <w:highlight w:val="none"/>
          <w:lang w:val="en-US" w:eastAsia="zh-CN" w:bidi="ar-SA"/>
        </w:rPr>
        <w:t>万元</w:t>
      </w:r>
      <w:r>
        <w:rPr>
          <w:rFonts w:hint="eastAsia" w:ascii="Times New Roman" w:hAnsi="Times New Roman" w:eastAsia="仿宋_GB2312" w:cs="仿宋_GB2312"/>
          <w:color w:val="auto"/>
          <w:kern w:val="2"/>
          <w:sz w:val="32"/>
          <w:szCs w:val="32"/>
          <w:highlight w:val="none"/>
          <w:lang w:val="en-US" w:eastAsia="zh-CN" w:bidi="ar-SA"/>
        </w:rPr>
        <w:t>，主要用于以下方面</w:t>
      </w:r>
      <w:r>
        <w:rPr>
          <w:rFonts w:hint="eastAsia" w:eastAsia="仿宋_GB2312" w:cs="仿宋_GB2312"/>
          <w:color w:val="auto"/>
          <w:kern w:val="2"/>
          <w:sz w:val="32"/>
          <w:szCs w:val="32"/>
          <w:highlight w:val="none"/>
          <w:lang w:val="en-US" w:eastAsia="zh-CN" w:bidi="ar-SA"/>
        </w:rPr>
        <w:t>：</w:t>
      </w:r>
      <w:r>
        <w:rPr>
          <w:rFonts w:hint="eastAsia" w:ascii="仿宋" w:hAnsi="仿宋" w:eastAsia="仿宋" w:cs="Times New Roman"/>
          <w:color w:val="auto"/>
          <w:sz w:val="32"/>
          <w:szCs w:val="32"/>
          <w:highlight w:val="none"/>
          <w:lang w:eastAsia="zh-CN"/>
        </w:rPr>
        <w:t>社会保障和就业支出</w:t>
      </w:r>
      <w:r>
        <w:rPr>
          <w:rFonts w:hint="eastAsia" w:ascii="仿宋" w:hAnsi="仿宋" w:eastAsia="仿宋" w:cs="Times New Roman"/>
          <w:color w:val="auto"/>
          <w:sz w:val="32"/>
          <w:szCs w:val="32"/>
          <w:highlight w:val="none"/>
          <w:lang w:val="en-US" w:eastAsia="zh-CN"/>
        </w:rPr>
        <w:t>1597.42</w:t>
      </w:r>
      <w:r>
        <w:rPr>
          <w:rFonts w:hint="eastAsia" w:ascii="仿宋" w:hAnsi="仿宋" w:eastAsia="仿宋" w:cs="Times New Roman"/>
          <w:color w:val="auto"/>
          <w:sz w:val="32"/>
          <w:szCs w:val="32"/>
          <w:highlight w:val="none"/>
          <w:lang w:eastAsia="zh-CN"/>
        </w:rPr>
        <w:t>万元，占</w:t>
      </w:r>
      <w:r>
        <w:rPr>
          <w:rFonts w:hint="eastAsia" w:ascii="仿宋" w:hAnsi="仿宋" w:eastAsia="仿宋" w:cs="Times New Roman"/>
          <w:color w:val="auto"/>
          <w:sz w:val="32"/>
          <w:szCs w:val="32"/>
          <w:highlight w:val="none"/>
          <w:lang w:val="en-US" w:eastAsia="zh-CN"/>
        </w:rPr>
        <w:t>78.58</w:t>
      </w:r>
      <w:r>
        <w:rPr>
          <w:rFonts w:hint="eastAsia" w:ascii="仿宋" w:hAnsi="仿宋" w:eastAsia="仿宋" w:cs="Times New Roman"/>
          <w:color w:val="auto"/>
          <w:sz w:val="32"/>
          <w:szCs w:val="32"/>
          <w:highlight w:val="none"/>
          <w:lang w:eastAsia="zh-CN"/>
        </w:rPr>
        <w:t>%；卫生健康支出</w:t>
      </w:r>
      <w:r>
        <w:rPr>
          <w:rFonts w:hint="eastAsia" w:ascii="仿宋" w:hAnsi="仿宋" w:eastAsia="仿宋" w:cs="Times New Roman"/>
          <w:color w:val="auto"/>
          <w:sz w:val="32"/>
          <w:szCs w:val="32"/>
          <w:highlight w:val="none"/>
          <w:lang w:val="en-US" w:eastAsia="zh-CN"/>
        </w:rPr>
        <w:t>16.94</w:t>
      </w:r>
      <w:r>
        <w:rPr>
          <w:rFonts w:hint="eastAsia" w:ascii="仿宋" w:hAnsi="仿宋" w:eastAsia="仿宋" w:cs="Times New Roman"/>
          <w:color w:val="auto"/>
          <w:sz w:val="32"/>
          <w:szCs w:val="32"/>
          <w:highlight w:val="none"/>
          <w:lang w:eastAsia="zh-CN"/>
        </w:rPr>
        <w:t>万元，占</w:t>
      </w:r>
      <w:r>
        <w:rPr>
          <w:rFonts w:hint="eastAsia" w:ascii="仿宋" w:hAnsi="仿宋" w:eastAsia="仿宋" w:cs="Times New Roman"/>
          <w:color w:val="auto"/>
          <w:sz w:val="32"/>
          <w:szCs w:val="32"/>
          <w:highlight w:val="none"/>
          <w:lang w:val="en-US" w:eastAsia="zh-CN"/>
        </w:rPr>
        <w:t>0.83</w:t>
      </w:r>
      <w:r>
        <w:rPr>
          <w:rFonts w:hint="eastAsia" w:ascii="仿宋" w:hAnsi="仿宋" w:eastAsia="仿宋" w:cs="Times New Roman"/>
          <w:color w:val="auto"/>
          <w:sz w:val="32"/>
          <w:szCs w:val="32"/>
          <w:highlight w:val="none"/>
          <w:lang w:eastAsia="zh-CN"/>
        </w:rPr>
        <w:t>%；农林水支出</w:t>
      </w:r>
      <w:r>
        <w:rPr>
          <w:rFonts w:hint="eastAsia" w:ascii="仿宋" w:hAnsi="仿宋" w:eastAsia="仿宋" w:cs="Times New Roman"/>
          <w:color w:val="auto"/>
          <w:sz w:val="32"/>
          <w:szCs w:val="32"/>
          <w:highlight w:val="none"/>
          <w:lang w:val="en-US" w:eastAsia="zh-CN"/>
        </w:rPr>
        <w:t>366.05</w:t>
      </w:r>
      <w:r>
        <w:rPr>
          <w:rFonts w:hint="eastAsia" w:ascii="仿宋" w:hAnsi="仿宋" w:eastAsia="仿宋" w:cs="Times New Roman"/>
          <w:color w:val="auto"/>
          <w:sz w:val="32"/>
          <w:szCs w:val="32"/>
          <w:highlight w:val="none"/>
          <w:lang w:eastAsia="zh-CN"/>
        </w:rPr>
        <w:t>万元，占</w:t>
      </w:r>
      <w:r>
        <w:rPr>
          <w:rFonts w:hint="eastAsia" w:ascii="仿宋" w:hAnsi="仿宋" w:eastAsia="仿宋" w:cs="Times New Roman"/>
          <w:color w:val="auto"/>
          <w:sz w:val="32"/>
          <w:szCs w:val="32"/>
          <w:highlight w:val="none"/>
          <w:lang w:val="en-US" w:eastAsia="zh-CN"/>
        </w:rPr>
        <w:t>18.01</w:t>
      </w:r>
      <w:r>
        <w:rPr>
          <w:rFonts w:hint="eastAsia" w:ascii="仿宋" w:hAnsi="仿宋" w:eastAsia="仿宋" w:cs="Times New Roman"/>
          <w:color w:val="auto"/>
          <w:sz w:val="32"/>
          <w:szCs w:val="32"/>
          <w:highlight w:val="none"/>
          <w:lang w:eastAsia="zh-CN"/>
        </w:rPr>
        <w:t>%；</w:t>
      </w:r>
      <w:r>
        <w:rPr>
          <w:rFonts w:hint="eastAsia" w:ascii="仿宋" w:hAnsi="仿宋" w:eastAsia="仿宋" w:cs="Times New Roman"/>
          <w:color w:val="auto"/>
          <w:sz w:val="32"/>
          <w:szCs w:val="32"/>
          <w:highlight w:val="none"/>
          <w:lang w:val="en-US" w:eastAsia="zh-CN"/>
        </w:rPr>
        <w:t>资源勘探工业信息等支出31.02万元，占1.53%；</w:t>
      </w:r>
      <w:r>
        <w:rPr>
          <w:rFonts w:hint="eastAsia" w:ascii="仿宋" w:hAnsi="仿宋" w:eastAsia="仿宋" w:cs="Times New Roman"/>
          <w:color w:val="auto"/>
          <w:sz w:val="32"/>
          <w:szCs w:val="32"/>
          <w:highlight w:val="none"/>
          <w:lang w:eastAsia="zh-CN"/>
        </w:rPr>
        <w:t>住房保障支出</w:t>
      </w:r>
      <w:r>
        <w:rPr>
          <w:rFonts w:hint="eastAsia" w:ascii="仿宋" w:hAnsi="仿宋" w:eastAsia="仿宋" w:cs="Times New Roman"/>
          <w:color w:val="auto"/>
          <w:sz w:val="32"/>
          <w:szCs w:val="32"/>
          <w:highlight w:val="none"/>
          <w:lang w:val="en-US" w:eastAsia="zh-CN"/>
        </w:rPr>
        <w:t>21.30</w:t>
      </w:r>
      <w:r>
        <w:rPr>
          <w:rFonts w:hint="eastAsia" w:ascii="仿宋" w:hAnsi="仿宋" w:eastAsia="仿宋" w:cs="Times New Roman"/>
          <w:color w:val="auto"/>
          <w:sz w:val="32"/>
          <w:szCs w:val="32"/>
          <w:highlight w:val="none"/>
          <w:lang w:eastAsia="zh-CN"/>
        </w:rPr>
        <w:t>万元，占</w:t>
      </w:r>
      <w:r>
        <w:rPr>
          <w:rFonts w:hint="eastAsia" w:ascii="仿宋" w:hAnsi="仿宋" w:eastAsia="仿宋" w:cs="Times New Roman"/>
          <w:color w:val="auto"/>
          <w:sz w:val="32"/>
          <w:szCs w:val="32"/>
          <w:highlight w:val="none"/>
          <w:lang w:val="en-US" w:eastAsia="zh-CN"/>
        </w:rPr>
        <w:t>1.05</w:t>
      </w:r>
      <w:r>
        <w:rPr>
          <w:rFonts w:hint="eastAsia" w:ascii="仿宋" w:hAnsi="仿宋" w:eastAsia="仿宋" w:cs="Times New Roman"/>
          <w:color w:val="auto"/>
          <w:sz w:val="32"/>
          <w:szCs w:val="32"/>
          <w:highlight w:val="none"/>
          <w:lang w:eastAsia="zh-CN"/>
        </w:rPr>
        <w:t>%。</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lang w:val="en-US" w:eastAsia="zh-CN"/>
        </w:rPr>
        <w:drawing>
          <wp:anchor distT="0" distB="0" distL="114300" distR="114300" simplePos="0" relativeHeight="251660288" behindDoc="1" locked="0" layoutInCell="1" allowOverlap="1">
            <wp:simplePos x="0" y="0"/>
            <wp:positionH relativeFrom="column">
              <wp:posOffset>233045</wp:posOffset>
            </wp:positionH>
            <wp:positionV relativeFrom="paragraph">
              <wp:posOffset>136525</wp:posOffset>
            </wp:positionV>
            <wp:extent cx="5026660" cy="2768600"/>
            <wp:effectExtent l="4445" t="4445" r="13335" b="15875"/>
            <wp:wrapNone/>
            <wp:docPr id="8" name="图表 8" descr="7b0a202020202263686172745265734964223a20223230343735393537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pPr>
        <w:spacing w:line="600" w:lineRule="exact"/>
        <w:ind w:firstLine="642" w:firstLineChars="200"/>
        <w:outlineLvl w:val="2"/>
        <w:rPr>
          <w:rFonts w:hint="eastAsia" w:ascii="Times New Roman" w:hAnsi="Times New Roman" w:eastAsia="楷体_GB2312" w:cs="楷体_GB2312"/>
          <w:b/>
          <w:color w:val="auto"/>
          <w:sz w:val="32"/>
          <w:szCs w:val="32"/>
          <w:highlight w:val="none"/>
        </w:rPr>
      </w:pPr>
      <w:bookmarkStart w:id="32" w:name="_Toc15377212"/>
    </w:p>
    <w:p>
      <w:pPr>
        <w:spacing w:line="600" w:lineRule="exact"/>
        <w:ind w:firstLine="642" w:firstLineChars="200"/>
        <w:outlineLvl w:val="2"/>
        <w:rPr>
          <w:rFonts w:hint="eastAsia" w:ascii="Times New Roman" w:hAnsi="Times New Roman" w:eastAsia="楷体_GB2312" w:cs="楷体_GB2312"/>
          <w:b/>
          <w:color w:val="auto"/>
          <w:sz w:val="32"/>
          <w:szCs w:val="32"/>
          <w:highlight w:val="none"/>
        </w:rPr>
      </w:pPr>
    </w:p>
    <w:p>
      <w:pPr>
        <w:spacing w:line="600" w:lineRule="exact"/>
        <w:ind w:firstLine="642" w:firstLineChars="200"/>
        <w:outlineLvl w:val="2"/>
        <w:rPr>
          <w:rFonts w:hint="eastAsia" w:ascii="Times New Roman" w:hAnsi="Times New Roman" w:eastAsia="楷体_GB2312" w:cs="楷体_GB2312"/>
          <w:b/>
          <w:color w:val="auto"/>
          <w:sz w:val="32"/>
          <w:szCs w:val="32"/>
          <w:highlight w:val="none"/>
        </w:rPr>
      </w:pPr>
    </w:p>
    <w:p>
      <w:pPr>
        <w:spacing w:line="600" w:lineRule="exact"/>
        <w:ind w:firstLine="642" w:firstLineChars="200"/>
        <w:outlineLvl w:val="2"/>
        <w:rPr>
          <w:rFonts w:hint="eastAsia" w:ascii="Times New Roman" w:hAnsi="Times New Roman" w:eastAsia="楷体_GB2312" w:cs="楷体_GB2312"/>
          <w:b/>
          <w:color w:val="auto"/>
          <w:sz w:val="32"/>
          <w:szCs w:val="32"/>
          <w:highlight w:val="none"/>
        </w:rPr>
      </w:pPr>
    </w:p>
    <w:p>
      <w:pPr>
        <w:spacing w:line="600" w:lineRule="exact"/>
        <w:ind w:firstLine="642" w:firstLineChars="200"/>
        <w:outlineLvl w:val="2"/>
        <w:rPr>
          <w:rFonts w:hint="eastAsia" w:ascii="Times New Roman" w:hAnsi="Times New Roman" w:eastAsia="楷体_GB2312" w:cs="楷体_GB2312"/>
          <w:b/>
          <w:color w:val="auto"/>
          <w:sz w:val="32"/>
          <w:szCs w:val="32"/>
          <w:highlight w:val="none"/>
        </w:rPr>
      </w:pPr>
    </w:p>
    <w:p>
      <w:pPr>
        <w:spacing w:line="600" w:lineRule="exact"/>
        <w:ind w:firstLine="642" w:firstLineChars="200"/>
        <w:outlineLvl w:val="2"/>
        <w:rPr>
          <w:rFonts w:hint="eastAsia" w:ascii="Times New Roman" w:hAnsi="Times New Roman" w:eastAsia="楷体_GB2312" w:cs="楷体_GB2312"/>
          <w:b/>
          <w:color w:val="auto"/>
          <w:sz w:val="32"/>
          <w:szCs w:val="32"/>
          <w:highlight w:val="none"/>
        </w:rPr>
      </w:pPr>
    </w:p>
    <w:p>
      <w:pPr>
        <w:spacing w:line="600" w:lineRule="exact"/>
        <w:ind w:firstLine="642" w:firstLineChars="200"/>
        <w:outlineLvl w:val="2"/>
        <w:rPr>
          <w:rFonts w:hint="eastAsia" w:ascii="Times New Roman" w:hAnsi="Times New Roman" w:eastAsia="楷体_GB2312" w:cs="楷体_GB2312"/>
          <w:b/>
          <w:color w:val="auto"/>
          <w:sz w:val="32"/>
          <w:szCs w:val="32"/>
          <w:highlight w:val="none"/>
        </w:rPr>
      </w:pPr>
    </w:p>
    <w:p>
      <w:pPr>
        <w:spacing w:line="600" w:lineRule="exact"/>
        <w:ind w:firstLine="642" w:firstLineChars="200"/>
        <w:outlineLvl w:val="2"/>
        <w:rPr>
          <w:rFonts w:hint="eastAsia" w:ascii="Times New Roman" w:hAnsi="Times New Roman" w:eastAsia="楷体_GB2312" w:cs="楷体_GB2312"/>
          <w:b/>
          <w:color w:val="auto"/>
          <w:sz w:val="32"/>
          <w:szCs w:val="32"/>
          <w:highlight w:val="none"/>
        </w:rPr>
      </w:pPr>
      <w:r>
        <w:rPr>
          <w:rFonts w:hint="eastAsia" w:ascii="Times New Roman" w:hAnsi="Times New Roman" w:eastAsia="楷体_GB2312" w:cs="楷体_GB2312"/>
          <w:b/>
          <w:color w:val="auto"/>
          <w:sz w:val="32"/>
          <w:szCs w:val="32"/>
          <w:highlight w:val="none"/>
        </w:rPr>
        <w:t>（三）一般公共预算财政拨款支出决算具体情况</w:t>
      </w:r>
      <w:bookmarkEnd w:id="32"/>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bookmarkStart w:id="33" w:name="_Toc15378460"/>
      <w:bookmarkStart w:id="34" w:name="_Toc15377213"/>
      <w:bookmarkStart w:id="35" w:name="_Toc15377444"/>
      <w:r>
        <w:rPr>
          <w:rFonts w:hint="eastAsia" w:ascii="Times New Roman" w:hAnsi="Times New Roman" w:eastAsia="仿宋_GB2312" w:cs="仿宋_GB2312"/>
          <w:color w:val="auto"/>
          <w:kern w:val="2"/>
          <w:sz w:val="32"/>
          <w:szCs w:val="32"/>
          <w:highlight w:val="none"/>
          <w:lang w:val="en-US" w:eastAsia="zh-CN" w:bidi="ar-SA"/>
        </w:rPr>
        <w:t>2024年度一般公共预算财政拨款支出决算数为</w:t>
      </w:r>
      <w:r>
        <w:rPr>
          <w:rFonts w:hint="eastAsia" w:ascii="仿宋_GB2312" w:hAnsi="仿宋_GB2312" w:eastAsia="仿宋_GB2312" w:cs="仿宋_GB2312"/>
          <w:sz w:val="32"/>
          <w:szCs w:val="32"/>
        </w:rPr>
        <w:t>2032.73</w:t>
      </w:r>
      <w:r>
        <w:rPr>
          <w:rFonts w:hint="eastAsia" w:ascii="仿宋_GB2312" w:hAnsi="仿宋_GB2312" w:eastAsia="仿宋_GB2312" w:cs="仿宋_GB2312"/>
          <w:sz w:val="32"/>
          <w:szCs w:val="32"/>
          <w:lang w:val="en-US" w:eastAsia="zh-CN"/>
        </w:rPr>
        <w:t>万元</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%。其中：</w:t>
      </w:r>
      <w:bookmarkEnd w:id="33"/>
      <w:bookmarkEnd w:id="34"/>
      <w:bookmarkEnd w:id="35"/>
    </w:p>
    <w:p>
      <w:pPr>
        <w:spacing w:line="600" w:lineRule="exact"/>
        <w:ind w:firstLine="640"/>
        <w:rPr>
          <w:rFonts w:hint="default" w:ascii="仿宋_GB2312" w:hAnsi="仿宋_GB2312" w:eastAsia="仿宋_GB2312" w:cs="仿宋_GB2312"/>
          <w:color w:val="000000"/>
          <w:sz w:val="32"/>
          <w:szCs w:val="32"/>
          <w:lang w:val="en-US" w:eastAsia="zh-CN"/>
        </w:rPr>
      </w:pPr>
      <w:r>
        <w:rPr>
          <w:rFonts w:hint="eastAsia" w:eastAsia="仿宋_GB2312" w:cs="仿宋_GB2312"/>
          <w:color w:val="auto"/>
          <w:kern w:val="2"/>
          <w:sz w:val="32"/>
          <w:szCs w:val="32"/>
          <w:highlight w:val="none"/>
          <w:lang w:val="en-US" w:eastAsia="zh-CN" w:bidi="ar-SA"/>
        </w:rPr>
        <w:t>1.</w:t>
      </w:r>
      <w:r>
        <w:rPr>
          <w:rFonts w:hint="eastAsia" w:ascii="仿宋_GB2312" w:hAnsi="仿宋_GB2312" w:eastAsia="仿宋_GB2312" w:cs="仿宋_GB2312"/>
          <w:color w:val="000000"/>
          <w:sz w:val="32"/>
          <w:szCs w:val="32"/>
        </w:rPr>
        <w:t>社会保障和就业支出（208）人力资源和社会保障管理事务（01）行政运行（01）支出决算</w:t>
      </w:r>
      <w:r>
        <w:rPr>
          <w:rFonts w:hint="eastAsia" w:ascii="仿宋_GB2312" w:hAnsi="仿宋_GB2312" w:eastAsia="仿宋_GB2312" w:cs="仿宋_GB2312"/>
          <w:color w:val="000000"/>
          <w:sz w:val="32"/>
          <w:szCs w:val="32"/>
          <w:lang w:val="en-US" w:eastAsia="zh-CN"/>
        </w:rPr>
        <w:t>168.59</w:t>
      </w:r>
      <w:r>
        <w:rPr>
          <w:rFonts w:hint="eastAsia" w:ascii="仿宋_GB2312" w:hAnsi="仿宋_GB2312" w:eastAsia="仿宋_GB2312" w:cs="仿宋_GB2312"/>
          <w:color w:val="000000"/>
          <w:sz w:val="32"/>
          <w:szCs w:val="32"/>
        </w:rPr>
        <w:t>万元，完成预算100%。</w:t>
      </w:r>
      <w:r>
        <w:rPr>
          <w:rFonts w:hint="eastAsia" w:ascii="仿宋_GB2312" w:hAnsi="仿宋_GB2312" w:eastAsia="仿宋_GB2312" w:cs="仿宋_GB2312"/>
          <w:color w:val="000000"/>
          <w:sz w:val="32"/>
          <w:szCs w:val="32"/>
          <w:lang w:val="en-US" w:eastAsia="zh-CN"/>
        </w:rPr>
        <w:t>决算数与预算数持平。</w:t>
      </w:r>
    </w:p>
    <w:p>
      <w:pPr>
        <w:numPr>
          <w:ilvl w:val="0"/>
          <w:numId w:val="0"/>
        </w:numPr>
        <w:spacing w:line="576" w:lineRule="exact"/>
        <w:ind w:firstLine="640" w:firstLineChars="200"/>
        <w:rPr>
          <w:rFonts w:hint="eastAsia" w:ascii="仿宋_GB2312" w:hAnsi="仿宋_GB2312" w:eastAsia="仿宋_GB2312" w:cs="仿宋_GB2312"/>
          <w:color w:val="000000"/>
          <w:sz w:val="32"/>
          <w:szCs w:val="32"/>
        </w:rPr>
      </w:pPr>
      <w:r>
        <w:rPr>
          <w:rFonts w:hint="eastAsia" w:ascii="仿宋_GB2312" w:hAnsi="仿宋" w:eastAsia="仿宋_GB2312" w:cs="仿宋"/>
          <w:color w:val="000000"/>
          <w:kern w:val="2"/>
          <w:sz w:val="32"/>
          <w:szCs w:val="32"/>
          <w:lang w:val="en-US" w:eastAsia="zh-CN" w:bidi="ar-SA"/>
        </w:rPr>
        <w:t>2.社会保障和就业支出（208）人力资源和社会保障管理事务（01）社会保险经办机构（09）支出决算44.02万元，完成预算100%。</w:t>
      </w:r>
      <w:r>
        <w:rPr>
          <w:rFonts w:hint="eastAsia" w:ascii="仿宋_GB2312" w:hAnsi="仿宋_GB2312" w:eastAsia="仿宋_GB2312" w:cs="仿宋_GB2312"/>
          <w:color w:val="000000"/>
          <w:sz w:val="32"/>
          <w:szCs w:val="32"/>
          <w:lang w:val="en-US" w:eastAsia="zh-CN"/>
        </w:rPr>
        <w:t>决算数与预算数持平。</w:t>
      </w:r>
    </w:p>
    <w:p>
      <w:pPr>
        <w:numPr>
          <w:ilvl w:val="0"/>
          <w:numId w:val="0"/>
        </w:numPr>
        <w:spacing w:line="576"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3.</w:t>
      </w:r>
      <w:r>
        <w:rPr>
          <w:rFonts w:hint="eastAsia" w:ascii="仿宋_GB2312" w:hAnsi="仿宋_GB2312" w:eastAsia="仿宋_GB2312" w:cs="仿宋_GB2312"/>
          <w:color w:val="000000"/>
          <w:sz w:val="32"/>
          <w:szCs w:val="32"/>
        </w:rPr>
        <w:t>社会保障和就业支出（208）行政事业单位养老支出（05）机关事业单位基本养老保险缴费支出（05）支出决算</w:t>
      </w:r>
      <w:r>
        <w:rPr>
          <w:rFonts w:hint="eastAsia" w:ascii="仿宋_GB2312" w:hAnsi="仿宋_GB2312" w:eastAsia="仿宋_GB2312" w:cs="仿宋_GB2312"/>
          <w:color w:val="000000"/>
          <w:sz w:val="32"/>
          <w:szCs w:val="32"/>
          <w:lang w:val="en-US" w:eastAsia="zh-CN"/>
        </w:rPr>
        <w:t>26.03</w:t>
      </w:r>
      <w:r>
        <w:rPr>
          <w:rFonts w:hint="eastAsia" w:ascii="仿宋_GB2312" w:hAnsi="仿宋_GB2312" w:eastAsia="仿宋_GB2312" w:cs="仿宋_GB2312"/>
          <w:color w:val="000000"/>
          <w:sz w:val="32"/>
          <w:szCs w:val="32"/>
        </w:rPr>
        <w:t>万元，完成预算100%。</w:t>
      </w:r>
      <w:r>
        <w:rPr>
          <w:rFonts w:hint="eastAsia" w:ascii="仿宋_GB2312" w:hAnsi="仿宋_GB2312" w:eastAsia="仿宋_GB2312" w:cs="仿宋_GB2312"/>
          <w:color w:val="000000"/>
          <w:sz w:val="32"/>
          <w:szCs w:val="32"/>
          <w:lang w:val="en-US" w:eastAsia="zh-CN"/>
        </w:rPr>
        <w:t>决算数与预算数持平。</w:t>
      </w:r>
    </w:p>
    <w:p>
      <w:pPr>
        <w:numPr>
          <w:ilvl w:val="0"/>
          <w:numId w:val="0"/>
        </w:numPr>
        <w:spacing w:line="576"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4.</w:t>
      </w:r>
      <w:r>
        <w:rPr>
          <w:rFonts w:hint="eastAsia" w:ascii="仿宋_GB2312" w:hAnsi="仿宋_GB2312" w:eastAsia="仿宋_GB2312" w:cs="仿宋_GB2312"/>
          <w:color w:val="000000"/>
          <w:sz w:val="32"/>
          <w:szCs w:val="32"/>
        </w:rPr>
        <w:t>社会保障和就业支出（208）行政事业单位养老支出（05）机关事业单位职业年金缴费支出（06）支出决算</w:t>
      </w:r>
      <w:r>
        <w:rPr>
          <w:rFonts w:hint="eastAsia" w:ascii="仿宋_GB2312" w:hAnsi="仿宋_GB2312" w:eastAsia="仿宋_GB2312" w:cs="仿宋_GB2312"/>
          <w:color w:val="000000"/>
          <w:sz w:val="32"/>
          <w:szCs w:val="32"/>
          <w:lang w:val="en-US" w:eastAsia="zh-CN"/>
        </w:rPr>
        <w:t>13.02</w:t>
      </w:r>
      <w:r>
        <w:rPr>
          <w:rFonts w:hint="eastAsia" w:ascii="仿宋_GB2312" w:hAnsi="仿宋_GB2312" w:eastAsia="仿宋_GB2312" w:cs="仿宋_GB2312"/>
          <w:color w:val="000000"/>
          <w:sz w:val="32"/>
          <w:szCs w:val="32"/>
        </w:rPr>
        <w:t>万元，完成预算100%。</w:t>
      </w:r>
      <w:r>
        <w:rPr>
          <w:rFonts w:hint="eastAsia" w:ascii="仿宋_GB2312" w:hAnsi="仿宋_GB2312" w:eastAsia="仿宋_GB2312" w:cs="仿宋_GB2312"/>
          <w:color w:val="000000"/>
          <w:sz w:val="32"/>
          <w:szCs w:val="32"/>
          <w:lang w:val="en-US" w:eastAsia="zh-CN"/>
        </w:rPr>
        <w:t>决算数与预算数持平。</w:t>
      </w:r>
    </w:p>
    <w:p>
      <w:pPr>
        <w:numPr>
          <w:ilvl w:val="0"/>
          <w:numId w:val="0"/>
        </w:numPr>
        <w:spacing w:line="576"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5.</w:t>
      </w:r>
      <w:r>
        <w:rPr>
          <w:rFonts w:hint="eastAsia" w:ascii="仿宋_GB2312" w:hAnsi="仿宋_GB2312" w:eastAsia="仿宋_GB2312" w:cs="仿宋_GB2312"/>
          <w:color w:val="000000"/>
          <w:sz w:val="32"/>
          <w:szCs w:val="32"/>
        </w:rPr>
        <w:t>社会保障和就业支出（208）就业补助（07）</w:t>
      </w:r>
      <w:r>
        <w:rPr>
          <w:rFonts w:hint="eastAsia" w:ascii="仿宋_GB2312" w:hAnsi="仿宋_GB2312" w:eastAsia="仿宋_GB2312" w:cs="仿宋_GB2312"/>
          <w:color w:val="000000"/>
          <w:sz w:val="32"/>
          <w:szCs w:val="32"/>
          <w:lang w:val="en-US" w:eastAsia="zh-CN"/>
        </w:rPr>
        <w:t>就业创业服务补贴</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01</w:t>
      </w:r>
      <w:r>
        <w:rPr>
          <w:rFonts w:hint="eastAsia" w:ascii="仿宋_GB2312" w:hAnsi="仿宋_GB2312" w:eastAsia="仿宋_GB2312" w:cs="仿宋_GB2312"/>
          <w:color w:val="000000"/>
          <w:sz w:val="32"/>
          <w:szCs w:val="32"/>
        </w:rPr>
        <w:t>）支出决算</w:t>
      </w:r>
      <w:r>
        <w:rPr>
          <w:rFonts w:hint="eastAsia" w:ascii="仿宋_GB2312" w:hAnsi="仿宋_GB2312" w:eastAsia="仿宋_GB2312" w:cs="仿宋_GB2312"/>
          <w:color w:val="000000"/>
          <w:sz w:val="32"/>
          <w:szCs w:val="32"/>
          <w:lang w:val="en-US" w:eastAsia="zh-CN"/>
        </w:rPr>
        <w:t>10.83</w:t>
      </w:r>
      <w:r>
        <w:rPr>
          <w:rFonts w:hint="eastAsia" w:ascii="仿宋_GB2312" w:hAnsi="仿宋_GB2312" w:eastAsia="仿宋_GB2312" w:cs="仿宋_GB2312"/>
          <w:color w:val="000000"/>
          <w:sz w:val="32"/>
          <w:szCs w:val="32"/>
        </w:rPr>
        <w:t>万元，完成预算100%。</w:t>
      </w:r>
      <w:r>
        <w:rPr>
          <w:rFonts w:hint="eastAsia" w:ascii="仿宋_GB2312" w:hAnsi="仿宋_GB2312" w:eastAsia="仿宋_GB2312" w:cs="仿宋_GB2312"/>
          <w:color w:val="000000"/>
          <w:sz w:val="32"/>
          <w:szCs w:val="32"/>
          <w:lang w:val="en-US" w:eastAsia="zh-CN"/>
        </w:rPr>
        <w:t>决算数与预算数持平。</w:t>
      </w:r>
    </w:p>
    <w:p>
      <w:pPr>
        <w:numPr>
          <w:ilvl w:val="0"/>
          <w:numId w:val="0"/>
        </w:numPr>
        <w:spacing w:line="576"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6.</w:t>
      </w:r>
      <w:r>
        <w:rPr>
          <w:rFonts w:hint="eastAsia" w:ascii="仿宋_GB2312" w:hAnsi="仿宋_GB2312" w:eastAsia="仿宋_GB2312" w:cs="仿宋_GB2312"/>
          <w:color w:val="000000"/>
          <w:sz w:val="32"/>
          <w:szCs w:val="32"/>
        </w:rPr>
        <w:t>社会保障和就业支出（208）就业补助（07）</w:t>
      </w:r>
      <w:r>
        <w:rPr>
          <w:rFonts w:hint="eastAsia" w:ascii="仿宋_GB2312" w:hAnsi="仿宋_GB2312" w:eastAsia="仿宋_GB2312" w:cs="仿宋_GB2312"/>
          <w:color w:val="000000"/>
          <w:sz w:val="32"/>
          <w:szCs w:val="32"/>
          <w:lang w:val="en-US" w:eastAsia="zh-CN"/>
        </w:rPr>
        <w:t>职业培训补贴</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02</w:t>
      </w:r>
      <w:r>
        <w:rPr>
          <w:rFonts w:hint="eastAsia" w:ascii="仿宋_GB2312" w:hAnsi="仿宋_GB2312" w:eastAsia="仿宋_GB2312" w:cs="仿宋_GB2312"/>
          <w:color w:val="000000"/>
          <w:sz w:val="32"/>
          <w:szCs w:val="32"/>
        </w:rPr>
        <w:t>）支出决算</w:t>
      </w:r>
      <w:r>
        <w:rPr>
          <w:rFonts w:hint="eastAsia" w:ascii="仿宋_GB2312" w:hAnsi="仿宋_GB2312" w:eastAsia="仿宋_GB2312" w:cs="仿宋_GB2312"/>
          <w:color w:val="000000"/>
          <w:sz w:val="32"/>
          <w:szCs w:val="32"/>
          <w:lang w:val="en-US" w:eastAsia="zh-CN"/>
        </w:rPr>
        <w:t>65.60</w:t>
      </w:r>
      <w:r>
        <w:rPr>
          <w:rFonts w:hint="eastAsia" w:ascii="仿宋_GB2312" w:hAnsi="仿宋_GB2312" w:eastAsia="仿宋_GB2312" w:cs="仿宋_GB2312"/>
          <w:color w:val="000000"/>
          <w:sz w:val="32"/>
          <w:szCs w:val="32"/>
        </w:rPr>
        <w:t>万元，完成预算100%。</w:t>
      </w:r>
      <w:r>
        <w:rPr>
          <w:rFonts w:hint="eastAsia" w:ascii="仿宋_GB2312" w:hAnsi="仿宋_GB2312" w:eastAsia="仿宋_GB2312" w:cs="仿宋_GB2312"/>
          <w:color w:val="000000"/>
          <w:sz w:val="32"/>
          <w:szCs w:val="32"/>
          <w:lang w:val="en-US" w:eastAsia="zh-CN"/>
        </w:rPr>
        <w:t>决算数与预算数持平。</w:t>
      </w:r>
    </w:p>
    <w:p>
      <w:pPr>
        <w:numPr>
          <w:ilvl w:val="0"/>
          <w:numId w:val="0"/>
        </w:numPr>
        <w:spacing w:line="576"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7.</w:t>
      </w:r>
      <w:r>
        <w:rPr>
          <w:rFonts w:hint="eastAsia" w:ascii="仿宋_GB2312" w:hAnsi="仿宋_GB2312" w:eastAsia="仿宋_GB2312" w:cs="仿宋_GB2312"/>
          <w:color w:val="000000"/>
          <w:sz w:val="32"/>
          <w:szCs w:val="32"/>
        </w:rPr>
        <w:t>社会保障和就业支出（208）就业补助（07）</w:t>
      </w:r>
      <w:r>
        <w:rPr>
          <w:rFonts w:hint="eastAsia" w:ascii="仿宋_GB2312" w:hAnsi="仿宋_GB2312" w:eastAsia="仿宋_GB2312" w:cs="仿宋_GB2312"/>
          <w:color w:val="000000"/>
          <w:sz w:val="32"/>
          <w:szCs w:val="32"/>
          <w:lang w:val="en-US" w:eastAsia="zh-CN"/>
        </w:rPr>
        <w:t>社会保险补贴</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04</w:t>
      </w:r>
      <w:r>
        <w:rPr>
          <w:rFonts w:hint="eastAsia" w:ascii="仿宋_GB2312" w:hAnsi="仿宋_GB2312" w:eastAsia="仿宋_GB2312" w:cs="仿宋_GB2312"/>
          <w:color w:val="000000"/>
          <w:sz w:val="32"/>
          <w:szCs w:val="32"/>
        </w:rPr>
        <w:t>）支出决算</w:t>
      </w:r>
      <w:r>
        <w:rPr>
          <w:rFonts w:hint="eastAsia" w:ascii="仿宋_GB2312" w:hAnsi="仿宋_GB2312" w:eastAsia="仿宋_GB2312" w:cs="仿宋_GB2312"/>
          <w:color w:val="000000"/>
          <w:sz w:val="32"/>
          <w:szCs w:val="32"/>
          <w:lang w:val="en-US" w:eastAsia="zh-CN"/>
        </w:rPr>
        <w:t>3.40</w:t>
      </w:r>
      <w:r>
        <w:rPr>
          <w:rFonts w:hint="eastAsia" w:ascii="仿宋_GB2312" w:hAnsi="仿宋_GB2312" w:eastAsia="仿宋_GB2312" w:cs="仿宋_GB2312"/>
          <w:color w:val="000000"/>
          <w:sz w:val="32"/>
          <w:szCs w:val="32"/>
        </w:rPr>
        <w:t>万元，完成预算100%。</w:t>
      </w:r>
      <w:r>
        <w:rPr>
          <w:rFonts w:hint="eastAsia" w:ascii="仿宋_GB2312" w:hAnsi="仿宋_GB2312" w:eastAsia="仿宋_GB2312" w:cs="仿宋_GB2312"/>
          <w:color w:val="000000"/>
          <w:sz w:val="32"/>
          <w:szCs w:val="32"/>
          <w:lang w:val="en-US" w:eastAsia="zh-CN"/>
        </w:rPr>
        <w:t>决算数与预算数持平。</w:t>
      </w:r>
    </w:p>
    <w:p>
      <w:pPr>
        <w:numPr>
          <w:ilvl w:val="0"/>
          <w:numId w:val="0"/>
        </w:numPr>
        <w:spacing w:line="576"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8.</w:t>
      </w:r>
      <w:r>
        <w:rPr>
          <w:rFonts w:hint="eastAsia" w:ascii="仿宋_GB2312" w:hAnsi="仿宋_GB2312" w:eastAsia="仿宋_GB2312" w:cs="仿宋_GB2312"/>
          <w:color w:val="000000"/>
          <w:sz w:val="32"/>
          <w:szCs w:val="32"/>
        </w:rPr>
        <w:t>社会保障和就业支出（208）就业补助（07）</w:t>
      </w:r>
      <w:r>
        <w:rPr>
          <w:rFonts w:hint="eastAsia" w:ascii="仿宋_GB2312" w:hAnsi="仿宋_GB2312" w:eastAsia="仿宋_GB2312" w:cs="仿宋_GB2312"/>
          <w:color w:val="000000"/>
          <w:sz w:val="32"/>
          <w:szCs w:val="32"/>
          <w:lang w:val="en-US" w:eastAsia="zh-CN"/>
        </w:rPr>
        <w:t>公益性岗位补贴</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05</w:t>
      </w:r>
      <w:r>
        <w:rPr>
          <w:rFonts w:hint="eastAsia" w:ascii="仿宋_GB2312" w:hAnsi="仿宋_GB2312" w:eastAsia="仿宋_GB2312" w:cs="仿宋_GB2312"/>
          <w:color w:val="000000"/>
          <w:sz w:val="32"/>
          <w:szCs w:val="32"/>
        </w:rPr>
        <w:t>）支出决算</w:t>
      </w:r>
      <w:r>
        <w:rPr>
          <w:rFonts w:hint="eastAsia" w:ascii="仿宋_GB2312" w:hAnsi="仿宋_GB2312" w:eastAsia="仿宋_GB2312" w:cs="仿宋_GB2312"/>
          <w:color w:val="000000"/>
          <w:sz w:val="32"/>
          <w:szCs w:val="32"/>
          <w:lang w:val="en-US" w:eastAsia="zh-CN"/>
        </w:rPr>
        <w:t>863.45</w:t>
      </w:r>
      <w:r>
        <w:rPr>
          <w:rFonts w:hint="eastAsia" w:ascii="仿宋_GB2312" w:hAnsi="仿宋_GB2312" w:eastAsia="仿宋_GB2312" w:cs="仿宋_GB2312"/>
          <w:color w:val="000000"/>
          <w:sz w:val="32"/>
          <w:szCs w:val="32"/>
        </w:rPr>
        <w:t>万元，完成预算100%。</w:t>
      </w:r>
      <w:r>
        <w:rPr>
          <w:rFonts w:hint="eastAsia" w:ascii="仿宋_GB2312" w:hAnsi="仿宋_GB2312" w:eastAsia="仿宋_GB2312" w:cs="仿宋_GB2312"/>
          <w:color w:val="000000"/>
          <w:sz w:val="32"/>
          <w:szCs w:val="32"/>
          <w:lang w:val="en-US" w:eastAsia="zh-CN"/>
        </w:rPr>
        <w:t>决算数与预算数持平。</w:t>
      </w:r>
    </w:p>
    <w:p>
      <w:pPr>
        <w:numPr>
          <w:ilvl w:val="0"/>
          <w:numId w:val="0"/>
        </w:numPr>
        <w:spacing w:line="576"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9.</w:t>
      </w:r>
      <w:r>
        <w:rPr>
          <w:rFonts w:hint="eastAsia" w:ascii="仿宋_GB2312" w:hAnsi="仿宋_GB2312" w:eastAsia="仿宋_GB2312" w:cs="仿宋_GB2312"/>
          <w:color w:val="000000"/>
          <w:sz w:val="32"/>
          <w:szCs w:val="32"/>
        </w:rPr>
        <w:t>社会保障和就业支出（208）就业补助（07）</w:t>
      </w:r>
      <w:r>
        <w:rPr>
          <w:rFonts w:hint="eastAsia" w:ascii="仿宋_GB2312" w:hAnsi="仿宋_GB2312" w:eastAsia="仿宋_GB2312" w:cs="仿宋_GB2312"/>
          <w:color w:val="000000"/>
          <w:sz w:val="32"/>
          <w:szCs w:val="32"/>
          <w:lang w:val="en-US" w:eastAsia="zh-CN"/>
        </w:rPr>
        <w:t>就业见习补贴</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11</w:t>
      </w:r>
      <w:r>
        <w:rPr>
          <w:rFonts w:hint="eastAsia" w:ascii="仿宋_GB2312" w:hAnsi="仿宋_GB2312" w:eastAsia="仿宋_GB2312" w:cs="仿宋_GB2312"/>
          <w:color w:val="000000"/>
          <w:sz w:val="32"/>
          <w:szCs w:val="32"/>
        </w:rPr>
        <w:t>）支出决算</w:t>
      </w:r>
      <w:r>
        <w:rPr>
          <w:rFonts w:hint="eastAsia" w:ascii="仿宋_GB2312" w:hAnsi="仿宋_GB2312" w:eastAsia="仿宋_GB2312" w:cs="仿宋_GB2312"/>
          <w:color w:val="000000"/>
          <w:sz w:val="32"/>
          <w:szCs w:val="32"/>
          <w:lang w:val="en-US" w:eastAsia="zh-CN"/>
        </w:rPr>
        <w:t>189.71</w:t>
      </w:r>
      <w:r>
        <w:rPr>
          <w:rFonts w:hint="eastAsia" w:ascii="仿宋_GB2312" w:hAnsi="仿宋_GB2312" w:eastAsia="仿宋_GB2312" w:cs="仿宋_GB2312"/>
          <w:color w:val="000000"/>
          <w:sz w:val="32"/>
          <w:szCs w:val="32"/>
        </w:rPr>
        <w:t>万元，完成预算100%。</w:t>
      </w:r>
      <w:r>
        <w:rPr>
          <w:rFonts w:hint="eastAsia" w:ascii="仿宋_GB2312" w:hAnsi="仿宋_GB2312" w:eastAsia="仿宋_GB2312" w:cs="仿宋_GB2312"/>
          <w:color w:val="000000"/>
          <w:sz w:val="32"/>
          <w:szCs w:val="32"/>
          <w:lang w:val="en-US" w:eastAsia="zh-CN"/>
        </w:rPr>
        <w:t>决算数与预算数持平。</w:t>
      </w:r>
    </w:p>
    <w:p>
      <w:pPr>
        <w:numPr>
          <w:ilvl w:val="0"/>
          <w:numId w:val="0"/>
        </w:numPr>
        <w:spacing w:line="576"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10.</w:t>
      </w:r>
      <w:r>
        <w:rPr>
          <w:rFonts w:hint="eastAsia" w:ascii="仿宋_GB2312" w:hAnsi="仿宋_GB2312" w:eastAsia="仿宋_GB2312" w:cs="仿宋_GB2312"/>
          <w:color w:val="000000"/>
          <w:sz w:val="32"/>
          <w:szCs w:val="32"/>
        </w:rPr>
        <w:t>社会保障和就业支出（208）就业补助（07）</w:t>
      </w:r>
      <w:r>
        <w:rPr>
          <w:rFonts w:hint="eastAsia" w:ascii="仿宋_GB2312" w:hAnsi="仿宋_GB2312" w:eastAsia="仿宋_GB2312" w:cs="仿宋_GB2312"/>
          <w:color w:val="000000"/>
          <w:sz w:val="32"/>
          <w:szCs w:val="32"/>
          <w:lang w:val="en-US" w:eastAsia="zh-CN"/>
        </w:rPr>
        <w:t>促进创业补贴</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13</w:t>
      </w:r>
      <w:r>
        <w:rPr>
          <w:rFonts w:hint="eastAsia" w:ascii="仿宋_GB2312" w:hAnsi="仿宋_GB2312" w:eastAsia="仿宋_GB2312" w:cs="仿宋_GB2312"/>
          <w:color w:val="000000"/>
          <w:sz w:val="32"/>
          <w:szCs w:val="32"/>
        </w:rPr>
        <w:t>）支出决算</w:t>
      </w:r>
      <w:r>
        <w:rPr>
          <w:rFonts w:hint="eastAsia" w:ascii="仿宋_GB2312" w:hAnsi="仿宋_GB2312" w:eastAsia="仿宋_GB2312" w:cs="仿宋_GB2312"/>
          <w:color w:val="000000"/>
          <w:sz w:val="32"/>
          <w:szCs w:val="32"/>
          <w:lang w:val="en-US" w:eastAsia="zh-CN"/>
        </w:rPr>
        <w:t>5.00</w:t>
      </w:r>
      <w:r>
        <w:rPr>
          <w:rFonts w:hint="eastAsia" w:ascii="仿宋_GB2312" w:hAnsi="仿宋_GB2312" w:eastAsia="仿宋_GB2312" w:cs="仿宋_GB2312"/>
          <w:color w:val="000000"/>
          <w:sz w:val="32"/>
          <w:szCs w:val="32"/>
        </w:rPr>
        <w:t>万元，完成预算100%。</w:t>
      </w:r>
      <w:r>
        <w:rPr>
          <w:rFonts w:hint="eastAsia" w:ascii="仿宋_GB2312" w:hAnsi="仿宋_GB2312" w:eastAsia="仿宋_GB2312" w:cs="仿宋_GB2312"/>
          <w:color w:val="000000"/>
          <w:sz w:val="32"/>
          <w:szCs w:val="32"/>
          <w:lang w:val="en-US" w:eastAsia="zh-CN"/>
        </w:rPr>
        <w:t>决算数与预算数持平。</w:t>
      </w:r>
    </w:p>
    <w:p>
      <w:pPr>
        <w:numPr>
          <w:ilvl w:val="0"/>
          <w:numId w:val="0"/>
        </w:numPr>
        <w:spacing w:line="576"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11.</w:t>
      </w:r>
      <w:r>
        <w:rPr>
          <w:rFonts w:hint="eastAsia" w:ascii="仿宋_GB2312" w:hAnsi="仿宋_GB2312" w:eastAsia="仿宋_GB2312" w:cs="仿宋_GB2312"/>
          <w:color w:val="000000"/>
          <w:sz w:val="32"/>
          <w:szCs w:val="32"/>
        </w:rPr>
        <w:t>社会保障和就业支出（208）就业补助（07）其他就业补助支出（99）支出决算</w:t>
      </w:r>
      <w:r>
        <w:rPr>
          <w:rFonts w:hint="eastAsia" w:ascii="仿宋_GB2312" w:hAnsi="仿宋_GB2312" w:eastAsia="仿宋_GB2312" w:cs="仿宋_GB2312"/>
          <w:color w:val="000000"/>
          <w:sz w:val="32"/>
          <w:szCs w:val="32"/>
          <w:lang w:val="en-US" w:eastAsia="zh-CN"/>
        </w:rPr>
        <w:t>207.78</w:t>
      </w:r>
      <w:r>
        <w:rPr>
          <w:rFonts w:hint="eastAsia" w:ascii="仿宋_GB2312" w:hAnsi="仿宋_GB2312" w:eastAsia="仿宋_GB2312" w:cs="仿宋_GB2312"/>
          <w:color w:val="000000"/>
          <w:sz w:val="32"/>
          <w:szCs w:val="32"/>
        </w:rPr>
        <w:t>万元，完成预算100%。</w:t>
      </w:r>
      <w:r>
        <w:rPr>
          <w:rFonts w:hint="eastAsia" w:ascii="仿宋_GB2312" w:hAnsi="仿宋_GB2312" w:eastAsia="仿宋_GB2312" w:cs="仿宋_GB2312"/>
          <w:color w:val="000000"/>
          <w:sz w:val="32"/>
          <w:szCs w:val="32"/>
          <w:lang w:val="en-US" w:eastAsia="zh-CN"/>
        </w:rPr>
        <w:t>决算数与预算数持平。</w:t>
      </w:r>
    </w:p>
    <w:p>
      <w:pPr>
        <w:numPr>
          <w:ilvl w:val="0"/>
          <w:numId w:val="0"/>
        </w:numPr>
        <w:spacing w:line="576"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12.</w:t>
      </w:r>
      <w:r>
        <w:rPr>
          <w:rFonts w:hint="eastAsia" w:ascii="仿宋_GB2312" w:hAnsi="仿宋_GB2312" w:eastAsia="仿宋_GB2312" w:cs="仿宋_GB2312"/>
          <w:color w:val="000000"/>
          <w:sz w:val="32"/>
          <w:szCs w:val="32"/>
        </w:rPr>
        <w:t>卫生健康支出（210）行政事业单位医疗（11）行政单位医疗（01）支出决算</w:t>
      </w:r>
      <w:r>
        <w:rPr>
          <w:rFonts w:hint="eastAsia" w:ascii="仿宋_GB2312" w:hAnsi="仿宋_GB2312" w:eastAsia="仿宋_GB2312" w:cs="仿宋_GB2312"/>
          <w:color w:val="000000"/>
          <w:sz w:val="32"/>
          <w:szCs w:val="32"/>
          <w:lang w:val="en-US" w:eastAsia="zh-CN"/>
        </w:rPr>
        <w:t>13.06</w:t>
      </w:r>
      <w:r>
        <w:rPr>
          <w:rFonts w:hint="eastAsia" w:ascii="仿宋_GB2312" w:hAnsi="仿宋_GB2312" w:eastAsia="仿宋_GB2312" w:cs="仿宋_GB2312"/>
          <w:color w:val="000000"/>
          <w:sz w:val="32"/>
          <w:szCs w:val="32"/>
        </w:rPr>
        <w:t>万元，完成预算100%。</w:t>
      </w:r>
      <w:r>
        <w:rPr>
          <w:rFonts w:hint="eastAsia" w:ascii="仿宋_GB2312" w:hAnsi="仿宋_GB2312" w:eastAsia="仿宋_GB2312" w:cs="仿宋_GB2312"/>
          <w:color w:val="000000"/>
          <w:sz w:val="32"/>
          <w:szCs w:val="32"/>
          <w:lang w:val="en-US" w:eastAsia="zh-CN"/>
        </w:rPr>
        <w:t>决算数与预算数持平。</w:t>
      </w:r>
    </w:p>
    <w:p>
      <w:pPr>
        <w:numPr>
          <w:ilvl w:val="0"/>
          <w:numId w:val="0"/>
        </w:numPr>
        <w:spacing w:line="576" w:lineRule="exact"/>
        <w:ind w:firstLine="640" w:firstLineChars="200"/>
        <w:rPr>
          <w:rFonts w:hint="eastAsia" w:ascii="仿宋_GB2312" w:hAnsi="仿宋_GB2312" w:eastAsia="仿宋_GB2312" w:cs="仿宋_GB2312"/>
          <w:color w:val="000000"/>
          <w:sz w:val="32"/>
          <w:szCs w:val="32"/>
        </w:rPr>
      </w:pPr>
      <w:r>
        <w:rPr>
          <w:rFonts w:hint="eastAsia" w:ascii="仿宋_GB2312" w:hAnsi="仿宋" w:eastAsia="仿宋_GB2312" w:cs="仿宋"/>
          <w:color w:val="000000"/>
          <w:kern w:val="2"/>
          <w:sz w:val="32"/>
          <w:szCs w:val="32"/>
          <w:lang w:val="en-US" w:eastAsia="zh-CN" w:bidi="ar-SA"/>
        </w:rPr>
        <w:t>13.卫生健康支出（210）行政事业单位医疗（11）事业单位医疗（02）支出决算3.88万元，完成预算100%。</w:t>
      </w:r>
      <w:r>
        <w:rPr>
          <w:rFonts w:hint="eastAsia" w:ascii="仿宋_GB2312" w:hAnsi="仿宋_GB2312" w:eastAsia="仿宋_GB2312" w:cs="仿宋_GB2312"/>
          <w:color w:val="000000"/>
          <w:sz w:val="32"/>
          <w:szCs w:val="32"/>
          <w:lang w:val="en-US" w:eastAsia="zh-CN"/>
        </w:rPr>
        <w:t>决算数与预算数持平。</w:t>
      </w:r>
    </w:p>
    <w:p>
      <w:pPr>
        <w:numPr>
          <w:ilvl w:val="0"/>
          <w:numId w:val="0"/>
        </w:numPr>
        <w:spacing w:line="576" w:lineRule="exact"/>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000000"/>
          <w:sz w:val="32"/>
          <w:szCs w:val="32"/>
          <w:lang w:val="en-US" w:eastAsia="zh-CN"/>
        </w:rPr>
        <w:t>14.</w:t>
      </w:r>
      <w:r>
        <w:rPr>
          <w:rFonts w:hint="eastAsia" w:ascii="仿宋_GB2312" w:hAnsi="仿宋_GB2312" w:eastAsia="仿宋_GB2312" w:cs="仿宋_GB2312"/>
          <w:color w:val="000000"/>
          <w:sz w:val="32"/>
          <w:szCs w:val="32"/>
        </w:rPr>
        <w:t>农林水支出（213）巩固脱贫衔接乡村振兴（05）其他巩固脱贫衔接乡村振兴支出（99）支出决算</w:t>
      </w:r>
      <w:r>
        <w:rPr>
          <w:rFonts w:hint="eastAsia" w:ascii="仿宋_GB2312" w:hAnsi="仿宋_GB2312" w:eastAsia="仿宋_GB2312" w:cs="仿宋_GB2312"/>
          <w:color w:val="000000"/>
          <w:sz w:val="32"/>
          <w:szCs w:val="32"/>
          <w:lang w:val="en-US" w:eastAsia="zh-CN"/>
        </w:rPr>
        <w:t>361.55</w:t>
      </w:r>
      <w:r>
        <w:rPr>
          <w:rFonts w:hint="eastAsia" w:ascii="仿宋_GB2312" w:hAnsi="仿宋_GB2312" w:eastAsia="仿宋_GB2312" w:cs="仿宋_GB2312"/>
          <w:color w:val="000000"/>
          <w:sz w:val="32"/>
          <w:szCs w:val="32"/>
        </w:rPr>
        <w:t>万元，完成预算100%。</w:t>
      </w:r>
      <w:r>
        <w:rPr>
          <w:rFonts w:hint="eastAsia" w:ascii="仿宋_GB2312" w:hAnsi="仿宋_GB2312" w:eastAsia="仿宋_GB2312" w:cs="仿宋_GB2312"/>
          <w:color w:val="000000"/>
          <w:sz w:val="32"/>
          <w:szCs w:val="32"/>
          <w:lang w:val="en-US" w:eastAsia="zh-CN"/>
        </w:rPr>
        <w:t>决算数与预算数持平。</w:t>
      </w:r>
    </w:p>
    <w:p>
      <w:pPr>
        <w:numPr>
          <w:ilvl w:val="0"/>
          <w:numId w:val="0"/>
        </w:numPr>
        <w:spacing w:line="576" w:lineRule="exact"/>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000000"/>
          <w:sz w:val="32"/>
          <w:szCs w:val="32"/>
          <w:lang w:val="en-US" w:eastAsia="zh-CN"/>
        </w:rPr>
        <w:t>15.</w:t>
      </w:r>
      <w:r>
        <w:rPr>
          <w:rFonts w:hint="eastAsia" w:ascii="仿宋_GB2312" w:hAnsi="仿宋_GB2312" w:eastAsia="仿宋_GB2312" w:cs="仿宋_GB2312"/>
          <w:color w:val="000000"/>
          <w:sz w:val="32"/>
          <w:szCs w:val="32"/>
        </w:rPr>
        <w:t>农林水支出（213）普惠金融发展支出（08）创业担保贷款贴息及奖补（04）支出决算</w:t>
      </w:r>
      <w:r>
        <w:rPr>
          <w:rFonts w:hint="eastAsia" w:ascii="仿宋_GB2312" w:hAnsi="仿宋_GB2312" w:eastAsia="仿宋_GB2312" w:cs="仿宋_GB2312"/>
          <w:color w:val="000000"/>
          <w:sz w:val="32"/>
          <w:szCs w:val="32"/>
          <w:lang w:val="en-US" w:eastAsia="zh-CN"/>
        </w:rPr>
        <w:t>4.50</w:t>
      </w:r>
      <w:r>
        <w:rPr>
          <w:rFonts w:hint="eastAsia" w:ascii="仿宋_GB2312" w:hAnsi="仿宋_GB2312" w:eastAsia="仿宋_GB2312" w:cs="仿宋_GB2312"/>
          <w:color w:val="000000"/>
          <w:sz w:val="32"/>
          <w:szCs w:val="32"/>
        </w:rPr>
        <w:t>万元，完成预算100%。</w:t>
      </w:r>
    </w:p>
    <w:p>
      <w:pPr>
        <w:numPr>
          <w:ilvl w:val="0"/>
          <w:numId w:val="0"/>
        </w:numPr>
        <w:spacing w:line="576" w:lineRule="exact"/>
        <w:ind w:firstLine="640" w:firstLineChars="200"/>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16.资源勘探工业信息等支出（215）其他资源勘探工业信息等支出（99）其他资源勘探工业信息等支出（99）支出决算31.02万元，完成预算100%。决算数与预算数持平。</w:t>
      </w:r>
    </w:p>
    <w:p>
      <w:pPr>
        <w:numPr>
          <w:ilvl w:val="0"/>
          <w:numId w:val="0"/>
        </w:numPr>
        <w:spacing w:line="576" w:lineRule="exact"/>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000000"/>
          <w:sz w:val="32"/>
          <w:szCs w:val="32"/>
          <w:lang w:val="en-US" w:eastAsia="zh-CN"/>
        </w:rPr>
        <w:t>17.</w:t>
      </w:r>
      <w:r>
        <w:rPr>
          <w:rFonts w:hint="eastAsia" w:ascii="仿宋_GB2312" w:hAnsi="仿宋_GB2312" w:eastAsia="仿宋_GB2312" w:cs="仿宋_GB2312"/>
          <w:color w:val="000000"/>
          <w:sz w:val="32"/>
          <w:szCs w:val="32"/>
        </w:rPr>
        <w:t>住房保障支出（221）住房改革支出（02）住房公积金（01）支出决算</w:t>
      </w:r>
      <w:r>
        <w:rPr>
          <w:rFonts w:hint="eastAsia" w:ascii="仿宋_GB2312" w:hAnsi="仿宋_GB2312" w:eastAsia="仿宋_GB2312" w:cs="仿宋_GB2312"/>
          <w:color w:val="000000"/>
          <w:sz w:val="32"/>
          <w:szCs w:val="32"/>
          <w:lang w:val="en-US" w:eastAsia="zh-CN"/>
        </w:rPr>
        <w:t>21.30</w:t>
      </w:r>
      <w:r>
        <w:rPr>
          <w:rFonts w:hint="eastAsia" w:ascii="仿宋_GB2312" w:hAnsi="仿宋_GB2312" w:eastAsia="仿宋_GB2312" w:cs="仿宋_GB2312"/>
          <w:color w:val="000000"/>
          <w:sz w:val="32"/>
          <w:szCs w:val="32"/>
        </w:rPr>
        <w:t>万元，完成预算100%。</w:t>
      </w:r>
      <w:r>
        <w:rPr>
          <w:rFonts w:hint="eastAsia" w:ascii="仿宋_GB2312" w:hAnsi="仿宋_GB2312" w:eastAsia="仿宋_GB2312" w:cs="仿宋_GB2312"/>
          <w:color w:val="000000"/>
          <w:sz w:val="32"/>
          <w:szCs w:val="32"/>
          <w:lang w:val="en-US" w:eastAsia="zh-CN"/>
        </w:rPr>
        <w:t>决算数与预算数持平。</w:t>
      </w:r>
    </w:p>
    <w:p>
      <w:pPr>
        <w:tabs>
          <w:tab w:val="right" w:pos="8306"/>
        </w:tabs>
        <w:spacing w:line="600" w:lineRule="exact"/>
        <w:ind w:firstLine="640"/>
        <w:outlineLvl w:val="1"/>
        <w:rPr>
          <w:rStyle w:val="31"/>
          <w:rFonts w:ascii="Times New Roman" w:hAnsi="Times New Roman"/>
          <w:color w:val="auto"/>
          <w:highlight w:val="none"/>
        </w:rPr>
      </w:pPr>
      <w:bookmarkStart w:id="36" w:name="_Toc20035"/>
      <w:bookmarkStart w:id="37" w:name="_Toc15396608"/>
      <w:bookmarkStart w:id="38" w:name="_Toc15377214"/>
      <w:r>
        <w:rPr>
          <w:rFonts w:hint="eastAsia" w:ascii="Times New Roman" w:hAnsi="Times New Roman" w:eastAsia="黑体"/>
          <w:color w:val="auto"/>
          <w:sz w:val="32"/>
          <w:szCs w:val="32"/>
          <w:highlight w:val="none"/>
        </w:rPr>
        <w:t>六</w:t>
      </w:r>
      <w:r>
        <w:rPr>
          <w:rFonts w:hint="eastAsia" w:ascii="Times New Roman" w:hAnsi="Times New Roman" w:eastAsia="黑体"/>
          <w:b/>
          <w:color w:val="auto"/>
          <w:sz w:val="32"/>
          <w:szCs w:val="32"/>
          <w:highlight w:val="none"/>
        </w:rPr>
        <w:t>、一</w:t>
      </w:r>
      <w:r>
        <w:rPr>
          <w:rStyle w:val="31"/>
          <w:rFonts w:hint="eastAsia" w:ascii="Times New Roman" w:hAnsi="Times New Roman" w:eastAsia="黑体"/>
          <w:b w:val="0"/>
          <w:color w:val="auto"/>
          <w:highlight w:val="none"/>
        </w:rPr>
        <w:t>般公共预算财政拨款基本支出决算情况说明</w:t>
      </w:r>
      <w:bookmarkEnd w:id="36"/>
      <w:bookmarkEnd w:id="37"/>
      <w:bookmarkEnd w:id="38"/>
      <w:r>
        <w:rPr>
          <w:rStyle w:val="31"/>
          <w:rFonts w:ascii="Times New Roman" w:hAnsi="Times New Roman" w:eastAsia="黑体"/>
          <w:b w:val="0"/>
          <w:color w:val="auto"/>
          <w:highlight w:val="none"/>
        </w:rPr>
        <w:tab/>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2024年度一般公共预算财政拨款基本支出</w:t>
      </w:r>
      <w:r>
        <w:rPr>
          <w:rFonts w:hint="eastAsia" w:ascii="仿宋_GB2312" w:hAnsi="仿宋_GB2312" w:eastAsia="仿宋_GB2312" w:cs="仿宋_GB2312"/>
          <w:sz w:val="32"/>
          <w:szCs w:val="32"/>
        </w:rPr>
        <w:t>289.9</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元，其中：</w:t>
      </w:r>
    </w:p>
    <w:p>
      <w:pPr>
        <w:spacing w:line="600" w:lineRule="exact"/>
        <w:ind w:firstLine="640"/>
        <w:rPr>
          <w:rFonts w:hint="eastAsia" w:ascii="仿宋_GB2312" w:hAnsi="仿宋_GB2312" w:eastAsia="仿宋_GB2312" w:cs="仿宋_GB2312"/>
          <w:color w:val="000000"/>
          <w:sz w:val="32"/>
          <w:szCs w:val="32"/>
        </w:rPr>
      </w:pPr>
      <w:r>
        <w:rPr>
          <w:rFonts w:hint="eastAsia" w:ascii="Times New Roman" w:hAnsi="Times New Roman" w:eastAsia="仿宋_GB2312" w:cs="仿宋_GB2312"/>
          <w:color w:val="auto"/>
          <w:kern w:val="2"/>
          <w:sz w:val="32"/>
          <w:szCs w:val="32"/>
          <w:highlight w:val="none"/>
          <w:lang w:val="en-US" w:eastAsia="zh-CN" w:bidi="ar-SA"/>
        </w:rPr>
        <w:t>人员经费</w:t>
      </w:r>
      <w:r>
        <w:rPr>
          <w:rFonts w:hint="eastAsia" w:ascii="仿宋_GB2312" w:hAnsi="仿宋_GB2312" w:eastAsia="仿宋_GB2312" w:cs="仿宋_GB2312"/>
          <w:sz w:val="32"/>
          <w:szCs w:val="32"/>
        </w:rPr>
        <w:t>274.47</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元，主要包括：</w:t>
      </w:r>
      <w:r>
        <w:rPr>
          <w:rFonts w:hint="eastAsia" w:ascii="仿宋_GB2312" w:hAnsi="仿宋_GB2312" w:eastAsia="仿宋_GB2312" w:cs="仿宋_GB2312"/>
          <w:color w:val="000000"/>
          <w:sz w:val="32"/>
          <w:szCs w:val="32"/>
        </w:rPr>
        <w:t>基本工资</w:t>
      </w:r>
      <w:r>
        <w:rPr>
          <w:rFonts w:hint="eastAsia" w:ascii="仿宋_GB2312" w:hAnsi="仿宋_GB2312" w:eastAsia="仿宋_GB2312" w:cs="仿宋_GB2312"/>
          <w:color w:val="000000"/>
          <w:sz w:val="32"/>
          <w:szCs w:val="32"/>
          <w:lang w:val="en-US" w:eastAsia="zh-CN"/>
        </w:rPr>
        <w:t>56.87</w:t>
      </w:r>
      <w:r>
        <w:rPr>
          <w:rFonts w:hint="eastAsia" w:ascii="仿宋_GB2312" w:hAnsi="仿宋_GB2312" w:eastAsia="仿宋_GB2312" w:cs="仿宋_GB2312"/>
          <w:color w:val="000000"/>
          <w:sz w:val="32"/>
          <w:szCs w:val="32"/>
        </w:rPr>
        <w:t>万元、津贴补贴</w:t>
      </w:r>
      <w:r>
        <w:rPr>
          <w:rFonts w:hint="eastAsia" w:ascii="仿宋_GB2312" w:hAnsi="仿宋_GB2312" w:eastAsia="仿宋_GB2312" w:cs="仿宋_GB2312"/>
          <w:color w:val="000000"/>
          <w:sz w:val="32"/>
          <w:szCs w:val="32"/>
          <w:lang w:val="en-US" w:eastAsia="zh-CN"/>
        </w:rPr>
        <w:t>47.88</w:t>
      </w:r>
      <w:r>
        <w:rPr>
          <w:rFonts w:hint="eastAsia" w:ascii="仿宋_GB2312" w:hAnsi="仿宋_GB2312" w:eastAsia="仿宋_GB2312" w:cs="仿宋_GB2312"/>
          <w:color w:val="000000"/>
          <w:sz w:val="32"/>
          <w:szCs w:val="32"/>
        </w:rPr>
        <w:t>万元、奖金</w:t>
      </w:r>
      <w:r>
        <w:rPr>
          <w:rFonts w:hint="eastAsia" w:ascii="仿宋_GB2312" w:hAnsi="仿宋_GB2312" w:eastAsia="仿宋_GB2312" w:cs="仿宋_GB2312"/>
          <w:color w:val="000000"/>
          <w:sz w:val="32"/>
          <w:szCs w:val="32"/>
          <w:lang w:val="en-US" w:eastAsia="zh-CN"/>
        </w:rPr>
        <w:t>60.02</w:t>
      </w:r>
      <w:r>
        <w:rPr>
          <w:rFonts w:hint="eastAsia" w:ascii="仿宋_GB2312" w:hAnsi="仿宋_GB2312" w:eastAsia="仿宋_GB2312" w:cs="仿宋_GB2312"/>
          <w:color w:val="000000"/>
          <w:sz w:val="32"/>
          <w:szCs w:val="32"/>
        </w:rPr>
        <w:t>万元、</w:t>
      </w:r>
      <w:r>
        <w:rPr>
          <w:rFonts w:hint="eastAsia" w:ascii="仿宋_GB2312" w:hAnsi="仿宋_GB2312" w:eastAsia="仿宋_GB2312" w:cs="仿宋_GB2312"/>
          <w:color w:val="000000"/>
          <w:sz w:val="32"/>
          <w:szCs w:val="32"/>
          <w:lang w:val="en-US" w:eastAsia="zh-CN"/>
        </w:rPr>
        <w:t>绩效工资24.44万元、</w:t>
      </w:r>
      <w:r>
        <w:rPr>
          <w:rFonts w:hint="eastAsia" w:ascii="仿宋_GB2312" w:hAnsi="仿宋_GB2312" w:eastAsia="仿宋_GB2312" w:cs="仿宋_GB2312"/>
          <w:color w:val="000000"/>
          <w:sz w:val="32"/>
          <w:szCs w:val="32"/>
        </w:rPr>
        <w:t>机关事业单位基本养老保险缴费</w:t>
      </w:r>
      <w:r>
        <w:rPr>
          <w:rFonts w:hint="eastAsia" w:ascii="仿宋_GB2312" w:hAnsi="仿宋_GB2312" w:eastAsia="仿宋_GB2312" w:cs="仿宋_GB2312"/>
          <w:color w:val="000000"/>
          <w:sz w:val="32"/>
          <w:szCs w:val="32"/>
          <w:lang w:val="en-US" w:eastAsia="zh-CN"/>
        </w:rPr>
        <w:t>26.03</w:t>
      </w:r>
      <w:r>
        <w:rPr>
          <w:rFonts w:hint="eastAsia" w:ascii="仿宋_GB2312" w:hAnsi="仿宋_GB2312" w:eastAsia="仿宋_GB2312" w:cs="仿宋_GB2312"/>
          <w:color w:val="000000"/>
          <w:sz w:val="32"/>
          <w:szCs w:val="32"/>
        </w:rPr>
        <w:t>万元、职业年金缴费</w:t>
      </w:r>
      <w:r>
        <w:rPr>
          <w:rFonts w:hint="eastAsia" w:ascii="仿宋_GB2312" w:hAnsi="仿宋_GB2312" w:eastAsia="仿宋_GB2312" w:cs="仿宋_GB2312"/>
          <w:color w:val="000000"/>
          <w:sz w:val="32"/>
          <w:szCs w:val="32"/>
          <w:lang w:val="en-US" w:eastAsia="zh-CN"/>
        </w:rPr>
        <w:t>13.02</w:t>
      </w:r>
      <w:r>
        <w:rPr>
          <w:rFonts w:hint="eastAsia" w:ascii="仿宋_GB2312" w:hAnsi="仿宋_GB2312" w:eastAsia="仿宋_GB2312" w:cs="仿宋_GB2312"/>
          <w:color w:val="000000"/>
          <w:sz w:val="32"/>
          <w:szCs w:val="32"/>
        </w:rPr>
        <w:t>万元、职工基本医疗保险缴费</w:t>
      </w:r>
      <w:r>
        <w:rPr>
          <w:rFonts w:hint="eastAsia" w:ascii="仿宋_GB2312" w:hAnsi="仿宋_GB2312" w:eastAsia="仿宋_GB2312" w:cs="仿宋_GB2312"/>
          <w:color w:val="000000"/>
          <w:sz w:val="32"/>
          <w:szCs w:val="32"/>
          <w:lang w:val="en-US" w:eastAsia="zh-CN"/>
        </w:rPr>
        <w:t>16.94</w:t>
      </w:r>
      <w:r>
        <w:rPr>
          <w:rFonts w:hint="eastAsia" w:ascii="仿宋_GB2312" w:hAnsi="仿宋_GB2312" w:eastAsia="仿宋_GB2312" w:cs="仿宋_GB2312"/>
          <w:color w:val="000000"/>
          <w:sz w:val="32"/>
          <w:szCs w:val="32"/>
        </w:rPr>
        <w:t>万元、其他社会保障缴费</w:t>
      </w:r>
      <w:r>
        <w:rPr>
          <w:rFonts w:hint="eastAsia" w:ascii="仿宋_GB2312" w:hAnsi="仿宋_GB2312" w:eastAsia="仿宋_GB2312" w:cs="仿宋_GB2312"/>
          <w:color w:val="000000"/>
          <w:sz w:val="32"/>
          <w:szCs w:val="32"/>
          <w:lang w:val="en-US" w:eastAsia="zh-CN"/>
        </w:rPr>
        <w:t>3.63</w:t>
      </w:r>
      <w:r>
        <w:rPr>
          <w:rFonts w:hint="eastAsia" w:ascii="仿宋_GB2312" w:hAnsi="仿宋_GB2312" w:eastAsia="仿宋_GB2312" w:cs="仿宋_GB2312"/>
          <w:color w:val="000000"/>
          <w:sz w:val="32"/>
          <w:szCs w:val="32"/>
        </w:rPr>
        <w:t>万元、住房公积金</w:t>
      </w:r>
      <w:r>
        <w:rPr>
          <w:rFonts w:hint="eastAsia" w:ascii="仿宋_GB2312" w:hAnsi="仿宋_GB2312" w:eastAsia="仿宋_GB2312" w:cs="仿宋_GB2312"/>
          <w:color w:val="000000"/>
          <w:sz w:val="32"/>
          <w:szCs w:val="32"/>
          <w:lang w:val="en-US" w:eastAsia="zh-CN"/>
        </w:rPr>
        <w:t>21.30</w:t>
      </w:r>
      <w:r>
        <w:rPr>
          <w:rFonts w:hint="eastAsia" w:ascii="仿宋_GB2312" w:hAnsi="仿宋_GB2312" w:eastAsia="仿宋_GB2312" w:cs="仿宋_GB2312"/>
          <w:color w:val="000000"/>
          <w:sz w:val="32"/>
          <w:szCs w:val="32"/>
        </w:rPr>
        <w:t>万元、医疗费</w:t>
      </w:r>
      <w:r>
        <w:rPr>
          <w:rFonts w:hint="eastAsia" w:ascii="仿宋_GB2312" w:hAnsi="仿宋_GB2312" w:eastAsia="仿宋_GB2312" w:cs="仿宋_GB2312"/>
          <w:color w:val="000000"/>
          <w:sz w:val="32"/>
          <w:szCs w:val="32"/>
          <w:lang w:val="en-US" w:eastAsia="zh-CN"/>
        </w:rPr>
        <w:t>2.18</w:t>
      </w:r>
      <w:r>
        <w:rPr>
          <w:rFonts w:hint="eastAsia" w:ascii="仿宋_GB2312" w:hAnsi="仿宋_GB2312" w:eastAsia="仿宋_GB2312" w:cs="仿宋_GB2312"/>
          <w:color w:val="000000"/>
          <w:sz w:val="32"/>
          <w:szCs w:val="32"/>
        </w:rPr>
        <w:t>万元</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生活补助2.16万元</w:t>
      </w:r>
      <w:r>
        <w:rPr>
          <w:rFonts w:hint="eastAsia" w:ascii="仿宋_GB2312" w:hAnsi="仿宋_GB2312" w:eastAsia="仿宋_GB2312" w:cs="仿宋_GB2312"/>
          <w:color w:val="000000"/>
          <w:sz w:val="32"/>
          <w:szCs w:val="32"/>
        </w:rPr>
        <w:t>。</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公用经费</w:t>
      </w:r>
      <w:r>
        <w:rPr>
          <w:rFonts w:hint="eastAsia" w:ascii="仿宋_GB2312" w:hAnsi="仿宋_GB2312" w:eastAsia="仿宋_GB2312" w:cs="仿宋_GB2312"/>
          <w:sz w:val="32"/>
          <w:szCs w:val="32"/>
        </w:rPr>
        <w:t>15.43</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元，主要包括：</w:t>
      </w:r>
      <w:r>
        <w:rPr>
          <w:rFonts w:hint="eastAsia" w:ascii="仿宋_GB2312" w:hAnsi="仿宋_GB2312" w:eastAsia="仿宋_GB2312" w:cs="仿宋_GB2312"/>
          <w:color w:val="000000"/>
          <w:sz w:val="32"/>
          <w:szCs w:val="32"/>
        </w:rPr>
        <w:t>办公费</w:t>
      </w:r>
      <w:r>
        <w:rPr>
          <w:rFonts w:hint="eastAsia" w:ascii="仿宋_GB2312" w:hAnsi="仿宋_GB2312" w:eastAsia="仿宋_GB2312" w:cs="仿宋_GB2312"/>
          <w:color w:val="000000"/>
          <w:sz w:val="32"/>
          <w:szCs w:val="32"/>
          <w:lang w:val="en-US" w:eastAsia="zh-CN"/>
        </w:rPr>
        <w:t>4.19</w:t>
      </w:r>
      <w:r>
        <w:rPr>
          <w:rFonts w:hint="eastAsia" w:ascii="仿宋_GB2312" w:hAnsi="仿宋_GB2312" w:eastAsia="仿宋_GB2312" w:cs="仿宋_GB2312"/>
          <w:color w:val="000000"/>
          <w:sz w:val="32"/>
          <w:szCs w:val="32"/>
        </w:rPr>
        <w:t>万元、差旅费</w:t>
      </w:r>
      <w:r>
        <w:rPr>
          <w:rFonts w:hint="eastAsia" w:ascii="仿宋_GB2312" w:hAnsi="仿宋_GB2312" w:eastAsia="仿宋_GB2312" w:cs="仿宋_GB2312"/>
          <w:color w:val="000000"/>
          <w:sz w:val="32"/>
          <w:szCs w:val="32"/>
          <w:lang w:val="en-US" w:eastAsia="zh-CN"/>
        </w:rPr>
        <w:t>8.50</w:t>
      </w:r>
      <w:r>
        <w:rPr>
          <w:rFonts w:hint="eastAsia" w:ascii="仿宋_GB2312" w:hAnsi="仿宋_GB2312" w:eastAsia="仿宋_GB2312" w:cs="仿宋_GB2312"/>
          <w:color w:val="000000"/>
          <w:sz w:val="32"/>
          <w:szCs w:val="32"/>
        </w:rPr>
        <w:t>万元、公务用车运行维护费</w:t>
      </w:r>
      <w:r>
        <w:rPr>
          <w:rFonts w:hint="eastAsia" w:ascii="仿宋_GB2312" w:hAnsi="仿宋_GB2312" w:eastAsia="仿宋_GB2312" w:cs="仿宋_GB2312"/>
          <w:color w:val="000000"/>
          <w:sz w:val="32"/>
          <w:szCs w:val="32"/>
          <w:lang w:val="en-US" w:eastAsia="zh-CN"/>
        </w:rPr>
        <w:t>2.74</w:t>
      </w:r>
      <w:r>
        <w:rPr>
          <w:rFonts w:hint="eastAsia" w:ascii="仿宋_GB2312" w:hAnsi="仿宋_GB2312" w:eastAsia="仿宋_GB2312" w:cs="仿宋_GB2312"/>
          <w:color w:val="000000"/>
          <w:sz w:val="32"/>
          <w:szCs w:val="32"/>
        </w:rPr>
        <w:t>万元。</w:t>
      </w:r>
    </w:p>
    <w:p>
      <w:pPr>
        <w:spacing w:line="600" w:lineRule="exact"/>
        <w:ind w:firstLine="640"/>
        <w:outlineLvl w:val="1"/>
        <w:rPr>
          <w:rStyle w:val="31"/>
          <w:rFonts w:ascii="Times New Roman" w:hAnsi="Times New Roman" w:eastAsia="黑体"/>
          <w:b w:val="0"/>
          <w:color w:val="auto"/>
          <w:highlight w:val="none"/>
        </w:rPr>
      </w:pPr>
      <w:bookmarkStart w:id="39" w:name="_Toc15377215"/>
      <w:bookmarkStart w:id="40" w:name="_Toc83"/>
      <w:bookmarkStart w:id="41" w:name="_Toc15396609"/>
      <w:r>
        <w:rPr>
          <w:rFonts w:hint="eastAsia" w:ascii="Times New Roman" w:hAnsi="Times New Roman" w:eastAsia="黑体"/>
          <w:color w:val="auto"/>
          <w:sz w:val="32"/>
          <w:szCs w:val="32"/>
          <w:highlight w:val="none"/>
        </w:rPr>
        <w:t>七、</w:t>
      </w:r>
      <w:r>
        <w:rPr>
          <w:rStyle w:val="31"/>
          <w:rFonts w:hint="eastAsia" w:ascii="Times New Roman" w:hAnsi="Times New Roman" w:eastAsia="黑体"/>
          <w:b w:val="0"/>
          <w:color w:val="auto"/>
          <w:highlight w:val="none"/>
        </w:rPr>
        <w:t>财政拨款</w:t>
      </w:r>
      <w:r>
        <w:rPr>
          <w:rStyle w:val="31"/>
          <w:rFonts w:hint="eastAsia" w:ascii="Times New Roman" w:hAnsi="Times New Roman" w:eastAsia="黑体"/>
          <w:color w:val="auto"/>
          <w:highlight w:val="none"/>
        </w:rPr>
        <w:t>“</w:t>
      </w:r>
      <w:r>
        <w:rPr>
          <w:rStyle w:val="31"/>
          <w:rFonts w:hint="eastAsia" w:ascii="Times New Roman" w:hAnsi="Times New Roman" w:eastAsia="黑体"/>
          <w:b w:val="0"/>
          <w:color w:val="auto"/>
          <w:highlight w:val="none"/>
        </w:rPr>
        <w:t>三公”经费支出决算情况说明</w:t>
      </w:r>
      <w:bookmarkEnd w:id="39"/>
      <w:bookmarkEnd w:id="40"/>
      <w:bookmarkEnd w:id="41"/>
    </w:p>
    <w:p>
      <w:pPr>
        <w:spacing w:line="600" w:lineRule="exact"/>
        <w:ind w:firstLine="642" w:firstLineChars="200"/>
        <w:outlineLvl w:val="2"/>
        <w:rPr>
          <w:rFonts w:hint="eastAsia" w:ascii="Times New Roman" w:hAnsi="Times New Roman" w:eastAsia="楷体_GB2312" w:cs="楷体_GB2312"/>
          <w:b/>
          <w:color w:val="auto"/>
          <w:sz w:val="32"/>
          <w:szCs w:val="32"/>
          <w:highlight w:val="none"/>
        </w:rPr>
      </w:pPr>
      <w:bookmarkStart w:id="42" w:name="_Toc15377216"/>
      <w:r>
        <w:rPr>
          <w:rFonts w:hint="eastAsia" w:ascii="Times New Roman" w:hAnsi="Times New Roman" w:eastAsia="楷体_GB2312" w:cs="楷体_GB2312"/>
          <w:b/>
          <w:color w:val="auto"/>
          <w:sz w:val="32"/>
          <w:szCs w:val="32"/>
          <w:highlight w:val="none"/>
        </w:rPr>
        <w:t>（一）“三公”经费财政拨款支出决算总体情况说明</w:t>
      </w:r>
      <w:bookmarkEnd w:id="42"/>
    </w:p>
    <w:p>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2024年度“三公”经费财政拨款支出决算为</w:t>
      </w:r>
      <w:r>
        <w:rPr>
          <w:rFonts w:hint="eastAsia" w:ascii="仿宋_GB2312" w:hAnsi="仿宋_GB2312" w:eastAsia="仿宋_GB2312" w:cs="仿宋_GB2312"/>
          <w:sz w:val="32"/>
          <w:szCs w:val="32"/>
        </w:rPr>
        <w:t>2.74</w:t>
      </w:r>
      <w:r>
        <w:rPr>
          <w:rFonts w:hint="eastAsia" w:ascii="仿宋_GB2312" w:hAnsi="仿宋_GB2312" w:eastAsia="仿宋_GB2312" w:cs="仿宋_GB2312"/>
          <w:color w:val="auto"/>
          <w:kern w:val="2"/>
          <w:sz w:val="32"/>
          <w:szCs w:val="32"/>
          <w:highlight w:val="none"/>
          <w:lang w:val="en-US" w:eastAsia="zh-CN" w:bidi="ar-SA"/>
        </w:rPr>
        <w:t>万元，完成预算</w:t>
      </w:r>
      <w:r>
        <w:rPr>
          <w:rFonts w:hint="eastAsia" w:ascii="仿宋_GB2312" w:hAnsi="仿宋_GB2312" w:eastAsia="仿宋_GB2312" w:cs="仿宋_GB2312"/>
          <w:sz w:val="32"/>
          <w:szCs w:val="32"/>
        </w:rPr>
        <w:t>100</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较上年度减少</w:t>
      </w:r>
      <w:r>
        <w:rPr>
          <w:rFonts w:hint="eastAsia" w:eastAsia="仿宋_GB2312" w:cs="仿宋_GB2312"/>
          <w:color w:val="auto"/>
          <w:kern w:val="2"/>
          <w:sz w:val="32"/>
          <w:szCs w:val="32"/>
          <w:highlight w:val="none"/>
          <w:lang w:val="en-US" w:eastAsia="zh-CN" w:bidi="ar-SA"/>
        </w:rPr>
        <w:t>0.63</w:t>
      </w:r>
      <w:r>
        <w:rPr>
          <w:rFonts w:hint="eastAsia" w:ascii="Times New Roman" w:hAnsi="Times New Roman" w:eastAsia="仿宋_GB2312" w:cs="仿宋_GB2312"/>
          <w:color w:val="auto"/>
          <w:kern w:val="2"/>
          <w:sz w:val="32"/>
          <w:szCs w:val="32"/>
          <w:highlight w:val="none"/>
          <w:lang w:val="en-US" w:eastAsia="zh-CN" w:bidi="ar-SA"/>
        </w:rPr>
        <w:t>万元，下降</w:t>
      </w:r>
      <w:r>
        <w:rPr>
          <w:rFonts w:hint="eastAsia" w:eastAsia="仿宋_GB2312" w:cs="仿宋_GB2312"/>
          <w:color w:val="auto"/>
          <w:kern w:val="2"/>
          <w:sz w:val="32"/>
          <w:szCs w:val="32"/>
          <w:highlight w:val="none"/>
          <w:lang w:val="en-US" w:eastAsia="zh-CN" w:bidi="ar-SA"/>
        </w:rPr>
        <w:t>18.69</w:t>
      </w:r>
      <w:r>
        <w:rPr>
          <w:rFonts w:hint="eastAsia" w:ascii="Times New Roman" w:hAnsi="Times New Roman" w:eastAsia="仿宋_GB2312" w:cs="仿宋_GB2312"/>
          <w:color w:val="auto"/>
          <w:kern w:val="2"/>
          <w:sz w:val="32"/>
          <w:szCs w:val="32"/>
          <w:highlight w:val="none"/>
          <w:lang w:val="en-US" w:eastAsia="zh-CN" w:bidi="ar-SA"/>
        </w:rPr>
        <w:t>%。</w:t>
      </w:r>
      <w:r>
        <w:rPr>
          <w:rFonts w:hint="eastAsia" w:ascii="仿宋" w:hAnsi="仿宋" w:eastAsia="仿宋"/>
          <w:color w:val="auto"/>
          <w:sz w:val="32"/>
          <w:szCs w:val="32"/>
          <w:highlight w:val="none"/>
        </w:rPr>
        <w:t>决算数小于预算数的主要原因是</w:t>
      </w: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lang w:val="en-US" w:eastAsia="zh-CN"/>
        </w:rPr>
        <w:t>用车量减少</w:t>
      </w:r>
      <w:r>
        <w:rPr>
          <w:rFonts w:hint="eastAsia" w:ascii="仿宋" w:hAnsi="仿宋" w:eastAsia="仿宋"/>
          <w:color w:val="auto"/>
          <w:sz w:val="32"/>
          <w:szCs w:val="32"/>
          <w:highlight w:val="none"/>
        </w:rPr>
        <w:t>。</w:t>
      </w:r>
    </w:p>
    <w:p>
      <w:pPr>
        <w:spacing w:line="600" w:lineRule="exact"/>
        <w:ind w:firstLine="642" w:firstLineChars="200"/>
        <w:outlineLvl w:val="2"/>
        <w:rPr>
          <w:rFonts w:hint="eastAsia" w:ascii="Times New Roman" w:hAnsi="Times New Roman" w:eastAsia="楷体_GB2312" w:cs="楷体_GB2312"/>
          <w:b/>
          <w:color w:val="auto"/>
          <w:sz w:val="32"/>
          <w:szCs w:val="32"/>
          <w:highlight w:val="none"/>
        </w:rPr>
      </w:pPr>
      <w:bookmarkStart w:id="43" w:name="_Toc15377217"/>
      <w:r>
        <w:rPr>
          <w:rFonts w:hint="eastAsia" w:ascii="Times New Roman" w:hAnsi="Times New Roman" w:eastAsia="楷体_GB2312" w:cs="楷体_GB2312"/>
          <w:b/>
          <w:color w:val="auto"/>
          <w:sz w:val="32"/>
          <w:szCs w:val="32"/>
          <w:highlight w:val="none"/>
        </w:rPr>
        <w:t>（二）“三公”经费财政拨款支出决算具体情况说明</w:t>
      </w:r>
      <w:bookmarkEnd w:id="43"/>
    </w:p>
    <w:p>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2024年度“三公”经费财政拨款支出决算中，因公出国（境）费支出决算</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万元，占0%；公务用车购置及运行维护费支出决算</w:t>
      </w:r>
      <w:r>
        <w:rPr>
          <w:rFonts w:hint="eastAsia" w:ascii="仿宋_GB2312" w:hAnsi="仿宋_GB2312" w:eastAsia="仿宋_GB2312" w:cs="仿宋_GB2312"/>
          <w:sz w:val="32"/>
          <w:szCs w:val="32"/>
        </w:rPr>
        <w:t>2.74</w:t>
      </w:r>
      <w:r>
        <w:rPr>
          <w:rFonts w:hint="eastAsia" w:ascii="仿宋_GB2312" w:hAnsi="仿宋_GB2312" w:eastAsia="仿宋_GB2312" w:cs="仿宋_GB2312"/>
          <w:color w:val="auto"/>
          <w:kern w:val="2"/>
          <w:sz w:val="32"/>
          <w:szCs w:val="32"/>
          <w:highlight w:val="none"/>
          <w:lang w:val="en-US" w:eastAsia="zh-CN" w:bidi="ar-SA"/>
        </w:rPr>
        <w:t>万元，占100%；公务接待费支出决算</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万元，占0%。具体情况如下：</w:t>
      </w:r>
    </w:p>
    <w:p>
      <w:pPr>
        <w:spacing w:line="600" w:lineRule="exact"/>
        <w:rPr>
          <w:rFonts w:hint="eastAsia" w:ascii="Times New Roman" w:hAnsi="Times New Roman" w:eastAsia="仿宋_GB2312" w:cs="仿宋_GB2312"/>
          <w:color w:val="auto"/>
          <w:kern w:val="2"/>
          <w:sz w:val="32"/>
          <w:szCs w:val="32"/>
          <w:highlight w:val="none"/>
          <w:lang w:val="en-US" w:eastAsia="zh-CN" w:bidi="ar-SA"/>
        </w:rPr>
      </w:pPr>
      <w:r>
        <w:pict>
          <v:shape id="Object 13" o:spid="_x0000_s1026" o:spt="75" type="#_x0000_t75" style="position:absolute;left:0pt;margin-left:18.7pt;margin-top:18.65pt;height:252.65pt;width:377.3pt;mso-wrap-distance-bottom:0pt;mso-wrap-distance-left:9pt;mso-wrap-distance-right:9pt;mso-wrap-distance-top:0pt;z-index:251661312;mso-width-relative:page;mso-height-relative:page;" o:ole="t" filled="f" o:preferrelative="t" stroked="f" coordsize="21600,21600" o:gfxdata="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">
            <v:path/>
            <v:fill on="f" focussize="0,0"/>
            <v:stroke on="f"/>
            <v:imagedata r:id="rId14" o:title=""/>
            <o:lock v:ext="edit" aspectratio="t"/>
            <w10:wrap type="square"/>
          </v:shape>
          <o:OLEObject Type="Embed" ProgID="Excel.Sheet.8" ShapeID="Object 13" DrawAspect="Content" ObjectID="_1468075725" r:id="rId13">
            <o:LockedField>false</o:LockedField>
          </o:OLEObject>
        </w:pict>
      </w:r>
      <w:bookmarkStart w:id="44" w:name="_Toc15396610"/>
      <w:bookmarkStart w:id="45" w:name="_Toc15377218"/>
      <w:r>
        <w:rPr>
          <w:rFonts w:hint="eastAsia"/>
          <w:lang w:val="en-US" w:eastAsia="zh-CN"/>
        </w:rPr>
        <w:t xml:space="preserve">    </w:t>
      </w:r>
      <w:r>
        <w:rPr>
          <w:rFonts w:hint="eastAsia" w:ascii="Times New Roman" w:hAnsi="Times New Roman" w:eastAsia="仿宋_GB2312" w:cs="仿宋_GB2312"/>
          <w:b/>
          <w:bCs/>
          <w:color w:val="auto"/>
          <w:kern w:val="2"/>
          <w:sz w:val="32"/>
          <w:szCs w:val="32"/>
          <w:highlight w:val="none"/>
          <w:lang w:val="en-US" w:eastAsia="zh-CN" w:bidi="ar-SA"/>
        </w:rPr>
        <w:t>1.因公出国（境）经费支出</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万元，完成预算</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全年安排因公出国（境）团</w:t>
      </w:r>
      <w:r>
        <w:rPr>
          <w:rFonts w:hint="eastAsia" w:ascii="仿宋_GB2312" w:hAnsi="仿宋_GB2312" w:eastAsia="仿宋_GB2312" w:cs="仿宋_GB2312"/>
          <w:color w:val="auto"/>
          <w:kern w:val="2"/>
          <w:sz w:val="32"/>
          <w:szCs w:val="32"/>
          <w:highlight w:val="none"/>
          <w:lang w:val="en-US" w:eastAsia="zh-CN" w:bidi="ar-SA"/>
        </w:rPr>
        <w:t>组</w:t>
      </w:r>
      <w:r>
        <w:rPr>
          <w:rFonts w:hint="eastAsia" w:ascii="仿宋_GB2312" w:hAnsi="仿宋_GB2312" w:eastAsia="仿宋_GB2312" w:cs="仿宋_GB2312"/>
          <w:sz w:val="32"/>
          <w:szCs w:val="32"/>
        </w:rPr>
        <w:t>0</w:t>
      </w:r>
      <w:r>
        <w:rPr>
          <w:rFonts w:hint="eastAsia" w:ascii="Times New Roman" w:hAnsi="Times New Roman" w:eastAsia="仿宋_GB2312" w:cs="仿宋_GB2312"/>
          <w:color w:val="auto"/>
          <w:kern w:val="2"/>
          <w:sz w:val="32"/>
          <w:szCs w:val="32"/>
          <w:highlight w:val="none"/>
          <w:lang w:val="en-US" w:eastAsia="zh-CN" w:bidi="ar-SA"/>
        </w:rPr>
        <w:t>次，出国（境）</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人</w:t>
      </w:r>
      <w:r>
        <w:rPr>
          <w:rFonts w:hint="eastAsia" w:ascii="Times New Roman" w:hAnsi="Times New Roman" w:eastAsia="仿宋_GB2312" w:cs="仿宋_GB2312"/>
          <w:color w:val="auto"/>
          <w:kern w:val="2"/>
          <w:sz w:val="32"/>
          <w:szCs w:val="32"/>
          <w:highlight w:val="none"/>
          <w:lang w:val="en-US" w:eastAsia="zh-CN" w:bidi="ar-SA"/>
        </w:rPr>
        <w:t>。因公出国（境）支出决算比2023年增加</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元，增长</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w:t>
      </w:r>
    </w:p>
    <w:p>
      <w:pPr>
        <w:spacing w:line="600" w:lineRule="exact"/>
        <w:ind w:firstLine="640"/>
        <w:rPr>
          <w:rFonts w:hint="eastAsia" w:ascii="仿宋" w:hAnsi="仿宋" w:eastAsia="仿宋"/>
          <w:color w:val="auto"/>
          <w:sz w:val="32"/>
          <w:szCs w:val="32"/>
          <w:highlight w:val="none"/>
          <w:lang w:val="en-US" w:eastAsia="zh-CN"/>
        </w:rPr>
      </w:pPr>
      <w:r>
        <w:rPr>
          <w:rFonts w:hint="eastAsia" w:ascii="Times New Roman" w:hAnsi="Times New Roman" w:eastAsia="仿宋_GB2312" w:cs="仿宋_GB2312"/>
          <w:b/>
          <w:bCs/>
          <w:color w:val="auto"/>
          <w:kern w:val="2"/>
          <w:sz w:val="32"/>
          <w:szCs w:val="32"/>
          <w:highlight w:val="none"/>
          <w:lang w:val="en-US" w:eastAsia="zh-CN" w:bidi="ar-SA"/>
        </w:rPr>
        <w:t>2.公务用车购置及运行维护费支出</w:t>
      </w:r>
      <w:r>
        <w:rPr>
          <w:rFonts w:hint="eastAsia" w:ascii="仿宋_GB2312" w:hAnsi="仿宋_GB2312" w:eastAsia="仿宋_GB2312" w:cs="仿宋_GB2312"/>
          <w:b/>
          <w:bCs/>
          <w:color w:val="auto"/>
          <w:kern w:val="2"/>
          <w:sz w:val="32"/>
          <w:szCs w:val="32"/>
          <w:highlight w:val="none"/>
          <w:lang w:val="en-US" w:eastAsia="zh-CN" w:bidi="ar-SA"/>
        </w:rPr>
        <w:t>2.74万</w:t>
      </w:r>
      <w:r>
        <w:rPr>
          <w:rFonts w:hint="eastAsia" w:ascii="Times New Roman" w:hAnsi="Times New Roman" w:eastAsia="仿宋_GB2312" w:cs="仿宋_GB2312"/>
          <w:b/>
          <w:bCs/>
          <w:color w:val="auto"/>
          <w:kern w:val="2"/>
          <w:sz w:val="32"/>
          <w:szCs w:val="32"/>
          <w:highlight w:val="none"/>
          <w:lang w:val="en-US" w:eastAsia="zh-CN" w:bidi="ar-SA"/>
        </w:rPr>
        <w:t>元</w:t>
      </w:r>
      <w:r>
        <w:rPr>
          <w:rFonts w:hint="eastAsia"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b/>
          <w:bCs/>
          <w:color w:val="auto"/>
          <w:kern w:val="2"/>
          <w:sz w:val="32"/>
          <w:szCs w:val="32"/>
          <w:highlight w:val="none"/>
          <w:lang w:val="en-US" w:eastAsia="zh-CN" w:bidi="ar-SA"/>
        </w:rPr>
        <w:t>完成预算</w:t>
      </w:r>
      <w:r>
        <w:rPr>
          <w:rFonts w:hint="eastAsia" w:eastAsia="仿宋_GB2312" w:cs="仿宋_GB2312"/>
          <w:b/>
          <w:bCs/>
          <w:color w:val="auto"/>
          <w:kern w:val="2"/>
          <w:sz w:val="32"/>
          <w:szCs w:val="32"/>
          <w:highlight w:val="none"/>
          <w:lang w:val="en-US" w:eastAsia="zh-CN" w:bidi="ar-SA"/>
        </w:rPr>
        <w:t>100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公务用车购置及运行维护费支出决算比2023年度减少</w:t>
      </w:r>
      <w:r>
        <w:rPr>
          <w:rFonts w:hint="eastAsia" w:eastAsia="仿宋_GB2312" w:cs="仿宋_GB2312"/>
          <w:color w:val="auto"/>
          <w:kern w:val="2"/>
          <w:sz w:val="32"/>
          <w:szCs w:val="32"/>
          <w:highlight w:val="none"/>
          <w:lang w:val="en-US" w:eastAsia="zh-CN" w:bidi="ar-SA"/>
        </w:rPr>
        <w:t>0.63</w:t>
      </w:r>
      <w:r>
        <w:rPr>
          <w:rFonts w:hint="eastAsia" w:ascii="Times New Roman" w:hAnsi="Times New Roman" w:eastAsia="仿宋_GB2312" w:cs="仿宋_GB2312"/>
          <w:color w:val="auto"/>
          <w:kern w:val="2"/>
          <w:sz w:val="32"/>
          <w:szCs w:val="32"/>
          <w:highlight w:val="none"/>
          <w:lang w:val="en-US" w:eastAsia="zh-CN" w:bidi="ar-SA"/>
        </w:rPr>
        <w:t>万元，下降</w:t>
      </w:r>
      <w:r>
        <w:rPr>
          <w:rFonts w:hint="eastAsia" w:eastAsia="仿宋_GB2312" w:cs="仿宋_GB2312"/>
          <w:color w:val="auto"/>
          <w:kern w:val="2"/>
          <w:sz w:val="32"/>
          <w:szCs w:val="32"/>
          <w:highlight w:val="none"/>
          <w:lang w:val="en-US" w:eastAsia="zh-CN" w:bidi="ar-SA"/>
        </w:rPr>
        <w:t>18.69</w:t>
      </w:r>
      <w:r>
        <w:rPr>
          <w:rFonts w:hint="eastAsia" w:ascii="Times New Roman" w:hAnsi="Times New Roman" w:eastAsia="仿宋_GB2312" w:cs="仿宋_GB2312"/>
          <w:color w:val="auto"/>
          <w:kern w:val="2"/>
          <w:sz w:val="32"/>
          <w:szCs w:val="32"/>
          <w:highlight w:val="none"/>
          <w:lang w:val="en-US" w:eastAsia="zh-CN" w:bidi="ar-SA"/>
        </w:rPr>
        <w:t>%。主要原因是</w:t>
      </w:r>
      <w:r>
        <w:rPr>
          <w:rFonts w:hint="eastAsia" w:eastAsia="仿宋_GB2312" w:cs="仿宋_GB2312"/>
          <w:color w:val="auto"/>
          <w:kern w:val="2"/>
          <w:sz w:val="32"/>
          <w:szCs w:val="32"/>
          <w:highlight w:val="none"/>
          <w:lang w:val="en-US" w:eastAsia="zh-CN" w:bidi="ar-SA"/>
        </w:rPr>
        <w:t>：</w:t>
      </w:r>
      <w:r>
        <w:rPr>
          <w:rFonts w:hint="eastAsia" w:ascii="仿宋" w:hAnsi="仿宋" w:eastAsia="仿宋"/>
          <w:color w:val="auto"/>
          <w:sz w:val="32"/>
          <w:szCs w:val="32"/>
          <w:highlight w:val="none"/>
          <w:lang w:val="en-US" w:eastAsia="zh-CN"/>
        </w:rPr>
        <w:t>用车量减少。</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其中：公务用车购置支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w:t>
      </w:r>
      <w:r>
        <w:rPr>
          <w:rFonts w:hint="eastAsia" w:ascii="Times New Roman" w:hAnsi="Times New Roman" w:eastAsia="仿宋_GB2312" w:cs="仿宋_GB2312"/>
          <w:color w:val="auto"/>
          <w:kern w:val="2"/>
          <w:sz w:val="32"/>
          <w:szCs w:val="32"/>
          <w:highlight w:val="none"/>
          <w:lang w:val="en-US" w:eastAsia="zh-CN" w:bidi="ar-SA"/>
        </w:rPr>
        <w:t>万元。全年按规定更新购置公务用车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辆，其中：</w:t>
      </w:r>
      <w:r>
        <w:rPr>
          <w:rFonts w:hint="eastAsia" w:ascii="仿宋_GB2312" w:eastAsia="仿宋_GB2312"/>
          <w:color w:val="auto"/>
          <w:sz w:val="32"/>
          <w:szCs w:val="32"/>
          <w:highlight w:val="none"/>
        </w:rPr>
        <w:t>轿车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万元，越野车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万元，载客汽车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万元。截至</w:t>
      </w:r>
      <w:r>
        <w:rPr>
          <w:rFonts w:hint="eastAsia" w:ascii="仿宋_GB2312" w:eastAsia="仿宋_GB2312"/>
          <w:color w:val="auto"/>
          <w:sz w:val="32"/>
          <w:szCs w:val="32"/>
          <w:highlight w:val="none"/>
          <w:lang w:eastAsia="zh-CN"/>
        </w:rPr>
        <w:t>202</w:t>
      </w:r>
      <w:r>
        <w:rPr>
          <w:rFonts w:hint="eastAsia" w:ascii="仿宋_GB2312" w:eastAsia="仿宋_GB2312"/>
          <w:color w:val="auto"/>
          <w:sz w:val="32"/>
          <w:szCs w:val="32"/>
          <w:highlight w:val="none"/>
          <w:lang w:val="en-US" w:eastAsia="zh-CN"/>
        </w:rPr>
        <w:t>4</w:t>
      </w:r>
      <w:r>
        <w:rPr>
          <w:rFonts w:hint="eastAsia" w:ascii="仿宋_GB2312" w:eastAsia="仿宋_GB2312"/>
          <w:color w:val="auto"/>
          <w:sz w:val="32"/>
          <w:szCs w:val="32"/>
          <w:highlight w:val="none"/>
        </w:rPr>
        <w:t>年</w:t>
      </w:r>
      <w:r>
        <w:rPr>
          <w:rFonts w:ascii="仿宋_GB2312" w:eastAsia="仿宋_GB2312"/>
          <w:color w:val="auto"/>
          <w:sz w:val="32"/>
          <w:szCs w:val="32"/>
          <w:highlight w:val="none"/>
        </w:rPr>
        <w:t>12</w:t>
      </w:r>
      <w:r>
        <w:rPr>
          <w:rFonts w:hint="eastAsia" w:ascii="仿宋_GB2312" w:eastAsia="仿宋_GB2312"/>
          <w:color w:val="auto"/>
          <w:sz w:val="32"/>
          <w:szCs w:val="32"/>
          <w:highlight w:val="none"/>
        </w:rPr>
        <w:t>月</w:t>
      </w:r>
      <w:r>
        <w:rPr>
          <w:rFonts w:hint="eastAsia" w:ascii="仿宋_GB2312" w:eastAsia="仿宋_GB2312"/>
          <w:color w:val="auto"/>
          <w:sz w:val="32"/>
          <w:szCs w:val="32"/>
          <w:highlight w:val="none"/>
          <w:lang w:val="en-US" w:eastAsia="zh-CN"/>
        </w:rPr>
        <w:t>31日</w:t>
      </w:r>
      <w:r>
        <w:rPr>
          <w:rFonts w:hint="eastAsia" w:ascii="仿宋_GB2312" w:eastAsia="仿宋_GB2312"/>
          <w:color w:val="auto"/>
          <w:sz w:val="32"/>
          <w:szCs w:val="32"/>
          <w:highlight w:val="none"/>
        </w:rPr>
        <w:t>，单位共有公务用车</w:t>
      </w:r>
      <w:r>
        <w:rPr>
          <w:rFonts w:hint="eastAsia" w:ascii="仿宋_GB2312" w:eastAsia="仿宋_GB2312"/>
          <w:color w:val="auto"/>
          <w:sz w:val="32"/>
          <w:szCs w:val="32"/>
          <w:highlight w:val="none"/>
          <w:lang w:val="en-US" w:eastAsia="zh-CN"/>
        </w:rPr>
        <w:t>1</w:t>
      </w:r>
      <w:r>
        <w:rPr>
          <w:rFonts w:hint="eastAsia" w:ascii="仿宋_GB2312" w:eastAsia="仿宋_GB2312"/>
          <w:color w:val="auto"/>
          <w:sz w:val="32"/>
          <w:szCs w:val="32"/>
          <w:highlight w:val="none"/>
        </w:rPr>
        <w:t>辆，其中：轿车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辆、越野车</w:t>
      </w:r>
      <w:r>
        <w:rPr>
          <w:rFonts w:hint="eastAsia" w:ascii="仿宋_GB2312" w:eastAsia="仿宋_GB2312"/>
          <w:color w:val="auto"/>
          <w:sz w:val="32"/>
          <w:szCs w:val="32"/>
          <w:highlight w:val="none"/>
          <w:lang w:val="en-US" w:eastAsia="zh-CN"/>
        </w:rPr>
        <w:t>1</w:t>
      </w:r>
      <w:r>
        <w:rPr>
          <w:rFonts w:hint="eastAsia" w:ascii="仿宋_GB2312" w:eastAsia="仿宋_GB2312"/>
          <w:color w:val="auto"/>
          <w:sz w:val="32"/>
          <w:szCs w:val="32"/>
          <w:highlight w:val="none"/>
        </w:rPr>
        <w:t>辆、载客汽车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w:t>
      </w:r>
      <w:r>
        <w:rPr>
          <w:rFonts w:hint="eastAsia" w:ascii="Times New Roman" w:hAnsi="Times New Roman" w:eastAsia="仿宋_GB2312" w:cs="仿宋_GB2312"/>
          <w:color w:val="auto"/>
          <w:kern w:val="2"/>
          <w:sz w:val="32"/>
          <w:szCs w:val="32"/>
          <w:highlight w:val="none"/>
          <w:lang w:val="en-US" w:eastAsia="zh-CN" w:bidi="ar-SA"/>
        </w:rPr>
        <w:t>。</w:t>
      </w:r>
    </w:p>
    <w:p>
      <w:pPr>
        <w:spacing w:line="600" w:lineRule="exact"/>
        <w:ind w:firstLine="640"/>
        <w:rPr>
          <w:rFonts w:ascii="仿宋_GB2312" w:eastAsia="仿宋_GB2312"/>
          <w:color w:val="auto"/>
          <w:sz w:val="32"/>
          <w:szCs w:val="32"/>
          <w:highlight w:val="none"/>
        </w:rPr>
      </w:pPr>
      <w:r>
        <w:rPr>
          <w:rFonts w:hint="eastAsia" w:ascii="Times New Roman" w:hAnsi="Times New Roman" w:eastAsia="仿宋_GB2312" w:cs="仿宋_GB2312"/>
          <w:color w:val="auto"/>
          <w:kern w:val="2"/>
          <w:sz w:val="32"/>
          <w:szCs w:val="32"/>
          <w:highlight w:val="none"/>
          <w:lang w:val="en-US" w:eastAsia="zh-CN" w:bidi="ar-SA"/>
        </w:rPr>
        <w:t>公务用车运行维护费支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2.74</w:t>
      </w:r>
      <w:r>
        <w:rPr>
          <w:rFonts w:hint="eastAsia" w:ascii="Times New Roman" w:hAnsi="Times New Roman" w:eastAsia="仿宋_GB2312" w:cs="仿宋_GB2312"/>
          <w:color w:val="auto"/>
          <w:kern w:val="2"/>
          <w:sz w:val="32"/>
          <w:szCs w:val="32"/>
          <w:highlight w:val="none"/>
          <w:lang w:val="en-US" w:eastAsia="zh-CN" w:bidi="ar-SA"/>
        </w:rPr>
        <w:t>万元。主要用于</w:t>
      </w:r>
      <w:r>
        <w:rPr>
          <w:rFonts w:hint="eastAsia" w:ascii="仿宋_GB2312" w:eastAsia="仿宋_GB2312"/>
          <w:color w:val="auto"/>
          <w:sz w:val="32"/>
          <w:szCs w:val="32"/>
          <w:highlight w:val="none"/>
          <w:lang w:val="en-US" w:eastAsia="zh-CN"/>
        </w:rPr>
        <w:t>就业工作</w:t>
      </w:r>
      <w:r>
        <w:rPr>
          <w:rFonts w:hint="eastAsia" w:ascii="仿宋_GB2312" w:eastAsia="仿宋_GB2312"/>
          <w:color w:val="auto"/>
          <w:sz w:val="32"/>
          <w:szCs w:val="32"/>
          <w:highlight w:val="none"/>
        </w:rPr>
        <w:t>所需的公务用车燃料费、维修费、过路过桥费、保险费等支出。</w:t>
      </w:r>
    </w:p>
    <w:p>
      <w:pPr>
        <w:spacing w:line="600" w:lineRule="exact"/>
        <w:ind w:firstLine="640"/>
        <w:rPr>
          <w:rFonts w:ascii="仿宋_GB2312" w:eastAsia="仿宋_GB2312"/>
          <w:color w:val="auto"/>
          <w:sz w:val="32"/>
          <w:szCs w:val="32"/>
          <w:highlight w:val="none"/>
        </w:rPr>
      </w:pPr>
      <w:r>
        <w:rPr>
          <w:rFonts w:ascii="仿宋_GB2312" w:eastAsia="仿宋_GB2312"/>
          <w:b/>
          <w:color w:val="auto"/>
          <w:sz w:val="32"/>
          <w:szCs w:val="32"/>
          <w:highlight w:val="none"/>
        </w:rPr>
        <w:t>3.</w:t>
      </w:r>
      <w:r>
        <w:rPr>
          <w:rFonts w:hint="eastAsia" w:ascii="仿宋_GB2312" w:eastAsia="仿宋_GB2312"/>
          <w:b/>
          <w:color w:val="auto"/>
          <w:sz w:val="32"/>
          <w:szCs w:val="32"/>
          <w:highlight w:val="none"/>
        </w:rPr>
        <w:t>公务接待费支出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r>
        <w:rPr>
          <w:rStyle w:val="19"/>
          <w:rFonts w:hint="eastAsia" w:ascii="仿宋" w:hAnsi="仿宋" w:eastAsia="仿宋"/>
          <w:b w:val="0"/>
          <w:bCs/>
          <w:color w:val="auto"/>
          <w:sz w:val="32"/>
          <w:szCs w:val="32"/>
          <w:highlight w:val="none"/>
        </w:rPr>
        <w:t>完成预算</w:t>
      </w:r>
      <w:r>
        <w:rPr>
          <w:rStyle w:val="19"/>
          <w:rFonts w:hint="eastAsia" w:ascii="仿宋" w:hAnsi="仿宋" w:eastAsia="仿宋"/>
          <w:b w:val="0"/>
          <w:bCs/>
          <w:color w:val="auto"/>
          <w:sz w:val="32"/>
          <w:szCs w:val="32"/>
          <w:highlight w:val="none"/>
          <w:lang w:val="en-US" w:eastAsia="zh-CN"/>
        </w:rPr>
        <w:t>0</w:t>
      </w:r>
      <w:r>
        <w:rPr>
          <w:rStyle w:val="19"/>
          <w:rFonts w:ascii="仿宋" w:hAnsi="仿宋" w:eastAsia="仿宋"/>
          <w:b w:val="0"/>
          <w:bCs/>
          <w:color w:val="auto"/>
          <w:sz w:val="32"/>
          <w:szCs w:val="32"/>
          <w:highlight w:val="none"/>
        </w:rPr>
        <w:t>%</w:t>
      </w:r>
      <w:r>
        <w:rPr>
          <w:rStyle w:val="19"/>
          <w:rFonts w:hint="eastAsia" w:ascii="仿宋" w:hAnsi="仿宋" w:eastAsia="仿宋"/>
          <w:b w:val="0"/>
          <w:bCs/>
          <w:color w:val="auto"/>
          <w:sz w:val="32"/>
          <w:szCs w:val="32"/>
          <w:highlight w:val="none"/>
        </w:rPr>
        <w:t>。</w:t>
      </w:r>
      <w:r>
        <w:rPr>
          <w:rFonts w:hint="eastAsia" w:ascii="仿宋_GB2312" w:eastAsia="仿宋_GB2312"/>
          <w:color w:val="auto"/>
          <w:sz w:val="32"/>
          <w:szCs w:val="32"/>
          <w:highlight w:val="none"/>
        </w:rPr>
        <w:t>公务接待费支出决算比</w:t>
      </w:r>
      <w:r>
        <w:rPr>
          <w:rFonts w:hint="eastAsia" w:ascii="仿宋_GB2312" w:eastAsia="仿宋_GB2312"/>
          <w:color w:val="auto"/>
          <w:sz w:val="32"/>
          <w:szCs w:val="32"/>
          <w:highlight w:val="none"/>
          <w:lang w:eastAsia="zh-CN"/>
        </w:rPr>
        <w:t>202</w:t>
      </w:r>
      <w:r>
        <w:rPr>
          <w:rFonts w:hint="eastAsia" w:ascii="仿宋_GB2312" w:eastAsia="仿宋_GB2312"/>
          <w:color w:val="auto"/>
          <w:sz w:val="32"/>
          <w:szCs w:val="32"/>
          <w:highlight w:val="none"/>
          <w:lang w:val="en-US" w:eastAsia="zh-CN"/>
        </w:rPr>
        <w:t>3</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度</w:t>
      </w:r>
      <w:r>
        <w:rPr>
          <w:rFonts w:hint="eastAsia" w:ascii="仿宋_GB2312" w:eastAsia="仿宋_GB2312"/>
          <w:color w:val="auto"/>
          <w:sz w:val="32"/>
          <w:szCs w:val="32"/>
          <w:highlight w:val="none"/>
        </w:rPr>
        <w:t>增加</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万元，增长</w:t>
      </w:r>
      <w:r>
        <w:rPr>
          <w:rFonts w:hint="eastAsia" w:ascii="仿宋_GB2312" w:eastAsia="仿宋_GB2312"/>
          <w:color w:val="auto"/>
          <w:sz w:val="32"/>
          <w:szCs w:val="32"/>
          <w:highlight w:val="none"/>
          <w:lang w:val="en-US" w:eastAsia="zh-CN"/>
        </w:rPr>
        <w:t>0</w:t>
      </w:r>
      <w:r>
        <w:rPr>
          <w:rFonts w:ascii="仿宋_GB2312" w:eastAsia="仿宋_GB2312"/>
          <w:color w:val="auto"/>
          <w:sz w:val="32"/>
          <w:szCs w:val="32"/>
          <w:highlight w:val="none"/>
        </w:rPr>
        <w:t>%</w:t>
      </w:r>
      <w:r>
        <w:rPr>
          <w:rFonts w:hint="eastAsia" w:ascii="仿宋_GB2312" w:eastAsia="仿宋_GB2312"/>
          <w:color w:val="auto"/>
          <w:sz w:val="32"/>
          <w:szCs w:val="32"/>
          <w:highlight w:val="none"/>
        </w:rPr>
        <w:t>。其中：</w:t>
      </w:r>
    </w:p>
    <w:p>
      <w:pPr>
        <w:spacing w:line="600" w:lineRule="exact"/>
        <w:ind w:firstLine="640"/>
        <w:rPr>
          <w:rFonts w:ascii="仿宋_GB2312" w:eastAsia="仿宋_GB2312"/>
          <w:color w:val="auto"/>
          <w:sz w:val="32"/>
          <w:szCs w:val="32"/>
          <w:highlight w:val="none"/>
        </w:rPr>
      </w:pPr>
      <w:r>
        <w:rPr>
          <w:rFonts w:hint="eastAsia" w:ascii="仿宋" w:hAnsi="仿宋" w:eastAsia="仿宋"/>
          <w:b/>
          <w:color w:val="auto"/>
          <w:sz w:val="32"/>
          <w:szCs w:val="32"/>
          <w:highlight w:val="none"/>
        </w:rPr>
        <w:t>国内公务接待支出</w:t>
      </w:r>
      <w:r>
        <w:rPr>
          <w:rFonts w:hint="eastAsia" w:ascii="仿宋" w:hAnsi="仿宋" w:eastAsia="仿宋"/>
          <w:color w:val="auto"/>
          <w:sz w:val="32"/>
          <w:szCs w:val="32"/>
          <w:highlight w:val="none"/>
          <w:lang w:val="en-US" w:eastAsia="zh-CN"/>
        </w:rPr>
        <w:t>0</w:t>
      </w:r>
      <w:r>
        <w:rPr>
          <w:rFonts w:hint="eastAsia" w:ascii="仿宋_GB2312" w:eastAsia="仿宋_GB2312"/>
          <w:color w:val="auto"/>
          <w:sz w:val="32"/>
          <w:szCs w:val="32"/>
          <w:highlight w:val="none"/>
        </w:rPr>
        <w:t>万元。国内公务接待</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批次，</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人次（不包括陪同人员），共计支出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pPr>
        <w:spacing w:line="600" w:lineRule="exact"/>
        <w:ind w:firstLine="640"/>
        <w:outlineLvl w:val="1"/>
        <w:rPr>
          <w:rFonts w:hint="eastAsia" w:ascii="Times New Roman" w:hAnsi="Times New Roman" w:eastAsia="仿宋_GB2312" w:cs="仿宋_GB2312"/>
          <w:color w:val="auto"/>
          <w:kern w:val="2"/>
          <w:sz w:val="32"/>
          <w:szCs w:val="32"/>
          <w:highlight w:val="none"/>
          <w:lang w:val="en-US" w:eastAsia="zh-CN" w:bidi="ar-SA"/>
        </w:rPr>
      </w:pPr>
      <w:bookmarkStart w:id="46" w:name="_Toc30561"/>
      <w:bookmarkStart w:id="47" w:name="_Toc9834"/>
      <w:r>
        <w:rPr>
          <w:rFonts w:hint="eastAsia" w:ascii="仿宋" w:hAnsi="仿宋" w:eastAsia="仿宋"/>
          <w:b/>
          <w:color w:val="auto"/>
          <w:sz w:val="32"/>
          <w:szCs w:val="32"/>
          <w:highlight w:val="none"/>
        </w:rPr>
        <w:t>外事接待支出</w:t>
      </w:r>
      <w:r>
        <w:rPr>
          <w:rFonts w:hint="eastAsia" w:ascii="仿宋" w:hAnsi="仿宋" w:eastAsia="仿宋"/>
          <w:color w:val="auto"/>
          <w:sz w:val="32"/>
          <w:szCs w:val="32"/>
          <w:highlight w:val="none"/>
          <w:lang w:val="en-US" w:eastAsia="zh-CN"/>
        </w:rPr>
        <w:t>0</w:t>
      </w:r>
      <w:r>
        <w:rPr>
          <w:rFonts w:hint="eastAsia" w:ascii="仿宋_GB2312" w:eastAsia="仿宋_GB2312"/>
          <w:color w:val="auto"/>
          <w:sz w:val="32"/>
          <w:szCs w:val="32"/>
          <w:highlight w:val="none"/>
        </w:rPr>
        <w:t>万元</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外事接待</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批次，</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人</w:t>
      </w:r>
      <w:r>
        <w:rPr>
          <w:rFonts w:hint="eastAsia" w:ascii="仿宋_GB2312" w:eastAsia="仿宋_GB2312"/>
          <w:color w:val="auto"/>
          <w:sz w:val="32"/>
          <w:szCs w:val="32"/>
          <w:highlight w:val="none"/>
          <w:lang w:eastAsia="zh-CN"/>
        </w:rPr>
        <w:t>次（不包括陪同人员）</w:t>
      </w:r>
      <w:r>
        <w:rPr>
          <w:rFonts w:hint="eastAsia" w:ascii="仿宋_GB2312" w:eastAsia="仿宋_GB2312"/>
          <w:color w:val="auto"/>
          <w:sz w:val="32"/>
          <w:szCs w:val="32"/>
          <w:highlight w:val="none"/>
        </w:rPr>
        <w:t>，共计支出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bookmarkEnd w:id="46"/>
      <w:bookmarkEnd w:id="47"/>
    </w:p>
    <w:p>
      <w:pPr>
        <w:spacing w:line="600" w:lineRule="exact"/>
        <w:ind w:firstLine="640"/>
        <w:outlineLvl w:val="1"/>
        <w:rPr>
          <w:rStyle w:val="31"/>
          <w:rFonts w:ascii="Times New Roman" w:hAnsi="Times New Roman" w:eastAsia="黑体"/>
          <w:color w:val="auto"/>
          <w:highlight w:val="none"/>
        </w:rPr>
      </w:pPr>
      <w:bookmarkStart w:id="48" w:name="_Toc8816"/>
      <w:r>
        <w:rPr>
          <w:rFonts w:hint="eastAsia" w:ascii="Times New Roman" w:hAnsi="Times New Roman" w:eastAsia="黑体"/>
          <w:color w:val="auto"/>
          <w:sz w:val="32"/>
          <w:szCs w:val="32"/>
          <w:highlight w:val="none"/>
        </w:rPr>
        <w:t>八、</w:t>
      </w:r>
      <w:r>
        <w:rPr>
          <w:rStyle w:val="31"/>
          <w:rFonts w:hint="eastAsia" w:ascii="Times New Roman" w:hAnsi="Times New Roman" w:eastAsia="黑体"/>
          <w:b w:val="0"/>
          <w:color w:val="auto"/>
          <w:highlight w:val="none"/>
        </w:rPr>
        <w:t>政府性基金预算支出决算情况说明</w:t>
      </w:r>
      <w:bookmarkEnd w:id="44"/>
      <w:bookmarkEnd w:id="45"/>
      <w:bookmarkEnd w:id="48"/>
    </w:p>
    <w:p>
      <w:pPr>
        <w:numPr>
          <w:ilvl w:val="0"/>
          <w:numId w:val="0"/>
        </w:numPr>
        <w:spacing w:line="600" w:lineRule="exact"/>
        <w:ind w:firstLine="640" w:firstLineChars="200"/>
        <w:outlineLvl w:val="1"/>
        <w:rPr>
          <w:rFonts w:hint="eastAsia" w:ascii="Times New Roman" w:hAnsi="Times New Roman" w:eastAsia="仿宋_GB2312" w:cs="仿宋_GB2312"/>
          <w:color w:val="auto"/>
          <w:kern w:val="2"/>
          <w:sz w:val="32"/>
          <w:szCs w:val="32"/>
          <w:highlight w:val="none"/>
          <w:lang w:val="en-US" w:eastAsia="zh-CN" w:bidi="ar-SA"/>
        </w:rPr>
      </w:pPr>
      <w:bookmarkStart w:id="49" w:name="_Toc15377219"/>
      <w:bookmarkStart w:id="50" w:name="_Toc15396611"/>
      <w:bookmarkStart w:id="51" w:name="_Toc9885"/>
      <w:r>
        <w:rPr>
          <w:rFonts w:hint="eastAsia" w:ascii="仿宋_GB2312" w:hAnsi="仿宋_GB2312" w:eastAsia="仿宋_GB2312" w:cs="仿宋_GB2312"/>
          <w:color w:val="auto"/>
          <w:kern w:val="2"/>
          <w:sz w:val="32"/>
          <w:szCs w:val="32"/>
          <w:highlight w:val="none"/>
          <w:lang w:val="en-US" w:eastAsia="zh-CN" w:bidi="ar-SA"/>
        </w:rPr>
        <w:t>2024年度政府性基金预算财政拨款支出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w:t>
      </w:r>
    </w:p>
    <w:p>
      <w:pPr>
        <w:numPr>
          <w:ilvl w:val="0"/>
          <w:numId w:val="0"/>
        </w:numPr>
        <w:spacing w:line="600" w:lineRule="exact"/>
        <w:ind w:left="630" w:leftChars="0"/>
        <w:outlineLvl w:val="1"/>
        <w:rPr>
          <w:rStyle w:val="31"/>
          <w:rFonts w:ascii="Times New Roman" w:hAnsi="Times New Roman" w:eastAsia="黑体"/>
          <w:b w:val="0"/>
          <w:color w:val="auto"/>
          <w:highlight w:val="none"/>
        </w:rPr>
      </w:pPr>
      <w:r>
        <w:rPr>
          <w:rStyle w:val="31"/>
          <w:rFonts w:hint="eastAsia" w:ascii="Times New Roman" w:hAnsi="Times New Roman" w:eastAsia="黑体"/>
          <w:b w:val="0"/>
          <w:color w:val="auto"/>
          <w:highlight w:val="none"/>
          <w:lang w:eastAsia="zh-CN"/>
        </w:rPr>
        <w:t>九、</w:t>
      </w:r>
      <w:r>
        <w:rPr>
          <w:rStyle w:val="31"/>
          <w:rFonts w:hint="eastAsia" w:ascii="Times New Roman" w:hAnsi="Times New Roman" w:eastAsia="黑体"/>
          <w:b w:val="0"/>
          <w:color w:val="auto"/>
          <w:highlight w:val="none"/>
        </w:rPr>
        <w:t>国有资本经营预算支出决算情况说明</w:t>
      </w:r>
      <w:bookmarkEnd w:id="49"/>
      <w:bookmarkEnd w:id="50"/>
      <w:bookmarkEnd w:id="51"/>
    </w:p>
    <w:p>
      <w:pPr>
        <w:numPr>
          <w:ilvl w:val="0"/>
          <w:numId w:val="0"/>
        </w:numPr>
        <w:spacing w:line="600" w:lineRule="exact"/>
        <w:ind w:firstLine="640" w:firstLineChars="200"/>
        <w:outlineLvl w:val="1"/>
        <w:rPr>
          <w:rFonts w:hint="eastAsia" w:ascii="Times New Roman" w:hAnsi="Times New Roman" w:eastAsia="仿宋_GB2312" w:cs="仿宋_GB2312"/>
          <w:color w:val="auto"/>
          <w:kern w:val="2"/>
          <w:sz w:val="32"/>
          <w:szCs w:val="32"/>
          <w:highlight w:val="none"/>
          <w:lang w:val="en-US" w:eastAsia="zh-CN" w:bidi="ar-SA"/>
        </w:rPr>
      </w:pPr>
      <w:bookmarkStart w:id="52" w:name="_Toc24630"/>
      <w:bookmarkStart w:id="53" w:name="_Toc15377221"/>
      <w:bookmarkStart w:id="54" w:name="_Toc15396612"/>
      <w:r>
        <w:rPr>
          <w:rFonts w:hint="eastAsia" w:ascii="Times New Roman" w:hAnsi="Times New Roman" w:eastAsia="仿宋_GB2312" w:cs="仿宋_GB2312"/>
          <w:color w:val="auto"/>
          <w:kern w:val="2"/>
          <w:sz w:val="32"/>
          <w:szCs w:val="32"/>
          <w:highlight w:val="none"/>
          <w:lang w:val="en-US" w:eastAsia="zh-CN" w:bidi="ar-SA"/>
        </w:rPr>
        <w:t>2024年度国有资本经营预算财政拨款支出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w:t>
      </w:r>
    </w:p>
    <w:p>
      <w:pPr>
        <w:numPr>
          <w:ilvl w:val="0"/>
          <w:numId w:val="0"/>
        </w:numPr>
        <w:spacing w:line="600" w:lineRule="exact"/>
        <w:ind w:left="630" w:leftChars="0"/>
        <w:outlineLvl w:val="1"/>
        <w:rPr>
          <w:rStyle w:val="31"/>
          <w:rFonts w:hint="eastAsia" w:ascii="Times New Roman" w:hAnsi="Times New Roman" w:eastAsia="黑体"/>
          <w:b w:val="0"/>
          <w:color w:val="auto"/>
          <w:highlight w:val="none"/>
        </w:rPr>
      </w:pPr>
      <w:r>
        <w:rPr>
          <w:rStyle w:val="31"/>
          <w:rFonts w:hint="eastAsia" w:ascii="Times New Roman" w:hAnsi="Times New Roman" w:eastAsia="黑体"/>
          <w:b w:val="0"/>
          <w:color w:val="auto"/>
          <w:highlight w:val="none"/>
          <w:lang w:eastAsia="zh-CN"/>
        </w:rPr>
        <w:t>十、</w:t>
      </w:r>
      <w:r>
        <w:rPr>
          <w:rStyle w:val="31"/>
          <w:rFonts w:hint="eastAsia" w:ascii="Times New Roman" w:hAnsi="Times New Roman" w:eastAsia="黑体"/>
          <w:b w:val="0"/>
          <w:color w:val="auto"/>
          <w:highlight w:val="none"/>
        </w:rPr>
        <w:t>其他重要事项的情况说明</w:t>
      </w:r>
      <w:bookmarkEnd w:id="52"/>
      <w:bookmarkEnd w:id="53"/>
      <w:bookmarkEnd w:id="54"/>
    </w:p>
    <w:p>
      <w:pPr>
        <w:spacing w:line="600" w:lineRule="exact"/>
        <w:ind w:firstLine="642" w:firstLineChars="200"/>
        <w:outlineLvl w:val="2"/>
        <w:rPr>
          <w:rFonts w:hint="eastAsia" w:ascii="Times New Roman" w:hAnsi="Times New Roman" w:eastAsia="楷体_GB2312" w:cs="楷体_GB2312"/>
          <w:b/>
          <w:color w:val="auto"/>
          <w:sz w:val="32"/>
          <w:szCs w:val="32"/>
          <w:highlight w:val="none"/>
        </w:rPr>
      </w:pPr>
      <w:bookmarkStart w:id="55" w:name="_Toc15377222"/>
      <w:r>
        <w:rPr>
          <w:rFonts w:hint="eastAsia" w:ascii="Times New Roman" w:hAnsi="Times New Roman" w:eastAsia="楷体_GB2312" w:cs="楷体_GB2312"/>
          <w:b/>
          <w:color w:val="auto"/>
          <w:sz w:val="32"/>
          <w:szCs w:val="32"/>
          <w:highlight w:val="none"/>
        </w:rPr>
        <w:t>（一）机关运行经费支出情况</w:t>
      </w:r>
      <w:bookmarkEnd w:id="55"/>
    </w:p>
    <w:p>
      <w:pPr>
        <w:spacing w:line="600" w:lineRule="exact"/>
        <w:ind w:firstLine="640"/>
        <w:rPr>
          <w:rFonts w:hint="default" w:ascii="Times New Roman" w:hAnsi="Times New Roman" w:eastAsia="仿宋_GB2312" w:cs="仿宋_GB2312"/>
          <w:color w:val="auto"/>
          <w:kern w:val="2"/>
          <w:sz w:val="32"/>
          <w:szCs w:val="32"/>
          <w:highlight w:val="none"/>
          <w:lang w:val="en-US" w:eastAsia="zh-CN" w:bidi="ar-SA"/>
        </w:rPr>
      </w:pPr>
      <w:bookmarkStart w:id="56" w:name="_Toc15377223"/>
      <w:r>
        <w:rPr>
          <w:rFonts w:hint="eastAsia" w:ascii="Times New Roman" w:hAnsi="Times New Roman" w:eastAsia="仿宋_GB2312" w:cs="仿宋_GB2312"/>
          <w:color w:val="auto"/>
          <w:kern w:val="2"/>
          <w:sz w:val="32"/>
          <w:szCs w:val="32"/>
          <w:highlight w:val="none"/>
          <w:lang w:val="en-US" w:eastAsia="zh-CN" w:bidi="ar-SA"/>
        </w:rPr>
        <w:t>2024年度</w:t>
      </w:r>
      <w:r>
        <w:rPr>
          <w:rFonts w:hint="eastAsia" w:ascii="仿宋_GB2312" w:hAnsi="仿宋_GB2312" w:eastAsia="仿宋_GB2312" w:cs="仿宋_GB2312"/>
          <w:color w:val="auto"/>
          <w:kern w:val="2"/>
          <w:sz w:val="32"/>
          <w:szCs w:val="32"/>
          <w:highlight w:val="none"/>
          <w:lang w:val="en-US" w:eastAsia="zh-CN" w:bidi="ar-SA"/>
        </w:rPr>
        <w:t>，</w:t>
      </w:r>
      <w:r>
        <w:rPr>
          <w:rFonts w:hint="eastAsia" w:ascii="仿宋_GB2312" w:hAnsi="仿宋_GB2312" w:eastAsia="仿宋_GB2312" w:cs="仿宋_GB2312"/>
          <w:sz w:val="32"/>
          <w:szCs w:val="32"/>
        </w:rPr>
        <w:t>茂县就业服务中心</w:t>
      </w:r>
      <w:r>
        <w:rPr>
          <w:rFonts w:hint="eastAsia" w:ascii="仿宋_GB2312" w:hAnsi="仿宋_GB2312" w:eastAsia="仿宋_GB2312" w:cs="仿宋_GB2312"/>
          <w:color w:val="auto"/>
          <w:kern w:val="2"/>
          <w:sz w:val="32"/>
          <w:szCs w:val="32"/>
          <w:highlight w:val="none"/>
          <w:lang w:val="en-US" w:eastAsia="zh-CN" w:bidi="ar-SA"/>
        </w:rPr>
        <w:t>机关运行经费支出</w:t>
      </w:r>
      <w:r>
        <w:rPr>
          <w:rFonts w:hint="eastAsia" w:ascii="仿宋_GB2312" w:hAnsi="仿宋_GB2312" w:eastAsia="仿宋_GB2312" w:cs="仿宋_GB2312"/>
          <w:sz w:val="32"/>
          <w:szCs w:val="32"/>
        </w:rPr>
        <w:t>11.91</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元，比2023年度增加</w:t>
      </w:r>
      <w:r>
        <w:rPr>
          <w:rFonts w:hint="eastAsia" w:eastAsia="仿宋_GB2312" w:cs="仿宋_GB2312"/>
          <w:color w:val="auto"/>
          <w:kern w:val="2"/>
          <w:sz w:val="32"/>
          <w:szCs w:val="32"/>
          <w:highlight w:val="none"/>
          <w:lang w:val="en-US" w:eastAsia="zh-CN" w:bidi="ar-SA"/>
        </w:rPr>
        <w:t>2.63</w:t>
      </w:r>
      <w:r>
        <w:rPr>
          <w:rFonts w:hint="eastAsia" w:ascii="Times New Roman" w:hAnsi="Times New Roman" w:eastAsia="仿宋_GB2312" w:cs="仿宋_GB2312"/>
          <w:color w:val="auto"/>
          <w:kern w:val="2"/>
          <w:sz w:val="32"/>
          <w:szCs w:val="32"/>
          <w:highlight w:val="none"/>
          <w:lang w:val="en-US" w:eastAsia="zh-CN" w:bidi="ar-SA"/>
        </w:rPr>
        <w:t>万元，增长</w:t>
      </w:r>
      <w:r>
        <w:rPr>
          <w:rFonts w:hint="eastAsia" w:eastAsia="仿宋_GB2312" w:cs="仿宋_GB2312"/>
          <w:color w:val="auto"/>
          <w:kern w:val="2"/>
          <w:sz w:val="32"/>
          <w:szCs w:val="32"/>
          <w:highlight w:val="none"/>
          <w:lang w:val="en-US" w:eastAsia="zh-CN" w:bidi="ar-SA"/>
        </w:rPr>
        <w:t>28.34</w:t>
      </w:r>
      <w:r>
        <w:rPr>
          <w:rFonts w:hint="eastAsia" w:ascii="Times New Roman" w:hAnsi="Times New Roman" w:eastAsia="仿宋_GB2312" w:cs="仿宋_GB2312"/>
          <w:color w:val="auto"/>
          <w:kern w:val="2"/>
          <w:sz w:val="32"/>
          <w:szCs w:val="32"/>
          <w:highlight w:val="none"/>
          <w:lang w:val="en-US" w:eastAsia="zh-CN" w:bidi="ar-SA"/>
        </w:rPr>
        <w:t>%。主要原因是</w:t>
      </w:r>
      <w:r>
        <w:rPr>
          <w:rFonts w:hint="eastAsia" w:eastAsia="仿宋_GB2312" w:cs="仿宋_GB2312"/>
          <w:color w:val="auto"/>
          <w:kern w:val="2"/>
          <w:sz w:val="32"/>
          <w:szCs w:val="32"/>
          <w:highlight w:val="none"/>
          <w:lang w:val="en-US" w:eastAsia="zh-CN" w:bidi="ar-SA"/>
        </w:rPr>
        <w:t>：人员变动，经费增加。</w:t>
      </w:r>
    </w:p>
    <w:p>
      <w:pPr>
        <w:numPr>
          <w:ilvl w:val="0"/>
          <w:numId w:val="1"/>
        </w:numPr>
        <w:spacing w:line="600" w:lineRule="exact"/>
        <w:ind w:firstLine="642" w:firstLineChars="200"/>
        <w:outlineLvl w:val="2"/>
        <w:rPr>
          <w:rFonts w:hint="eastAsia" w:ascii="Times New Roman" w:hAnsi="Times New Roman" w:eastAsia="楷体_GB2312" w:cs="楷体_GB2312"/>
          <w:b/>
          <w:color w:val="auto"/>
          <w:sz w:val="32"/>
          <w:szCs w:val="32"/>
          <w:highlight w:val="none"/>
        </w:rPr>
      </w:pPr>
      <w:r>
        <w:rPr>
          <w:rFonts w:hint="eastAsia" w:ascii="Times New Roman" w:hAnsi="Times New Roman" w:eastAsia="楷体_GB2312" w:cs="楷体_GB2312"/>
          <w:b/>
          <w:color w:val="auto"/>
          <w:sz w:val="32"/>
          <w:szCs w:val="32"/>
          <w:highlight w:val="none"/>
        </w:rPr>
        <w:t>政府采购支出情况</w:t>
      </w:r>
      <w:bookmarkEnd w:id="56"/>
      <w:bookmarkStart w:id="57" w:name="_Toc15377224"/>
    </w:p>
    <w:p>
      <w:pPr>
        <w:numPr>
          <w:ilvl w:val="0"/>
          <w:numId w:val="0"/>
        </w:numPr>
        <w:spacing w:line="600" w:lineRule="exact"/>
        <w:ind w:firstLine="640" w:firstLineChars="200"/>
        <w:outlineLvl w:val="2"/>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w:t>
      </w:r>
      <w:r>
        <w:rPr>
          <w:rFonts w:hint="eastAsia" w:ascii="仿宋_GB2312" w:hAnsi="仿宋_GB2312" w:eastAsia="仿宋_GB2312" w:cs="仿宋_GB2312"/>
          <w:sz w:val="32"/>
          <w:szCs w:val="32"/>
        </w:rPr>
        <w:t>茂县就业服务中心</w:t>
      </w:r>
      <w:r>
        <w:rPr>
          <w:rFonts w:hint="eastAsia" w:ascii="仿宋_GB2312" w:hAnsi="仿宋_GB2312" w:eastAsia="仿宋_GB2312" w:cs="仿宋_GB2312"/>
          <w:color w:val="auto"/>
          <w:kern w:val="2"/>
          <w:sz w:val="32"/>
          <w:szCs w:val="32"/>
          <w:highlight w:val="none"/>
          <w:lang w:val="en-US" w:eastAsia="zh-CN" w:bidi="ar-SA"/>
        </w:rPr>
        <w:t>政府采购支出总额</w:t>
      </w:r>
      <w:r>
        <w:rPr>
          <w:rFonts w:hint="eastAsia" w:ascii="仿宋_GB2312" w:hAnsi="仿宋_GB2312" w:eastAsia="仿宋_GB2312" w:cs="仿宋_GB2312"/>
          <w:sz w:val="32"/>
          <w:szCs w:val="32"/>
        </w:rPr>
        <w:t>191.6</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color w:val="auto"/>
          <w:kern w:val="2"/>
          <w:sz w:val="32"/>
          <w:szCs w:val="32"/>
          <w:highlight w:val="none"/>
          <w:lang w:val="en-US" w:eastAsia="zh-CN" w:bidi="ar-SA"/>
        </w:rPr>
        <w:t>万元，其中：政府采购货物支出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万元、政府采购工程支出</w:t>
      </w:r>
      <w:r>
        <w:rPr>
          <w:rFonts w:hint="eastAsia" w:ascii="仿宋_GB2312" w:hAnsi="仿宋_GB2312" w:eastAsia="仿宋_GB2312" w:cs="仿宋_GB2312"/>
          <w:sz w:val="32"/>
          <w:szCs w:val="32"/>
        </w:rPr>
        <w:t>144</w:t>
      </w:r>
      <w:r>
        <w:rPr>
          <w:rFonts w:hint="eastAsia" w:ascii="仿宋_GB2312" w:hAnsi="仿宋_GB2312" w:eastAsia="仿宋_GB2312" w:cs="仿宋_GB2312"/>
          <w:sz w:val="32"/>
          <w:szCs w:val="32"/>
          <w:lang w:val="en-US" w:eastAsia="zh-CN"/>
        </w:rPr>
        <w:t>.00</w:t>
      </w:r>
      <w:r>
        <w:rPr>
          <w:rFonts w:hint="eastAsia" w:ascii="仿宋_GB2312" w:hAnsi="仿宋_GB2312" w:eastAsia="仿宋_GB2312" w:cs="仿宋_GB2312"/>
          <w:color w:val="auto"/>
          <w:kern w:val="2"/>
          <w:sz w:val="32"/>
          <w:szCs w:val="32"/>
          <w:highlight w:val="none"/>
          <w:lang w:val="en-US" w:eastAsia="zh-CN" w:bidi="ar-SA"/>
        </w:rPr>
        <w:t>万元、政府采购服务支出</w:t>
      </w:r>
      <w:r>
        <w:rPr>
          <w:rFonts w:hint="eastAsia" w:ascii="仿宋_GB2312" w:hAnsi="仿宋_GB2312" w:eastAsia="仿宋_GB2312" w:cs="仿宋_GB2312"/>
          <w:sz w:val="32"/>
          <w:szCs w:val="32"/>
        </w:rPr>
        <w:t>47.6</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color w:val="auto"/>
          <w:kern w:val="2"/>
          <w:sz w:val="32"/>
          <w:szCs w:val="32"/>
          <w:highlight w:val="none"/>
          <w:lang w:val="en-US" w:eastAsia="zh-CN" w:bidi="ar-SA"/>
        </w:rPr>
        <w:t>万元。主要用于茂县青年（大学生）创新创业孵化基地以及2024年执业技能和劳务品牌培训。授予中小企业合同金额</w:t>
      </w:r>
      <w:r>
        <w:rPr>
          <w:rFonts w:hint="eastAsia" w:ascii="仿宋_GB2312" w:hAnsi="仿宋_GB2312" w:eastAsia="仿宋_GB2312" w:cs="仿宋_GB2312"/>
          <w:sz w:val="32"/>
          <w:szCs w:val="32"/>
        </w:rPr>
        <w:t>191.6</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color w:val="auto"/>
          <w:kern w:val="2"/>
          <w:sz w:val="32"/>
          <w:szCs w:val="32"/>
          <w:highlight w:val="none"/>
          <w:lang w:val="en-US" w:eastAsia="zh-CN" w:bidi="ar-SA"/>
        </w:rPr>
        <w:t>万元，占政府采购支出总额的</w:t>
      </w:r>
      <w:r>
        <w:rPr>
          <w:rFonts w:hint="eastAsia" w:ascii="仿宋_GB2312" w:hAnsi="仿宋_GB2312" w:eastAsia="仿宋_GB2312" w:cs="仿宋_GB2312"/>
          <w:sz w:val="32"/>
          <w:szCs w:val="32"/>
        </w:rPr>
        <w:t>100</w:t>
      </w:r>
      <w:r>
        <w:rPr>
          <w:rFonts w:hint="eastAsia" w:ascii="仿宋_GB2312" w:hAnsi="仿宋_GB2312" w:eastAsia="仿宋_GB2312" w:cs="仿宋_GB2312"/>
          <w:color w:val="auto"/>
          <w:kern w:val="2"/>
          <w:sz w:val="32"/>
          <w:szCs w:val="32"/>
          <w:highlight w:val="none"/>
          <w:lang w:val="en-US" w:eastAsia="zh-CN" w:bidi="ar-SA"/>
        </w:rPr>
        <w:t>%，其中：授予小微企业合同金额</w:t>
      </w:r>
      <w:r>
        <w:rPr>
          <w:rFonts w:hint="eastAsia" w:ascii="仿宋_GB2312" w:hAnsi="仿宋_GB2312" w:eastAsia="仿宋_GB2312" w:cs="仿宋_GB2312"/>
          <w:sz w:val="32"/>
          <w:szCs w:val="32"/>
        </w:rPr>
        <w:t>47.6</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color w:val="auto"/>
          <w:kern w:val="2"/>
          <w:sz w:val="32"/>
          <w:szCs w:val="32"/>
          <w:highlight w:val="none"/>
          <w:lang w:val="en-US" w:eastAsia="zh-CN" w:bidi="ar-SA"/>
        </w:rPr>
        <w:t>万元，占政府采购支出总额的</w:t>
      </w:r>
      <w:r>
        <w:rPr>
          <w:rFonts w:hint="eastAsia" w:ascii="仿宋_GB2312" w:hAnsi="仿宋_GB2312" w:eastAsia="仿宋_GB2312" w:cs="仿宋_GB2312"/>
          <w:sz w:val="32"/>
          <w:szCs w:val="32"/>
        </w:rPr>
        <w:t>24.84</w:t>
      </w:r>
      <w:r>
        <w:rPr>
          <w:rFonts w:hint="eastAsia" w:ascii="仿宋_GB2312" w:hAnsi="仿宋_GB2312" w:eastAsia="仿宋_GB2312" w:cs="仿宋_GB2312"/>
          <w:color w:val="auto"/>
          <w:kern w:val="2"/>
          <w:sz w:val="32"/>
          <w:szCs w:val="32"/>
          <w:highlight w:val="none"/>
          <w:lang w:val="en-US" w:eastAsia="zh-CN" w:bidi="ar-SA"/>
        </w:rPr>
        <w:t>%。</w:t>
      </w:r>
    </w:p>
    <w:p>
      <w:pPr>
        <w:spacing w:line="600" w:lineRule="exact"/>
        <w:ind w:firstLine="642" w:firstLineChars="200"/>
        <w:outlineLvl w:val="2"/>
        <w:rPr>
          <w:rFonts w:hint="eastAsia" w:ascii="Times New Roman" w:hAnsi="Times New Roman" w:eastAsia="楷体_GB2312" w:cs="楷体_GB2312"/>
          <w:b/>
          <w:color w:val="auto"/>
          <w:sz w:val="32"/>
          <w:szCs w:val="32"/>
          <w:highlight w:val="none"/>
        </w:rPr>
      </w:pPr>
      <w:r>
        <w:rPr>
          <w:rFonts w:hint="eastAsia" w:ascii="Times New Roman" w:hAnsi="Times New Roman" w:eastAsia="楷体_GB2312" w:cs="楷体_GB2312"/>
          <w:b/>
          <w:color w:val="auto"/>
          <w:sz w:val="32"/>
          <w:szCs w:val="32"/>
          <w:highlight w:val="none"/>
        </w:rPr>
        <w:t>（三）国有资产占有使用情况</w:t>
      </w:r>
      <w:bookmarkEnd w:id="57"/>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截至2024年12月31日，</w:t>
      </w:r>
      <w:r>
        <w:rPr>
          <w:rFonts w:hint="eastAsia" w:ascii="仿宋_GB2312" w:hAnsi="仿宋_GB2312" w:eastAsia="仿宋_GB2312" w:cs="仿宋_GB2312"/>
          <w:sz w:val="32"/>
          <w:szCs w:val="32"/>
        </w:rPr>
        <w:t>茂县就业服务中心</w:t>
      </w:r>
      <w:r>
        <w:rPr>
          <w:rFonts w:hint="eastAsia" w:ascii="仿宋_GB2312" w:hAnsi="仿宋_GB2312" w:eastAsia="仿宋_GB2312" w:cs="仿宋_GB2312"/>
          <w:color w:val="auto"/>
          <w:kern w:val="2"/>
          <w:sz w:val="32"/>
          <w:szCs w:val="32"/>
          <w:highlight w:val="none"/>
          <w:lang w:val="en-US" w:eastAsia="zh-CN" w:bidi="ar-SA"/>
        </w:rPr>
        <w:t>共有车辆</w:t>
      </w:r>
      <w:r>
        <w:rPr>
          <w:rFonts w:hint="eastAsia" w:ascii="仿宋_GB2312" w:hAnsi="仿宋_GB2312" w:eastAsia="仿宋_GB2312" w:cs="仿宋_GB2312"/>
          <w:sz w:val="32"/>
          <w:szCs w:val="32"/>
        </w:rPr>
        <w:t>1</w:t>
      </w:r>
      <w:r>
        <w:rPr>
          <w:rFonts w:hint="eastAsia" w:ascii="仿宋_GB2312" w:hAnsi="仿宋_GB2312" w:eastAsia="仿宋_GB2312" w:cs="仿宋_GB2312"/>
          <w:color w:val="auto"/>
          <w:kern w:val="2"/>
          <w:sz w:val="32"/>
          <w:szCs w:val="32"/>
          <w:highlight w:val="none"/>
          <w:lang w:val="en-US" w:eastAsia="zh-CN" w:bidi="ar-SA"/>
        </w:rPr>
        <w:t>辆，其中：主要负责人用车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辆、机要通信用车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辆、应急保障用车</w:t>
      </w:r>
      <w:r>
        <w:rPr>
          <w:rFonts w:hint="eastAsia" w:ascii="仿宋_GB2312" w:hAnsi="仿宋_GB2312" w:eastAsia="仿宋_GB2312" w:cs="仿宋_GB2312"/>
          <w:sz w:val="32"/>
          <w:szCs w:val="32"/>
        </w:rPr>
        <w:t>1</w:t>
      </w:r>
      <w:r>
        <w:rPr>
          <w:rFonts w:hint="eastAsia" w:ascii="仿宋_GB2312" w:hAnsi="仿宋_GB2312" w:eastAsia="仿宋_GB2312" w:cs="仿宋_GB2312"/>
          <w:color w:val="auto"/>
          <w:kern w:val="2"/>
          <w:sz w:val="32"/>
          <w:szCs w:val="32"/>
          <w:highlight w:val="none"/>
          <w:lang w:val="en-US" w:eastAsia="zh-CN" w:bidi="ar-SA"/>
        </w:rPr>
        <w:t>辆、其他用车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辆。单价100万元（含）以上设备（不含车辆）</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台（套）</w:t>
      </w:r>
      <w:r>
        <w:rPr>
          <w:rFonts w:hint="eastAsia" w:ascii="Times New Roman" w:hAnsi="Times New Roman" w:eastAsia="仿宋_GB2312" w:cs="仿宋_GB2312"/>
          <w:color w:val="auto"/>
          <w:kern w:val="2"/>
          <w:sz w:val="32"/>
          <w:szCs w:val="32"/>
          <w:highlight w:val="none"/>
          <w:lang w:val="en-US" w:eastAsia="zh-CN" w:bidi="ar-SA"/>
        </w:rPr>
        <w:t>。</w:t>
      </w:r>
    </w:p>
    <w:p>
      <w:pPr>
        <w:spacing w:line="600" w:lineRule="exact"/>
        <w:ind w:firstLine="642" w:firstLineChars="200"/>
        <w:outlineLvl w:val="2"/>
        <w:rPr>
          <w:rFonts w:hint="eastAsia" w:ascii="Times New Roman" w:hAnsi="Times New Roman" w:eastAsia="楷体_GB2312" w:cs="楷体_GB2312"/>
          <w:b/>
          <w:color w:val="auto"/>
          <w:sz w:val="32"/>
          <w:szCs w:val="32"/>
          <w:highlight w:val="none"/>
        </w:rPr>
      </w:pPr>
      <w:r>
        <w:rPr>
          <w:rFonts w:hint="eastAsia" w:ascii="Times New Roman" w:hAnsi="Times New Roman" w:eastAsia="楷体_GB2312" w:cs="楷体_GB2312"/>
          <w:b/>
          <w:color w:val="auto"/>
          <w:sz w:val="32"/>
          <w:szCs w:val="32"/>
          <w:highlight w:val="none"/>
        </w:rPr>
        <w:t>（四）预算绩效管理情况</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根据预算绩效管理要求，</w:t>
      </w:r>
      <w:r>
        <w:rPr>
          <w:rFonts w:hint="eastAsia" w:eastAsia="仿宋_GB2312" w:cs="仿宋_GB2312"/>
          <w:color w:val="auto"/>
          <w:kern w:val="2"/>
          <w:sz w:val="32"/>
          <w:szCs w:val="32"/>
          <w:highlight w:val="none"/>
          <w:lang w:val="en-US" w:eastAsia="zh-CN" w:bidi="ar-SA"/>
        </w:rPr>
        <w:t>我中心</w:t>
      </w:r>
      <w:r>
        <w:rPr>
          <w:rFonts w:hint="eastAsia" w:ascii="Times New Roman" w:hAnsi="Times New Roman" w:eastAsia="仿宋_GB2312" w:cs="仿宋_GB2312"/>
          <w:color w:val="auto"/>
          <w:kern w:val="2"/>
          <w:sz w:val="32"/>
          <w:szCs w:val="32"/>
          <w:highlight w:val="none"/>
          <w:lang w:val="en-US" w:eastAsia="zh-CN" w:bidi="ar-SA"/>
        </w:rPr>
        <w:t>在2024年度预算编制阶段，组织对茂县青年（大学生）</w:t>
      </w:r>
      <w:r>
        <w:rPr>
          <w:rFonts w:hint="eastAsia" w:eastAsia="仿宋_GB2312" w:cs="仿宋_GB2312"/>
          <w:color w:val="auto"/>
          <w:kern w:val="2"/>
          <w:sz w:val="32"/>
          <w:szCs w:val="32"/>
          <w:highlight w:val="none"/>
          <w:lang w:val="en-US" w:eastAsia="zh-CN" w:bidi="ar-SA"/>
        </w:rPr>
        <w:t>创新创业</w:t>
      </w:r>
      <w:r>
        <w:rPr>
          <w:rFonts w:hint="eastAsia" w:ascii="Times New Roman" w:hAnsi="Times New Roman" w:eastAsia="仿宋_GB2312" w:cs="仿宋_GB2312"/>
          <w:color w:val="auto"/>
          <w:kern w:val="2"/>
          <w:sz w:val="32"/>
          <w:szCs w:val="32"/>
          <w:highlight w:val="none"/>
          <w:lang w:val="en-US" w:eastAsia="zh-CN" w:bidi="ar-SA"/>
        </w:rPr>
        <w:t>孵化基地等</w:t>
      </w:r>
      <w:r>
        <w:rPr>
          <w:rFonts w:hint="eastAsia" w:eastAsia="仿宋_GB2312" w:cs="仿宋_GB2312"/>
          <w:color w:val="auto"/>
          <w:kern w:val="2"/>
          <w:sz w:val="32"/>
          <w:szCs w:val="32"/>
          <w:highlight w:val="none"/>
          <w:lang w:val="en-US" w:eastAsia="zh-CN" w:bidi="ar-SA"/>
        </w:rPr>
        <w:t>14</w:t>
      </w:r>
      <w:r>
        <w:rPr>
          <w:rFonts w:hint="eastAsia" w:ascii="Times New Roman" w:hAnsi="Times New Roman" w:eastAsia="仿宋_GB2312" w:cs="仿宋_GB2312"/>
          <w:color w:val="auto"/>
          <w:kern w:val="2"/>
          <w:sz w:val="32"/>
          <w:szCs w:val="32"/>
          <w:highlight w:val="none"/>
          <w:lang w:val="en-US" w:eastAsia="zh-CN" w:bidi="ar-SA"/>
        </w:rPr>
        <w:t>个项目开展了预算事前绩效评估，对</w:t>
      </w:r>
      <w:r>
        <w:rPr>
          <w:rFonts w:hint="eastAsia" w:eastAsia="仿宋_GB2312" w:cs="仿宋_GB2312"/>
          <w:color w:val="auto"/>
          <w:kern w:val="2"/>
          <w:sz w:val="32"/>
          <w:szCs w:val="32"/>
          <w:highlight w:val="none"/>
          <w:lang w:val="en-US" w:eastAsia="zh-CN" w:bidi="ar-SA"/>
        </w:rPr>
        <w:t>14</w:t>
      </w:r>
      <w:r>
        <w:rPr>
          <w:rFonts w:hint="eastAsia" w:ascii="Times New Roman" w:hAnsi="Times New Roman" w:eastAsia="仿宋_GB2312" w:cs="仿宋_GB2312"/>
          <w:color w:val="auto"/>
          <w:kern w:val="2"/>
          <w:sz w:val="32"/>
          <w:szCs w:val="32"/>
          <w:highlight w:val="none"/>
          <w:lang w:val="en-US" w:eastAsia="zh-CN" w:bidi="ar-SA"/>
        </w:rPr>
        <w:t>个项目编制了绩效目标，预算执行过程中，选取</w:t>
      </w:r>
      <w:r>
        <w:rPr>
          <w:rFonts w:hint="eastAsia" w:eastAsia="仿宋_GB2312" w:cs="仿宋_GB2312"/>
          <w:color w:val="auto"/>
          <w:kern w:val="2"/>
          <w:sz w:val="32"/>
          <w:szCs w:val="32"/>
          <w:highlight w:val="none"/>
          <w:lang w:val="en-US" w:eastAsia="zh-CN" w:bidi="ar-SA"/>
        </w:rPr>
        <w:t>14</w:t>
      </w:r>
      <w:r>
        <w:rPr>
          <w:rFonts w:hint="eastAsia" w:ascii="Times New Roman" w:hAnsi="Times New Roman" w:eastAsia="仿宋_GB2312" w:cs="仿宋_GB2312"/>
          <w:color w:val="auto"/>
          <w:kern w:val="2"/>
          <w:sz w:val="32"/>
          <w:szCs w:val="32"/>
          <w:highlight w:val="none"/>
          <w:lang w:val="en-US" w:eastAsia="zh-CN" w:bidi="ar-SA"/>
        </w:rPr>
        <w:t>个项目开展绩效监控。</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组织对2024年度一般公共预算、政府性基金预算、国有资本经营预算、社会保险基金预算以及资本资产、债券资金等全面开展绩效自评，形成</w:t>
      </w:r>
      <w:r>
        <w:rPr>
          <w:rFonts w:hint="eastAsia" w:eastAsia="仿宋_GB2312" w:cs="仿宋_GB2312"/>
          <w:color w:val="auto"/>
          <w:kern w:val="2"/>
          <w:sz w:val="32"/>
          <w:szCs w:val="32"/>
          <w:highlight w:val="none"/>
          <w:lang w:val="en-US" w:eastAsia="zh-CN" w:bidi="ar-SA"/>
        </w:rPr>
        <w:t>茂县就业服务中心</w:t>
      </w:r>
      <w:r>
        <w:rPr>
          <w:rFonts w:hint="eastAsia" w:ascii="Times New Roman" w:hAnsi="Times New Roman" w:eastAsia="仿宋_GB2312" w:cs="仿宋_GB2312"/>
          <w:color w:val="auto"/>
          <w:kern w:val="2"/>
          <w:sz w:val="32"/>
          <w:szCs w:val="32"/>
          <w:highlight w:val="none"/>
          <w:lang w:val="en-US" w:eastAsia="zh-CN" w:bidi="ar-SA"/>
        </w:rPr>
        <w:t>部门整体（含部门预算项目）绩效自评报告、茂县青年（大学生）</w:t>
      </w:r>
      <w:r>
        <w:rPr>
          <w:rFonts w:hint="eastAsia" w:eastAsia="仿宋_GB2312" w:cs="仿宋_GB2312"/>
          <w:color w:val="auto"/>
          <w:kern w:val="2"/>
          <w:sz w:val="32"/>
          <w:szCs w:val="32"/>
          <w:highlight w:val="none"/>
          <w:lang w:val="en-US" w:eastAsia="zh-CN" w:bidi="ar-SA"/>
        </w:rPr>
        <w:t>创新创业</w:t>
      </w:r>
      <w:r>
        <w:rPr>
          <w:rFonts w:hint="eastAsia" w:ascii="Times New Roman" w:hAnsi="Times New Roman" w:eastAsia="仿宋_GB2312" w:cs="仿宋_GB2312"/>
          <w:color w:val="auto"/>
          <w:kern w:val="2"/>
          <w:sz w:val="32"/>
          <w:szCs w:val="32"/>
          <w:highlight w:val="none"/>
          <w:lang w:val="en-US" w:eastAsia="zh-CN" w:bidi="ar-SA"/>
        </w:rPr>
        <w:t>孵化基地等专项预算项目绩效自评报告，其中，</w:t>
      </w:r>
      <w:r>
        <w:rPr>
          <w:rFonts w:hint="eastAsia" w:eastAsia="仿宋_GB2312" w:cs="仿宋_GB2312"/>
          <w:color w:val="auto"/>
          <w:kern w:val="2"/>
          <w:sz w:val="32"/>
          <w:szCs w:val="32"/>
          <w:highlight w:val="none"/>
          <w:lang w:val="en-US" w:eastAsia="zh-CN" w:bidi="ar-SA"/>
        </w:rPr>
        <w:t>茂县就业服务中心</w:t>
      </w:r>
      <w:r>
        <w:rPr>
          <w:rFonts w:hint="eastAsia" w:ascii="Times New Roman" w:hAnsi="Times New Roman" w:eastAsia="仿宋_GB2312" w:cs="仿宋_GB2312"/>
          <w:color w:val="auto"/>
          <w:kern w:val="2"/>
          <w:sz w:val="32"/>
          <w:szCs w:val="32"/>
          <w:highlight w:val="none"/>
          <w:lang w:val="en-US" w:eastAsia="zh-CN" w:bidi="ar-SA"/>
        </w:rPr>
        <w:t>部门整体（含部门预算项目）绩效自评得分为</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分，绩效自评综述</w:t>
      </w:r>
      <w:r>
        <w:rPr>
          <w:rFonts w:hint="eastAsia" w:ascii="仿宋_GB2312" w:hAnsi="仿宋_GB2312" w:eastAsia="仿宋_GB2312" w:cs="仿宋_GB2312"/>
          <w:color w:val="auto"/>
          <w:sz w:val="32"/>
          <w:szCs w:val="32"/>
          <w:highlight w:val="none"/>
          <w:lang w:val="en-US" w:eastAsia="zh-CN"/>
        </w:rPr>
        <w:t>整体实施优秀</w:t>
      </w:r>
      <w:r>
        <w:rPr>
          <w:rFonts w:hint="eastAsia" w:ascii="Times New Roman" w:hAnsi="Times New Roman" w:eastAsia="仿宋_GB2312" w:cs="仿宋_GB2312"/>
          <w:color w:val="auto"/>
          <w:kern w:val="2"/>
          <w:sz w:val="32"/>
          <w:szCs w:val="32"/>
          <w:highlight w:val="none"/>
          <w:lang w:val="en-US" w:eastAsia="zh-CN" w:bidi="ar-SA"/>
        </w:rPr>
        <w:t>；县外省内务工交通费补贴专项预算项目绩效自评得分为</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分，绩效自评综述</w:t>
      </w:r>
      <w:r>
        <w:rPr>
          <w:rFonts w:hint="eastAsia" w:eastAsia="仿宋_GB2312" w:cs="仿宋_GB2312"/>
          <w:color w:val="auto"/>
          <w:kern w:val="2"/>
          <w:sz w:val="32"/>
          <w:szCs w:val="32"/>
          <w:highlight w:val="none"/>
          <w:lang w:val="en-US" w:eastAsia="zh-CN" w:bidi="ar-SA"/>
        </w:rPr>
        <w:t>:</w:t>
      </w:r>
      <w:r>
        <w:rPr>
          <w:rFonts w:hint="eastAsia" w:ascii="仿宋_GB2312" w:hAnsi="仿宋_GB2312" w:eastAsia="仿宋_GB2312" w:cs="仿宋_GB2312"/>
          <w:color w:val="auto"/>
          <w:sz w:val="32"/>
          <w:szCs w:val="32"/>
          <w:highlight w:val="none"/>
          <w:lang w:val="en-US" w:eastAsia="zh-CN"/>
        </w:rPr>
        <w:t>项目实施优秀</w:t>
      </w:r>
      <w:r>
        <w:rPr>
          <w:rFonts w:hint="eastAsia" w:ascii="Times New Roman" w:hAnsi="Times New Roman" w:eastAsia="仿宋_GB2312" w:cs="仿宋_GB2312"/>
          <w:color w:val="auto"/>
          <w:kern w:val="2"/>
          <w:sz w:val="32"/>
          <w:szCs w:val="32"/>
          <w:highlight w:val="none"/>
          <w:lang w:val="en-US" w:eastAsia="zh-CN" w:bidi="ar-SA"/>
        </w:rPr>
        <w:t>。省外务工交通费补贴专项预算项目绩效自评得分为</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分，绩效自评综述：</w:t>
      </w:r>
      <w:r>
        <w:rPr>
          <w:rFonts w:hint="eastAsia" w:ascii="仿宋_GB2312" w:hAnsi="仿宋_GB2312" w:eastAsia="仿宋_GB2312" w:cs="仿宋_GB2312"/>
          <w:color w:val="auto"/>
          <w:sz w:val="32"/>
          <w:szCs w:val="32"/>
          <w:highlight w:val="none"/>
          <w:lang w:val="en-US" w:eastAsia="zh-CN"/>
        </w:rPr>
        <w:t>项目实施优秀</w:t>
      </w:r>
      <w:r>
        <w:rPr>
          <w:rFonts w:hint="eastAsia" w:ascii="Times New Roman" w:hAnsi="Times New Roman" w:eastAsia="仿宋_GB2312" w:cs="仿宋_GB2312"/>
          <w:color w:val="auto"/>
          <w:kern w:val="2"/>
          <w:sz w:val="32"/>
          <w:szCs w:val="32"/>
          <w:highlight w:val="none"/>
          <w:lang w:val="en-US" w:eastAsia="zh-CN" w:bidi="ar-SA"/>
        </w:rPr>
        <w:t>。茂县稳岗就业补助专项预算项目绩效自评得分为</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分，绩效自评综述:</w:t>
      </w:r>
      <w:r>
        <w:rPr>
          <w:rFonts w:hint="eastAsia" w:ascii="仿宋_GB2312" w:hAnsi="仿宋_GB2312" w:eastAsia="仿宋_GB2312" w:cs="仿宋_GB2312"/>
          <w:color w:val="auto"/>
          <w:sz w:val="32"/>
          <w:szCs w:val="32"/>
          <w:highlight w:val="none"/>
          <w:lang w:val="en-US" w:eastAsia="zh-CN"/>
        </w:rPr>
        <w:t>项目实施优秀</w:t>
      </w:r>
      <w:r>
        <w:rPr>
          <w:rFonts w:hint="eastAsia" w:ascii="Times New Roman" w:hAnsi="Times New Roman" w:eastAsia="仿宋_GB2312" w:cs="仿宋_GB2312"/>
          <w:color w:val="auto"/>
          <w:kern w:val="2"/>
          <w:sz w:val="32"/>
          <w:szCs w:val="32"/>
          <w:highlight w:val="none"/>
          <w:lang w:val="en-US" w:eastAsia="zh-CN" w:bidi="ar-SA"/>
        </w:rPr>
        <w:t>。2024年省内对口帮扶劳务协作专项预算项目绩效自评得分为</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分，绩效自评综述:</w:t>
      </w:r>
      <w:r>
        <w:rPr>
          <w:rFonts w:hint="eastAsia" w:ascii="仿宋_GB2312" w:hAnsi="仿宋_GB2312" w:eastAsia="仿宋_GB2312" w:cs="仿宋_GB2312"/>
          <w:color w:val="auto"/>
          <w:sz w:val="32"/>
          <w:szCs w:val="32"/>
          <w:highlight w:val="none"/>
          <w:lang w:val="en-US" w:eastAsia="zh-CN"/>
        </w:rPr>
        <w:t>项目实施优秀</w:t>
      </w:r>
      <w:r>
        <w:rPr>
          <w:rFonts w:hint="eastAsia" w:ascii="Times New Roman" w:hAnsi="Times New Roman" w:eastAsia="仿宋_GB2312" w:cs="仿宋_GB2312"/>
          <w:color w:val="auto"/>
          <w:kern w:val="2"/>
          <w:sz w:val="32"/>
          <w:szCs w:val="32"/>
          <w:highlight w:val="none"/>
          <w:lang w:val="en-US" w:eastAsia="zh-CN" w:bidi="ar-SA"/>
        </w:rPr>
        <w:t>。第一书记津补贴专项预算项目绩效自评得分为</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分，绩效自评综述:</w:t>
      </w:r>
      <w:r>
        <w:rPr>
          <w:rFonts w:hint="eastAsia" w:ascii="仿宋_GB2312" w:hAnsi="仿宋_GB2312" w:eastAsia="仿宋_GB2312" w:cs="仿宋_GB2312"/>
          <w:color w:val="auto"/>
          <w:sz w:val="32"/>
          <w:szCs w:val="32"/>
          <w:highlight w:val="none"/>
          <w:lang w:val="en-US" w:eastAsia="zh-CN"/>
        </w:rPr>
        <w:t>项目实施优秀</w:t>
      </w:r>
      <w:r>
        <w:rPr>
          <w:rFonts w:hint="eastAsia" w:ascii="Times New Roman" w:hAnsi="Times New Roman" w:eastAsia="仿宋_GB2312" w:cs="仿宋_GB2312"/>
          <w:color w:val="auto"/>
          <w:kern w:val="2"/>
          <w:sz w:val="32"/>
          <w:szCs w:val="32"/>
          <w:highlight w:val="none"/>
          <w:lang w:val="en-US" w:eastAsia="zh-CN" w:bidi="ar-SA"/>
        </w:rPr>
        <w:t>。原劳动综合经营部社保2023年专项预算项目绩效自评得分为</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分，绩效自评综述：</w:t>
      </w:r>
      <w:r>
        <w:rPr>
          <w:rFonts w:hint="eastAsia" w:ascii="仿宋_GB2312" w:hAnsi="仿宋_GB2312" w:eastAsia="仿宋_GB2312" w:cs="仿宋_GB2312"/>
          <w:color w:val="auto"/>
          <w:sz w:val="32"/>
          <w:szCs w:val="32"/>
          <w:highlight w:val="none"/>
          <w:lang w:val="en-US" w:eastAsia="zh-CN"/>
        </w:rPr>
        <w:t>项目实施优秀</w:t>
      </w:r>
      <w:r>
        <w:rPr>
          <w:rFonts w:hint="eastAsia" w:ascii="Times New Roman" w:hAnsi="Times New Roman" w:eastAsia="仿宋_GB2312" w:cs="仿宋_GB2312"/>
          <w:color w:val="auto"/>
          <w:kern w:val="2"/>
          <w:sz w:val="32"/>
          <w:szCs w:val="32"/>
          <w:highlight w:val="none"/>
          <w:lang w:val="en-US" w:eastAsia="zh-CN" w:bidi="ar-SA"/>
        </w:rPr>
        <w:t>。2024年孵化基地专项预算项目绩效自评得分为</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分，绩效自评综述：</w:t>
      </w:r>
      <w:r>
        <w:rPr>
          <w:rFonts w:hint="eastAsia" w:ascii="仿宋_GB2312" w:hAnsi="仿宋_GB2312" w:eastAsia="仿宋_GB2312" w:cs="仿宋_GB2312"/>
          <w:color w:val="auto"/>
          <w:sz w:val="32"/>
          <w:szCs w:val="32"/>
          <w:highlight w:val="none"/>
          <w:lang w:val="en-US" w:eastAsia="zh-CN"/>
        </w:rPr>
        <w:t>项目实施优秀</w:t>
      </w:r>
      <w:r>
        <w:rPr>
          <w:rFonts w:hint="eastAsia" w:ascii="Times New Roman" w:hAnsi="Times New Roman" w:eastAsia="仿宋_GB2312" w:cs="仿宋_GB2312"/>
          <w:color w:val="auto"/>
          <w:kern w:val="2"/>
          <w:sz w:val="32"/>
          <w:szCs w:val="32"/>
          <w:highlight w:val="none"/>
          <w:lang w:val="en-US" w:eastAsia="zh-CN" w:bidi="ar-SA"/>
        </w:rPr>
        <w:t>。预安排浙江对口支援茂县创业能力提升培训专项预算项目绩效自评得分为</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分，绩效自评综述：</w:t>
      </w:r>
      <w:r>
        <w:rPr>
          <w:rFonts w:hint="eastAsia" w:ascii="仿宋_GB2312" w:hAnsi="仿宋_GB2312" w:eastAsia="仿宋_GB2312" w:cs="仿宋_GB2312"/>
          <w:color w:val="auto"/>
          <w:sz w:val="32"/>
          <w:szCs w:val="32"/>
          <w:highlight w:val="none"/>
          <w:lang w:val="en-US" w:eastAsia="zh-CN"/>
        </w:rPr>
        <w:t>项目实施优秀</w:t>
      </w:r>
      <w:r>
        <w:rPr>
          <w:rFonts w:hint="eastAsia" w:ascii="Times New Roman" w:hAnsi="Times New Roman" w:eastAsia="仿宋_GB2312" w:cs="仿宋_GB2312"/>
          <w:color w:val="auto"/>
          <w:kern w:val="2"/>
          <w:sz w:val="32"/>
          <w:szCs w:val="32"/>
          <w:highlight w:val="none"/>
          <w:lang w:val="en-US" w:eastAsia="zh-CN" w:bidi="ar-SA"/>
        </w:rPr>
        <w:t>。2024年企业吸纳新成长劳动力专项预算项目绩效自评得分为</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分，绩效自评综述：</w:t>
      </w:r>
      <w:r>
        <w:rPr>
          <w:rFonts w:hint="eastAsia" w:ascii="仿宋_GB2312" w:hAnsi="仿宋_GB2312" w:eastAsia="仿宋_GB2312" w:cs="仿宋_GB2312"/>
          <w:color w:val="auto"/>
          <w:sz w:val="32"/>
          <w:szCs w:val="32"/>
          <w:highlight w:val="none"/>
          <w:lang w:val="en-US" w:eastAsia="zh-CN"/>
        </w:rPr>
        <w:t>项目实施优秀</w:t>
      </w:r>
      <w:r>
        <w:rPr>
          <w:rFonts w:hint="eastAsia" w:ascii="Times New Roman" w:hAnsi="Times New Roman" w:eastAsia="仿宋_GB2312" w:cs="仿宋_GB2312"/>
          <w:color w:val="auto"/>
          <w:kern w:val="2"/>
          <w:sz w:val="32"/>
          <w:szCs w:val="32"/>
          <w:highlight w:val="none"/>
          <w:lang w:val="en-US" w:eastAsia="zh-CN" w:bidi="ar-SA"/>
        </w:rPr>
        <w:t>。2024年茂县青年（大学生）孵化基地物管费专项预算项目绩效自评得分为</w:t>
      </w:r>
      <w:r>
        <w:rPr>
          <w:rFonts w:hint="eastAsia" w:eastAsia="仿宋_GB2312" w:cs="仿宋_GB2312"/>
          <w:color w:val="auto"/>
          <w:kern w:val="2"/>
          <w:sz w:val="32"/>
          <w:szCs w:val="32"/>
          <w:highlight w:val="none"/>
          <w:lang w:val="en-US" w:eastAsia="zh-CN" w:bidi="ar-SA"/>
        </w:rPr>
        <w:t>99.20</w:t>
      </w:r>
      <w:r>
        <w:rPr>
          <w:rFonts w:hint="eastAsia" w:ascii="Times New Roman" w:hAnsi="Times New Roman" w:eastAsia="仿宋_GB2312" w:cs="仿宋_GB2312"/>
          <w:color w:val="auto"/>
          <w:kern w:val="2"/>
          <w:sz w:val="32"/>
          <w:szCs w:val="32"/>
          <w:highlight w:val="none"/>
          <w:lang w:val="en-US" w:eastAsia="zh-CN" w:bidi="ar-SA"/>
        </w:rPr>
        <w:t>分，绩效自评综述：</w:t>
      </w:r>
      <w:r>
        <w:rPr>
          <w:rFonts w:hint="eastAsia" w:ascii="仿宋_GB2312" w:hAnsi="仿宋_GB2312" w:eastAsia="仿宋_GB2312" w:cs="仿宋_GB2312"/>
          <w:color w:val="auto"/>
          <w:sz w:val="32"/>
          <w:szCs w:val="32"/>
          <w:highlight w:val="none"/>
          <w:lang w:val="en-US" w:eastAsia="zh-CN"/>
        </w:rPr>
        <w:t>项目实施优秀</w:t>
      </w:r>
      <w:r>
        <w:rPr>
          <w:rFonts w:hint="eastAsia" w:ascii="Times New Roman" w:hAnsi="Times New Roman" w:eastAsia="仿宋_GB2312" w:cs="仿宋_GB2312"/>
          <w:color w:val="auto"/>
          <w:kern w:val="2"/>
          <w:sz w:val="32"/>
          <w:szCs w:val="32"/>
          <w:highlight w:val="none"/>
          <w:lang w:val="en-US" w:eastAsia="zh-CN" w:bidi="ar-SA"/>
        </w:rPr>
        <w:t>。浙江对口支援茂县创业能力提升培训专项预算项目绩效自评得分为</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分，绩效自评综述：</w:t>
      </w:r>
      <w:r>
        <w:rPr>
          <w:rFonts w:hint="eastAsia" w:ascii="仿宋_GB2312" w:hAnsi="仿宋_GB2312" w:eastAsia="仿宋_GB2312" w:cs="仿宋_GB2312"/>
          <w:color w:val="auto"/>
          <w:sz w:val="32"/>
          <w:szCs w:val="32"/>
          <w:highlight w:val="none"/>
          <w:lang w:val="en-US" w:eastAsia="zh-CN"/>
        </w:rPr>
        <w:t>项目实施优秀</w:t>
      </w:r>
      <w:r>
        <w:rPr>
          <w:rFonts w:hint="eastAsia" w:ascii="Times New Roman" w:hAnsi="Times New Roman" w:eastAsia="仿宋_GB2312" w:cs="仿宋_GB2312"/>
          <w:color w:val="auto"/>
          <w:kern w:val="2"/>
          <w:sz w:val="32"/>
          <w:szCs w:val="32"/>
          <w:highlight w:val="none"/>
          <w:lang w:val="en-US" w:eastAsia="zh-CN" w:bidi="ar-SA"/>
        </w:rPr>
        <w:t>。担保贷款贴息专项预算项目绩效自评得分为</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分，绩效自评综述：</w:t>
      </w:r>
      <w:r>
        <w:rPr>
          <w:rFonts w:hint="eastAsia" w:ascii="仿宋_GB2312" w:hAnsi="仿宋_GB2312" w:eastAsia="仿宋_GB2312" w:cs="仿宋_GB2312"/>
          <w:color w:val="auto"/>
          <w:sz w:val="32"/>
          <w:szCs w:val="32"/>
          <w:highlight w:val="none"/>
          <w:lang w:val="en-US" w:eastAsia="zh-CN"/>
        </w:rPr>
        <w:t>项目实施优秀</w:t>
      </w:r>
      <w:r>
        <w:rPr>
          <w:rFonts w:hint="eastAsia" w:ascii="Times New Roman" w:hAnsi="Times New Roman" w:eastAsia="仿宋_GB2312" w:cs="仿宋_GB2312"/>
          <w:color w:val="auto"/>
          <w:kern w:val="2"/>
          <w:sz w:val="32"/>
          <w:szCs w:val="32"/>
          <w:highlight w:val="none"/>
          <w:lang w:val="en-US" w:eastAsia="zh-CN" w:bidi="ar-SA"/>
        </w:rPr>
        <w:t>。2024年就业创业补助资金专项预算项目绩效自评得分为</w:t>
      </w:r>
      <w:r>
        <w:rPr>
          <w:rFonts w:hint="eastAsia" w:eastAsia="仿宋_GB2312" w:cs="仿宋_GB2312"/>
          <w:color w:val="auto"/>
          <w:kern w:val="2"/>
          <w:sz w:val="32"/>
          <w:szCs w:val="32"/>
          <w:highlight w:val="none"/>
          <w:lang w:val="en-US" w:eastAsia="zh-CN" w:bidi="ar-SA"/>
        </w:rPr>
        <w:t>99.66</w:t>
      </w:r>
      <w:r>
        <w:rPr>
          <w:rFonts w:hint="eastAsia" w:ascii="Times New Roman" w:hAnsi="Times New Roman" w:eastAsia="仿宋_GB2312" w:cs="仿宋_GB2312"/>
          <w:color w:val="auto"/>
          <w:kern w:val="2"/>
          <w:sz w:val="32"/>
          <w:szCs w:val="32"/>
          <w:highlight w:val="none"/>
          <w:lang w:val="en-US" w:eastAsia="zh-CN" w:bidi="ar-SA"/>
        </w:rPr>
        <w:t>分，绩效自评综述：</w:t>
      </w:r>
      <w:r>
        <w:rPr>
          <w:rFonts w:hint="eastAsia" w:ascii="仿宋_GB2312" w:hAnsi="仿宋_GB2312" w:eastAsia="仿宋_GB2312" w:cs="仿宋_GB2312"/>
          <w:color w:val="auto"/>
          <w:sz w:val="32"/>
          <w:szCs w:val="32"/>
          <w:highlight w:val="none"/>
          <w:lang w:val="en-US" w:eastAsia="zh-CN"/>
        </w:rPr>
        <w:t>项目实施优秀</w:t>
      </w:r>
      <w:r>
        <w:rPr>
          <w:rFonts w:hint="eastAsia" w:ascii="Times New Roman" w:hAnsi="Times New Roman" w:eastAsia="仿宋_GB2312" w:cs="仿宋_GB2312"/>
          <w:color w:val="auto"/>
          <w:kern w:val="2"/>
          <w:sz w:val="32"/>
          <w:szCs w:val="32"/>
          <w:highlight w:val="none"/>
          <w:lang w:val="en-US" w:eastAsia="zh-CN" w:bidi="ar-SA"/>
        </w:rPr>
        <w:t>。</w:t>
      </w:r>
    </w:p>
    <w:p>
      <w:pPr>
        <w:spacing w:line="600" w:lineRule="exact"/>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绩效自评报告详见附件</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pPr>
        <w:pStyle w:val="3"/>
        <w:bidi w:val="0"/>
        <w:jc w:val="center"/>
        <w:rPr>
          <w:rFonts w:ascii="Times New Roman" w:hAnsi="Times New Roman"/>
          <w:b/>
          <w:color w:val="auto"/>
          <w:sz w:val="44"/>
          <w:szCs w:val="44"/>
          <w:highlight w:val="none"/>
        </w:rPr>
      </w:pPr>
      <w:bookmarkStart w:id="58" w:name="_Toc15396613"/>
      <w:bookmarkStart w:id="59" w:name="_Toc4094"/>
      <w:bookmarkStart w:id="60" w:name="_Toc15377225"/>
      <w:r>
        <w:rPr>
          <w:rFonts w:hint="eastAsia"/>
        </w:rPr>
        <w:t>第</w:t>
      </w:r>
      <w:r>
        <w:rPr>
          <w:rFonts w:hint="eastAsia"/>
          <w:lang w:eastAsia="zh-CN"/>
        </w:rPr>
        <w:t>三</w:t>
      </w:r>
      <w:r>
        <w:rPr>
          <w:rFonts w:hint="eastAsia"/>
        </w:rPr>
        <w:t>部分</w:t>
      </w:r>
      <w:r>
        <w:rPr>
          <w:rFonts w:hint="eastAsia"/>
          <w:lang w:val="en-US" w:eastAsia="zh-CN"/>
        </w:rPr>
        <w:t xml:space="preserve">  </w:t>
      </w:r>
      <w:r>
        <w:rPr>
          <w:rFonts w:hint="eastAsia"/>
        </w:rPr>
        <w:t>名词解释</w:t>
      </w:r>
      <w:bookmarkEnd w:id="58"/>
      <w:bookmarkEnd w:id="59"/>
      <w:bookmarkEnd w:id="60"/>
    </w:p>
    <w:p>
      <w:pPr>
        <w:spacing w:line="600" w:lineRule="exact"/>
        <w:ind w:firstLine="640"/>
        <w:rPr>
          <w:rFonts w:ascii="仿宋_GB2312" w:hAnsi="仿宋_GB2312" w:eastAsia="仿宋_GB2312" w:cs="仿宋_GB2312"/>
          <w:color w:val="000000"/>
          <w:sz w:val="32"/>
          <w:szCs w:val="32"/>
        </w:rPr>
      </w:pPr>
      <w:bookmarkStart w:id="61" w:name="_Toc15377226"/>
      <w:r>
        <w:rPr>
          <w:rFonts w:hint="eastAsia" w:ascii="仿宋_GB2312" w:hAnsi="仿宋_GB2312" w:eastAsia="仿宋_GB2312" w:cs="仿宋_GB2312"/>
          <w:color w:val="000000"/>
          <w:sz w:val="32"/>
          <w:szCs w:val="32"/>
        </w:rPr>
        <w:t>1.财政拨款收入：指单位从同级财政部门取得的财政预算资金。</w:t>
      </w:r>
    </w:p>
    <w:p>
      <w:pPr>
        <w:spacing w:line="600" w:lineRule="exact"/>
        <w:ind w:firstLine="64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2.事业收入：指事业单位开展专业业务活动及辅助活动取得的收入。</w:t>
      </w:r>
    </w:p>
    <w:p>
      <w:pPr>
        <w:spacing w:line="600" w:lineRule="exact"/>
        <w:ind w:firstLine="64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3.经营收入：指事业单位在专业业务活动及其辅助活动之外开展非独立核算经营活动取得的收入</w:t>
      </w:r>
    </w:p>
    <w:p>
      <w:pPr>
        <w:spacing w:line="600" w:lineRule="exact"/>
        <w:ind w:firstLine="64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4.其他收入：指单位取得的除上述收入以外的各项收入。</w:t>
      </w:r>
    </w:p>
    <w:p>
      <w:pPr>
        <w:spacing w:line="600" w:lineRule="exact"/>
        <w:ind w:firstLine="64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5.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 </w:t>
      </w:r>
    </w:p>
    <w:p>
      <w:pPr>
        <w:spacing w:line="600" w:lineRule="exact"/>
        <w:ind w:firstLine="64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6.年初结转和结余：指以前年度尚未完成、结转到本年按有关规定继续使用的资金。 </w:t>
      </w:r>
    </w:p>
    <w:p>
      <w:pPr>
        <w:spacing w:line="600" w:lineRule="exact"/>
        <w:ind w:firstLine="64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7.结余分配：指事业单位按照事业单位会计制度的规定从非财政补助结余中分配的事业基金和职工福利基金等。</w:t>
      </w:r>
    </w:p>
    <w:p>
      <w:pPr>
        <w:spacing w:line="600" w:lineRule="exact"/>
        <w:ind w:firstLine="64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8.年末结转和结余：指单位按有关规定结转到下年或以后年度继续使用的资金。</w:t>
      </w:r>
    </w:p>
    <w:p>
      <w:pPr>
        <w:spacing w:line="600" w:lineRule="exact"/>
        <w:ind w:firstLine="64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9.社会保障和就业支出（208）人力资源和社会保障管理事务（01）行政运行（01）：反映行政单位（包括实行公务员管理的事业单位）的基本支出。</w:t>
      </w:r>
    </w:p>
    <w:p>
      <w:pPr>
        <w:spacing w:line="600" w:lineRule="exact"/>
        <w:ind w:firstLine="64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10.社会保障和就业支出（208）人力资源和社会保障管理事务（01）社会保险经办机构（09）：反映社会保险经办机构开展业务工作的支出。</w:t>
      </w:r>
    </w:p>
    <w:p>
      <w:pPr>
        <w:spacing w:line="600" w:lineRule="exact"/>
        <w:ind w:firstLine="64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11.社会保障和就业支出（208）行政事业单位养老支出（05）机关事业单位基本养老保险缴费支出（05）：反映机关事业单位实施养老保险制度由单位缴纳的基本养老保险费支出。</w:t>
      </w:r>
    </w:p>
    <w:p>
      <w:pPr>
        <w:spacing w:line="600" w:lineRule="exact"/>
        <w:ind w:firstLine="64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12.社会保障和就业支出（208）行政事业单位养老支出（05）机关事业单位职业年金缴费支出（06）：反映机关事业单位实施养老保险制度由单位实际缴纳的职业年金支出。</w:t>
      </w:r>
    </w:p>
    <w:p>
      <w:pPr>
        <w:numPr>
          <w:ilvl w:val="0"/>
          <w:numId w:val="0"/>
        </w:numPr>
        <w:spacing w:line="576"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13.</w:t>
      </w:r>
      <w:r>
        <w:rPr>
          <w:rFonts w:hint="eastAsia" w:ascii="仿宋_GB2312" w:hAnsi="仿宋_GB2312" w:eastAsia="仿宋_GB2312" w:cs="仿宋_GB2312"/>
          <w:color w:val="000000"/>
          <w:sz w:val="32"/>
          <w:szCs w:val="32"/>
        </w:rPr>
        <w:t>社会保障和就业支出（208）就业补助（07）</w:t>
      </w:r>
      <w:r>
        <w:rPr>
          <w:rFonts w:hint="eastAsia" w:ascii="仿宋_GB2312" w:hAnsi="仿宋_GB2312" w:eastAsia="仿宋_GB2312" w:cs="仿宋_GB2312"/>
          <w:color w:val="000000"/>
          <w:sz w:val="32"/>
          <w:szCs w:val="32"/>
          <w:lang w:val="en-US" w:eastAsia="zh-CN"/>
        </w:rPr>
        <w:t>就业创业服务补贴</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01</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反映财政用于支持加强公共就业服务机构提升创业服务能力和向社会力量购买就业创业服务成果的补助支出</w:t>
      </w:r>
      <w:r>
        <w:rPr>
          <w:rFonts w:hint="eastAsia" w:ascii="仿宋_GB2312" w:hAnsi="仿宋_GB2312" w:eastAsia="仿宋_GB2312" w:cs="仿宋_GB2312"/>
          <w:color w:val="000000"/>
          <w:sz w:val="32"/>
          <w:szCs w:val="32"/>
        </w:rPr>
        <w:t>。</w:t>
      </w:r>
    </w:p>
    <w:p>
      <w:pPr>
        <w:numPr>
          <w:ilvl w:val="0"/>
          <w:numId w:val="0"/>
        </w:numPr>
        <w:spacing w:line="576"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14.</w:t>
      </w:r>
      <w:r>
        <w:rPr>
          <w:rFonts w:hint="eastAsia" w:ascii="仿宋_GB2312" w:hAnsi="仿宋_GB2312" w:eastAsia="仿宋_GB2312" w:cs="仿宋_GB2312"/>
          <w:color w:val="000000"/>
          <w:sz w:val="32"/>
          <w:szCs w:val="32"/>
        </w:rPr>
        <w:t>社会保障和就业支出（208）就业补助（07）</w:t>
      </w:r>
      <w:r>
        <w:rPr>
          <w:rFonts w:hint="eastAsia" w:ascii="仿宋_GB2312" w:hAnsi="仿宋_GB2312" w:eastAsia="仿宋_GB2312" w:cs="仿宋_GB2312"/>
          <w:color w:val="000000"/>
          <w:sz w:val="32"/>
          <w:szCs w:val="32"/>
          <w:lang w:val="en-US" w:eastAsia="zh-CN"/>
        </w:rPr>
        <w:t>职业培训补贴</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02</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反映财政用于落实相关职业培训政策方面的补助支出</w:t>
      </w:r>
      <w:r>
        <w:rPr>
          <w:rFonts w:hint="eastAsia" w:ascii="仿宋_GB2312" w:hAnsi="仿宋_GB2312" w:eastAsia="仿宋_GB2312" w:cs="仿宋_GB2312"/>
          <w:color w:val="000000"/>
          <w:sz w:val="32"/>
          <w:szCs w:val="32"/>
        </w:rPr>
        <w:t>。</w:t>
      </w:r>
    </w:p>
    <w:p>
      <w:pPr>
        <w:numPr>
          <w:ilvl w:val="0"/>
          <w:numId w:val="0"/>
        </w:numPr>
        <w:spacing w:line="576"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15.</w:t>
      </w:r>
      <w:r>
        <w:rPr>
          <w:rFonts w:hint="eastAsia" w:ascii="仿宋_GB2312" w:hAnsi="仿宋_GB2312" w:eastAsia="仿宋_GB2312" w:cs="仿宋_GB2312"/>
          <w:color w:val="000000"/>
          <w:sz w:val="32"/>
          <w:szCs w:val="32"/>
        </w:rPr>
        <w:t>社会保障和就业支出（208）就业补助（07）</w:t>
      </w:r>
      <w:r>
        <w:rPr>
          <w:rFonts w:hint="eastAsia" w:ascii="仿宋_GB2312" w:hAnsi="仿宋_GB2312" w:eastAsia="仿宋_GB2312" w:cs="仿宋_GB2312"/>
          <w:color w:val="000000"/>
          <w:sz w:val="32"/>
          <w:szCs w:val="32"/>
          <w:lang w:val="en-US" w:eastAsia="zh-CN"/>
        </w:rPr>
        <w:t>社会保险补贴</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04</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反映财政对符合条件人员就业后缴纳的社会保险费给予的补贴支出</w:t>
      </w:r>
      <w:r>
        <w:rPr>
          <w:rFonts w:hint="eastAsia" w:ascii="仿宋_GB2312" w:hAnsi="仿宋_GB2312" w:eastAsia="仿宋_GB2312" w:cs="仿宋_GB2312"/>
          <w:color w:val="000000"/>
          <w:sz w:val="32"/>
          <w:szCs w:val="32"/>
        </w:rPr>
        <w:t>。</w:t>
      </w:r>
    </w:p>
    <w:p>
      <w:pPr>
        <w:numPr>
          <w:ilvl w:val="0"/>
          <w:numId w:val="0"/>
        </w:numPr>
        <w:spacing w:line="576"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16.</w:t>
      </w:r>
      <w:r>
        <w:rPr>
          <w:rFonts w:hint="eastAsia" w:ascii="仿宋_GB2312" w:hAnsi="仿宋_GB2312" w:eastAsia="仿宋_GB2312" w:cs="仿宋_GB2312"/>
          <w:color w:val="000000"/>
          <w:sz w:val="32"/>
          <w:szCs w:val="32"/>
        </w:rPr>
        <w:t>社会保障和就业支出（208）就业补助（07）</w:t>
      </w:r>
      <w:r>
        <w:rPr>
          <w:rFonts w:hint="eastAsia" w:ascii="仿宋_GB2312" w:hAnsi="仿宋_GB2312" w:eastAsia="仿宋_GB2312" w:cs="仿宋_GB2312"/>
          <w:color w:val="000000"/>
          <w:sz w:val="32"/>
          <w:szCs w:val="32"/>
          <w:lang w:val="en-US" w:eastAsia="zh-CN"/>
        </w:rPr>
        <w:t>公益性岗位补贴</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05</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反映财政对符合条件的就业困难人员在公益性岗位就业给予的岗位补贴支出</w:t>
      </w:r>
      <w:r>
        <w:rPr>
          <w:rFonts w:hint="eastAsia" w:ascii="仿宋_GB2312" w:hAnsi="仿宋_GB2312" w:eastAsia="仿宋_GB2312" w:cs="仿宋_GB2312"/>
          <w:color w:val="000000"/>
          <w:sz w:val="32"/>
          <w:szCs w:val="32"/>
        </w:rPr>
        <w:t>。</w:t>
      </w:r>
    </w:p>
    <w:p>
      <w:pPr>
        <w:numPr>
          <w:ilvl w:val="0"/>
          <w:numId w:val="0"/>
        </w:numPr>
        <w:spacing w:line="576"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17.</w:t>
      </w:r>
      <w:r>
        <w:rPr>
          <w:rFonts w:hint="eastAsia" w:ascii="仿宋_GB2312" w:hAnsi="仿宋_GB2312" w:eastAsia="仿宋_GB2312" w:cs="仿宋_GB2312"/>
          <w:color w:val="000000"/>
          <w:sz w:val="32"/>
          <w:szCs w:val="32"/>
        </w:rPr>
        <w:t>社会保障和就业支出（208）就业补助（07）</w:t>
      </w:r>
      <w:r>
        <w:rPr>
          <w:rFonts w:hint="eastAsia" w:ascii="仿宋_GB2312" w:hAnsi="仿宋_GB2312" w:eastAsia="仿宋_GB2312" w:cs="仿宋_GB2312"/>
          <w:color w:val="000000"/>
          <w:sz w:val="32"/>
          <w:szCs w:val="32"/>
          <w:lang w:val="en-US" w:eastAsia="zh-CN"/>
        </w:rPr>
        <w:t>就业见习补贴</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11</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反映财政对高校毕业生就业见习基本生活费给予的补贴支出</w:t>
      </w:r>
      <w:r>
        <w:rPr>
          <w:rFonts w:hint="eastAsia" w:ascii="仿宋_GB2312" w:hAnsi="仿宋_GB2312" w:eastAsia="仿宋_GB2312" w:cs="仿宋_GB2312"/>
          <w:color w:val="000000"/>
          <w:sz w:val="32"/>
          <w:szCs w:val="32"/>
        </w:rPr>
        <w:t>。</w:t>
      </w:r>
    </w:p>
    <w:p>
      <w:pPr>
        <w:numPr>
          <w:ilvl w:val="0"/>
          <w:numId w:val="0"/>
        </w:numPr>
        <w:spacing w:line="576"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18.</w:t>
      </w:r>
      <w:r>
        <w:rPr>
          <w:rFonts w:hint="eastAsia" w:ascii="仿宋_GB2312" w:hAnsi="仿宋_GB2312" w:eastAsia="仿宋_GB2312" w:cs="仿宋_GB2312"/>
          <w:color w:val="000000"/>
          <w:sz w:val="32"/>
          <w:szCs w:val="32"/>
        </w:rPr>
        <w:t>社会保障和就业支出（208）就业补助（07）</w:t>
      </w:r>
      <w:r>
        <w:rPr>
          <w:rFonts w:hint="eastAsia" w:ascii="仿宋_GB2312" w:hAnsi="仿宋_GB2312" w:eastAsia="仿宋_GB2312" w:cs="仿宋_GB2312"/>
          <w:color w:val="000000"/>
          <w:sz w:val="32"/>
          <w:szCs w:val="32"/>
          <w:lang w:val="en-US" w:eastAsia="zh-CN"/>
        </w:rPr>
        <w:t>促进创业补贴</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13</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反映财政为支持符合条件的困难高校毕业生求职给予的一次性求职补贴，以及为支持符合条件的群体灵活就业、自助创业给予的一次性创业补贴等支出</w:t>
      </w:r>
      <w:r>
        <w:rPr>
          <w:rFonts w:hint="eastAsia" w:ascii="仿宋_GB2312" w:hAnsi="仿宋_GB2312" w:eastAsia="仿宋_GB2312" w:cs="仿宋_GB2312"/>
          <w:color w:val="000000"/>
          <w:sz w:val="32"/>
          <w:szCs w:val="32"/>
        </w:rPr>
        <w:t>。</w:t>
      </w:r>
    </w:p>
    <w:p>
      <w:pPr>
        <w:spacing w:line="600" w:lineRule="exact"/>
        <w:ind w:firstLine="64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19.</w:t>
      </w:r>
      <w:r>
        <w:rPr>
          <w:rFonts w:hint="eastAsia" w:ascii="仿宋_GB2312" w:hAnsi="仿宋_GB2312" w:eastAsia="仿宋_GB2312" w:cs="仿宋_GB2312"/>
          <w:color w:val="000000"/>
          <w:sz w:val="32"/>
          <w:szCs w:val="32"/>
        </w:rPr>
        <w:t>社会保障和就业支出（208）就业补助（07）其他就业补助支出（99）：反映除上述项目以外按规定确定的其他用于促进就业的补助支出。</w:t>
      </w:r>
    </w:p>
    <w:p>
      <w:pPr>
        <w:spacing w:line="600" w:lineRule="exact"/>
        <w:ind w:firstLine="64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20</w:t>
      </w:r>
      <w:r>
        <w:rPr>
          <w:rFonts w:hint="eastAsia" w:ascii="仿宋_GB2312" w:hAnsi="仿宋_GB2312" w:eastAsia="仿宋_GB2312" w:cs="仿宋_GB2312"/>
          <w:color w:val="000000"/>
          <w:sz w:val="32"/>
          <w:szCs w:val="32"/>
        </w:rPr>
        <w:t>.卫生健康支出（210）行政事业单位医疗（11）行政单位医疗（01）：反映财政部门安排的行政单位（包括实行公务员管理的事业单位，下同）基本医疗保险缴费经费，未参加医疗保险的行政单位的公费医疗经费，按国家规定享受离休人员、红军老战士待遇人员的医疗经费。</w:t>
      </w:r>
    </w:p>
    <w:p>
      <w:pPr>
        <w:spacing w:line="600" w:lineRule="exact"/>
        <w:ind w:firstLine="640"/>
        <w:rPr>
          <w:rFonts w:hint="eastAsia" w:ascii="仿宋_GB2312" w:hAnsi="仿宋_GB2312" w:eastAsia="仿宋_GB2312" w:cs="仿宋_GB2312"/>
          <w:color w:val="000000"/>
          <w:sz w:val="32"/>
          <w:szCs w:val="32"/>
        </w:rPr>
      </w:pPr>
      <w:r>
        <w:rPr>
          <w:rFonts w:hint="eastAsia" w:ascii="仿宋_GB2312" w:hAnsi="仿宋" w:eastAsia="仿宋_GB2312" w:cs="仿宋"/>
          <w:color w:val="000000"/>
          <w:kern w:val="2"/>
          <w:sz w:val="32"/>
          <w:szCs w:val="32"/>
          <w:lang w:val="en-US" w:eastAsia="zh-CN" w:bidi="ar-SA"/>
        </w:rPr>
        <w:t>21.卫生健康支出（210）行政事业单位医疗（11）事业单位医疗（02）：反映财政部门安排的事业单位基本医疗保险缴费经费，未参加医疗保险的事业单位的公费医疗经费，按国家规定享受离休人员待遇的医疗经费。</w:t>
      </w:r>
    </w:p>
    <w:p>
      <w:pPr>
        <w:spacing w:line="600" w:lineRule="exact"/>
        <w:ind w:firstLine="64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22</w:t>
      </w:r>
      <w:r>
        <w:rPr>
          <w:rFonts w:hint="eastAsia" w:ascii="仿宋_GB2312" w:hAnsi="仿宋_GB2312" w:eastAsia="仿宋_GB2312" w:cs="仿宋_GB2312"/>
          <w:color w:val="000000"/>
          <w:sz w:val="32"/>
          <w:szCs w:val="32"/>
        </w:rPr>
        <w:t>.农林水支出（213）巩固脱贫衔接乡村振兴（05）其他巩固脱贫衔接乡村振兴支出（99）：反映除上述项目以外其他用于扶贫方面的支出。</w:t>
      </w:r>
    </w:p>
    <w:p>
      <w:pPr>
        <w:spacing w:line="600" w:lineRule="exact"/>
        <w:ind w:firstLine="64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23</w:t>
      </w:r>
      <w:r>
        <w:rPr>
          <w:rFonts w:hint="eastAsia" w:ascii="仿宋_GB2312" w:hAnsi="仿宋_GB2312" w:eastAsia="仿宋_GB2312" w:cs="仿宋_GB2312"/>
          <w:color w:val="000000"/>
          <w:sz w:val="32"/>
          <w:szCs w:val="32"/>
        </w:rPr>
        <w:t>.农林水支出（213）普惠金融发展支出（08）创业担保贷款贴息及奖补（04）：反映财政用于符合条件的人员</w:t>
      </w:r>
      <w:r>
        <w:rPr>
          <w:rFonts w:hint="eastAsia" w:ascii="仿宋_GB2312" w:hAnsi="仿宋_GB2312" w:eastAsia="仿宋_GB2312" w:cs="仿宋_GB2312"/>
          <w:color w:val="000000"/>
          <w:sz w:val="32"/>
          <w:szCs w:val="32"/>
          <w:lang w:val="en-US" w:eastAsia="zh-CN"/>
        </w:rPr>
        <w:t>和小</w:t>
      </w:r>
      <w:r>
        <w:rPr>
          <w:rFonts w:hint="eastAsia" w:ascii="仿宋_GB2312" w:hAnsi="仿宋_GB2312" w:eastAsia="仿宋_GB2312" w:cs="仿宋_GB2312"/>
          <w:color w:val="000000"/>
          <w:sz w:val="32"/>
          <w:szCs w:val="32"/>
        </w:rPr>
        <w:t>微</w:t>
      </w:r>
      <w:r>
        <w:rPr>
          <w:rFonts w:hint="eastAsia" w:ascii="仿宋_GB2312" w:hAnsi="仿宋_GB2312" w:eastAsia="仿宋_GB2312" w:cs="仿宋_GB2312"/>
          <w:color w:val="000000"/>
          <w:sz w:val="32"/>
          <w:szCs w:val="32"/>
          <w:lang w:val="en-US" w:eastAsia="zh-CN"/>
        </w:rPr>
        <w:t>企业</w:t>
      </w:r>
      <w:r>
        <w:rPr>
          <w:rFonts w:hint="eastAsia" w:ascii="仿宋_GB2312" w:hAnsi="仿宋_GB2312" w:eastAsia="仿宋_GB2312" w:cs="仿宋_GB2312"/>
          <w:color w:val="000000"/>
          <w:sz w:val="32"/>
          <w:szCs w:val="32"/>
        </w:rPr>
        <w:t>创业担保贷款的贴息</w:t>
      </w:r>
      <w:r>
        <w:rPr>
          <w:rFonts w:hint="eastAsia" w:ascii="仿宋_GB2312" w:hAnsi="仿宋_GB2312" w:eastAsia="仿宋_GB2312" w:cs="仿宋_GB2312"/>
          <w:color w:val="000000"/>
          <w:sz w:val="32"/>
          <w:szCs w:val="32"/>
          <w:lang w:val="en-US" w:eastAsia="zh-CN"/>
        </w:rPr>
        <w:t>及奖补</w:t>
      </w:r>
      <w:r>
        <w:rPr>
          <w:rFonts w:hint="eastAsia" w:ascii="仿宋_GB2312" w:hAnsi="仿宋_GB2312" w:eastAsia="仿宋_GB2312" w:cs="仿宋_GB2312"/>
          <w:color w:val="000000"/>
          <w:sz w:val="32"/>
          <w:szCs w:val="32"/>
        </w:rPr>
        <w:t>支出。</w:t>
      </w:r>
    </w:p>
    <w:p>
      <w:pPr>
        <w:spacing w:line="600" w:lineRule="exact"/>
        <w:ind w:firstLine="64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24.资源勘探工业信息等支出（215）其他资源勘探工业信息等支出（99）其他资源勘探工业信息等支出（99）反映除上述项目以外其他用于资源勘探业方面的支出。</w:t>
      </w:r>
    </w:p>
    <w:p>
      <w:pPr>
        <w:spacing w:line="600" w:lineRule="exact"/>
        <w:ind w:firstLine="64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25</w:t>
      </w:r>
      <w:r>
        <w:rPr>
          <w:rFonts w:hint="eastAsia" w:ascii="仿宋_GB2312" w:hAnsi="仿宋_GB2312" w:eastAsia="仿宋_GB2312" w:cs="仿宋_GB2312"/>
          <w:color w:val="000000"/>
          <w:sz w:val="32"/>
          <w:szCs w:val="32"/>
        </w:rPr>
        <w:t>.住房保障支出（221）住房改革支出（02）住房公积金（01）：反映行政事业单位按人力资源和社会保障部、财政部规定的基本工资和津贴补贴以及规定比例为职工缴纳的住房公积金。</w:t>
      </w:r>
    </w:p>
    <w:p>
      <w:pPr>
        <w:spacing w:line="600" w:lineRule="exact"/>
        <w:ind w:firstLine="64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26</w:t>
      </w:r>
      <w:r>
        <w:rPr>
          <w:rFonts w:hint="eastAsia" w:ascii="仿宋_GB2312" w:hAnsi="仿宋_GB2312" w:eastAsia="仿宋_GB2312" w:cs="仿宋_GB2312"/>
          <w:color w:val="000000"/>
          <w:sz w:val="32"/>
          <w:szCs w:val="32"/>
        </w:rPr>
        <w:t>.基本支出：指为保障机构正常运转、完成日常工作任务而发生的人员支出和公用支出。</w:t>
      </w:r>
    </w:p>
    <w:p>
      <w:pPr>
        <w:spacing w:line="600" w:lineRule="exact"/>
        <w:ind w:firstLine="64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27</w:t>
      </w:r>
      <w:r>
        <w:rPr>
          <w:rFonts w:hint="eastAsia" w:ascii="仿宋_GB2312" w:hAnsi="仿宋_GB2312" w:eastAsia="仿宋_GB2312" w:cs="仿宋_GB2312"/>
          <w:color w:val="000000"/>
          <w:sz w:val="32"/>
          <w:szCs w:val="32"/>
        </w:rPr>
        <w:t xml:space="preserve">.项目支出：指在基本支出之外为完成特定行政任务和事业发展目标所发生的支出。 </w:t>
      </w:r>
    </w:p>
    <w:p>
      <w:pPr>
        <w:spacing w:line="600" w:lineRule="exact"/>
        <w:ind w:firstLine="64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28</w:t>
      </w:r>
      <w:r>
        <w:rPr>
          <w:rFonts w:hint="eastAsia" w:ascii="仿宋_GB2312" w:hAnsi="仿宋_GB2312" w:eastAsia="仿宋_GB2312" w:cs="仿宋_GB2312"/>
          <w:color w:val="000000"/>
          <w:sz w:val="32"/>
          <w:szCs w:val="32"/>
        </w:rPr>
        <w:t>.经营支出：指事业单位在专业业务活动及其辅助活动之外开展非独立核算经营活动发生的支出。</w:t>
      </w:r>
    </w:p>
    <w:p>
      <w:pPr>
        <w:spacing w:line="600" w:lineRule="exact"/>
        <w:ind w:firstLine="64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29</w:t>
      </w:r>
      <w:r>
        <w:rPr>
          <w:rFonts w:hint="eastAsia" w:ascii="仿宋_GB2312" w:hAnsi="仿宋_GB2312" w:eastAsia="仿宋_GB2312" w:cs="仿宋_GB2312"/>
          <w:color w:val="000000"/>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spacing w:line="600" w:lineRule="exact"/>
        <w:ind w:firstLine="64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30</w:t>
      </w:r>
      <w:r>
        <w:rPr>
          <w:rFonts w:hint="eastAsia" w:ascii="仿宋_GB2312" w:hAnsi="仿宋_GB2312" w:eastAsia="仿宋_GB2312" w:cs="仿宋_GB2312"/>
          <w:color w:val="000000"/>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600" w:lineRule="exact"/>
        <w:ind w:firstLine="64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31</w:t>
      </w:r>
      <w:r>
        <w:rPr>
          <w:rFonts w:hint="eastAsia" w:ascii="仿宋_GB2312" w:hAnsi="仿宋_GB2312" w:eastAsia="仿宋_GB2312" w:cs="仿宋_GB2312"/>
          <w:color w:val="000000"/>
          <w:sz w:val="32"/>
          <w:szCs w:val="32"/>
        </w:rPr>
        <w:t>.财政应返还额度：为行政事业单位会计核算科目，用于核算实行国库集中支付的行政事业单位应收财政返还的资金额度。</w:t>
      </w:r>
    </w:p>
    <w:p>
      <w:pPr>
        <w:pStyle w:val="3"/>
        <w:bidi w:val="0"/>
        <w:jc w:val="center"/>
        <w:rPr>
          <w:rFonts w:hint="eastAsia" w:ascii="Times New Roman" w:hAnsi="Times New Roman" w:eastAsia="黑体" w:cs="黑体"/>
          <w:color w:val="FF0000"/>
          <w:sz w:val="32"/>
          <w:szCs w:val="32"/>
          <w:highlight w:val="none"/>
        </w:rPr>
      </w:pPr>
      <w:r>
        <w:rPr>
          <w:rFonts w:hint="eastAsia" w:ascii="Times New Roman" w:hAnsi="Times New Roman" w:eastAsia="仿宋_GB2312" w:cs="仿宋_GB2312"/>
          <w:color w:val="auto"/>
          <w:kern w:val="2"/>
          <w:sz w:val="32"/>
          <w:szCs w:val="32"/>
          <w:highlight w:val="none"/>
          <w:lang w:val="en-US" w:eastAsia="zh-CN" w:bidi="ar-SA"/>
        </w:rPr>
        <w:br w:type="page"/>
      </w:r>
      <w:bookmarkStart w:id="62" w:name="_Toc7709"/>
      <w:bookmarkStart w:id="63" w:name="_Toc15396614"/>
      <w:r>
        <w:rPr>
          <w:rFonts w:hint="eastAsia" w:ascii="Times New Roman" w:hAnsi="Times New Roman" w:eastAsia="黑体"/>
          <w:color w:val="auto"/>
          <w:sz w:val="44"/>
          <w:szCs w:val="44"/>
          <w:highlight w:val="none"/>
        </w:rPr>
        <w:t>第四部分</w:t>
      </w:r>
      <w:r>
        <w:rPr>
          <w:rFonts w:hint="eastAsia" w:ascii="Times New Roman" w:hAnsi="Times New Roman" w:eastAsia="黑体"/>
          <w:color w:val="auto"/>
          <w:sz w:val="44"/>
          <w:szCs w:val="44"/>
          <w:highlight w:val="none"/>
          <w:lang w:val="en-US" w:eastAsia="zh-CN"/>
        </w:rPr>
        <w:t xml:space="preserve"> </w:t>
      </w:r>
      <w:r>
        <w:rPr>
          <w:rFonts w:hint="eastAsia" w:ascii="Times New Roman" w:hAnsi="Times New Roman" w:eastAsia="黑体"/>
          <w:color w:val="auto"/>
          <w:sz w:val="44"/>
          <w:szCs w:val="44"/>
          <w:highlight w:val="none"/>
        </w:rPr>
        <w:t xml:space="preserve"> 附件</w:t>
      </w:r>
      <w:bookmarkEnd w:id="62"/>
      <w:bookmarkEnd w:id="63"/>
    </w:p>
    <w:p>
      <w:pPr>
        <w:keepNext w:val="0"/>
        <w:keepLines w:val="0"/>
        <w:pageBreakBefore w:val="0"/>
        <w:kinsoku/>
        <w:wordWrap/>
        <w:overflowPunct/>
        <w:topLinePunct w:val="0"/>
        <w:autoSpaceDE/>
        <w:autoSpaceDN/>
        <w:bidi w:val="0"/>
        <w:spacing w:line="572" w:lineRule="exact"/>
        <w:jc w:val="left"/>
        <w:textAlignment w:val="auto"/>
        <w:outlineLvl w:val="0"/>
        <w:rPr>
          <w:rFonts w:hint="eastAsia" w:ascii="Times New Roman" w:hAnsi="Times New Roman" w:eastAsia="黑体" w:cs="方正小标宋简体"/>
          <w:color w:val="auto"/>
          <w:sz w:val="44"/>
          <w:szCs w:val="44"/>
          <w:highlight w:val="none"/>
          <w:lang w:val="en-US" w:eastAsia="zh-CN"/>
        </w:rPr>
      </w:pPr>
      <w:bookmarkStart w:id="64" w:name="_Toc16843"/>
      <w:r>
        <w:rPr>
          <w:rFonts w:hint="eastAsia" w:ascii="Times New Roman" w:hAnsi="Times New Roman" w:eastAsia="黑体" w:cs="黑体"/>
          <w:color w:val="auto"/>
          <w:sz w:val="32"/>
          <w:szCs w:val="32"/>
          <w:highlight w:val="none"/>
        </w:rPr>
        <w:t>附件</w:t>
      </w:r>
      <w:r>
        <w:rPr>
          <w:rFonts w:hint="eastAsia" w:ascii="Times New Roman" w:hAnsi="Times New Roman" w:eastAsia="黑体" w:cs="黑体"/>
          <w:color w:val="auto"/>
          <w:sz w:val="32"/>
          <w:szCs w:val="32"/>
          <w:highlight w:val="none"/>
          <w:lang w:val="en-US" w:eastAsia="zh-CN"/>
        </w:rPr>
        <w:t>1</w:t>
      </w:r>
      <w:bookmarkEnd w:id="64"/>
    </w:p>
    <w:p>
      <w:pPr>
        <w:keepNext w:val="0"/>
        <w:keepLines w:val="0"/>
        <w:pageBreakBefore w:val="0"/>
        <w:widowControl/>
        <w:kinsoku/>
        <w:wordWrap/>
        <w:overflowPunct/>
        <w:topLinePunct w:val="0"/>
        <w:autoSpaceDE/>
        <w:autoSpaceDN/>
        <w:bidi w:val="0"/>
        <w:spacing w:line="578" w:lineRule="exact"/>
        <w:contextualSpacing/>
        <w:jc w:val="center"/>
        <w:textAlignment w:val="auto"/>
        <w:outlineLvl w:val="9"/>
        <w:rPr>
          <w:rFonts w:hint="default" w:ascii="Times New Roman" w:hAnsi="Times New Roman" w:eastAsia="方正小标宋简体" w:cs="Times New Roman"/>
          <w:b w:val="0"/>
          <w:bCs/>
          <w:sz w:val="44"/>
          <w:szCs w:val="44"/>
          <w:highlight w:val="none"/>
          <w:shd w:val="clear" w:color="auto" w:fill="FFFFFF"/>
        </w:rPr>
      </w:pPr>
    </w:p>
    <w:p>
      <w:pPr>
        <w:keepNext w:val="0"/>
        <w:keepLines w:val="0"/>
        <w:pageBreakBefore w:val="0"/>
        <w:widowControl/>
        <w:kinsoku/>
        <w:wordWrap/>
        <w:overflowPunct/>
        <w:topLinePunct w:val="0"/>
        <w:autoSpaceDE/>
        <w:autoSpaceDN/>
        <w:bidi w:val="0"/>
        <w:spacing w:line="560" w:lineRule="exact"/>
        <w:contextualSpacing/>
        <w:jc w:val="center"/>
        <w:textAlignment w:val="auto"/>
        <w:rPr>
          <w:rFonts w:hint="eastAsia" w:eastAsia="方正小标宋简体"/>
          <w:bCs/>
          <w:sz w:val="44"/>
          <w:szCs w:val="44"/>
          <w:shd w:val="clear" w:color="auto" w:fill="FFFFFF"/>
          <w:lang w:eastAsia="zh-CN"/>
        </w:rPr>
      </w:pPr>
      <w:r>
        <w:rPr>
          <w:rFonts w:hint="eastAsia" w:eastAsia="方正小标宋简体"/>
          <w:bCs/>
          <w:sz w:val="44"/>
          <w:szCs w:val="44"/>
          <w:shd w:val="clear" w:color="auto" w:fill="FFFFFF"/>
        </w:rPr>
        <w:t>茂县就业服务</w:t>
      </w:r>
      <w:r>
        <w:rPr>
          <w:rFonts w:hint="eastAsia" w:eastAsia="方正小标宋简体"/>
          <w:bCs/>
          <w:sz w:val="44"/>
          <w:szCs w:val="44"/>
          <w:shd w:val="clear" w:color="auto" w:fill="FFFFFF"/>
          <w:lang w:eastAsia="zh-CN"/>
        </w:rPr>
        <w:t>中心</w:t>
      </w:r>
    </w:p>
    <w:p>
      <w:pPr>
        <w:keepNext w:val="0"/>
        <w:keepLines w:val="0"/>
        <w:pageBreakBefore w:val="0"/>
        <w:widowControl/>
        <w:kinsoku/>
        <w:wordWrap/>
        <w:overflowPunct/>
        <w:topLinePunct w:val="0"/>
        <w:autoSpaceDE/>
        <w:autoSpaceDN/>
        <w:bidi w:val="0"/>
        <w:spacing w:line="560" w:lineRule="exact"/>
        <w:contextualSpacing/>
        <w:jc w:val="center"/>
        <w:textAlignment w:val="auto"/>
        <w:rPr>
          <w:rFonts w:eastAsia="方正小标宋简体"/>
          <w:bCs/>
          <w:sz w:val="44"/>
          <w:szCs w:val="44"/>
          <w:shd w:val="clear" w:color="auto" w:fill="FFFFFF"/>
        </w:rPr>
      </w:pPr>
      <w:r>
        <w:rPr>
          <w:rFonts w:eastAsia="方正小标宋简体"/>
          <w:bCs/>
          <w:sz w:val="44"/>
          <w:szCs w:val="44"/>
          <w:shd w:val="clear" w:color="auto" w:fill="FFFFFF"/>
        </w:rPr>
        <w:t>部门预算绩效</w:t>
      </w:r>
      <w:r>
        <w:rPr>
          <w:rFonts w:hint="eastAsia" w:eastAsia="方正小标宋简体"/>
          <w:bCs/>
          <w:sz w:val="44"/>
          <w:szCs w:val="44"/>
          <w:shd w:val="clear" w:color="auto" w:fill="FFFFFF"/>
        </w:rPr>
        <w:t>评价</w:t>
      </w:r>
      <w:r>
        <w:rPr>
          <w:rFonts w:eastAsia="方正小标宋简体"/>
          <w:bCs/>
          <w:sz w:val="44"/>
          <w:szCs w:val="44"/>
          <w:shd w:val="clear" w:color="auto" w:fill="FFFFFF"/>
        </w:rPr>
        <w:t>报告</w:t>
      </w:r>
    </w:p>
    <w:p>
      <w:pPr>
        <w:keepNext w:val="0"/>
        <w:keepLines w:val="0"/>
        <w:pageBreakBefore w:val="0"/>
        <w:widowControl/>
        <w:kinsoku/>
        <w:wordWrap/>
        <w:overflowPunct/>
        <w:topLinePunct w:val="0"/>
        <w:autoSpaceDE/>
        <w:autoSpaceDN/>
        <w:bidi w:val="0"/>
        <w:adjustRightInd w:val="0"/>
        <w:snapToGrid w:val="0"/>
        <w:spacing w:line="560" w:lineRule="exact"/>
        <w:ind w:firstLine="480" w:firstLineChars="200"/>
        <w:contextualSpacing/>
        <w:jc w:val="left"/>
        <w:textAlignment w:val="auto"/>
        <w:rPr>
          <w:rFonts w:eastAsia="黑体"/>
          <w:color w:val="000000"/>
          <w:kern w:val="0"/>
          <w:sz w:val="24"/>
          <w:szCs w:val="32"/>
          <w:shd w:val="clear" w:color="auto" w:fill="FFFFFF"/>
        </w:rPr>
      </w:pPr>
    </w:p>
    <w:p>
      <w:pPr>
        <w:keepNext w:val="0"/>
        <w:keepLines w:val="0"/>
        <w:pageBreakBefore w:val="0"/>
        <w:widowControl/>
        <w:kinsoku/>
        <w:wordWrap/>
        <w:overflowPunct/>
        <w:topLinePunct w:val="0"/>
        <w:autoSpaceDE/>
        <w:autoSpaceDN/>
        <w:bidi w:val="0"/>
        <w:adjustRightInd w:val="0"/>
        <w:snapToGrid w:val="0"/>
        <w:spacing w:line="560" w:lineRule="exact"/>
        <w:ind w:firstLine="642" w:firstLineChars="200"/>
        <w:contextualSpacing/>
        <w:jc w:val="left"/>
        <w:textAlignment w:val="auto"/>
        <w:rPr>
          <w:rFonts w:hint="eastAsia" w:ascii="黑体" w:hAnsi="黑体" w:eastAsia="黑体" w:cs="黑体"/>
          <w:b/>
          <w:bCs/>
          <w:sz w:val="32"/>
          <w:szCs w:val="32"/>
        </w:rPr>
      </w:pPr>
      <w:r>
        <w:rPr>
          <w:rFonts w:hint="eastAsia" w:ascii="黑体" w:hAnsi="黑体" w:eastAsia="黑体" w:cs="黑体"/>
          <w:b/>
          <w:bCs/>
          <w:color w:val="000000"/>
          <w:kern w:val="0"/>
          <w:sz w:val="32"/>
          <w:szCs w:val="32"/>
          <w:shd w:val="clear" w:color="auto" w:fill="FFFFFF"/>
          <w:lang w:val="zh-CN"/>
        </w:rPr>
        <w:t>一、部门（单位）基本情况</w:t>
      </w:r>
    </w:p>
    <w:p>
      <w:pPr>
        <w:keepNext w:val="0"/>
        <w:keepLines w:val="0"/>
        <w:pageBreakBefore w:val="0"/>
        <w:kinsoku/>
        <w:wordWrap/>
        <w:overflowPunct/>
        <w:topLinePunct w:val="0"/>
        <w:autoSpaceDE/>
        <w:autoSpaceDN/>
        <w:bidi w:val="0"/>
        <w:spacing w:line="560" w:lineRule="exact"/>
        <w:ind w:firstLine="642" w:firstLineChars="200"/>
        <w:textAlignment w:val="auto"/>
        <w:rPr>
          <w:rFonts w:hint="eastAsia" w:ascii="仿宋_GB2312" w:hAnsi="仿宋_GB2312" w:eastAsia="仿宋_GB2312" w:cs="仿宋_GB2312"/>
          <w:b/>
          <w:bCs/>
          <w:color w:val="000000"/>
          <w:kern w:val="0"/>
          <w:sz w:val="32"/>
          <w:szCs w:val="32"/>
          <w:shd w:val="clear" w:color="auto" w:fill="FFFFFF"/>
          <w:lang w:val="zh-CN"/>
        </w:rPr>
      </w:pPr>
      <w:r>
        <w:rPr>
          <w:rFonts w:hint="eastAsia" w:ascii="仿宋_GB2312" w:hAnsi="仿宋_GB2312" w:eastAsia="仿宋_GB2312" w:cs="仿宋_GB2312"/>
          <w:b/>
          <w:bCs/>
          <w:color w:val="000000"/>
          <w:kern w:val="0"/>
          <w:sz w:val="32"/>
          <w:szCs w:val="32"/>
          <w:shd w:val="clear" w:color="auto" w:fill="FFFFFF"/>
          <w:lang w:val="zh-CN"/>
        </w:rPr>
        <w:t>（一）机构组成</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茂县就业服务</w:t>
      </w:r>
      <w:r>
        <w:rPr>
          <w:rFonts w:hint="eastAsia" w:ascii="仿宋_GB2312" w:hAnsi="仿宋_GB2312" w:eastAsia="仿宋_GB2312" w:cs="仿宋_GB2312"/>
          <w:sz w:val="32"/>
          <w:szCs w:val="32"/>
          <w:lang w:eastAsia="zh-CN"/>
        </w:rPr>
        <w:t>中心</w:t>
      </w:r>
      <w:r>
        <w:rPr>
          <w:rFonts w:hint="eastAsia" w:ascii="仿宋_GB2312" w:hAnsi="仿宋_GB2312" w:eastAsia="仿宋_GB2312" w:cs="仿宋_GB2312"/>
          <w:sz w:val="32"/>
          <w:szCs w:val="32"/>
        </w:rPr>
        <w:t>主要负责全县职业介绍、就业和创业培训、创业服务、公益性岗位开发、</w:t>
      </w:r>
      <w:r>
        <w:rPr>
          <w:rFonts w:hint="eastAsia" w:ascii="仿宋_GB2312" w:hAnsi="仿宋_GB2312" w:eastAsia="仿宋_GB2312" w:cs="仿宋_GB2312"/>
          <w:sz w:val="32"/>
          <w:szCs w:val="32"/>
          <w:lang w:eastAsia="zh-CN"/>
        </w:rPr>
        <w:t>创业</w:t>
      </w:r>
      <w:r>
        <w:rPr>
          <w:rFonts w:hint="eastAsia" w:ascii="仿宋_GB2312" w:hAnsi="仿宋_GB2312" w:eastAsia="仿宋_GB2312" w:cs="仿宋_GB2312"/>
          <w:sz w:val="32"/>
          <w:szCs w:val="32"/>
        </w:rPr>
        <w:t>担保贷款、困难群体就业援助。内设办公室、职业指导股、就业培训股、</w:t>
      </w:r>
      <w:r>
        <w:rPr>
          <w:rFonts w:hint="eastAsia" w:ascii="仿宋_GB2312" w:hAnsi="仿宋_GB2312" w:eastAsia="仿宋_GB2312" w:cs="仿宋_GB2312"/>
          <w:sz w:val="32"/>
          <w:szCs w:val="32"/>
          <w:lang w:eastAsia="zh-CN"/>
        </w:rPr>
        <w:t>创业股、</w:t>
      </w:r>
      <w:r>
        <w:rPr>
          <w:rFonts w:hint="eastAsia" w:ascii="仿宋_GB2312" w:hAnsi="仿宋_GB2312" w:eastAsia="仿宋_GB2312" w:cs="仿宋_GB2312"/>
          <w:sz w:val="32"/>
          <w:szCs w:val="32"/>
        </w:rPr>
        <w:t>失业保险股等。</w:t>
      </w:r>
    </w:p>
    <w:p>
      <w:pPr>
        <w:keepNext w:val="0"/>
        <w:keepLines w:val="0"/>
        <w:pageBreakBefore w:val="0"/>
        <w:numPr>
          <w:ilvl w:val="0"/>
          <w:numId w:val="0"/>
        </w:numPr>
        <w:kinsoku/>
        <w:wordWrap/>
        <w:overflowPunct/>
        <w:topLinePunct w:val="0"/>
        <w:autoSpaceDE/>
        <w:autoSpaceDN/>
        <w:bidi w:val="0"/>
        <w:spacing w:line="560" w:lineRule="exact"/>
        <w:textAlignment w:val="auto"/>
        <w:rPr>
          <w:rFonts w:hint="eastAsia" w:ascii="仿宋_GB2312" w:hAnsi="仿宋_GB2312" w:eastAsia="仿宋_GB2312" w:cs="仿宋_GB2312"/>
          <w:b/>
          <w:bCs/>
          <w:color w:val="000000"/>
          <w:kern w:val="0"/>
          <w:sz w:val="32"/>
          <w:szCs w:val="32"/>
          <w:shd w:val="clear" w:color="auto" w:fill="FFFFFF"/>
          <w:lang w:val="zh-CN"/>
        </w:rPr>
      </w:pPr>
      <w:r>
        <w:rPr>
          <w:rFonts w:hint="eastAsia" w:ascii="仿宋_GB2312" w:hAnsi="仿宋_GB2312" w:eastAsia="仿宋_GB2312" w:cs="仿宋_GB2312"/>
          <w:b/>
          <w:bCs/>
          <w:color w:val="000000"/>
          <w:kern w:val="0"/>
          <w:sz w:val="32"/>
          <w:szCs w:val="32"/>
          <w:shd w:val="clear" w:color="auto" w:fill="FFFFFF"/>
          <w:lang w:val="en-US" w:eastAsia="zh-CN"/>
        </w:rPr>
        <w:t xml:space="preserve">   （二）</w:t>
      </w:r>
      <w:r>
        <w:rPr>
          <w:rFonts w:hint="eastAsia" w:ascii="仿宋_GB2312" w:hAnsi="仿宋_GB2312" w:eastAsia="仿宋_GB2312" w:cs="仿宋_GB2312"/>
          <w:b/>
          <w:bCs/>
          <w:color w:val="000000"/>
          <w:kern w:val="0"/>
          <w:sz w:val="32"/>
          <w:szCs w:val="32"/>
          <w:shd w:val="clear" w:color="auto" w:fill="FFFFFF"/>
          <w:lang w:val="zh-CN"/>
        </w:rPr>
        <w:t>机构职能</w:t>
      </w:r>
    </w:p>
    <w:p>
      <w:pPr>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仿宋_GB2312" w:eastAsia="仿宋_GB2312"/>
          <w:sz w:val="32"/>
          <w:szCs w:val="32"/>
          <w:shd w:val="clear" w:color="auto" w:fill="FFFFFF"/>
          <w:lang w:val="zh-CN" w:eastAsia="zh-CN"/>
        </w:rPr>
      </w:pPr>
      <w:r>
        <w:rPr>
          <w:rFonts w:hint="eastAsia" w:ascii="仿宋_GB2312" w:hAnsi="仿宋_GB2312" w:eastAsia="仿宋_GB2312" w:cs="仿宋_GB2312"/>
          <w:sz w:val="32"/>
          <w:szCs w:val="32"/>
        </w:rPr>
        <w:t>全面贯彻落实党和</w:t>
      </w:r>
      <w:r>
        <w:rPr>
          <w:rFonts w:hint="eastAsia" w:ascii="仿宋_GB2312" w:eastAsia="仿宋_GB2312"/>
          <w:sz w:val="32"/>
          <w:szCs w:val="32"/>
        </w:rPr>
        <w:t>政府促进就业创业的方针政策及各项扶持政策，为城乡劳动者提供就业政策法规咨询，职业供求信息以及职业培训信息发布，职业指导和职业介绍。</w:t>
      </w:r>
      <w:r>
        <w:rPr>
          <w:rFonts w:hint="eastAsia" w:ascii="仿宋_GB2312" w:eastAsia="仿宋_GB2312"/>
          <w:sz w:val="32"/>
          <w:szCs w:val="32"/>
          <w:shd w:val="clear" w:color="auto" w:fill="FFFFFF"/>
        </w:rPr>
        <w:t>免费为城乡劳动者开展创业培训、技能培训等职业技能培训。以创业带动就业，全面落实</w:t>
      </w:r>
      <w:r>
        <w:rPr>
          <w:rFonts w:hint="eastAsia" w:ascii="仿宋_GB2312" w:eastAsia="仿宋_GB2312"/>
          <w:sz w:val="32"/>
          <w:szCs w:val="32"/>
          <w:shd w:val="clear" w:color="auto" w:fill="FFFFFF"/>
          <w:lang w:eastAsia="zh-CN"/>
        </w:rPr>
        <w:t>创业</w:t>
      </w:r>
      <w:r>
        <w:rPr>
          <w:rFonts w:hint="eastAsia" w:ascii="仿宋_GB2312" w:eastAsia="仿宋_GB2312"/>
          <w:sz w:val="32"/>
          <w:szCs w:val="32"/>
          <w:shd w:val="clear" w:color="auto" w:fill="FFFFFF"/>
        </w:rPr>
        <w:t>担保贷款贴息、社保补贴等扶持政策，促使各类失业人员通过从事个体经营、自谋职业、灵活就业、创办企业带动和吸纳就业。做好未就业高校毕业生参加就业见习和自主创业工作，落实好高校毕业生创业补贴政策。按照中央关于推动家庭服务业发展促进就业的方针政策，落实各项扶持政策，促进和带动更多的城乡劳动者通过从事家庭服务业实现就业，大力开发公益性岗位，落实岗位补贴及社保补贴。促进有劳动能力、有就业愿望的所有劳动者实现充分就业。</w:t>
      </w:r>
      <w:r>
        <w:rPr>
          <w:rFonts w:hint="eastAsia" w:ascii="仿宋_GB2312" w:eastAsia="仿宋_GB2312"/>
          <w:sz w:val="32"/>
          <w:szCs w:val="32"/>
        </w:rPr>
        <w:t>对就业困难人员实施就业援助，办理就业、失业登记等各项公共就业服务。</w:t>
      </w:r>
      <w:r>
        <w:rPr>
          <w:rFonts w:hint="eastAsia" w:ascii="仿宋_GB2312" w:eastAsia="仿宋_GB2312"/>
          <w:sz w:val="32"/>
          <w:szCs w:val="32"/>
          <w:shd w:val="clear" w:color="auto" w:fill="FFFFFF"/>
          <w:lang w:eastAsia="zh-CN"/>
        </w:rPr>
        <w:t>原茂县就业服务中心中人才交流的职能职责</w:t>
      </w:r>
      <w:r>
        <w:rPr>
          <w:rFonts w:hint="eastAsia" w:ascii="仿宋_GB2312" w:eastAsia="仿宋_GB2312"/>
          <w:sz w:val="32"/>
          <w:szCs w:val="32"/>
          <w:shd w:val="clear" w:color="auto" w:fill="FFFFFF"/>
          <w:lang w:val="zh-CN" w:eastAsia="zh-CN"/>
        </w:rPr>
        <w:t>剥离。</w:t>
      </w:r>
    </w:p>
    <w:p>
      <w:pPr>
        <w:keepNext w:val="0"/>
        <w:keepLines w:val="0"/>
        <w:pageBreakBefore w:val="0"/>
        <w:numPr>
          <w:ilvl w:val="0"/>
          <w:numId w:val="2"/>
        </w:numPr>
        <w:kinsoku/>
        <w:wordWrap/>
        <w:overflowPunct/>
        <w:topLinePunct w:val="0"/>
        <w:autoSpaceDE/>
        <w:autoSpaceDN/>
        <w:bidi w:val="0"/>
        <w:spacing w:line="560" w:lineRule="exact"/>
        <w:ind w:firstLine="642" w:firstLineChars="200"/>
        <w:textAlignment w:val="auto"/>
        <w:rPr>
          <w:rFonts w:hint="eastAsia" w:ascii="仿宋_GB2312" w:hAnsi="仿宋_GB2312" w:eastAsia="仿宋_GB2312" w:cs="仿宋_GB2312"/>
          <w:b/>
          <w:bCs/>
          <w:color w:val="000000"/>
          <w:kern w:val="0"/>
          <w:sz w:val="32"/>
          <w:szCs w:val="32"/>
          <w:shd w:val="clear" w:color="auto" w:fill="FFFFFF"/>
          <w:lang w:val="zh-CN"/>
        </w:rPr>
      </w:pPr>
      <w:r>
        <w:rPr>
          <w:rFonts w:hint="eastAsia" w:ascii="仿宋_GB2312" w:hAnsi="仿宋_GB2312" w:eastAsia="仿宋_GB2312" w:cs="仿宋_GB2312"/>
          <w:b/>
          <w:bCs/>
          <w:color w:val="000000"/>
          <w:kern w:val="0"/>
          <w:sz w:val="32"/>
          <w:szCs w:val="32"/>
          <w:shd w:val="clear" w:color="auto" w:fill="FFFFFF"/>
          <w:lang w:val="zh-CN"/>
        </w:rPr>
        <w:t>人员概况</w:t>
      </w:r>
    </w:p>
    <w:p>
      <w:pPr>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我</w:t>
      </w:r>
      <w:r>
        <w:rPr>
          <w:rFonts w:hint="eastAsia" w:ascii="仿宋_GB2312" w:hAnsi="仿宋_GB2312" w:eastAsia="仿宋_GB2312" w:cs="仿宋_GB2312"/>
          <w:sz w:val="32"/>
          <w:szCs w:val="32"/>
          <w:shd w:val="clear" w:color="auto" w:fill="FFFFFF"/>
          <w:lang w:eastAsia="zh-CN"/>
        </w:rPr>
        <w:t>中心</w:t>
      </w:r>
      <w:r>
        <w:rPr>
          <w:rFonts w:hint="eastAsia" w:ascii="仿宋_GB2312" w:hAnsi="仿宋_GB2312" w:eastAsia="仿宋_GB2312" w:cs="仿宋_GB2312"/>
          <w:sz w:val="32"/>
          <w:szCs w:val="32"/>
          <w:shd w:val="clear" w:color="auto" w:fill="FFFFFF"/>
        </w:rPr>
        <w:t>为一级预算财政全额拨款参公单位，</w:t>
      </w:r>
      <w:r>
        <w:rPr>
          <w:rFonts w:hint="eastAsia" w:ascii="仿宋_GB2312" w:hAnsi="仿宋_GB2312" w:eastAsia="仿宋_GB2312" w:cs="仿宋_GB2312"/>
          <w:sz w:val="32"/>
          <w:szCs w:val="32"/>
          <w:shd w:val="clear" w:color="auto" w:fill="FFFFFF"/>
          <w:lang w:val="en-US" w:eastAsia="zh-CN"/>
        </w:rPr>
        <w:t>2024年7月</w:t>
      </w:r>
      <w:r>
        <w:rPr>
          <w:rFonts w:hint="eastAsia" w:ascii="仿宋_GB2312" w:hAnsi="仿宋_GB2312" w:eastAsia="仿宋_GB2312" w:cs="仿宋_GB2312"/>
          <w:sz w:val="32"/>
          <w:szCs w:val="32"/>
          <w:shd w:val="clear" w:color="auto" w:fill="FFFFFF"/>
        </w:rPr>
        <w:t>核定编制人数为</w:t>
      </w:r>
      <w:r>
        <w:rPr>
          <w:rFonts w:hint="eastAsia" w:ascii="仿宋_GB2312" w:hAnsi="仿宋_GB2312" w:eastAsia="仿宋_GB2312" w:cs="仿宋_GB2312"/>
          <w:sz w:val="32"/>
          <w:szCs w:val="32"/>
          <w:shd w:val="clear" w:color="auto" w:fill="FFFFFF"/>
          <w:lang w:val="en-US" w:eastAsia="zh-CN"/>
        </w:rPr>
        <w:t>13</w:t>
      </w:r>
      <w:r>
        <w:rPr>
          <w:rFonts w:hint="eastAsia" w:ascii="仿宋_GB2312" w:hAnsi="仿宋_GB2312" w:eastAsia="仿宋_GB2312" w:cs="仿宋_GB2312"/>
          <w:sz w:val="32"/>
          <w:szCs w:val="32"/>
          <w:shd w:val="clear" w:color="auto" w:fill="FFFFFF"/>
        </w:rPr>
        <w:t>名。设</w:t>
      </w:r>
      <w:r>
        <w:rPr>
          <w:rFonts w:hint="eastAsia" w:ascii="仿宋_GB2312" w:hAnsi="仿宋_GB2312" w:eastAsia="仿宋_GB2312" w:cs="仿宋_GB2312"/>
          <w:sz w:val="32"/>
          <w:szCs w:val="32"/>
          <w:shd w:val="clear" w:color="auto" w:fill="FFFFFF"/>
          <w:lang w:eastAsia="zh-CN"/>
        </w:rPr>
        <w:t>主任</w:t>
      </w:r>
      <w:r>
        <w:rPr>
          <w:rFonts w:hint="eastAsia" w:ascii="仿宋_GB2312" w:hAnsi="仿宋_GB2312" w:eastAsia="仿宋_GB2312" w:cs="仿宋_GB2312"/>
          <w:sz w:val="32"/>
          <w:szCs w:val="32"/>
          <w:shd w:val="clear" w:color="auto" w:fill="FFFFFF"/>
        </w:rPr>
        <w:t>1名、副</w:t>
      </w:r>
      <w:r>
        <w:rPr>
          <w:rFonts w:hint="eastAsia" w:ascii="仿宋_GB2312" w:hAnsi="仿宋_GB2312" w:eastAsia="仿宋_GB2312" w:cs="仿宋_GB2312"/>
          <w:sz w:val="32"/>
          <w:szCs w:val="32"/>
          <w:shd w:val="clear" w:color="auto" w:fill="FFFFFF"/>
          <w:lang w:eastAsia="zh-CN"/>
        </w:rPr>
        <w:t>主任</w:t>
      </w:r>
      <w:r>
        <w:rPr>
          <w:rFonts w:hint="eastAsia" w:ascii="仿宋_GB2312" w:hAnsi="仿宋_GB2312" w:eastAsia="仿宋_GB2312" w:cs="仿宋_GB2312"/>
          <w:sz w:val="32"/>
          <w:szCs w:val="32"/>
          <w:shd w:val="clear" w:color="auto" w:fill="FFFFFF"/>
        </w:rPr>
        <w:t>2名。</w:t>
      </w:r>
      <w:r>
        <w:rPr>
          <w:rFonts w:hint="eastAsia" w:ascii="仿宋_GB2312" w:hAnsi="仿宋_GB2312" w:eastAsia="仿宋_GB2312" w:cs="仿宋_GB2312"/>
          <w:sz w:val="32"/>
          <w:szCs w:val="32"/>
        </w:rPr>
        <w:t>截至202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年末，</w:t>
      </w:r>
      <w:r>
        <w:rPr>
          <w:rFonts w:hint="eastAsia" w:ascii="仿宋_GB2312" w:hAnsi="仿宋_GB2312" w:eastAsia="仿宋_GB2312" w:cs="仿宋_GB2312"/>
          <w:sz w:val="32"/>
          <w:szCs w:val="32"/>
          <w:shd w:val="clear" w:color="auto" w:fill="FFFFFF"/>
        </w:rPr>
        <w:t>实有人数</w:t>
      </w:r>
      <w:r>
        <w:rPr>
          <w:rFonts w:hint="eastAsia" w:ascii="仿宋_GB2312" w:hAnsi="仿宋_GB2312" w:eastAsia="仿宋_GB2312" w:cs="仿宋_GB2312"/>
          <w:sz w:val="32"/>
          <w:szCs w:val="32"/>
          <w:shd w:val="clear" w:color="auto" w:fill="FFFFFF"/>
          <w:lang w:val="en-US" w:eastAsia="zh-CN"/>
        </w:rPr>
        <w:t>12</w:t>
      </w:r>
      <w:r>
        <w:rPr>
          <w:rFonts w:hint="eastAsia" w:ascii="仿宋_GB2312" w:hAnsi="仿宋_GB2312" w:eastAsia="仿宋_GB2312" w:cs="仿宋_GB2312"/>
          <w:sz w:val="32"/>
          <w:szCs w:val="32"/>
          <w:shd w:val="clear" w:color="auto" w:fill="FFFFFF"/>
        </w:rPr>
        <w:t>人，其中：参公</w:t>
      </w:r>
      <w:r>
        <w:rPr>
          <w:rFonts w:hint="eastAsia" w:ascii="仿宋_GB2312" w:hAnsi="仿宋_GB2312" w:eastAsia="仿宋_GB2312" w:cs="仿宋_GB2312"/>
          <w:sz w:val="32"/>
          <w:szCs w:val="32"/>
          <w:shd w:val="clear" w:color="auto" w:fill="FFFFFF"/>
          <w:lang w:val="en-US" w:eastAsia="zh-CN"/>
        </w:rPr>
        <w:t>10</w:t>
      </w:r>
      <w:r>
        <w:rPr>
          <w:rFonts w:hint="eastAsia" w:ascii="仿宋_GB2312" w:hAnsi="仿宋_GB2312" w:eastAsia="仿宋_GB2312" w:cs="仿宋_GB2312"/>
          <w:sz w:val="32"/>
          <w:szCs w:val="32"/>
          <w:shd w:val="clear" w:color="auto" w:fill="FFFFFF"/>
        </w:rPr>
        <w:t>人，参公工勤1人。</w:t>
      </w:r>
    </w:p>
    <w:p>
      <w:pPr>
        <w:keepNext w:val="0"/>
        <w:keepLines w:val="0"/>
        <w:pageBreakBefore w:val="0"/>
        <w:widowControl/>
        <w:kinsoku/>
        <w:wordWrap/>
        <w:overflowPunct/>
        <w:topLinePunct w:val="0"/>
        <w:autoSpaceDE/>
        <w:autoSpaceDN/>
        <w:bidi w:val="0"/>
        <w:adjustRightInd w:val="0"/>
        <w:snapToGrid w:val="0"/>
        <w:spacing w:line="560" w:lineRule="exact"/>
        <w:ind w:firstLine="642" w:firstLineChars="200"/>
        <w:contextualSpacing/>
        <w:jc w:val="left"/>
        <w:textAlignment w:val="auto"/>
        <w:rPr>
          <w:rFonts w:hint="eastAsia" w:ascii="仿宋_GB2312" w:hAnsi="仿宋_GB2312" w:eastAsia="仿宋_GB2312" w:cs="仿宋_GB2312"/>
          <w:b/>
          <w:bCs/>
          <w:color w:val="auto"/>
          <w:kern w:val="0"/>
          <w:sz w:val="32"/>
          <w:szCs w:val="32"/>
          <w:shd w:val="clear" w:color="auto" w:fill="FFFFFF"/>
        </w:rPr>
      </w:pPr>
      <w:r>
        <w:rPr>
          <w:rFonts w:hint="eastAsia" w:ascii="黑体" w:hAnsi="黑体" w:eastAsia="黑体" w:cs="黑体"/>
          <w:b/>
          <w:bCs/>
          <w:color w:val="auto"/>
          <w:kern w:val="0"/>
          <w:sz w:val="32"/>
          <w:szCs w:val="32"/>
          <w:shd w:val="clear" w:color="auto" w:fill="FFFFFF"/>
        </w:rPr>
        <w:t>二、部门资金收支情况</w:t>
      </w:r>
    </w:p>
    <w:p>
      <w:pPr>
        <w:keepNext w:val="0"/>
        <w:keepLines w:val="0"/>
        <w:pageBreakBefore w:val="0"/>
        <w:widowControl/>
        <w:kinsoku/>
        <w:wordWrap/>
        <w:overflowPunct/>
        <w:topLinePunct w:val="0"/>
        <w:autoSpaceDE/>
        <w:autoSpaceDN/>
        <w:bidi w:val="0"/>
        <w:adjustRightInd w:val="0"/>
        <w:snapToGrid w:val="0"/>
        <w:spacing w:line="560" w:lineRule="exact"/>
        <w:ind w:firstLine="642" w:firstLineChars="200"/>
        <w:contextualSpacing/>
        <w:jc w:val="left"/>
        <w:textAlignment w:val="auto"/>
        <w:rPr>
          <w:rFonts w:hint="eastAsia" w:ascii="仿宋_GB2312" w:hAnsi="仿宋_GB2312" w:eastAsia="仿宋_GB2312" w:cs="仿宋_GB2312"/>
          <w:b/>
          <w:bCs/>
          <w:color w:val="auto"/>
          <w:kern w:val="0"/>
          <w:sz w:val="32"/>
          <w:szCs w:val="32"/>
          <w:shd w:val="clear" w:color="auto" w:fill="FFFFFF"/>
          <w:lang w:val="zh-CN"/>
        </w:rPr>
      </w:pPr>
      <w:r>
        <w:rPr>
          <w:rFonts w:hint="eastAsia" w:ascii="仿宋_GB2312" w:hAnsi="仿宋_GB2312" w:eastAsia="仿宋_GB2312" w:cs="仿宋_GB2312"/>
          <w:b/>
          <w:bCs/>
          <w:color w:val="auto"/>
          <w:kern w:val="0"/>
          <w:sz w:val="32"/>
          <w:szCs w:val="32"/>
          <w:shd w:val="clear" w:color="auto" w:fill="FFFFFF"/>
          <w:lang w:val="zh-CN"/>
        </w:rPr>
        <w:t>（一）收入情况</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shd w:val="clear" w:color="auto" w:fill="FFFFFF"/>
        </w:rPr>
        <w:t>202</w:t>
      </w:r>
      <w:r>
        <w:rPr>
          <w:rFonts w:hint="eastAsia" w:ascii="仿宋_GB2312" w:hAnsi="仿宋_GB2312" w:eastAsia="仿宋_GB2312" w:cs="仿宋_GB2312"/>
          <w:color w:val="auto"/>
          <w:kern w:val="0"/>
          <w:sz w:val="32"/>
          <w:szCs w:val="32"/>
          <w:shd w:val="clear" w:color="auto" w:fill="FFFFFF"/>
          <w:lang w:val="en-US" w:eastAsia="zh-CN"/>
        </w:rPr>
        <w:t>4</w:t>
      </w:r>
      <w:r>
        <w:rPr>
          <w:rFonts w:hint="eastAsia" w:ascii="仿宋_GB2312" w:hAnsi="仿宋_GB2312" w:eastAsia="仿宋_GB2312" w:cs="仿宋_GB2312"/>
          <w:bCs/>
          <w:color w:val="auto"/>
          <w:kern w:val="0"/>
          <w:sz w:val="32"/>
          <w:szCs w:val="32"/>
          <w:shd w:val="clear" w:color="auto" w:fill="FFFFFF"/>
        </w:rPr>
        <w:t>年</w:t>
      </w:r>
      <w:r>
        <w:rPr>
          <w:rFonts w:hint="eastAsia" w:ascii="仿宋_GB2312" w:hAnsi="仿宋_GB2312" w:eastAsia="仿宋_GB2312" w:cs="仿宋_GB2312"/>
          <w:color w:val="auto"/>
          <w:sz w:val="32"/>
          <w:szCs w:val="32"/>
        </w:rPr>
        <w:t>单位财政资金收入共计1,971.11</w:t>
      </w:r>
      <w:r>
        <w:rPr>
          <w:rFonts w:hint="eastAsia" w:ascii="仿宋_GB2312" w:hAnsi="仿宋_GB2312" w:eastAsia="仿宋_GB2312" w:cs="仿宋_GB2312"/>
          <w:color w:val="auto"/>
          <w:sz w:val="32"/>
          <w:szCs w:val="32"/>
          <w:lang w:eastAsia="zh-CN"/>
        </w:rPr>
        <w:t>万</w:t>
      </w:r>
      <w:r>
        <w:rPr>
          <w:rFonts w:hint="eastAsia" w:ascii="仿宋_GB2312" w:hAnsi="仿宋_GB2312" w:eastAsia="仿宋_GB2312" w:cs="仿宋_GB2312"/>
          <w:color w:val="auto"/>
          <w:sz w:val="32"/>
          <w:szCs w:val="32"/>
        </w:rPr>
        <w:t>元，均为一般公共预算财政拨款收入，单位无上级补助收入、事业收入、经营收入等其他性质的经费收入。</w:t>
      </w:r>
    </w:p>
    <w:p>
      <w:pPr>
        <w:keepNext w:val="0"/>
        <w:keepLines w:val="0"/>
        <w:pageBreakBefore w:val="0"/>
        <w:widowControl/>
        <w:numPr>
          <w:ilvl w:val="0"/>
          <w:numId w:val="3"/>
        </w:numPr>
        <w:kinsoku/>
        <w:wordWrap/>
        <w:overflowPunct/>
        <w:topLinePunct w:val="0"/>
        <w:autoSpaceDE/>
        <w:autoSpaceDN/>
        <w:bidi w:val="0"/>
        <w:adjustRightInd w:val="0"/>
        <w:snapToGrid w:val="0"/>
        <w:spacing w:line="560" w:lineRule="exact"/>
        <w:ind w:firstLine="642" w:firstLineChars="200"/>
        <w:contextualSpacing/>
        <w:jc w:val="left"/>
        <w:textAlignment w:val="auto"/>
        <w:rPr>
          <w:rFonts w:hint="eastAsia" w:ascii="仿宋_GB2312" w:hAnsi="仿宋_GB2312" w:eastAsia="仿宋_GB2312" w:cs="仿宋_GB2312"/>
          <w:b/>
          <w:bCs/>
          <w:color w:val="auto"/>
          <w:kern w:val="0"/>
          <w:sz w:val="32"/>
          <w:szCs w:val="32"/>
          <w:shd w:val="clear" w:color="auto" w:fill="FFFFFF"/>
          <w:lang w:val="zh-CN"/>
        </w:rPr>
      </w:pPr>
      <w:r>
        <w:rPr>
          <w:rFonts w:hint="eastAsia" w:ascii="仿宋_GB2312" w:hAnsi="仿宋_GB2312" w:eastAsia="仿宋_GB2312" w:cs="仿宋_GB2312"/>
          <w:b/>
          <w:bCs/>
          <w:color w:val="auto"/>
          <w:kern w:val="0"/>
          <w:sz w:val="32"/>
          <w:szCs w:val="32"/>
          <w:shd w:val="clear" w:color="auto" w:fill="FFFFFF"/>
          <w:lang w:val="zh-CN"/>
        </w:rPr>
        <w:t>支出情况</w:t>
      </w:r>
    </w:p>
    <w:p>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shd w:val="clear" w:color="auto" w:fill="FFFFFF"/>
          <w:lang w:val="zh-CN"/>
        </w:rPr>
        <w:t>20</w:t>
      </w:r>
      <w:r>
        <w:rPr>
          <w:rFonts w:hint="eastAsia" w:ascii="仿宋_GB2312" w:hAnsi="仿宋_GB2312" w:eastAsia="仿宋_GB2312" w:cs="仿宋_GB2312"/>
          <w:color w:val="auto"/>
          <w:kern w:val="0"/>
          <w:sz w:val="32"/>
          <w:szCs w:val="32"/>
          <w:shd w:val="clear" w:color="auto" w:fill="FFFFFF"/>
        </w:rPr>
        <w:t>2</w:t>
      </w:r>
      <w:r>
        <w:rPr>
          <w:rFonts w:hint="eastAsia" w:ascii="仿宋_GB2312" w:hAnsi="仿宋_GB2312" w:eastAsia="仿宋_GB2312" w:cs="仿宋_GB2312"/>
          <w:color w:val="auto"/>
          <w:kern w:val="0"/>
          <w:sz w:val="32"/>
          <w:szCs w:val="32"/>
          <w:shd w:val="clear" w:color="auto" w:fill="FFFFFF"/>
          <w:lang w:val="en-US" w:eastAsia="zh-CN"/>
        </w:rPr>
        <w:t>4</w:t>
      </w:r>
      <w:r>
        <w:rPr>
          <w:rFonts w:hint="eastAsia" w:ascii="仿宋_GB2312" w:hAnsi="仿宋_GB2312" w:eastAsia="仿宋_GB2312" w:cs="仿宋_GB2312"/>
          <w:color w:val="auto"/>
          <w:kern w:val="0"/>
          <w:sz w:val="32"/>
          <w:szCs w:val="32"/>
          <w:shd w:val="clear" w:color="auto" w:fill="FFFFFF"/>
          <w:lang w:val="zh-CN"/>
        </w:rPr>
        <w:t>年我单位财政总</w:t>
      </w:r>
      <w:r>
        <w:rPr>
          <w:rFonts w:hint="eastAsia" w:ascii="仿宋_GB2312" w:hAnsi="仿宋_GB2312" w:eastAsia="仿宋_GB2312" w:cs="仿宋_GB2312"/>
          <w:color w:val="auto"/>
          <w:kern w:val="0"/>
          <w:sz w:val="32"/>
          <w:szCs w:val="32"/>
        </w:rPr>
        <w:t>支出总额为</w:t>
      </w:r>
      <w:r>
        <w:rPr>
          <w:rFonts w:hint="eastAsia" w:ascii="仿宋_GB2312" w:hAnsi="仿宋_GB2312" w:eastAsia="仿宋_GB2312" w:cs="仿宋_GB2312"/>
          <w:color w:val="auto"/>
          <w:sz w:val="32"/>
          <w:szCs w:val="32"/>
        </w:rPr>
        <w:t>1,971.11</w:t>
      </w:r>
      <w:r>
        <w:rPr>
          <w:rFonts w:hint="eastAsia" w:ascii="仿宋_GB2312" w:hAnsi="仿宋_GB2312" w:eastAsia="仿宋_GB2312" w:cs="仿宋_GB2312"/>
          <w:color w:val="auto"/>
          <w:sz w:val="32"/>
          <w:szCs w:val="32"/>
          <w:lang w:eastAsia="zh-CN"/>
        </w:rPr>
        <w:t>万</w:t>
      </w:r>
      <w:r>
        <w:rPr>
          <w:rFonts w:hint="eastAsia" w:ascii="仿宋_GB2312" w:hAnsi="仿宋_GB2312" w:eastAsia="仿宋_GB2312" w:cs="仿宋_GB2312"/>
          <w:color w:val="auto"/>
          <w:kern w:val="0"/>
          <w:sz w:val="32"/>
          <w:szCs w:val="32"/>
        </w:rPr>
        <w:t>元。</w:t>
      </w:r>
    </w:p>
    <w:p>
      <w:pPr>
        <w:keepNext w:val="0"/>
        <w:keepLines w:val="0"/>
        <w:pageBreakBefore w:val="0"/>
        <w:widowControl/>
        <w:kinsoku/>
        <w:wordWrap/>
        <w:overflowPunct/>
        <w:topLinePunct w:val="0"/>
        <w:autoSpaceDE/>
        <w:autoSpaceDN/>
        <w:bidi w:val="0"/>
        <w:adjustRightInd w:val="0"/>
        <w:snapToGrid w:val="0"/>
        <w:spacing w:line="560" w:lineRule="exact"/>
        <w:ind w:firstLine="720"/>
        <w:jc w:val="left"/>
        <w:textAlignment w:val="auto"/>
        <w:rPr>
          <w:rFonts w:hint="eastAsia" w:ascii="仿宋_GB2312" w:hAnsi="仿宋_GB2312" w:eastAsia="仿宋_GB2312" w:cs="仿宋_GB2312"/>
          <w:b/>
          <w:color w:val="auto"/>
          <w:sz w:val="32"/>
          <w:szCs w:val="32"/>
        </w:rPr>
      </w:pPr>
      <w:r>
        <w:rPr>
          <w:rFonts w:hint="eastAsia" w:ascii="仿宋_GB2312" w:hAnsi="仿宋_GB2312" w:eastAsia="仿宋_GB2312" w:cs="仿宋_GB2312"/>
          <w:b/>
          <w:bCs/>
          <w:color w:val="auto"/>
          <w:kern w:val="0"/>
          <w:sz w:val="32"/>
          <w:szCs w:val="32"/>
          <w:shd w:val="clear" w:color="auto" w:fill="FFFFFF"/>
          <w:lang w:val="zh-CN"/>
        </w:rPr>
        <w:t>（三）</w:t>
      </w:r>
      <w:r>
        <w:rPr>
          <w:rFonts w:hint="eastAsia" w:ascii="仿宋_GB2312" w:hAnsi="仿宋_GB2312" w:eastAsia="仿宋_GB2312" w:cs="仿宋_GB2312"/>
          <w:b/>
          <w:color w:val="auto"/>
          <w:sz w:val="32"/>
          <w:szCs w:val="32"/>
        </w:rPr>
        <w:t>结余分配和结转结余情况</w:t>
      </w:r>
    </w:p>
    <w:p>
      <w:pPr>
        <w:keepNext w:val="0"/>
        <w:keepLines w:val="0"/>
        <w:pageBreakBefore w:val="0"/>
        <w:widowControl/>
        <w:kinsoku/>
        <w:wordWrap/>
        <w:overflowPunct/>
        <w:topLinePunct w:val="0"/>
        <w:autoSpaceDE/>
        <w:autoSpaceDN/>
        <w:bidi w:val="0"/>
        <w:adjustRightInd w:val="0"/>
        <w:snapToGrid w:val="0"/>
        <w:spacing w:line="560" w:lineRule="exact"/>
        <w:ind w:firstLine="720"/>
        <w:jc w:val="left"/>
        <w:textAlignment w:val="auto"/>
        <w:rPr>
          <w:rFonts w:hint="default" w:ascii="仿宋_GB2312" w:hAnsi="仿宋_GB2312" w:eastAsia="仿宋_GB2312" w:cs="仿宋_GB2312"/>
          <w:color w:val="auto"/>
          <w:kern w:val="0"/>
          <w:sz w:val="32"/>
          <w:szCs w:val="32"/>
          <w:shd w:val="clear" w:color="auto" w:fill="FFFFFF"/>
          <w:lang w:val="en-US" w:eastAsia="zh-CN"/>
        </w:rPr>
      </w:pPr>
      <w:r>
        <w:rPr>
          <w:rFonts w:hint="eastAsia" w:ascii="仿宋_GB2312" w:hAnsi="仿宋_GB2312" w:eastAsia="仿宋_GB2312" w:cs="仿宋_GB2312"/>
          <w:b w:val="0"/>
          <w:bCs/>
          <w:color w:val="auto"/>
          <w:sz w:val="32"/>
          <w:szCs w:val="32"/>
          <w:lang w:val="en-US" w:eastAsia="zh-CN"/>
        </w:rPr>
        <w:t>2024无结余分配和结转结余情况。</w:t>
      </w:r>
    </w:p>
    <w:p>
      <w:pPr>
        <w:keepNext w:val="0"/>
        <w:keepLines w:val="0"/>
        <w:pageBreakBefore w:val="0"/>
        <w:widowControl/>
        <w:kinsoku/>
        <w:wordWrap/>
        <w:overflowPunct/>
        <w:topLinePunct w:val="0"/>
        <w:autoSpaceDE/>
        <w:autoSpaceDN/>
        <w:bidi w:val="0"/>
        <w:adjustRightInd w:val="0"/>
        <w:snapToGrid w:val="0"/>
        <w:spacing w:line="560" w:lineRule="exact"/>
        <w:ind w:firstLine="642" w:firstLineChars="200"/>
        <w:contextualSpacing/>
        <w:jc w:val="left"/>
        <w:textAlignment w:val="auto"/>
        <w:rPr>
          <w:rFonts w:hint="eastAsia" w:ascii="黑体" w:hAnsi="黑体" w:eastAsia="黑体" w:cs="黑体"/>
          <w:b/>
          <w:bCs/>
          <w:color w:val="000000" w:themeColor="text1"/>
          <w:kern w:val="0"/>
          <w:sz w:val="32"/>
          <w:szCs w:val="32"/>
          <w:shd w:val="clear" w:color="auto" w:fill="FFFFFF"/>
          <w14:textFill>
            <w14:solidFill>
              <w14:schemeClr w14:val="tx1"/>
            </w14:solidFill>
          </w14:textFill>
        </w:rPr>
      </w:pPr>
      <w:r>
        <w:rPr>
          <w:rFonts w:hint="eastAsia" w:ascii="黑体" w:hAnsi="黑体" w:eastAsia="黑体" w:cs="黑体"/>
          <w:b/>
          <w:bCs/>
          <w:color w:val="000000"/>
          <w:kern w:val="0"/>
          <w:sz w:val="32"/>
          <w:szCs w:val="32"/>
          <w:shd w:val="clear" w:color="auto" w:fill="FFFFFF"/>
        </w:rPr>
        <w:t>三、部门预算绩效分析</w:t>
      </w:r>
    </w:p>
    <w:p>
      <w:pPr>
        <w:keepNext w:val="0"/>
        <w:keepLines w:val="0"/>
        <w:pageBreakBefore w:val="0"/>
        <w:kinsoku/>
        <w:wordWrap/>
        <w:overflowPunct/>
        <w:topLinePunct w:val="0"/>
        <w:autoSpaceDE/>
        <w:autoSpaceDN/>
        <w:bidi w:val="0"/>
        <w:adjustRightInd w:val="0"/>
        <w:snapToGrid w:val="0"/>
        <w:spacing w:line="560" w:lineRule="exact"/>
        <w:ind w:firstLine="642" w:firstLineChars="200"/>
        <w:contextualSpacing/>
        <w:jc w:val="left"/>
        <w:textAlignment w:val="auto"/>
        <w:rPr>
          <w:rFonts w:hint="eastAsia" w:ascii="仿宋_GB2312" w:hAnsi="仿宋_GB2312" w:eastAsia="仿宋_GB2312" w:cs="仿宋_GB2312"/>
          <w:b/>
          <w:bCs/>
          <w:color w:val="000000"/>
          <w:kern w:val="0"/>
          <w:sz w:val="32"/>
          <w:szCs w:val="32"/>
          <w:shd w:val="clear" w:color="auto" w:fill="FFFFFF"/>
          <w:lang w:val="zh-CN"/>
        </w:rPr>
      </w:pPr>
      <w:r>
        <w:rPr>
          <w:rFonts w:hint="eastAsia" w:ascii="仿宋_GB2312" w:hAnsi="仿宋_GB2312" w:eastAsia="仿宋_GB2312" w:cs="仿宋_GB2312"/>
          <w:b/>
          <w:bCs/>
          <w:color w:val="000000"/>
          <w:kern w:val="0"/>
          <w:sz w:val="32"/>
          <w:szCs w:val="32"/>
          <w:shd w:val="clear" w:color="auto" w:fill="FFFFFF"/>
          <w:lang w:val="zh-CN"/>
        </w:rPr>
        <w:t>（一）部门预算总体绩效分析</w:t>
      </w:r>
    </w:p>
    <w:p>
      <w:pPr>
        <w:keepNext w:val="0"/>
        <w:keepLines w:val="0"/>
        <w:pageBreakBefore w:val="0"/>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_GB2312" w:hAnsi="仿宋_GB2312" w:eastAsia="仿宋_GB2312" w:cs="仿宋_GB2312"/>
          <w:color w:val="000000"/>
          <w:kern w:val="0"/>
          <w:sz w:val="32"/>
          <w:szCs w:val="32"/>
          <w:shd w:val="clear" w:color="auto" w:fill="FFFFFF"/>
          <w:lang w:val="zh-CN" w:eastAsia="zh-CN" w:bidi="ar-SA"/>
        </w:rPr>
      </w:pPr>
      <w:r>
        <w:rPr>
          <w:rFonts w:hint="eastAsia" w:ascii="仿宋_GB2312" w:hAnsi="仿宋_GB2312" w:eastAsia="仿宋_GB2312" w:cs="仿宋_GB2312"/>
          <w:color w:val="000000"/>
          <w:kern w:val="0"/>
          <w:sz w:val="32"/>
          <w:szCs w:val="32"/>
          <w:shd w:val="clear" w:color="auto" w:fill="FFFFFF"/>
          <w:lang w:val="zh-CN" w:eastAsia="zh-CN" w:bidi="ar-SA"/>
        </w:rPr>
        <w:t>1.履职效能</w:t>
      </w:r>
    </w:p>
    <w:p>
      <w:pPr>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仿宋_GB2312" w:eastAsia="仿宋_GB2312"/>
          <w:sz w:val="32"/>
          <w:szCs w:val="32"/>
          <w:shd w:val="clear" w:color="auto" w:fill="FFFFFF"/>
        </w:rPr>
      </w:pPr>
      <w:r>
        <w:rPr>
          <w:rFonts w:hint="eastAsia" w:ascii="仿宋_GB2312" w:eastAsia="仿宋_GB2312"/>
          <w:sz w:val="32"/>
          <w:szCs w:val="32"/>
          <w:shd w:val="clear" w:color="auto" w:fill="FFFFFF"/>
        </w:rPr>
        <w:t>我</w:t>
      </w:r>
      <w:r>
        <w:rPr>
          <w:rFonts w:hint="eastAsia" w:ascii="仿宋_GB2312" w:eastAsia="仿宋_GB2312"/>
          <w:sz w:val="32"/>
          <w:szCs w:val="32"/>
          <w:shd w:val="clear" w:color="auto" w:fill="FFFFFF"/>
          <w:lang w:eastAsia="zh-CN"/>
        </w:rPr>
        <w:t>中心</w:t>
      </w:r>
      <w:r>
        <w:rPr>
          <w:rFonts w:hint="eastAsia" w:ascii="仿宋_GB2312" w:eastAsia="仿宋_GB2312"/>
          <w:sz w:val="32"/>
          <w:szCs w:val="32"/>
          <w:shd w:val="clear" w:color="auto" w:fill="FFFFFF"/>
        </w:rPr>
        <w:t>所有财政资金支出主要用于保障本单位机构正常运转、完成日常工作任务以及其他发展相关工作。在日常工作中，单位所有日常公用经费开支范围和标准均符合相关规定并按相应支付审批程序办理。</w:t>
      </w:r>
    </w:p>
    <w:p>
      <w:pPr>
        <w:pStyle w:val="38"/>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000000"/>
          <w:kern w:val="0"/>
          <w:sz w:val="32"/>
          <w:szCs w:val="32"/>
          <w:shd w:val="clear" w:color="auto" w:fill="FFFFFF"/>
          <w:lang w:val="zh-CN" w:eastAsia="zh-CN" w:bidi="ar-SA"/>
        </w:rPr>
      </w:pPr>
      <w:r>
        <w:rPr>
          <w:rFonts w:hint="eastAsia" w:ascii="仿宋_GB2312" w:hAnsi="仿宋_GB2312" w:eastAsia="仿宋_GB2312" w:cs="仿宋_GB2312"/>
          <w:color w:val="000000"/>
          <w:kern w:val="0"/>
          <w:sz w:val="32"/>
          <w:szCs w:val="32"/>
          <w:shd w:val="clear" w:color="auto" w:fill="FFFFFF"/>
          <w:lang w:val="en-US" w:eastAsia="zh-CN" w:bidi="ar-SA"/>
        </w:rPr>
        <w:t>2.</w:t>
      </w:r>
      <w:r>
        <w:rPr>
          <w:rFonts w:hint="eastAsia" w:ascii="仿宋_GB2312" w:hAnsi="仿宋_GB2312" w:eastAsia="仿宋_GB2312" w:cs="仿宋_GB2312"/>
          <w:color w:val="000000"/>
          <w:kern w:val="0"/>
          <w:sz w:val="32"/>
          <w:szCs w:val="32"/>
          <w:shd w:val="clear" w:color="auto" w:fill="FFFFFF"/>
          <w:lang w:val="zh-CN" w:eastAsia="zh-CN" w:bidi="ar-SA"/>
        </w:rPr>
        <w:t>预算管理</w:t>
      </w:r>
    </w:p>
    <w:p>
      <w:pPr>
        <w:pStyle w:val="38"/>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位严格按照县财政部门预算编制通知和有关文件要求，秉承强化规划约束、坚持限额控制、实时滚动管理、强化绩效管理的基本编制原则在县财政部门规定的时间内于部门预算管理系统中以上年度10月份单位人员情况完成单位基本信息表及基础资料表。同时，根据“定员定额”标准并结合本单位实际项目安排批准情况填制收支总表及支出项目录入表。单位预算编制工作完成后按“二上二下”的编制程序提交县财政支出管理股室进行审核后下达批复。</w:t>
      </w:r>
    </w:p>
    <w:p>
      <w:pPr>
        <w:pStyle w:val="38"/>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000000"/>
          <w:kern w:val="0"/>
          <w:sz w:val="32"/>
          <w:szCs w:val="32"/>
          <w:shd w:val="clear" w:color="auto" w:fill="FFFFFF"/>
          <w:lang w:val="zh-CN" w:eastAsia="zh-CN" w:bidi="ar-SA"/>
        </w:rPr>
      </w:pPr>
      <w:r>
        <w:rPr>
          <w:rFonts w:hint="eastAsia" w:ascii="仿宋_GB2312" w:hAnsi="仿宋_GB2312" w:eastAsia="仿宋_GB2312" w:cs="仿宋_GB2312"/>
          <w:color w:val="000000"/>
          <w:kern w:val="0"/>
          <w:sz w:val="32"/>
          <w:szCs w:val="32"/>
          <w:shd w:val="clear" w:color="auto" w:fill="FFFFFF"/>
          <w:lang w:val="en-US" w:eastAsia="zh-CN" w:bidi="ar-SA"/>
        </w:rPr>
        <w:t>3.</w:t>
      </w:r>
      <w:r>
        <w:rPr>
          <w:rFonts w:hint="eastAsia" w:ascii="仿宋_GB2312" w:hAnsi="仿宋_GB2312" w:eastAsia="仿宋_GB2312" w:cs="仿宋_GB2312"/>
          <w:color w:val="000000"/>
          <w:kern w:val="0"/>
          <w:sz w:val="32"/>
          <w:szCs w:val="32"/>
          <w:shd w:val="clear" w:color="auto" w:fill="FFFFFF"/>
          <w:lang w:val="zh-CN" w:eastAsia="zh-CN" w:bidi="ar-SA"/>
        </w:rPr>
        <w:t>财务管理</w:t>
      </w:r>
    </w:p>
    <w:p>
      <w:pPr>
        <w:pStyle w:val="38"/>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default" w:ascii="仿宋_GB2312" w:hAnsi="黑体" w:eastAsia="仿宋_GB2312" w:cstheme="minorBidi"/>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严格执行财务制度，设置有会计、出纳岗</w:t>
      </w:r>
      <w:r>
        <w:rPr>
          <w:rFonts w:hint="eastAsia" w:ascii="仿宋_GB2312" w:hAnsi="黑体" w:eastAsia="仿宋_GB2312" w:cstheme="minorBidi"/>
          <w:kern w:val="2"/>
          <w:sz w:val="32"/>
          <w:szCs w:val="32"/>
          <w:lang w:val="en-US" w:eastAsia="zh-CN" w:bidi="ar-SA"/>
        </w:rPr>
        <w:t>位，</w:t>
      </w:r>
      <w:r>
        <w:rPr>
          <w:rFonts w:hint="eastAsia" w:ascii="仿宋_GB2312" w:eastAsia="仿宋_GB2312" w:hAnsiTheme="minorEastAsia"/>
          <w:sz w:val="32"/>
          <w:szCs w:val="32"/>
          <w:shd w:val="clear" w:color="auto" w:fill="FFFFFF"/>
        </w:rPr>
        <w:t>按照有关文件及规章制度的要求严格规范各项经费支出，细化各项经费指标的收支管理及审批程序。</w:t>
      </w:r>
    </w:p>
    <w:p>
      <w:pPr>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仿宋_GB2312" w:eastAsia="仿宋_GB2312" w:hAnsiTheme="minorEastAsia" w:cstheme="minorBidi"/>
          <w:kern w:val="2"/>
          <w:sz w:val="32"/>
          <w:szCs w:val="32"/>
          <w:shd w:val="clear" w:color="auto" w:fill="FFFFFF"/>
          <w:lang w:val="zh-CN" w:eastAsia="zh-CN" w:bidi="ar-SA"/>
        </w:rPr>
      </w:pPr>
      <w:r>
        <w:rPr>
          <w:rFonts w:hint="eastAsia" w:ascii="仿宋_GB2312" w:eastAsia="仿宋_GB2312" w:hAnsiTheme="minorEastAsia" w:cstheme="minorBidi"/>
          <w:kern w:val="2"/>
          <w:sz w:val="32"/>
          <w:szCs w:val="32"/>
          <w:shd w:val="clear" w:color="auto" w:fill="FFFFFF"/>
          <w:lang w:val="en-US" w:eastAsia="zh-CN" w:bidi="ar-SA"/>
        </w:rPr>
        <w:t>4.</w:t>
      </w:r>
      <w:r>
        <w:rPr>
          <w:rFonts w:hint="eastAsia" w:ascii="仿宋_GB2312" w:eastAsia="仿宋_GB2312" w:hAnsiTheme="minorEastAsia" w:cstheme="minorBidi"/>
          <w:kern w:val="2"/>
          <w:sz w:val="32"/>
          <w:szCs w:val="32"/>
          <w:shd w:val="clear" w:color="auto" w:fill="FFFFFF"/>
          <w:lang w:val="zh-CN" w:eastAsia="zh-CN" w:bidi="ar-SA"/>
        </w:rPr>
        <w:t>资产管理</w:t>
      </w:r>
    </w:p>
    <w:p>
      <w:pPr>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仿宋_GB2312" w:eastAsia="仿宋_GB2312" w:hAnsiTheme="minorEastAsia" w:cstheme="minorBidi"/>
          <w:kern w:val="2"/>
          <w:sz w:val="32"/>
          <w:szCs w:val="32"/>
          <w:shd w:val="clear" w:color="auto" w:fill="FFFFFF"/>
          <w:lang w:val="en-US" w:eastAsia="zh-CN" w:bidi="ar-SA"/>
        </w:rPr>
      </w:pPr>
      <w:r>
        <w:rPr>
          <w:rFonts w:hint="eastAsia" w:ascii="仿宋_GB2312" w:eastAsia="仿宋_GB2312" w:hAnsiTheme="minorEastAsia" w:cstheme="minorBidi"/>
          <w:kern w:val="2"/>
          <w:sz w:val="32"/>
          <w:szCs w:val="32"/>
          <w:shd w:val="clear" w:color="auto" w:fill="FFFFFF"/>
          <w:lang w:val="en-US" w:eastAsia="zh-CN" w:bidi="ar-SA"/>
        </w:rPr>
        <w:t>单位所有固定资产由专人负责登记管理，办公室负责对单位固定资产实物情况进行全面管理；单位财务人员负责对固定资产账面价值进行审合统计并录入资产管理系统，对资产盘盈、盘亏、报废、清理等处置业务在获得有关部门审核批准后及时办理相应手续。通过对现有固定资产进行账物实物清查盘点，并按要求在四川省资产管理系统中准确、真实、完整地录入相关数据并上报。未存在盘盈、盘亏、损毁的现象。</w:t>
      </w:r>
    </w:p>
    <w:p>
      <w:pPr>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仿宋_GB2312" w:eastAsia="仿宋_GB2312" w:hAnsiTheme="minorEastAsia" w:cstheme="minorBidi"/>
          <w:kern w:val="2"/>
          <w:sz w:val="32"/>
          <w:szCs w:val="32"/>
          <w:shd w:val="clear" w:color="auto" w:fill="FFFFFF"/>
          <w:lang w:val="zh-CN" w:eastAsia="zh-CN" w:bidi="ar-SA"/>
        </w:rPr>
      </w:pPr>
      <w:r>
        <w:rPr>
          <w:rFonts w:hint="eastAsia" w:ascii="仿宋_GB2312" w:eastAsia="仿宋_GB2312" w:hAnsiTheme="minorEastAsia" w:cstheme="minorBidi"/>
          <w:kern w:val="2"/>
          <w:sz w:val="32"/>
          <w:szCs w:val="32"/>
          <w:shd w:val="clear" w:color="auto" w:fill="FFFFFF"/>
          <w:lang w:val="en-US" w:eastAsia="zh-CN" w:bidi="ar-SA"/>
        </w:rPr>
        <w:t>5.</w:t>
      </w:r>
      <w:r>
        <w:rPr>
          <w:rFonts w:hint="eastAsia" w:ascii="仿宋_GB2312" w:eastAsia="仿宋_GB2312" w:hAnsiTheme="minorEastAsia" w:cstheme="minorBidi"/>
          <w:kern w:val="2"/>
          <w:sz w:val="32"/>
          <w:szCs w:val="32"/>
          <w:shd w:val="clear" w:color="auto" w:fill="FFFFFF"/>
          <w:lang w:val="zh-CN" w:eastAsia="zh-CN" w:bidi="ar-SA"/>
        </w:rPr>
        <w:t>采购管理</w:t>
      </w:r>
    </w:p>
    <w:p>
      <w:pPr>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仿宋_GB2312" w:eastAsia="仿宋_GB2312" w:hAnsiTheme="minorEastAsia" w:cstheme="minorBidi"/>
          <w:kern w:val="2"/>
          <w:sz w:val="32"/>
          <w:szCs w:val="32"/>
          <w:shd w:val="clear" w:color="auto" w:fill="FFFFFF"/>
          <w:lang w:val="zh-CN" w:eastAsia="zh-CN" w:bidi="ar-SA"/>
        </w:rPr>
      </w:pPr>
      <w:r>
        <w:rPr>
          <w:rFonts w:hint="eastAsia" w:ascii="仿宋_GB2312" w:eastAsia="仿宋_GB2312" w:hAnsiTheme="minorEastAsia" w:cstheme="minorBidi"/>
          <w:kern w:val="2"/>
          <w:sz w:val="32"/>
          <w:szCs w:val="32"/>
          <w:shd w:val="clear" w:color="auto" w:fill="FFFFFF"/>
          <w:lang w:val="zh-CN" w:eastAsia="zh-CN" w:bidi="ar-SA"/>
        </w:rPr>
        <w:t>单位在202</w:t>
      </w:r>
      <w:r>
        <w:rPr>
          <w:rFonts w:hint="eastAsia" w:ascii="仿宋_GB2312" w:eastAsia="仿宋_GB2312" w:hAnsiTheme="minorEastAsia" w:cstheme="minorBidi"/>
          <w:kern w:val="2"/>
          <w:sz w:val="32"/>
          <w:szCs w:val="32"/>
          <w:shd w:val="clear" w:color="auto" w:fill="FFFFFF"/>
          <w:lang w:val="en-US" w:eastAsia="zh-CN" w:bidi="ar-SA"/>
        </w:rPr>
        <w:t>4</w:t>
      </w:r>
      <w:r>
        <w:rPr>
          <w:rFonts w:hint="eastAsia" w:ascii="仿宋_GB2312" w:eastAsia="仿宋_GB2312" w:hAnsiTheme="minorEastAsia" w:cstheme="minorBidi"/>
          <w:kern w:val="2"/>
          <w:sz w:val="32"/>
          <w:szCs w:val="32"/>
          <w:shd w:val="clear" w:color="auto" w:fill="FFFFFF"/>
          <w:lang w:val="zh-CN" w:eastAsia="zh-CN" w:bidi="ar-SA"/>
        </w:rPr>
        <w:t>年</w:t>
      </w:r>
      <w:r>
        <w:rPr>
          <w:rFonts w:hint="eastAsia" w:ascii="仿宋_GB2312" w:eastAsia="仿宋_GB2312" w:hAnsiTheme="minorEastAsia" w:cstheme="minorBidi"/>
          <w:kern w:val="2"/>
          <w:sz w:val="32"/>
          <w:szCs w:val="32"/>
          <w:shd w:val="clear" w:color="auto" w:fill="FFFFFF"/>
          <w:lang w:val="en-US" w:eastAsia="zh-CN" w:bidi="ar-SA"/>
        </w:rPr>
        <w:t>发生的资产采购均为</w:t>
      </w:r>
      <w:r>
        <w:rPr>
          <w:rFonts w:hint="eastAsia" w:ascii="仿宋_GB2312" w:eastAsia="仿宋_GB2312" w:hAnsiTheme="minorEastAsia" w:cstheme="minorBidi"/>
          <w:kern w:val="2"/>
          <w:sz w:val="32"/>
          <w:szCs w:val="32"/>
          <w:shd w:val="clear" w:color="auto" w:fill="FFFFFF"/>
          <w:lang w:val="zh-CN" w:eastAsia="zh-CN" w:bidi="ar-SA"/>
        </w:rPr>
        <w:t>政府采购行为，为</w:t>
      </w:r>
      <w:r>
        <w:rPr>
          <w:rFonts w:hint="eastAsia" w:ascii="仿宋_GB2312" w:eastAsia="仿宋_GB2312" w:hAnsiTheme="minorEastAsia" w:cstheme="minorBidi"/>
          <w:kern w:val="2"/>
          <w:sz w:val="32"/>
          <w:szCs w:val="32"/>
          <w:shd w:val="clear" w:color="auto" w:fill="FFFFFF"/>
          <w:lang w:val="en-US" w:eastAsia="zh-CN" w:bidi="ar-SA"/>
        </w:rPr>
        <w:t>了</w:t>
      </w:r>
      <w:r>
        <w:rPr>
          <w:rFonts w:hint="eastAsia" w:ascii="仿宋_GB2312" w:eastAsia="仿宋_GB2312" w:hAnsiTheme="minorEastAsia" w:cstheme="minorBidi"/>
          <w:kern w:val="2"/>
          <w:sz w:val="32"/>
          <w:szCs w:val="32"/>
          <w:shd w:val="clear" w:color="auto" w:fill="FFFFFF"/>
          <w:lang w:val="zh-CN" w:eastAsia="zh-CN" w:bidi="ar-SA"/>
        </w:rPr>
        <w:t>进一步加强我中心政府采购监督管理和规范政府采购行为，我中心已建立相应的政府采购制度。</w:t>
      </w:r>
    </w:p>
    <w:p>
      <w:pPr>
        <w:keepNext w:val="0"/>
        <w:keepLines w:val="0"/>
        <w:pageBreakBefore w:val="0"/>
        <w:kinsoku/>
        <w:wordWrap/>
        <w:overflowPunct/>
        <w:topLinePunct w:val="0"/>
        <w:autoSpaceDE/>
        <w:autoSpaceDN/>
        <w:bidi w:val="0"/>
        <w:spacing w:line="560" w:lineRule="exact"/>
        <w:ind w:firstLine="642" w:firstLineChars="200"/>
        <w:textAlignment w:val="auto"/>
        <w:rPr>
          <w:rFonts w:hint="eastAsia" w:ascii="仿宋_GB2312" w:hAnsi="黑体" w:eastAsia="仿宋_GB2312" w:cs="宋体"/>
          <w:kern w:val="0"/>
          <w:sz w:val="32"/>
          <w:szCs w:val="32"/>
          <w:shd w:val="clear" w:color="auto" w:fill="FFFFFF"/>
          <w:lang w:val="en-US" w:eastAsia="zh-CN" w:bidi="ar-SA"/>
        </w:rPr>
      </w:pPr>
      <w:r>
        <w:rPr>
          <w:rFonts w:hint="eastAsia" w:ascii="仿宋_GB2312" w:hAnsi="黑体" w:eastAsia="仿宋_GB2312" w:cs="宋体"/>
          <w:b/>
          <w:bCs/>
          <w:kern w:val="0"/>
          <w:sz w:val="32"/>
          <w:szCs w:val="32"/>
          <w:shd w:val="clear" w:color="auto" w:fill="FFFFFF"/>
          <w:lang w:val="zh-CN" w:eastAsia="zh-CN" w:bidi="ar-SA"/>
        </w:rPr>
        <w:t>（二）部门预算项目绩效分析</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黑体" w:eastAsia="仿宋_GB2312" w:cs="宋体"/>
          <w:kern w:val="0"/>
          <w:sz w:val="32"/>
          <w:szCs w:val="32"/>
          <w:shd w:val="clear" w:color="auto" w:fill="FFFFFF"/>
          <w:lang w:val="zh-CN" w:eastAsia="zh-CN" w:bidi="ar-SA"/>
        </w:rPr>
      </w:pPr>
      <w:r>
        <w:rPr>
          <w:rFonts w:hint="eastAsia" w:ascii="仿宋_GB2312" w:hAnsi="黑体" w:eastAsia="仿宋_GB2312" w:cs="宋体"/>
          <w:kern w:val="0"/>
          <w:sz w:val="32"/>
          <w:szCs w:val="32"/>
          <w:shd w:val="clear" w:color="auto" w:fill="FFFFFF"/>
          <w:lang w:val="en-US" w:eastAsia="zh-CN" w:bidi="ar-SA"/>
        </w:rPr>
        <w:t>常年项目绩效分析。</w:t>
      </w:r>
      <w:r>
        <w:rPr>
          <w:rFonts w:hint="eastAsia" w:ascii="仿宋_GB2312" w:hAnsi="黑体" w:eastAsia="仿宋_GB2312" w:cs="宋体"/>
          <w:kern w:val="0"/>
          <w:sz w:val="32"/>
          <w:szCs w:val="32"/>
          <w:shd w:val="clear" w:color="auto" w:fill="FFFFFF"/>
          <w:lang w:val="zh-CN" w:eastAsia="zh-CN" w:bidi="ar-SA"/>
        </w:rPr>
        <w:t>该类项目总数</w:t>
      </w:r>
      <w:r>
        <w:rPr>
          <w:rFonts w:hint="eastAsia" w:ascii="仿宋_GB2312" w:hAnsi="黑体" w:eastAsia="仿宋_GB2312" w:cs="宋体"/>
          <w:kern w:val="0"/>
          <w:sz w:val="32"/>
          <w:szCs w:val="32"/>
          <w:shd w:val="clear" w:color="auto" w:fill="FFFFFF"/>
          <w:lang w:val="en-US" w:eastAsia="zh-CN" w:bidi="ar-SA"/>
        </w:rPr>
        <w:t>1</w:t>
      </w:r>
      <w:r>
        <w:rPr>
          <w:rFonts w:hint="eastAsia" w:ascii="仿宋_GB2312" w:hAnsi="黑体" w:eastAsia="仿宋_GB2312" w:cs="宋体"/>
          <w:kern w:val="0"/>
          <w:sz w:val="32"/>
          <w:szCs w:val="32"/>
          <w:shd w:val="clear" w:color="auto" w:fill="FFFFFF"/>
          <w:lang w:val="zh-CN" w:eastAsia="zh-CN" w:bidi="ar-SA"/>
        </w:rPr>
        <w:t>个，涉及预算总金额</w:t>
      </w:r>
      <w:r>
        <w:rPr>
          <w:rFonts w:hint="eastAsia" w:ascii="仿宋_GB2312" w:hAnsi="黑体" w:eastAsia="仿宋_GB2312" w:cs="宋体"/>
          <w:kern w:val="0"/>
          <w:sz w:val="32"/>
          <w:szCs w:val="32"/>
          <w:shd w:val="clear" w:color="auto" w:fill="FFFFFF"/>
          <w:lang w:val="en-US" w:eastAsia="zh-CN" w:bidi="ar-SA"/>
        </w:rPr>
        <w:t>0.35</w:t>
      </w:r>
      <w:r>
        <w:rPr>
          <w:rFonts w:hint="eastAsia" w:ascii="仿宋_GB2312" w:hAnsi="黑体" w:eastAsia="仿宋_GB2312" w:cs="宋体"/>
          <w:kern w:val="0"/>
          <w:sz w:val="32"/>
          <w:szCs w:val="32"/>
          <w:shd w:val="clear" w:color="auto" w:fill="FFFFFF"/>
          <w:lang w:val="zh-CN" w:eastAsia="zh-CN" w:bidi="ar-SA"/>
        </w:rPr>
        <w:t>万元，1—1</w:t>
      </w:r>
      <w:r>
        <w:rPr>
          <w:rFonts w:hint="eastAsia" w:ascii="仿宋_GB2312" w:hAnsi="黑体" w:eastAsia="仿宋_GB2312" w:cs="宋体"/>
          <w:kern w:val="0"/>
          <w:sz w:val="32"/>
          <w:szCs w:val="32"/>
          <w:shd w:val="clear" w:color="auto" w:fill="FFFFFF"/>
          <w:lang w:val="en-US" w:eastAsia="zh-CN" w:bidi="ar-SA"/>
        </w:rPr>
        <w:t>2</w:t>
      </w:r>
      <w:r>
        <w:rPr>
          <w:rFonts w:hint="eastAsia" w:ascii="仿宋_GB2312" w:hAnsi="黑体" w:eastAsia="仿宋_GB2312" w:cs="宋体"/>
          <w:kern w:val="0"/>
          <w:sz w:val="32"/>
          <w:szCs w:val="32"/>
          <w:shd w:val="clear" w:color="auto" w:fill="FFFFFF"/>
          <w:lang w:val="zh-CN" w:eastAsia="zh-CN" w:bidi="ar-SA"/>
        </w:rPr>
        <w:t>月预算执行总体进度为</w:t>
      </w:r>
      <w:r>
        <w:rPr>
          <w:rFonts w:hint="eastAsia" w:ascii="仿宋_GB2312" w:hAnsi="黑体" w:eastAsia="仿宋_GB2312" w:cs="宋体"/>
          <w:kern w:val="0"/>
          <w:sz w:val="32"/>
          <w:szCs w:val="32"/>
          <w:shd w:val="clear" w:color="auto" w:fill="FFFFFF"/>
          <w:lang w:val="en-US" w:eastAsia="zh-CN" w:bidi="ar-SA"/>
        </w:rPr>
        <w:t>100</w:t>
      </w:r>
      <w:r>
        <w:rPr>
          <w:rFonts w:hint="eastAsia" w:ascii="仿宋_GB2312" w:hAnsi="黑体" w:eastAsia="仿宋_GB2312" w:cs="宋体"/>
          <w:kern w:val="0"/>
          <w:sz w:val="32"/>
          <w:szCs w:val="32"/>
          <w:shd w:val="clear" w:color="auto" w:fill="FFFFFF"/>
          <w:lang w:val="zh-CN" w:eastAsia="zh-CN" w:bidi="ar-SA"/>
        </w:rPr>
        <w:t>%，其中：预算结余率大于</w:t>
      </w:r>
      <w:r>
        <w:rPr>
          <w:rFonts w:hint="eastAsia" w:ascii="仿宋_GB2312" w:hAnsi="黑体" w:eastAsia="仿宋_GB2312" w:cs="宋体"/>
          <w:kern w:val="0"/>
          <w:sz w:val="32"/>
          <w:szCs w:val="32"/>
          <w:shd w:val="clear" w:color="auto" w:fill="FFFFFF"/>
          <w:lang w:val="en-US" w:eastAsia="zh-CN" w:bidi="ar-SA"/>
        </w:rPr>
        <w:t>10%</w:t>
      </w:r>
      <w:r>
        <w:rPr>
          <w:rFonts w:hint="eastAsia" w:ascii="仿宋_GB2312" w:hAnsi="黑体" w:eastAsia="仿宋_GB2312" w:cs="宋体"/>
          <w:kern w:val="0"/>
          <w:sz w:val="32"/>
          <w:szCs w:val="32"/>
          <w:shd w:val="clear" w:color="auto" w:fill="FFFFFF"/>
          <w:lang w:val="zh-CN" w:eastAsia="zh-CN" w:bidi="ar-SA"/>
        </w:rPr>
        <w:t>的项目共计</w:t>
      </w:r>
      <w:r>
        <w:rPr>
          <w:rFonts w:hint="eastAsia" w:ascii="仿宋_GB2312" w:hAnsi="黑体" w:eastAsia="仿宋_GB2312" w:cs="宋体"/>
          <w:kern w:val="0"/>
          <w:sz w:val="32"/>
          <w:szCs w:val="32"/>
          <w:shd w:val="clear" w:color="auto" w:fill="FFFFFF"/>
          <w:lang w:val="en-US" w:eastAsia="zh-CN" w:bidi="ar-SA"/>
        </w:rPr>
        <w:t>0</w:t>
      </w:r>
      <w:r>
        <w:rPr>
          <w:rFonts w:hint="eastAsia" w:ascii="仿宋_GB2312" w:hAnsi="黑体" w:eastAsia="仿宋_GB2312" w:cs="宋体"/>
          <w:kern w:val="0"/>
          <w:sz w:val="32"/>
          <w:szCs w:val="32"/>
          <w:shd w:val="clear" w:color="auto" w:fill="FFFFFF"/>
          <w:lang w:val="zh-CN" w:eastAsia="zh-CN" w:bidi="ar-SA"/>
        </w:rPr>
        <w:t>个。</w:t>
      </w:r>
    </w:p>
    <w:p>
      <w:pPr>
        <w:keepNext w:val="0"/>
        <w:keepLines w:val="0"/>
        <w:pageBreakBefore w:val="0"/>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_GB2312" w:hAnsi="黑体" w:eastAsia="仿宋_GB2312" w:cs="宋体"/>
          <w:kern w:val="0"/>
          <w:sz w:val="32"/>
          <w:szCs w:val="32"/>
          <w:shd w:val="clear" w:color="auto" w:fill="FFFFFF"/>
          <w:lang w:val="zh-CN" w:eastAsia="zh-CN" w:bidi="ar-SA"/>
        </w:rPr>
      </w:pPr>
      <w:r>
        <w:rPr>
          <w:rFonts w:hint="eastAsia" w:ascii="仿宋_GB2312" w:hAnsi="黑体" w:eastAsia="仿宋_GB2312" w:cs="宋体"/>
          <w:kern w:val="0"/>
          <w:sz w:val="32"/>
          <w:szCs w:val="32"/>
          <w:shd w:val="clear" w:color="auto" w:fill="FFFFFF"/>
          <w:lang w:val="en-US" w:eastAsia="zh-CN" w:bidi="ar-SA"/>
        </w:rPr>
        <w:t>阶段（一次性）项目绩效分析。</w:t>
      </w:r>
      <w:r>
        <w:rPr>
          <w:rFonts w:hint="eastAsia" w:ascii="仿宋_GB2312" w:hAnsi="黑体" w:eastAsia="仿宋_GB2312" w:cs="宋体"/>
          <w:kern w:val="0"/>
          <w:sz w:val="32"/>
          <w:szCs w:val="32"/>
          <w:shd w:val="clear" w:color="auto" w:fill="FFFFFF"/>
          <w:lang w:val="zh-CN" w:eastAsia="zh-CN" w:bidi="ar-SA"/>
        </w:rPr>
        <w:t>该类项目总数</w:t>
      </w:r>
      <w:r>
        <w:rPr>
          <w:rFonts w:hint="eastAsia" w:ascii="仿宋_GB2312" w:hAnsi="黑体" w:eastAsia="仿宋_GB2312" w:cs="宋体"/>
          <w:kern w:val="0"/>
          <w:sz w:val="32"/>
          <w:szCs w:val="32"/>
          <w:shd w:val="clear" w:color="auto" w:fill="FFFFFF"/>
          <w:lang w:val="en-US" w:eastAsia="zh-CN" w:bidi="ar-SA"/>
        </w:rPr>
        <w:t>14</w:t>
      </w:r>
      <w:r>
        <w:rPr>
          <w:rFonts w:hint="eastAsia" w:ascii="仿宋_GB2312" w:hAnsi="黑体" w:eastAsia="仿宋_GB2312" w:cs="宋体"/>
          <w:kern w:val="0"/>
          <w:sz w:val="32"/>
          <w:szCs w:val="32"/>
          <w:shd w:val="clear" w:color="auto" w:fill="FFFFFF"/>
          <w:lang w:val="zh-CN" w:eastAsia="zh-CN" w:bidi="ar-SA"/>
        </w:rPr>
        <w:t>个，涉及预算总金额</w:t>
      </w:r>
      <w:r>
        <w:rPr>
          <w:rFonts w:hint="eastAsia" w:ascii="仿宋_GB2312" w:hAnsi="黑体" w:eastAsia="仿宋_GB2312" w:cs="宋体"/>
          <w:kern w:val="0"/>
          <w:sz w:val="32"/>
          <w:szCs w:val="32"/>
          <w:shd w:val="clear" w:color="auto" w:fill="FFFFFF"/>
          <w:lang w:val="en-US" w:eastAsia="zh-CN" w:bidi="ar-SA"/>
        </w:rPr>
        <w:t>1782.48</w:t>
      </w:r>
      <w:r>
        <w:rPr>
          <w:rFonts w:hint="eastAsia" w:ascii="仿宋_GB2312" w:hAnsi="黑体" w:eastAsia="仿宋_GB2312" w:cs="宋体"/>
          <w:kern w:val="0"/>
          <w:sz w:val="32"/>
          <w:szCs w:val="32"/>
          <w:shd w:val="clear" w:color="auto" w:fill="FFFFFF"/>
          <w:lang w:val="zh-CN" w:eastAsia="zh-CN" w:bidi="ar-SA"/>
        </w:rPr>
        <w:t>万元。</w:t>
      </w:r>
    </w:p>
    <w:p>
      <w:pPr>
        <w:keepNext w:val="0"/>
        <w:keepLines w:val="0"/>
        <w:pageBreakBefore w:val="0"/>
        <w:numPr>
          <w:ilvl w:val="0"/>
          <w:numId w:val="0"/>
        </w:numPr>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_GB2312" w:hAnsi="黑体" w:eastAsia="仿宋_GB2312" w:cs="宋体"/>
          <w:kern w:val="0"/>
          <w:sz w:val="32"/>
          <w:szCs w:val="32"/>
          <w:shd w:val="clear" w:color="auto" w:fill="FFFFFF"/>
          <w:lang w:val="zh-CN" w:eastAsia="zh-CN" w:bidi="ar-SA"/>
        </w:rPr>
      </w:pPr>
      <w:r>
        <w:rPr>
          <w:rFonts w:hint="eastAsia" w:ascii="仿宋_GB2312" w:hAnsi="黑体" w:eastAsia="仿宋_GB2312" w:cs="宋体"/>
          <w:kern w:val="0"/>
          <w:sz w:val="32"/>
          <w:szCs w:val="32"/>
          <w:shd w:val="clear" w:color="auto" w:fill="FFFFFF"/>
          <w:lang w:val="en-US" w:eastAsia="zh-CN" w:bidi="ar-SA"/>
        </w:rPr>
        <w:t>1.</w:t>
      </w:r>
      <w:r>
        <w:rPr>
          <w:rFonts w:hint="eastAsia" w:ascii="仿宋_GB2312" w:hAnsi="黑体" w:eastAsia="仿宋_GB2312" w:cs="宋体"/>
          <w:kern w:val="0"/>
          <w:sz w:val="32"/>
          <w:szCs w:val="32"/>
          <w:shd w:val="clear" w:color="auto" w:fill="FFFFFF"/>
          <w:lang w:val="zh-CN" w:eastAsia="zh-CN" w:bidi="ar-SA"/>
        </w:rPr>
        <w:t>项目决策</w:t>
      </w:r>
    </w:p>
    <w:p>
      <w:pPr>
        <w:keepNext w:val="0"/>
        <w:keepLines w:val="0"/>
        <w:pageBreakBefore w:val="0"/>
        <w:numPr>
          <w:ilvl w:val="0"/>
          <w:numId w:val="0"/>
        </w:numPr>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_GB2312" w:hAnsi="黑体" w:eastAsia="仿宋_GB2312" w:cs="宋体"/>
          <w:kern w:val="0"/>
          <w:sz w:val="32"/>
          <w:szCs w:val="32"/>
          <w:shd w:val="clear" w:color="auto" w:fill="FFFFFF"/>
          <w:lang w:val="en-US" w:eastAsia="zh-CN" w:bidi="ar-SA"/>
        </w:rPr>
      </w:pPr>
      <w:r>
        <w:rPr>
          <w:rFonts w:hint="eastAsia" w:ascii="仿宋_GB2312" w:hAnsi="黑体" w:eastAsia="仿宋_GB2312" w:cs="宋体"/>
          <w:kern w:val="0"/>
          <w:sz w:val="32"/>
          <w:szCs w:val="32"/>
          <w:shd w:val="clear" w:color="auto" w:fill="FFFFFF"/>
          <w:lang w:val="en-US" w:eastAsia="zh-CN" w:bidi="ar-SA"/>
        </w:rPr>
        <w:t>根据上级下达的资金文件建立相应的项目库，并讨论设置项目绩效目标。</w:t>
      </w:r>
    </w:p>
    <w:p>
      <w:pPr>
        <w:keepNext w:val="0"/>
        <w:keepLines w:val="0"/>
        <w:pageBreakBefore w:val="0"/>
        <w:numPr>
          <w:ilvl w:val="0"/>
          <w:numId w:val="0"/>
        </w:numPr>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_GB2312" w:hAnsi="黑体" w:eastAsia="仿宋_GB2312" w:cs="宋体"/>
          <w:kern w:val="0"/>
          <w:sz w:val="32"/>
          <w:szCs w:val="32"/>
          <w:shd w:val="clear" w:color="auto" w:fill="FFFFFF"/>
          <w:lang w:val="en-US" w:eastAsia="zh-CN" w:bidi="ar-SA"/>
        </w:rPr>
      </w:pPr>
      <w:r>
        <w:rPr>
          <w:rFonts w:hint="eastAsia" w:ascii="仿宋_GB2312" w:hAnsi="黑体" w:eastAsia="仿宋_GB2312" w:cs="宋体"/>
          <w:kern w:val="0"/>
          <w:sz w:val="32"/>
          <w:szCs w:val="32"/>
          <w:shd w:val="clear" w:color="auto" w:fill="FFFFFF"/>
          <w:lang w:val="en-US" w:eastAsia="zh-CN" w:bidi="ar-SA"/>
        </w:rPr>
        <w:t>2.项目执行</w:t>
      </w:r>
    </w:p>
    <w:p>
      <w:pPr>
        <w:keepNext w:val="0"/>
        <w:keepLines w:val="0"/>
        <w:pageBreakBefore w:val="0"/>
        <w:numPr>
          <w:ilvl w:val="0"/>
          <w:numId w:val="0"/>
        </w:numPr>
        <w:kinsoku/>
        <w:wordWrap/>
        <w:overflowPunct/>
        <w:topLinePunct w:val="0"/>
        <w:autoSpaceDE/>
        <w:autoSpaceDN/>
        <w:bidi w:val="0"/>
        <w:adjustRightInd w:val="0"/>
        <w:snapToGrid w:val="0"/>
        <w:spacing w:line="560" w:lineRule="exact"/>
        <w:ind w:firstLine="640" w:firstLineChars="200"/>
        <w:contextualSpacing/>
        <w:jc w:val="left"/>
        <w:textAlignment w:val="auto"/>
        <w:rPr>
          <w:rFonts w:hint="default" w:ascii="仿宋_GB2312" w:hAnsi="黑体" w:eastAsia="仿宋_GB2312" w:cs="宋体"/>
          <w:kern w:val="0"/>
          <w:sz w:val="32"/>
          <w:szCs w:val="32"/>
          <w:shd w:val="clear" w:color="auto" w:fill="FFFFFF"/>
          <w:lang w:val="en-US" w:eastAsia="zh-CN" w:bidi="ar-SA"/>
        </w:rPr>
      </w:pPr>
      <w:r>
        <w:rPr>
          <w:rFonts w:hint="eastAsia" w:ascii="仿宋_GB2312" w:hAnsi="黑体" w:eastAsia="仿宋_GB2312" w:cs="宋体"/>
          <w:kern w:val="0"/>
          <w:sz w:val="32"/>
          <w:szCs w:val="32"/>
          <w:shd w:val="clear" w:color="auto" w:fill="FFFFFF"/>
          <w:lang w:val="en-US" w:eastAsia="zh-CN" w:bidi="ar-SA"/>
        </w:rPr>
        <w:t>按照既定的项目绩效目标，资金目标，按月按季度完成绩效目标。</w:t>
      </w:r>
    </w:p>
    <w:p>
      <w:pPr>
        <w:keepNext w:val="0"/>
        <w:keepLines w:val="0"/>
        <w:pageBreakBefore w:val="0"/>
        <w:numPr>
          <w:ilvl w:val="0"/>
          <w:numId w:val="0"/>
        </w:numPr>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_GB2312" w:hAnsi="黑体" w:eastAsia="仿宋_GB2312" w:cs="宋体"/>
          <w:kern w:val="0"/>
          <w:sz w:val="32"/>
          <w:szCs w:val="32"/>
          <w:shd w:val="clear" w:color="auto" w:fill="FFFFFF"/>
          <w:lang w:val="zh-CN" w:eastAsia="zh-CN" w:bidi="ar-SA"/>
        </w:rPr>
      </w:pPr>
      <w:r>
        <w:rPr>
          <w:rFonts w:hint="eastAsia" w:ascii="仿宋_GB2312" w:hAnsi="黑体" w:eastAsia="仿宋_GB2312" w:cs="宋体"/>
          <w:kern w:val="0"/>
          <w:sz w:val="32"/>
          <w:szCs w:val="32"/>
          <w:shd w:val="clear" w:color="auto" w:fill="FFFFFF"/>
          <w:lang w:val="en-US" w:eastAsia="zh-CN" w:bidi="ar-SA"/>
        </w:rPr>
        <w:t>3.</w:t>
      </w:r>
      <w:r>
        <w:rPr>
          <w:rFonts w:hint="eastAsia" w:ascii="仿宋_GB2312" w:hAnsi="黑体" w:eastAsia="仿宋_GB2312" w:cs="宋体"/>
          <w:kern w:val="0"/>
          <w:sz w:val="32"/>
          <w:szCs w:val="32"/>
          <w:shd w:val="clear" w:color="auto" w:fill="FFFFFF"/>
          <w:lang w:val="zh-CN" w:eastAsia="zh-CN" w:bidi="ar-SA"/>
        </w:rPr>
        <w:t>目标实现</w:t>
      </w:r>
    </w:p>
    <w:p>
      <w:pPr>
        <w:keepNext w:val="0"/>
        <w:keepLines w:val="0"/>
        <w:pageBreakBefore w:val="0"/>
        <w:numPr>
          <w:ilvl w:val="0"/>
          <w:numId w:val="0"/>
        </w:numPr>
        <w:kinsoku/>
        <w:wordWrap/>
        <w:overflowPunct/>
        <w:topLinePunct w:val="0"/>
        <w:autoSpaceDE/>
        <w:autoSpaceDN/>
        <w:bidi w:val="0"/>
        <w:adjustRightInd w:val="0"/>
        <w:snapToGrid w:val="0"/>
        <w:spacing w:line="560" w:lineRule="exact"/>
        <w:ind w:firstLine="640" w:firstLineChars="200"/>
        <w:contextualSpacing/>
        <w:jc w:val="left"/>
        <w:textAlignment w:val="auto"/>
        <w:rPr>
          <w:rFonts w:hint="default" w:ascii="仿宋_GB2312" w:hAnsi="黑体" w:eastAsia="仿宋_GB2312" w:cs="宋体"/>
          <w:kern w:val="0"/>
          <w:sz w:val="32"/>
          <w:szCs w:val="32"/>
          <w:shd w:val="clear" w:color="auto" w:fill="FFFFFF"/>
          <w:lang w:val="en-US" w:eastAsia="zh-CN" w:bidi="ar-SA"/>
        </w:rPr>
      </w:pPr>
      <w:r>
        <w:rPr>
          <w:rFonts w:hint="eastAsia" w:ascii="仿宋_GB2312" w:hAnsi="黑体" w:eastAsia="仿宋_GB2312" w:cs="宋体"/>
          <w:kern w:val="0"/>
          <w:sz w:val="32"/>
          <w:szCs w:val="32"/>
          <w:shd w:val="clear" w:color="auto" w:fill="FFFFFF"/>
          <w:lang w:val="en-US" w:eastAsia="zh-CN" w:bidi="ar-SA"/>
        </w:rPr>
        <w:t>通过全年的工作，保质保量完成项目绩效目标。</w:t>
      </w:r>
    </w:p>
    <w:p>
      <w:pPr>
        <w:keepNext w:val="0"/>
        <w:keepLines w:val="0"/>
        <w:pageBreakBefore w:val="0"/>
        <w:widowControl/>
        <w:numPr>
          <w:ilvl w:val="0"/>
          <w:numId w:val="3"/>
        </w:numPr>
        <w:kinsoku/>
        <w:wordWrap/>
        <w:overflowPunct/>
        <w:topLinePunct w:val="0"/>
        <w:autoSpaceDE/>
        <w:autoSpaceDN/>
        <w:bidi w:val="0"/>
        <w:adjustRightInd w:val="0"/>
        <w:snapToGrid w:val="0"/>
        <w:spacing w:line="560" w:lineRule="exact"/>
        <w:ind w:left="0" w:leftChars="0" w:firstLine="642" w:firstLineChars="200"/>
        <w:contextualSpacing/>
        <w:jc w:val="left"/>
        <w:textAlignment w:val="auto"/>
        <w:rPr>
          <w:rFonts w:hint="eastAsia" w:ascii="仿宋_GB2312" w:hAnsi="黑体" w:eastAsia="仿宋_GB2312" w:cs="宋体"/>
          <w:b/>
          <w:bCs/>
          <w:kern w:val="0"/>
          <w:sz w:val="32"/>
          <w:szCs w:val="32"/>
          <w:shd w:val="clear" w:color="auto" w:fill="FFFFFF"/>
          <w:lang w:val="zh-CN" w:eastAsia="zh-CN" w:bidi="ar-SA"/>
        </w:rPr>
      </w:pPr>
      <w:r>
        <w:rPr>
          <w:rFonts w:hint="eastAsia" w:ascii="仿宋_GB2312" w:hAnsi="黑体" w:eastAsia="仿宋_GB2312" w:cs="宋体"/>
          <w:b/>
          <w:bCs/>
          <w:kern w:val="0"/>
          <w:sz w:val="32"/>
          <w:szCs w:val="32"/>
          <w:shd w:val="clear" w:color="auto" w:fill="FFFFFF"/>
          <w:lang w:val="zh-CN" w:eastAsia="zh-CN" w:bidi="ar-SA"/>
        </w:rPr>
        <w:t>重点领域绩效分析</w:t>
      </w:r>
    </w:p>
    <w:p>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contextualSpacing/>
        <w:jc w:val="left"/>
        <w:textAlignment w:val="auto"/>
        <w:rPr>
          <w:rFonts w:hint="default" w:ascii="仿宋_GB2312" w:hAnsi="黑体" w:eastAsia="仿宋_GB2312" w:cs="宋体"/>
          <w:kern w:val="0"/>
          <w:sz w:val="32"/>
          <w:szCs w:val="32"/>
          <w:shd w:val="clear" w:color="auto" w:fill="FFFFFF"/>
          <w:lang w:val="en-US" w:eastAsia="zh-CN" w:bidi="ar-SA"/>
        </w:rPr>
      </w:pPr>
      <w:r>
        <w:rPr>
          <w:rFonts w:hint="eastAsia" w:ascii="仿宋_GB2312" w:hAnsi="黑体" w:eastAsia="仿宋_GB2312" w:cs="宋体"/>
          <w:kern w:val="0"/>
          <w:sz w:val="32"/>
          <w:szCs w:val="32"/>
          <w:shd w:val="clear" w:color="auto" w:fill="FFFFFF"/>
          <w:lang w:val="en-US" w:eastAsia="zh-CN" w:bidi="ar-SA"/>
        </w:rPr>
        <w:t>部门2024年度政府采购和政府购买服务工作中，严格执行政府采购制度，并完成相应的项目绩效目标。</w:t>
      </w:r>
    </w:p>
    <w:p>
      <w:pPr>
        <w:pStyle w:val="38"/>
        <w:keepNext w:val="0"/>
        <w:keepLines w:val="0"/>
        <w:pageBreakBefore w:val="0"/>
        <w:numPr>
          <w:ilvl w:val="0"/>
          <w:numId w:val="3"/>
        </w:numPr>
        <w:kinsoku/>
        <w:wordWrap/>
        <w:overflowPunct/>
        <w:topLinePunct w:val="0"/>
        <w:autoSpaceDE/>
        <w:autoSpaceDN/>
        <w:bidi w:val="0"/>
        <w:spacing w:line="560" w:lineRule="exact"/>
        <w:ind w:left="0" w:leftChars="0" w:firstLine="642" w:firstLineChars="200"/>
        <w:textAlignment w:val="auto"/>
        <w:rPr>
          <w:rFonts w:ascii="Times New Roman" w:hAnsi="Times New Roman" w:eastAsia="楷体_GB2312" w:cs="Times New Roman"/>
          <w:b/>
          <w:bCs/>
          <w:color w:val="000000"/>
          <w:kern w:val="0"/>
          <w:sz w:val="32"/>
          <w:szCs w:val="32"/>
          <w:shd w:val="clear" w:color="auto" w:fill="FFFFFF"/>
          <w:lang w:val="zh-CN" w:eastAsia="zh-CN" w:bidi="ar-SA"/>
        </w:rPr>
      </w:pPr>
      <w:r>
        <w:rPr>
          <w:rFonts w:ascii="Times New Roman" w:hAnsi="Times New Roman" w:eastAsia="楷体_GB2312" w:cs="Times New Roman"/>
          <w:b/>
          <w:bCs/>
          <w:color w:val="000000"/>
          <w:kern w:val="0"/>
          <w:sz w:val="32"/>
          <w:szCs w:val="32"/>
          <w:shd w:val="clear" w:color="auto" w:fill="FFFFFF"/>
          <w:lang w:val="zh-CN" w:eastAsia="zh-CN" w:bidi="ar-SA"/>
        </w:rPr>
        <w:t>绩效结果应用情况</w:t>
      </w:r>
    </w:p>
    <w:p>
      <w:pPr>
        <w:pStyle w:val="38"/>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ascii="仿宋_GB2312" w:hAnsi="仿宋_GB2312" w:cs="仿宋_GB2312"/>
          <w:b/>
          <w:szCs w:val="32"/>
        </w:rPr>
      </w:pPr>
      <w:r>
        <w:rPr>
          <w:rFonts w:hint="eastAsia" w:ascii="Times New Roman" w:hAnsi="Times New Roman" w:eastAsia="仿宋_GB2312" w:cs="Times New Roman"/>
          <w:kern w:val="2"/>
          <w:sz w:val="32"/>
          <w:szCs w:val="32"/>
          <w:lang w:val="zh-CN" w:eastAsia="zh-CN" w:bidi="ar-SA"/>
        </w:rPr>
        <w:t>我</w:t>
      </w:r>
      <w:r>
        <w:rPr>
          <w:rFonts w:hint="eastAsia" w:ascii="Times New Roman" w:hAnsi="Times New Roman" w:eastAsia="仿宋_GB2312" w:cs="Times New Roman"/>
          <w:kern w:val="2"/>
          <w:sz w:val="32"/>
          <w:szCs w:val="32"/>
          <w:lang w:val="en-US" w:eastAsia="zh-CN" w:bidi="ar-SA"/>
        </w:rPr>
        <w:t>中心对</w:t>
      </w:r>
      <w:r>
        <w:rPr>
          <w:rFonts w:hint="eastAsia" w:ascii="仿宋_GB2312" w:hAnsi="黑体" w:eastAsia="仿宋_GB2312" w:cs="宋体"/>
          <w:kern w:val="0"/>
          <w:sz w:val="32"/>
          <w:szCs w:val="32"/>
          <w:shd w:val="clear" w:color="auto" w:fill="FFFFFF"/>
        </w:rPr>
        <w:t>内部管理制度进行全面清理，形成了《</w:t>
      </w:r>
      <w:r>
        <w:rPr>
          <w:rFonts w:hint="eastAsia" w:ascii="仿宋_GB2312" w:hAnsi="黑体" w:eastAsia="仿宋_GB2312" w:cs="宋体"/>
          <w:kern w:val="0"/>
          <w:sz w:val="32"/>
          <w:szCs w:val="32"/>
          <w:shd w:val="clear" w:color="auto" w:fill="FFFFFF"/>
          <w:lang w:val="en-US" w:eastAsia="zh-CN"/>
        </w:rPr>
        <w:t>就业服务中心</w:t>
      </w:r>
      <w:r>
        <w:rPr>
          <w:rFonts w:hint="eastAsia" w:ascii="仿宋_GB2312" w:hAnsi="黑体" w:eastAsia="仿宋_GB2312" w:cs="宋体"/>
          <w:kern w:val="0"/>
          <w:sz w:val="32"/>
          <w:szCs w:val="32"/>
          <w:shd w:val="clear" w:color="auto" w:fill="FFFFFF"/>
        </w:rPr>
        <w:t>内部控制制度》，分总则、工作守则、规章制度、管理办法和工作程序共五章，内容涵盖了预算管理情况、收支管理情况、政府采购情况、资产管理情况等单位经济业务内部控制管理制度和办法。通过强化内部控制制度建设，切实做到有章可行，有据可依。</w:t>
      </w:r>
      <w:r>
        <w:rPr>
          <w:rFonts w:hint="eastAsia" w:ascii="仿宋_GB2312" w:hAnsi="宋体" w:eastAsia="仿宋_GB2312" w:cs="宋体"/>
          <w:sz w:val="32"/>
          <w:szCs w:val="32"/>
        </w:rPr>
        <w:t>单位严格按照相关部门的要求保质保量完成年度预决算公开工作，按时将公开材料数据报送</w:t>
      </w:r>
      <w:r>
        <w:rPr>
          <w:rFonts w:hint="eastAsia" w:ascii="仿宋_GB2312" w:hAnsi="宋体" w:eastAsia="仿宋_GB2312" w:cs="宋体"/>
          <w:sz w:val="32"/>
          <w:szCs w:val="32"/>
          <w:lang w:eastAsia="zh-CN"/>
        </w:rPr>
        <w:t>县政府办公室</w:t>
      </w:r>
      <w:r>
        <w:rPr>
          <w:rFonts w:hint="eastAsia" w:ascii="仿宋_GB2312" w:hAnsi="宋体" w:eastAsia="仿宋_GB2312" w:cs="宋体"/>
          <w:sz w:val="32"/>
          <w:szCs w:val="32"/>
        </w:rPr>
        <w:t>并在茂县</w:t>
      </w:r>
      <w:r>
        <w:rPr>
          <w:rFonts w:hint="eastAsia" w:ascii="仿宋_GB2312" w:hAnsi="宋体" w:eastAsia="仿宋_GB2312" w:cs="宋体"/>
          <w:sz w:val="32"/>
          <w:szCs w:val="32"/>
          <w:lang w:val="en-US" w:eastAsia="zh-CN"/>
        </w:rPr>
        <w:t>人民</w:t>
      </w:r>
      <w:r>
        <w:rPr>
          <w:rFonts w:hint="eastAsia" w:ascii="仿宋_GB2312" w:hAnsi="宋体" w:eastAsia="仿宋_GB2312" w:cs="宋体"/>
          <w:sz w:val="32"/>
          <w:szCs w:val="32"/>
        </w:rPr>
        <w:t>政府</w:t>
      </w:r>
      <w:r>
        <w:rPr>
          <w:rFonts w:hint="default" w:ascii="仿宋_GB2312" w:hAnsi="宋体" w:eastAsia="仿宋_GB2312" w:cs="宋体"/>
          <w:sz w:val="32"/>
          <w:szCs w:val="32"/>
        </w:rPr>
        <w:t>门户</w:t>
      </w:r>
      <w:r>
        <w:rPr>
          <w:rFonts w:hint="eastAsia" w:ascii="仿宋_GB2312" w:hAnsi="宋体" w:eastAsia="仿宋_GB2312" w:cs="宋体"/>
          <w:sz w:val="32"/>
          <w:szCs w:val="32"/>
        </w:rPr>
        <w:t>网站上公布。</w:t>
      </w:r>
      <w:r>
        <w:rPr>
          <w:rFonts w:hint="eastAsia" w:ascii="仿宋_GB2312" w:hAnsi="黑体" w:eastAsia="仿宋_GB2312"/>
          <w:sz w:val="32"/>
          <w:szCs w:val="32"/>
        </w:rPr>
        <w:t>按月及时向财政部门报送经费报表、贯彻落实中央八项规定和省委省政府十项规定经费支出情况统计表并由相关股室进行审核。根据财政部门文件要求及时开展单位经费使用情况自查自纠工作，撰写自查自纠报告并及时报送。</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黑体" w:hAnsi="黑体" w:eastAsia="黑体" w:cs="黑体"/>
          <w:color w:val="000000"/>
          <w:kern w:val="0"/>
          <w:sz w:val="32"/>
          <w:szCs w:val="32"/>
          <w:shd w:val="clear" w:color="auto" w:fill="FFFFFF"/>
        </w:rPr>
      </w:pPr>
      <w:r>
        <w:rPr>
          <w:rFonts w:hint="eastAsia" w:ascii="黑体" w:hAnsi="黑体" w:eastAsia="黑体" w:cs="黑体"/>
          <w:color w:val="000000"/>
          <w:kern w:val="0"/>
          <w:sz w:val="32"/>
          <w:szCs w:val="32"/>
          <w:shd w:val="clear" w:color="auto" w:fill="FFFFFF"/>
        </w:rPr>
        <w:t>四、评价结论及建议</w:t>
      </w:r>
    </w:p>
    <w:p>
      <w:pPr>
        <w:pStyle w:val="38"/>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000000"/>
          <w:kern w:val="0"/>
          <w:sz w:val="32"/>
          <w:szCs w:val="32"/>
          <w:shd w:val="clear" w:color="auto" w:fill="FFFFFF"/>
          <w:lang w:val="zh-CN" w:eastAsia="zh-CN" w:bidi="ar-SA"/>
        </w:rPr>
      </w:pPr>
      <w:r>
        <w:rPr>
          <w:rFonts w:hint="eastAsia" w:ascii="仿宋_GB2312" w:hAnsi="仿宋_GB2312" w:eastAsia="仿宋_GB2312" w:cs="仿宋_GB2312"/>
          <w:color w:val="000000"/>
          <w:kern w:val="0"/>
          <w:sz w:val="32"/>
          <w:szCs w:val="32"/>
          <w:shd w:val="clear" w:color="auto" w:fill="FFFFFF"/>
          <w:lang w:val="zh-CN" w:eastAsia="zh-CN" w:bidi="ar-SA"/>
        </w:rPr>
        <w:t>（一）评价结论</w:t>
      </w:r>
    </w:p>
    <w:p>
      <w:pPr>
        <w:pStyle w:val="38"/>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单位对照《县级部门整体支出绩效评价指标体系表》中各项具体指标认真开展自评工作，经自评，单位部门整体支出均按照相应的规章制度和要求执行办理，暂未发现扣分事项。</w:t>
      </w:r>
    </w:p>
    <w:p>
      <w:pPr>
        <w:pStyle w:val="38"/>
        <w:keepNext w:val="0"/>
        <w:keepLines w:val="0"/>
        <w:pageBreakBefore w:val="0"/>
        <w:numPr>
          <w:ilvl w:val="0"/>
          <w:numId w:val="4"/>
        </w:numPr>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000000"/>
          <w:kern w:val="0"/>
          <w:sz w:val="32"/>
          <w:szCs w:val="32"/>
          <w:shd w:val="clear" w:color="auto" w:fill="FFFFFF"/>
          <w:lang w:val="zh-CN" w:eastAsia="zh-CN" w:bidi="ar-SA"/>
        </w:rPr>
      </w:pPr>
      <w:r>
        <w:rPr>
          <w:rFonts w:hint="eastAsia" w:ascii="仿宋_GB2312" w:hAnsi="仿宋_GB2312" w:eastAsia="仿宋_GB2312" w:cs="仿宋_GB2312"/>
          <w:color w:val="000000"/>
          <w:kern w:val="0"/>
          <w:sz w:val="32"/>
          <w:szCs w:val="32"/>
          <w:shd w:val="clear" w:color="auto" w:fill="FFFFFF"/>
          <w:lang w:val="zh-CN" w:eastAsia="zh-CN" w:bidi="ar-SA"/>
        </w:rPr>
        <w:t>存在问题</w:t>
      </w:r>
    </w:p>
    <w:p>
      <w:pPr>
        <w:pStyle w:val="38"/>
        <w:keepNext w:val="0"/>
        <w:keepLines w:val="0"/>
        <w:pageBreakBefore w:val="0"/>
        <w:numPr>
          <w:ilvl w:val="0"/>
          <w:numId w:val="0"/>
        </w:numPr>
        <w:kinsoku/>
        <w:wordWrap/>
        <w:overflowPunct/>
        <w:topLinePunct w:val="0"/>
        <w:autoSpaceDE/>
        <w:autoSpaceDN/>
        <w:bidi w:val="0"/>
        <w:spacing w:line="560" w:lineRule="exact"/>
        <w:ind w:firstLine="608" w:firstLineChars="200"/>
        <w:textAlignment w:val="auto"/>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b w:val="0"/>
          <w:bCs w:val="0"/>
          <w:w w:val="95"/>
          <w:kern w:val="0"/>
          <w:position w:val="0"/>
          <w:sz w:val="32"/>
          <w:szCs w:val="32"/>
          <w:highlight w:val="none"/>
          <w:lang w:val="en-US" w:eastAsia="zh-CN" w:bidi="ar-SA"/>
        </w:rPr>
        <w:t>注重项目资金的争取，项目建设工作，轻视对项目后续绩效评价工作。</w:t>
      </w:r>
    </w:p>
    <w:p>
      <w:pPr>
        <w:pStyle w:val="38"/>
        <w:keepNext w:val="0"/>
        <w:keepLines w:val="0"/>
        <w:pageBreakBefore w:val="0"/>
        <w:numPr>
          <w:ilvl w:val="0"/>
          <w:numId w:val="4"/>
        </w:numPr>
        <w:kinsoku/>
        <w:wordWrap/>
        <w:overflowPunct/>
        <w:topLinePunct w:val="0"/>
        <w:autoSpaceDE/>
        <w:autoSpaceDN/>
        <w:bidi w:val="0"/>
        <w:spacing w:line="560" w:lineRule="exact"/>
        <w:ind w:left="0" w:leftChars="0" w:firstLine="640" w:firstLineChars="200"/>
        <w:textAlignment w:val="auto"/>
        <w:rPr>
          <w:rFonts w:hint="eastAsia" w:ascii="仿宋_GB2312" w:hAnsi="仿宋_GB2312" w:eastAsia="仿宋_GB2312" w:cs="仿宋_GB2312"/>
          <w:color w:val="000000"/>
          <w:kern w:val="0"/>
          <w:sz w:val="32"/>
          <w:szCs w:val="32"/>
          <w:shd w:val="clear" w:color="auto" w:fill="FFFFFF"/>
          <w:lang w:val="zh-CN" w:eastAsia="zh-CN" w:bidi="ar-SA"/>
        </w:rPr>
      </w:pPr>
      <w:r>
        <w:rPr>
          <w:rFonts w:hint="eastAsia" w:ascii="仿宋_GB2312" w:hAnsi="仿宋_GB2312" w:eastAsia="仿宋_GB2312" w:cs="仿宋_GB2312"/>
          <w:color w:val="000000"/>
          <w:kern w:val="0"/>
          <w:sz w:val="32"/>
          <w:szCs w:val="32"/>
          <w:shd w:val="clear" w:color="auto" w:fill="FFFFFF"/>
          <w:lang w:val="zh-CN" w:eastAsia="zh-CN" w:bidi="ar-SA"/>
        </w:rPr>
        <w:t>改进建议</w:t>
      </w:r>
      <w:bookmarkStart w:id="65" w:name="_Hlk110546638"/>
    </w:p>
    <w:p>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仿宋_GB2312" w:eastAsia="仿宋_GB2312" w:cs="仿宋_GB2312"/>
          <w:b w:val="0"/>
          <w:bCs w:val="0"/>
          <w:kern w:val="0"/>
          <w:position w:val="0"/>
          <w:sz w:val="32"/>
          <w:szCs w:val="32"/>
          <w:highlight w:val="none"/>
          <w:lang w:val="en" w:eastAsia="zh-CN" w:bidi="ar-SA"/>
        </w:rPr>
      </w:pPr>
      <w:r>
        <w:rPr>
          <w:rFonts w:hint="eastAsia" w:ascii="仿宋_GB2312" w:hAnsi="仿宋_GB2312" w:eastAsia="仿宋_GB2312" w:cs="仿宋_GB2312"/>
          <w:b w:val="0"/>
          <w:bCs w:val="0"/>
          <w:kern w:val="0"/>
          <w:position w:val="0"/>
          <w:sz w:val="32"/>
          <w:szCs w:val="32"/>
          <w:highlight w:val="none"/>
          <w:lang w:val="en-US" w:eastAsia="zh-CN" w:bidi="ar-SA"/>
        </w:rPr>
        <w:t>加强部门预算绩效评价报告编写工作培训。</w:t>
      </w:r>
    </w:p>
    <w:bookmarkEnd w:id="65"/>
    <w:p>
      <w:pPr>
        <w:keepNext w:val="0"/>
        <w:keepLines w:val="0"/>
        <w:pageBreakBefore w:val="0"/>
        <w:kinsoku/>
        <w:wordWrap/>
        <w:overflowPunct/>
        <w:topLinePunct w:val="0"/>
        <w:autoSpaceDE/>
        <w:autoSpaceDN/>
        <w:bidi w:val="0"/>
        <w:spacing w:line="560" w:lineRule="exact"/>
        <w:textAlignment w:val="auto"/>
      </w:pPr>
      <w:r>
        <w:rPr>
          <w:rFonts w:hint="eastAsia" w:ascii="仿宋_GB2312" w:eastAsia="仿宋_GB2312" w:hAnsiTheme="minorEastAsia" w:cstheme="minorBidi"/>
          <w:kern w:val="2"/>
          <w:sz w:val="32"/>
          <w:szCs w:val="32"/>
          <w:shd w:val="clear" w:color="auto" w:fill="FFFFFF"/>
          <w:lang w:val="en-US" w:eastAsia="zh-CN" w:bidi="ar-SA"/>
        </w:rPr>
        <w:br w:type="page"/>
      </w:r>
      <w:r>
        <w:rPr>
          <w:rFonts w:hint="eastAsia" w:ascii="黑体" w:hAnsi="黑体" w:eastAsia="黑体" w:cs="黑体"/>
        </w:rPr>
        <w:t>附表</w:t>
      </w:r>
    </w:p>
    <w:tbl>
      <w:tblPr>
        <w:tblStyle w:val="16"/>
        <w:tblW w:w="10560" w:type="dxa"/>
        <w:jc w:val="center"/>
        <w:tblLayout w:type="fixed"/>
        <w:tblCellMar>
          <w:top w:w="15" w:type="dxa"/>
          <w:left w:w="15" w:type="dxa"/>
          <w:bottom w:w="15" w:type="dxa"/>
          <w:right w:w="15" w:type="dxa"/>
        </w:tblCellMar>
      </w:tblPr>
      <w:tblGrid>
        <w:gridCol w:w="1308"/>
        <w:gridCol w:w="1347"/>
        <w:gridCol w:w="1273"/>
        <w:gridCol w:w="1100"/>
        <w:gridCol w:w="1145"/>
        <w:gridCol w:w="1289"/>
        <w:gridCol w:w="1058"/>
        <w:gridCol w:w="926"/>
        <w:gridCol w:w="1114"/>
      </w:tblGrid>
      <w:tr>
        <w:tblPrEx>
          <w:tblCellMar>
            <w:top w:w="15" w:type="dxa"/>
            <w:left w:w="15" w:type="dxa"/>
            <w:bottom w:w="15" w:type="dxa"/>
            <w:right w:w="15" w:type="dxa"/>
          </w:tblCellMar>
        </w:tblPrEx>
        <w:trPr>
          <w:trHeight w:val="762" w:hRule="exact"/>
          <w:jc w:val="center"/>
        </w:trPr>
        <w:tc>
          <w:tcPr>
            <w:tcW w:w="10560" w:type="dxa"/>
            <w:gridSpan w:val="9"/>
            <w:shd w:val="clear" w:color="auto" w:fill="auto"/>
            <w:vAlign w:val="center"/>
          </w:tcPr>
          <w:p>
            <w:pPr>
              <w:widowControl/>
              <w:spacing w:line="600" w:lineRule="exact"/>
              <w:jc w:val="center"/>
              <w:textAlignment w:val="center"/>
              <w:rPr>
                <w:rFonts w:eastAsia="黑体"/>
                <w:color w:val="000000"/>
                <w:sz w:val="28"/>
                <w:szCs w:val="28"/>
              </w:rPr>
            </w:pPr>
            <w:r>
              <w:rPr>
                <w:rFonts w:eastAsia="方正小标宋简体"/>
                <w:color w:val="000000"/>
                <w:kern w:val="0"/>
                <w:sz w:val="44"/>
                <w:szCs w:val="44"/>
                <w:lang w:bidi="ar"/>
              </w:rPr>
              <w:t>部门整体支出绩效目标完成情况自评表</w:t>
            </w:r>
          </w:p>
        </w:tc>
      </w:tr>
      <w:tr>
        <w:tblPrEx>
          <w:tblCellMar>
            <w:top w:w="15" w:type="dxa"/>
            <w:left w:w="15" w:type="dxa"/>
            <w:bottom w:w="15" w:type="dxa"/>
            <w:right w:w="15" w:type="dxa"/>
          </w:tblCellMar>
        </w:tblPrEx>
        <w:trPr>
          <w:trHeight w:val="23" w:hRule="atLeast"/>
          <w:jc w:val="center"/>
        </w:trPr>
        <w:tc>
          <w:tcPr>
            <w:tcW w:w="10560" w:type="dxa"/>
            <w:gridSpan w:val="9"/>
            <w:shd w:val="clear" w:color="auto" w:fill="auto"/>
            <w:vAlign w:val="center"/>
          </w:tcPr>
          <w:p>
            <w:pPr>
              <w:widowControl/>
              <w:spacing w:line="300" w:lineRule="exact"/>
              <w:jc w:val="center"/>
              <w:textAlignment w:val="center"/>
              <w:rPr>
                <w:rFonts w:eastAsia="宋体"/>
                <w:color w:val="000000"/>
                <w:sz w:val="28"/>
                <w:szCs w:val="28"/>
              </w:rPr>
            </w:pPr>
            <w:r>
              <w:rPr>
                <w:rFonts w:eastAsia="宋体"/>
                <w:color w:val="000000"/>
                <w:kern w:val="0"/>
                <w:sz w:val="28"/>
                <w:szCs w:val="28"/>
                <w:lang w:bidi="ar"/>
              </w:rPr>
              <w:t>（202</w:t>
            </w:r>
            <w:r>
              <w:rPr>
                <w:rFonts w:hint="eastAsia" w:eastAsia="宋体"/>
                <w:color w:val="000000"/>
                <w:kern w:val="0"/>
                <w:sz w:val="28"/>
                <w:szCs w:val="28"/>
                <w:lang w:val="en-US" w:eastAsia="zh-CN" w:bidi="ar"/>
              </w:rPr>
              <w:t>4</w:t>
            </w:r>
            <w:r>
              <w:rPr>
                <w:rFonts w:eastAsia="宋体"/>
                <w:color w:val="000000"/>
                <w:kern w:val="0"/>
                <w:sz w:val="28"/>
                <w:szCs w:val="28"/>
                <w:lang w:bidi="ar"/>
              </w:rPr>
              <w:t>年度）</w:t>
            </w:r>
          </w:p>
        </w:tc>
      </w:tr>
      <w:tr>
        <w:tblPrEx>
          <w:tblCellMar>
            <w:top w:w="15" w:type="dxa"/>
            <w:left w:w="15" w:type="dxa"/>
            <w:bottom w:w="15" w:type="dxa"/>
            <w:right w:w="15" w:type="dxa"/>
          </w:tblCellMar>
        </w:tblPrEx>
        <w:trPr>
          <w:trHeight w:val="23" w:hRule="atLeast"/>
          <w:jc w:val="center"/>
        </w:trPr>
        <w:tc>
          <w:tcPr>
            <w:tcW w:w="10560" w:type="dxa"/>
            <w:gridSpan w:val="9"/>
            <w:tcBorders>
              <w:bottom w:val="single" w:color="000000" w:sz="4" w:space="0"/>
            </w:tcBorders>
            <w:shd w:val="clear" w:color="auto" w:fill="auto"/>
            <w:vAlign w:val="center"/>
          </w:tcPr>
          <w:p>
            <w:pPr>
              <w:widowControl/>
              <w:spacing w:line="300" w:lineRule="exact"/>
              <w:jc w:val="right"/>
              <w:textAlignment w:val="center"/>
              <w:rPr>
                <w:rFonts w:eastAsia="宋体"/>
                <w:color w:val="000000"/>
                <w:sz w:val="21"/>
                <w:szCs w:val="21"/>
              </w:rPr>
            </w:pPr>
            <w:r>
              <w:rPr>
                <w:rFonts w:eastAsia="宋体"/>
                <w:color w:val="000000"/>
                <w:kern w:val="0"/>
                <w:sz w:val="21"/>
                <w:szCs w:val="21"/>
                <w:lang w:bidi="ar"/>
              </w:rPr>
              <w:t>单位：万元</w:t>
            </w:r>
          </w:p>
        </w:tc>
      </w:tr>
      <w:tr>
        <w:tblPrEx>
          <w:tblCellMar>
            <w:top w:w="15" w:type="dxa"/>
            <w:left w:w="15" w:type="dxa"/>
            <w:bottom w:w="15" w:type="dxa"/>
            <w:right w:w="15" w:type="dxa"/>
          </w:tblCellMar>
        </w:tblPrEx>
        <w:trPr>
          <w:trHeight w:val="23" w:hRule="atLeast"/>
          <w:jc w:val="center"/>
        </w:trPr>
        <w:tc>
          <w:tcPr>
            <w:tcW w:w="39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eastAsia="宋体"/>
                <w:color w:val="000000"/>
                <w:sz w:val="24"/>
              </w:rPr>
            </w:pPr>
            <w:r>
              <w:rPr>
                <w:rFonts w:eastAsia="宋体"/>
                <w:color w:val="000000"/>
                <w:kern w:val="0"/>
                <w:sz w:val="24"/>
                <w:lang w:bidi="ar"/>
              </w:rPr>
              <w:t>部门名称</w:t>
            </w:r>
          </w:p>
        </w:tc>
        <w:tc>
          <w:tcPr>
            <w:tcW w:w="663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eastAsia="宋体"/>
                <w:color w:val="000000"/>
                <w:sz w:val="24"/>
              </w:rPr>
            </w:pPr>
            <w:r>
              <w:rPr>
                <w:rFonts w:hint="eastAsia" w:eastAsia="宋体"/>
                <w:color w:val="000000"/>
                <w:kern w:val="0"/>
                <w:sz w:val="24"/>
                <w:lang w:bidi="ar"/>
              </w:rPr>
              <w:t>基本支出</w:t>
            </w:r>
          </w:p>
        </w:tc>
      </w:tr>
      <w:tr>
        <w:tblPrEx>
          <w:tblCellMar>
            <w:top w:w="15" w:type="dxa"/>
            <w:left w:w="15" w:type="dxa"/>
            <w:bottom w:w="15" w:type="dxa"/>
            <w:right w:w="15" w:type="dxa"/>
          </w:tblCellMar>
        </w:tblPrEx>
        <w:trPr>
          <w:trHeight w:val="335" w:hRule="atLeast"/>
          <w:jc w:val="center"/>
        </w:trPr>
        <w:tc>
          <w:tcPr>
            <w:tcW w:w="13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eastAsia="宋体"/>
                <w:color w:val="000000"/>
                <w:sz w:val="24"/>
              </w:rPr>
            </w:pPr>
            <w:r>
              <w:rPr>
                <w:rFonts w:eastAsia="宋体"/>
                <w:color w:val="000000"/>
                <w:kern w:val="0"/>
                <w:sz w:val="24"/>
                <w:lang w:bidi="ar"/>
              </w:rPr>
              <w:t>年度部门整体支出预算</w:t>
            </w:r>
          </w:p>
        </w:tc>
        <w:tc>
          <w:tcPr>
            <w:tcW w:w="2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eastAsia="宋体"/>
                <w:color w:val="000000"/>
                <w:sz w:val="24"/>
              </w:rPr>
            </w:pPr>
            <w:r>
              <w:rPr>
                <w:rFonts w:eastAsia="宋体"/>
                <w:color w:val="000000"/>
                <w:kern w:val="0"/>
                <w:sz w:val="24"/>
                <w:lang w:bidi="ar"/>
              </w:rPr>
              <w:t>资金总额</w:t>
            </w:r>
          </w:p>
        </w:tc>
        <w:tc>
          <w:tcPr>
            <w:tcW w:w="22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eastAsia="宋体"/>
                <w:color w:val="000000"/>
                <w:sz w:val="24"/>
              </w:rPr>
            </w:pPr>
            <w:r>
              <w:rPr>
                <w:rFonts w:eastAsia="宋体"/>
                <w:color w:val="000000"/>
                <w:kern w:val="0"/>
                <w:sz w:val="24"/>
                <w:lang w:bidi="ar"/>
              </w:rPr>
              <w:t>财政拨款</w:t>
            </w:r>
          </w:p>
        </w:tc>
        <w:tc>
          <w:tcPr>
            <w:tcW w:w="438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eastAsia="宋体"/>
                <w:color w:val="000000"/>
                <w:sz w:val="24"/>
              </w:rPr>
            </w:pPr>
            <w:r>
              <w:rPr>
                <w:rFonts w:eastAsia="宋体"/>
                <w:color w:val="000000"/>
                <w:kern w:val="0"/>
                <w:sz w:val="24"/>
                <w:lang w:bidi="ar"/>
              </w:rPr>
              <w:t>其他资金</w:t>
            </w:r>
          </w:p>
        </w:tc>
      </w:tr>
      <w:tr>
        <w:tblPrEx>
          <w:tblCellMar>
            <w:top w:w="15" w:type="dxa"/>
            <w:left w:w="15" w:type="dxa"/>
            <w:bottom w:w="15" w:type="dxa"/>
            <w:right w:w="15" w:type="dxa"/>
          </w:tblCellMar>
        </w:tblPrEx>
        <w:trPr>
          <w:trHeight w:val="23" w:hRule="atLeast"/>
          <w:jc w:val="center"/>
        </w:trPr>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rPr>
                <w:rFonts w:eastAsia="宋体"/>
                <w:color w:val="000000"/>
                <w:sz w:val="24"/>
              </w:rPr>
            </w:pPr>
          </w:p>
        </w:tc>
        <w:tc>
          <w:tcPr>
            <w:tcW w:w="2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hint="default" w:eastAsia="宋体"/>
                <w:color w:val="C00000"/>
                <w:sz w:val="24"/>
                <w:lang w:val="en-US" w:eastAsia="zh-CN"/>
              </w:rPr>
            </w:pPr>
            <w:r>
              <w:rPr>
                <w:rFonts w:ascii="仿宋_GB2312" w:hAnsi="仿宋_GB2312" w:eastAsia="仿宋_GB2312" w:cs="仿宋_GB2312"/>
                <w:sz w:val="32"/>
                <w:szCs w:val="32"/>
              </w:rPr>
              <w:t>1,971.11</w:t>
            </w:r>
          </w:p>
        </w:tc>
        <w:tc>
          <w:tcPr>
            <w:tcW w:w="22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hint="default" w:eastAsia="宋体"/>
                <w:color w:val="C00000"/>
                <w:sz w:val="24"/>
                <w:lang w:val="en-US"/>
              </w:rPr>
            </w:pPr>
            <w:r>
              <w:rPr>
                <w:rFonts w:ascii="仿宋_GB2312" w:hAnsi="仿宋_GB2312" w:eastAsia="仿宋_GB2312" w:cs="仿宋_GB2312"/>
                <w:sz w:val="32"/>
                <w:szCs w:val="32"/>
              </w:rPr>
              <w:t>1,971.11</w:t>
            </w:r>
          </w:p>
        </w:tc>
        <w:tc>
          <w:tcPr>
            <w:tcW w:w="438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hint="eastAsia" w:eastAsia="宋体"/>
                <w:color w:val="000000"/>
                <w:sz w:val="24"/>
                <w:lang w:eastAsia="zh-CN"/>
              </w:rPr>
            </w:pPr>
            <w:r>
              <w:rPr>
                <w:rFonts w:hint="eastAsia" w:eastAsia="宋体"/>
                <w:color w:val="000000"/>
                <w:kern w:val="0"/>
                <w:sz w:val="24"/>
                <w:lang w:val="en-US" w:eastAsia="zh-CN" w:bidi="ar"/>
              </w:rPr>
              <w:t>0</w:t>
            </w:r>
          </w:p>
        </w:tc>
      </w:tr>
      <w:tr>
        <w:tblPrEx>
          <w:tblCellMar>
            <w:top w:w="15" w:type="dxa"/>
            <w:left w:w="15" w:type="dxa"/>
            <w:bottom w:w="15" w:type="dxa"/>
            <w:right w:w="15" w:type="dxa"/>
          </w:tblCellMar>
        </w:tblPrEx>
        <w:trPr>
          <w:trHeight w:val="23" w:hRule="atLeast"/>
          <w:jc w:val="center"/>
        </w:trPr>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eastAsia="宋体"/>
                <w:color w:val="000000"/>
                <w:kern w:val="0"/>
                <w:sz w:val="21"/>
                <w:szCs w:val="21"/>
                <w:lang w:bidi="ar"/>
              </w:rPr>
            </w:pPr>
            <w:r>
              <w:rPr>
                <w:rFonts w:eastAsia="宋体"/>
                <w:color w:val="000000"/>
                <w:kern w:val="0"/>
                <w:sz w:val="21"/>
                <w:szCs w:val="21"/>
                <w:lang w:bidi="ar"/>
              </w:rPr>
              <w:t>年度总体</w:t>
            </w:r>
          </w:p>
          <w:p>
            <w:pPr>
              <w:widowControl/>
              <w:spacing w:line="300" w:lineRule="exact"/>
              <w:jc w:val="center"/>
              <w:textAlignment w:val="center"/>
              <w:rPr>
                <w:rFonts w:eastAsia="宋体"/>
                <w:color w:val="000000"/>
                <w:sz w:val="21"/>
                <w:szCs w:val="21"/>
              </w:rPr>
            </w:pPr>
            <w:r>
              <w:rPr>
                <w:rFonts w:eastAsia="宋体"/>
                <w:color w:val="000000"/>
                <w:kern w:val="0"/>
                <w:sz w:val="21"/>
                <w:szCs w:val="21"/>
                <w:lang w:bidi="ar"/>
              </w:rPr>
              <w:t>目标</w:t>
            </w:r>
          </w:p>
        </w:tc>
        <w:tc>
          <w:tcPr>
            <w:tcW w:w="925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textAlignment w:val="center"/>
              <w:rPr>
                <w:rFonts w:hint="eastAsia" w:eastAsia="宋体"/>
                <w:color w:val="000000"/>
                <w:kern w:val="0"/>
                <w:sz w:val="21"/>
                <w:szCs w:val="21"/>
                <w:lang w:bidi="ar"/>
              </w:rPr>
            </w:pPr>
            <w:r>
              <w:rPr>
                <w:rFonts w:hint="eastAsia" w:eastAsia="宋体"/>
                <w:color w:val="000000"/>
                <w:kern w:val="0"/>
                <w:sz w:val="21"/>
                <w:szCs w:val="21"/>
                <w:lang w:bidi="ar"/>
              </w:rPr>
              <w:t>1.负责宣传和贯彻落实国家就业创业和失业保险有关的方针政策和法律法规。</w:t>
            </w:r>
          </w:p>
          <w:p>
            <w:pPr>
              <w:widowControl/>
              <w:spacing w:line="300" w:lineRule="exact"/>
              <w:jc w:val="left"/>
              <w:textAlignment w:val="center"/>
              <w:rPr>
                <w:rFonts w:hint="eastAsia" w:eastAsia="宋体"/>
                <w:color w:val="000000"/>
                <w:kern w:val="0"/>
                <w:sz w:val="21"/>
                <w:szCs w:val="21"/>
                <w:lang w:bidi="ar"/>
              </w:rPr>
            </w:pPr>
            <w:r>
              <w:rPr>
                <w:rFonts w:hint="eastAsia" w:eastAsia="宋体"/>
                <w:color w:val="000000"/>
                <w:kern w:val="0"/>
                <w:sz w:val="21"/>
                <w:szCs w:val="21"/>
                <w:lang w:bidi="ar"/>
              </w:rPr>
              <w:t>2.组织实施全县城乡就业创业工作，负责城乡就业创业工作目标管理及考核，为城乡劳动者提供就业创业服务。加强对就业困难人员、“零就业家庭”成员等群体的就业援助工作， 促进有劳动能力、有就业愿望的所有劳动者实现充分就业。</w:t>
            </w:r>
          </w:p>
          <w:p>
            <w:pPr>
              <w:widowControl/>
              <w:spacing w:line="300" w:lineRule="exact"/>
              <w:jc w:val="left"/>
              <w:textAlignment w:val="center"/>
              <w:rPr>
                <w:rFonts w:hint="eastAsia" w:eastAsia="宋体"/>
                <w:color w:val="000000"/>
                <w:kern w:val="0"/>
                <w:sz w:val="21"/>
                <w:szCs w:val="21"/>
                <w:lang w:bidi="ar"/>
              </w:rPr>
            </w:pPr>
            <w:r>
              <w:rPr>
                <w:rFonts w:hint="eastAsia" w:eastAsia="宋体"/>
                <w:color w:val="000000"/>
                <w:kern w:val="0"/>
                <w:sz w:val="21"/>
                <w:szCs w:val="21"/>
                <w:lang w:bidi="ar"/>
              </w:rPr>
              <w:t>3.按规定使用就业专项资金和失业保险基金承担失业保险政策宣传及失业保险基金的管理、失业保险待遇的审核、发放及有关经办服务工作。</w:t>
            </w:r>
          </w:p>
          <w:p>
            <w:pPr>
              <w:widowControl/>
              <w:spacing w:line="300" w:lineRule="exact"/>
              <w:jc w:val="left"/>
              <w:textAlignment w:val="center"/>
              <w:rPr>
                <w:rFonts w:hint="eastAsia" w:eastAsia="宋体"/>
                <w:color w:val="000000"/>
                <w:kern w:val="0"/>
                <w:sz w:val="21"/>
                <w:szCs w:val="21"/>
                <w:lang w:bidi="ar"/>
              </w:rPr>
            </w:pPr>
            <w:r>
              <w:rPr>
                <w:rFonts w:hint="eastAsia" w:eastAsia="宋体"/>
                <w:color w:val="000000"/>
                <w:kern w:val="0"/>
                <w:sz w:val="21"/>
                <w:szCs w:val="21"/>
                <w:lang w:bidi="ar"/>
              </w:rPr>
              <w:t>4.建立农村劳动力资源数据库，为城乡劳动者提供就业政策法规咨询，发布职业供求信息以及职业培训信息，办理求职登记，就业登记、失业登记等事务，开展职业指导和职业介绍，组织实施劳务转移。</w:t>
            </w:r>
          </w:p>
          <w:p>
            <w:pPr>
              <w:widowControl/>
              <w:spacing w:line="300" w:lineRule="exact"/>
              <w:jc w:val="left"/>
              <w:textAlignment w:val="center"/>
              <w:rPr>
                <w:rFonts w:hint="eastAsia" w:eastAsia="宋体"/>
                <w:color w:val="000000"/>
                <w:kern w:val="0"/>
                <w:sz w:val="21"/>
                <w:szCs w:val="21"/>
                <w:lang w:bidi="ar"/>
              </w:rPr>
            </w:pPr>
            <w:r>
              <w:rPr>
                <w:rFonts w:hint="eastAsia" w:eastAsia="宋体"/>
                <w:color w:val="000000"/>
                <w:kern w:val="0"/>
                <w:sz w:val="21"/>
                <w:szCs w:val="21"/>
                <w:lang w:bidi="ar"/>
              </w:rPr>
              <w:t>5.负责拟定全县就业创业培训和品牌培训工作发展规划和年度计划；负责牵头组织各类就业培训和管理；统一管理培训资金；承担职业能力建设相关业务经办工作。</w:t>
            </w:r>
          </w:p>
          <w:p>
            <w:pPr>
              <w:widowControl/>
              <w:spacing w:line="300" w:lineRule="exact"/>
              <w:jc w:val="left"/>
              <w:textAlignment w:val="center"/>
              <w:rPr>
                <w:rFonts w:hint="eastAsia" w:eastAsia="宋体"/>
                <w:color w:val="000000"/>
                <w:kern w:val="0"/>
                <w:sz w:val="21"/>
                <w:szCs w:val="21"/>
                <w:lang w:bidi="ar"/>
              </w:rPr>
            </w:pPr>
            <w:r>
              <w:rPr>
                <w:rFonts w:hint="eastAsia" w:eastAsia="宋体"/>
                <w:color w:val="000000"/>
                <w:kern w:val="0"/>
                <w:sz w:val="21"/>
                <w:szCs w:val="21"/>
                <w:lang w:bidi="ar"/>
              </w:rPr>
              <w:t xml:space="preserve">6.以创业带动就业，全面落实小额担保贷款贴息、社保补贴等扶持政策，促使各类失业人员通过从事个体经营、自谋职业、灵活就业、创办企业带动和吸纳就业。 </w:t>
            </w:r>
          </w:p>
          <w:p>
            <w:pPr>
              <w:widowControl/>
              <w:spacing w:line="300" w:lineRule="exact"/>
              <w:jc w:val="left"/>
              <w:textAlignment w:val="center"/>
              <w:rPr>
                <w:rFonts w:hint="eastAsia" w:eastAsia="宋体"/>
                <w:color w:val="000000"/>
                <w:kern w:val="0"/>
                <w:sz w:val="21"/>
                <w:szCs w:val="21"/>
                <w:lang w:bidi="ar"/>
              </w:rPr>
            </w:pPr>
            <w:r>
              <w:rPr>
                <w:rFonts w:hint="eastAsia" w:eastAsia="宋体"/>
                <w:color w:val="000000"/>
                <w:kern w:val="0"/>
                <w:sz w:val="21"/>
                <w:szCs w:val="21"/>
                <w:lang w:bidi="ar"/>
              </w:rPr>
              <w:t>7.做好未就业高校毕业生参加就业见习和自主创业工作，落实好高校毕业生创业补贴政策。</w:t>
            </w:r>
          </w:p>
          <w:p>
            <w:pPr>
              <w:widowControl/>
              <w:spacing w:line="300" w:lineRule="exact"/>
              <w:jc w:val="left"/>
              <w:textAlignment w:val="center"/>
              <w:rPr>
                <w:rFonts w:hint="eastAsia" w:eastAsia="宋体"/>
                <w:color w:val="000000"/>
                <w:kern w:val="0"/>
                <w:sz w:val="21"/>
                <w:szCs w:val="21"/>
                <w:lang w:bidi="ar"/>
              </w:rPr>
            </w:pPr>
            <w:r>
              <w:rPr>
                <w:rFonts w:hint="eastAsia" w:eastAsia="宋体"/>
                <w:color w:val="000000"/>
                <w:kern w:val="0"/>
                <w:sz w:val="21"/>
                <w:szCs w:val="21"/>
                <w:lang w:bidi="ar"/>
              </w:rPr>
              <w:t>8.大力开发公益性岗位，落实岗位补贴及社保补贴。</w:t>
            </w:r>
          </w:p>
          <w:p>
            <w:pPr>
              <w:widowControl/>
              <w:spacing w:line="300" w:lineRule="exact"/>
              <w:jc w:val="left"/>
              <w:textAlignment w:val="center"/>
              <w:rPr>
                <w:rFonts w:eastAsia="宋体"/>
                <w:color w:val="000000"/>
                <w:sz w:val="21"/>
                <w:szCs w:val="21"/>
              </w:rPr>
            </w:pPr>
            <w:r>
              <w:rPr>
                <w:rFonts w:hint="eastAsia" w:eastAsia="宋体"/>
                <w:color w:val="000000"/>
                <w:kern w:val="0"/>
                <w:sz w:val="21"/>
                <w:szCs w:val="21"/>
                <w:lang w:bidi="ar"/>
              </w:rPr>
              <w:t>9.承担全县就业培训、创业指导、失业保险、农村劳动力转移等各方面统计数据的汇总、分析和统计工作。</w:t>
            </w:r>
          </w:p>
        </w:tc>
      </w:tr>
      <w:tr>
        <w:tblPrEx>
          <w:tblCellMar>
            <w:top w:w="15" w:type="dxa"/>
            <w:left w:w="15" w:type="dxa"/>
            <w:bottom w:w="15" w:type="dxa"/>
            <w:right w:w="15" w:type="dxa"/>
          </w:tblCellMar>
        </w:tblPrEx>
        <w:trPr>
          <w:trHeight w:val="23" w:hRule="atLeast"/>
          <w:jc w:val="center"/>
        </w:trPr>
        <w:tc>
          <w:tcPr>
            <w:tcW w:w="13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eastAsia="宋体"/>
                <w:color w:val="000000"/>
                <w:kern w:val="0"/>
                <w:sz w:val="24"/>
                <w:lang w:bidi="ar"/>
              </w:rPr>
            </w:pPr>
            <w:r>
              <w:rPr>
                <w:rFonts w:eastAsia="宋体"/>
                <w:color w:val="000000"/>
                <w:kern w:val="0"/>
                <w:sz w:val="24"/>
                <w:lang w:bidi="ar"/>
              </w:rPr>
              <w:t>年度主要</w:t>
            </w:r>
          </w:p>
          <w:p>
            <w:pPr>
              <w:widowControl/>
              <w:spacing w:line="300" w:lineRule="exact"/>
              <w:jc w:val="center"/>
              <w:textAlignment w:val="center"/>
              <w:rPr>
                <w:rFonts w:eastAsia="宋体"/>
                <w:color w:val="000000"/>
                <w:sz w:val="24"/>
              </w:rPr>
            </w:pPr>
            <w:r>
              <w:rPr>
                <w:rFonts w:eastAsia="宋体"/>
                <w:color w:val="000000"/>
                <w:kern w:val="0"/>
                <w:sz w:val="24"/>
                <w:lang w:bidi="ar"/>
              </w:rPr>
              <w:t>任务</w:t>
            </w:r>
          </w:p>
        </w:tc>
        <w:tc>
          <w:tcPr>
            <w:tcW w:w="2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eastAsia="宋体"/>
                <w:color w:val="000000"/>
                <w:sz w:val="24"/>
              </w:rPr>
            </w:pPr>
            <w:r>
              <w:rPr>
                <w:rFonts w:eastAsia="宋体"/>
                <w:color w:val="000000"/>
                <w:kern w:val="0"/>
                <w:sz w:val="24"/>
                <w:lang w:bidi="ar"/>
              </w:rPr>
              <w:t>任务名称</w:t>
            </w:r>
          </w:p>
        </w:tc>
        <w:tc>
          <w:tcPr>
            <w:tcW w:w="663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eastAsia="宋体"/>
                <w:color w:val="000000"/>
                <w:sz w:val="24"/>
              </w:rPr>
            </w:pPr>
            <w:r>
              <w:rPr>
                <w:rFonts w:eastAsia="宋体"/>
                <w:color w:val="000000"/>
                <w:kern w:val="0"/>
                <w:sz w:val="24"/>
                <w:lang w:bidi="ar"/>
              </w:rPr>
              <w:t>主要内容</w:t>
            </w:r>
          </w:p>
        </w:tc>
      </w:tr>
      <w:tr>
        <w:tblPrEx>
          <w:tblCellMar>
            <w:top w:w="15" w:type="dxa"/>
            <w:left w:w="15" w:type="dxa"/>
            <w:bottom w:w="15" w:type="dxa"/>
            <w:right w:w="15" w:type="dxa"/>
          </w:tblCellMar>
        </w:tblPrEx>
        <w:trPr>
          <w:trHeight w:val="23" w:hRule="atLeast"/>
          <w:jc w:val="center"/>
        </w:trPr>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rPr>
                <w:rFonts w:eastAsia="宋体"/>
                <w:color w:val="000000"/>
                <w:sz w:val="24"/>
              </w:rPr>
            </w:pPr>
          </w:p>
        </w:tc>
        <w:tc>
          <w:tcPr>
            <w:tcW w:w="2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textAlignment w:val="center"/>
              <w:rPr>
                <w:rFonts w:eastAsia="宋体"/>
                <w:color w:val="000000"/>
                <w:sz w:val="24"/>
              </w:rPr>
            </w:pPr>
            <w:r>
              <w:rPr>
                <w:rFonts w:hint="eastAsia" w:eastAsia="宋体"/>
                <w:color w:val="000000"/>
                <w:kern w:val="0"/>
                <w:sz w:val="24"/>
                <w:lang w:bidi="ar"/>
              </w:rPr>
              <w:t xml:space="preserve">加强劳务输出  </w:t>
            </w:r>
          </w:p>
        </w:tc>
        <w:tc>
          <w:tcPr>
            <w:tcW w:w="663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textAlignment w:val="center"/>
              <w:rPr>
                <w:rFonts w:eastAsia="宋体"/>
                <w:color w:val="000000"/>
                <w:sz w:val="21"/>
                <w:szCs w:val="21"/>
              </w:rPr>
            </w:pPr>
            <w:r>
              <w:rPr>
                <w:rFonts w:hint="eastAsia" w:eastAsia="宋体"/>
                <w:color w:val="000000"/>
                <w:kern w:val="0"/>
                <w:sz w:val="21"/>
                <w:szCs w:val="21"/>
                <w:lang w:bidi="ar"/>
              </w:rPr>
              <w:t>一是按要求举办好各类劳务协作专场招聘会及相关就业专项行动，并将招聘活动延伸到乡镇村组，常态化开展就业政策宣传及“送岗进村”微型招聘会工作；二是积极对接经营性人力资源服务机构和劳务经纪人，主动落实政策，让劳务输出更加规范，更加精准，更加见效。</w:t>
            </w:r>
          </w:p>
        </w:tc>
      </w:tr>
      <w:tr>
        <w:tblPrEx>
          <w:tblCellMar>
            <w:top w:w="15" w:type="dxa"/>
            <w:left w:w="15" w:type="dxa"/>
            <w:bottom w:w="15" w:type="dxa"/>
            <w:right w:w="15" w:type="dxa"/>
          </w:tblCellMar>
        </w:tblPrEx>
        <w:trPr>
          <w:trHeight w:val="23" w:hRule="atLeast"/>
          <w:jc w:val="center"/>
        </w:trPr>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rPr>
                <w:rFonts w:eastAsia="宋体"/>
                <w:color w:val="000000"/>
                <w:sz w:val="24"/>
              </w:rPr>
            </w:pPr>
          </w:p>
        </w:tc>
        <w:tc>
          <w:tcPr>
            <w:tcW w:w="2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textAlignment w:val="center"/>
              <w:rPr>
                <w:rFonts w:hint="eastAsia" w:eastAsia="宋体"/>
                <w:color w:val="000000"/>
                <w:kern w:val="0"/>
                <w:sz w:val="24"/>
                <w:lang w:bidi="ar"/>
              </w:rPr>
            </w:pPr>
            <w:r>
              <w:rPr>
                <w:rFonts w:hint="eastAsia" w:eastAsia="宋体"/>
                <w:color w:val="000000"/>
                <w:kern w:val="0"/>
                <w:sz w:val="24"/>
                <w:lang w:bidi="ar"/>
              </w:rPr>
              <w:t>做好政策宣传</w:t>
            </w:r>
          </w:p>
        </w:tc>
        <w:tc>
          <w:tcPr>
            <w:tcW w:w="663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textAlignment w:val="center"/>
              <w:rPr>
                <w:rFonts w:eastAsia="宋体"/>
                <w:color w:val="000000"/>
                <w:kern w:val="0"/>
                <w:sz w:val="21"/>
                <w:szCs w:val="21"/>
                <w:lang w:bidi="ar"/>
              </w:rPr>
            </w:pPr>
            <w:r>
              <w:rPr>
                <w:rFonts w:hint="eastAsia" w:eastAsia="宋体"/>
                <w:color w:val="000000"/>
                <w:kern w:val="0"/>
                <w:sz w:val="21"/>
                <w:szCs w:val="21"/>
                <w:lang w:bidi="ar"/>
              </w:rPr>
              <w:t>拓宽宣传载体，通过电视、微信、网络、手机短信、上街宣传、张贴海报等方式加大就业政策宣传力度，营造浓厚的转移就业社会氛围，鼓励有务工意愿的求职群体外出务工，增长见识，增长才干。</w:t>
            </w:r>
          </w:p>
        </w:tc>
      </w:tr>
      <w:tr>
        <w:tblPrEx>
          <w:tblCellMar>
            <w:top w:w="15" w:type="dxa"/>
            <w:left w:w="15" w:type="dxa"/>
            <w:bottom w:w="15" w:type="dxa"/>
            <w:right w:w="15" w:type="dxa"/>
          </w:tblCellMar>
        </w:tblPrEx>
        <w:trPr>
          <w:trHeight w:val="23" w:hRule="atLeast"/>
          <w:jc w:val="center"/>
        </w:trPr>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rPr>
                <w:rFonts w:eastAsia="宋体"/>
                <w:color w:val="000000"/>
                <w:sz w:val="24"/>
              </w:rPr>
            </w:pPr>
          </w:p>
        </w:tc>
        <w:tc>
          <w:tcPr>
            <w:tcW w:w="2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textAlignment w:val="center"/>
              <w:rPr>
                <w:rFonts w:hint="eastAsia" w:eastAsia="宋体"/>
                <w:color w:val="000000"/>
                <w:kern w:val="0"/>
                <w:sz w:val="24"/>
                <w:lang w:bidi="ar"/>
              </w:rPr>
            </w:pPr>
            <w:r>
              <w:rPr>
                <w:rFonts w:hint="eastAsia" w:eastAsia="宋体"/>
                <w:color w:val="000000"/>
                <w:kern w:val="0"/>
                <w:sz w:val="24"/>
                <w:lang w:bidi="ar"/>
              </w:rPr>
              <w:t xml:space="preserve">稳就业促创业 </w:t>
            </w:r>
          </w:p>
        </w:tc>
        <w:tc>
          <w:tcPr>
            <w:tcW w:w="663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textAlignment w:val="center"/>
              <w:rPr>
                <w:rFonts w:hint="eastAsia" w:eastAsia="宋体"/>
                <w:color w:val="000000"/>
                <w:kern w:val="0"/>
                <w:sz w:val="21"/>
                <w:szCs w:val="21"/>
                <w:lang w:eastAsia="zh-CN" w:bidi="ar"/>
              </w:rPr>
            </w:pPr>
            <w:r>
              <w:rPr>
                <w:rFonts w:hint="eastAsia" w:eastAsia="宋体"/>
                <w:color w:val="000000"/>
                <w:kern w:val="0"/>
                <w:sz w:val="21"/>
                <w:szCs w:val="21"/>
                <w:lang w:bidi="ar"/>
              </w:rPr>
              <w:t>全面落实稳岗就业政策措施，扎实做好困难群体就业帮扶，积极扶持就业创业。落实国家关于返乡入乡创业高质量发展的意见，为各类人员返乡入乡创业提供全方位服务。实施大学生就业创业促进计划，</w:t>
            </w:r>
            <w:r>
              <w:rPr>
                <w:rFonts w:hint="eastAsia" w:eastAsia="宋体"/>
                <w:color w:val="000000"/>
                <w:kern w:val="0"/>
                <w:sz w:val="21"/>
                <w:szCs w:val="21"/>
                <w:lang w:eastAsia="zh-CN" w:bidi="ar"/>
              </w:rPr>
              <w:t>做好</w:t>
            </w:r>
            <w:r>
              <w:rPr>
                <w:rFonts w:hint="eastAsia" w:eastAsia="宋体"/>
                <w:color w:val="000000"/>
                <w:kern w:val="0"/>
                <w:sz w:val="21"/>
                <w:szCs w:val="21"/>
                <w:lang w:bidi="ar"/>
              </w:rPr>
              <w:t>创新创业服务</w:t>
            </w:r>
            <w:r>
              <w:rPr>
                <w:rFonts w:hint="eastAsia" w:eastAsia="宋体"/>
                <w:color w:val="000000"/>
                <w:kern w:val="0"/>
                <w:sz w:val="21"/>
                <w:szCs w:val="21"/>
                <w:lang w:eastAsia="zh-CN" w:bidi="ar"/>
              </w:rPr>
              <w:t>。</w:t>
            </w:r>
          </w:p>
        </w:tc>
      </w:tr>
      <w:tr>
        <w:tblPrEx>
          <w:tblCellMar>
            <w:top w:w="15" w:type="dxa"/>
            <w:left w:w="15" w:type="dxa"/>
            <w:bottom w:w="15" w:type="dxa"/>
            <w:right w:w="15" w:type="dxa"/>
          </w:tblCellMar>
        </w:tblPrEx>
        <w:trPr>
          <w:trHeight w:val="23" w:hRule="atLeast"/>
          <w:jc w:val="center"/>
        </w:trPr>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rPr>
                <w:rFonts w:eastAsia="宋体"/>
                <w:color w:val="000000"/>
                <w:sz w:val="24"/>
              </w:rPr>
            </w:pPr>
          </w:p>
        </w:tc>
        <w:tc>
          <w:tcPr>
            <w:tcW w:w="2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textAlignment w:val="center"/>
              <w:rPr>
                <w:rFonts w:hint="eastAsia" w:eastAsia="宋体"/>
                <w:color w:val="000000"/>
                <w:kern w:val="0"/>
                <w:sz w:val="24"/>
                <w:lang w:bidi="ar"/>
              </w:rPr>
            </w:pPr>
            <w:r>
              <w:rPr>
                <w:rFonts w:hint="eastAsia" w:eastAsia="宋体"/>
                <w:color w:val="000000"/>
                <w:kern w:val="0"/>
                <w:sz w:val="24"/>
                <w:lang w:bidi="ar"/>
              </w:rPr>
              <w:t xml:space="preserve">开展技能培训 </w:t>
            </w:r>
          </w:p>
        </w:tc>
        <w:tc>
          <w:tcPr>
            <w:tcW w:w="663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textAlignment w:val="center"/>
              <w:rPr>
                <w:rFonts w:hint="eastAsia" w:eastAsia="宋体"/>
                <w:color w:val="000000"/>
                <w:kern w:val="0"/>
                <w:sz w:val="21"/>
                <w:szCs w:val="21"/>
                <w:lang w:eastAsia="zh-CN" w:bidi="ar"/>
              </w:rPr>
            </w:pPr>
            <w:r>
              <w:rPr>
                <w:rFonts w:hint="eastAsia" w:eastAsia="宋体"/>
                <w:color w:val="000000"/>
                <w:kern w:val="0"/>
                <w:sz w:val="21"/>
                <w:szCs w:val="21"/>
                <w:lang w:bidi="ar"/>
              </w:rPr>
              <w:t>按照培训与素质提升相结合、培训与劳务输出转移相结合的方针，面向全县有培训意愿的城乡劳动者群体，大力开展技能培训</w:t>
            </w:r>
            <w:r>
              <w:rPr>
                <w:rFonts w:hint="eastAsia" w:eastAsia="宋体"/>
                <w:color w:val="000000"/>
                <w:kern w:val="0"/>
                <w:sz w:val="21"/>
                <w:szCs w:val="21"/>
                <w:lang w:eastAsia="zh-CN" w:bidi="ar"/>
              </w:rPr>
              <w:t>。</w:t>
            </w:r>
          </w:p>
        </w:tc>
      </w:tr>
      <w:tr>
        <w:tblPrEx>
          <w:tblCellMar>
            <w:top w:w="15" w:type="dxa"/>
            <w:left w:w="15" w:type="dxa"/>
            <w:bottom w:w="15" w:type="dxa"/>
            <w:right w:w="15" w:type="dxa"/>
          </w:tblCellMar>
        </w:tblPrEx>
        <w:trPr>
          <w:trHeight w:val="23" w:hRule="atLeast"/>
          <w:jc w:val="center"/>
        </w:trPr>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rPr>
                <w:rFonts w:eastAsia="宋体"/>
                <w:color w:val="000000"/>
                <w:sz w:val="24"/>
              </w:rPr>
            </w:pPr>
          </w:p>
        </w:tc>
        <w:tc>
          <w:tcPr>
            <w:tcW w:w="2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textAlignment w:val="center"/>
              <w:rPr>
                <w:rFonts w:hint="eastAsia" w:eastAsia="宋体"/>
                <w:color w:val="000000"/>
                <w:kern w:val="0"/>
                <w:sz w:val="24"/>
                <w:lang w:bidi="ar"/>
              </w:rPr>
            </w:pPr>
            <w:r>
              <w:rPr>
                <w:rFonts w:hint="eastAsia" w:eastAsia="宋体"/>
                <w:color w:val="000000"/>
                <w:kern w:val="0"/>
                <w:sz w:val="24"/>
                <w:lang w:bidi="ar"/>
              </w:rPr>
              <w:t>职工工资及五险一金</w:t>
            </w:r>
          </w:p>
        </w:tc>
        <w:tc>
          <w:tcPr>
            <w:tcW w:w="663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textAlignment w:val="center"/>
              <w:rPr>
                <w:rFonts w:eastAsia="宋体"/>
                <w:color w:val="000000"/>
                <w:kern w:val="0"/>
                <w:sz w:val="21"/>
                <w:szCs w:val="21"/>
                <w:lang w:bidi="ar"/>
              </w:rPr>
            </w:pPr>
            <w:r>
              <w:rPr>
                <w:rFonts w:hint="eastAsia" w:eastAsia="宋体"/>
                <w:color w:val="000000"/>
                <w:kern w:val="0"/>
                <w:sz w:val="21"/>
                <w:szCs w:val="21"/>
                <w:lang w:bidi="ar"/>
              </w:rPr>
              <w:t>保障职工工资按时足额发放到位，按时足额为职工缴纳五险一金，职工权益得到保障</w:t>
            </w:r>
          </w:p>
        </w:tc>
      </w:tr>
      <w:tr>
        <w:tblPrEx>
          <w:tblCellMar>
            <w:top w:w="15" w:type="dxa"/>
            <w:left w:w="15" w:type="dxa"/>
            <w:bottom w:w="15" w:type="dxa"/>
            <w:right w:w="15" w:type="dxa"/>
          </w:tblCellMar>
        </w:tblPrEx>
        <w:trPr>
          <w:trHeight w:val="23" w:hRule="atLeast"/>
          <w:jc w:val="center"/>
        </w:trPr>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rPr>
                <w:rFonts w:eastAsia="宋体"/>
                <w:color w:val="000000"/>
                <w:sz w:val="24"/>
              </w:rPr>
            </w:pPr>
          </w:p>
        </w:tc>
        <w:tc>
          <w:tcPr>
            <w:tcW w:w="2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textAlignment w:val="center"/>
              <w:rPr>
                <w:rFonts w:hint="eastAsia" w:eastAsia="宋体"/>
                <w:color w:val="000000"/>
                <w:kern w:val="0"/>
                <w:sz w:val="24"/>
                <w:lang w:bidi="ar"/>
              </w:rPr>
            </w:pPr>
            <w:r>
              <w:rPr>
                <w:rFonts w:hint="eastAsia" w:eastAsia="宋体"/>
                <w:color w:val="000000"/>
                <w:kern w:val="0"/>
                <w:sz w:val="24"/>
                <w:lang w:bidi="ar"/>
              </w:rPr>
              <w:t xml:space="preserve">日常公用经费 </w:t>
            </w:r>
          </w:p>
        </w:tc>
        <w:tc>
          <w:tcPr>
            <w:tcW w:w="663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textAlignment w:val="center"/>
              <w:rPr>
                <w:rFonts w:eastAsia="宋体"/>
                <w:color w:val="000000"/>
                <w:kern w:val="0"/>
                <w:sz w:val="21"/>
                <w:szCs w:val="21"/>
                <w:lang w:bidi="ar"/>
              </w:rPr>
            </w:pPr>
            <w:r>
              <w:rPr>
                <w:rFonts w:hint="eastAsia" w:eastAsia="宋体"/>
                <w:color w:val="000000"/>
                <w:kern w:val="0"/>
                <w:sz w:val="21"/>
                <w:szCs w:val="21"/>
                <w:lang w:bidi="ar"/>
              </w:rPr>
              <w:t>保障单位正常运转，切实履行单位职能职责。</w:t>
            </w:r>
          </w:p>
        </w:tc>
      </w:tr>
      <w:tr>
        <w:tblPrEx>
          <w:tblCellMar>
            <w:top w:w="15" w:type="dxa"/>
            <w:left w:w="15" w:type="dxa"/>
            <w:bottom w:w="15" w:type="dxa"/>
            <w:right w:w="15" w:type="dxa"/>
          </w:tblCellMar>
        </w:tblPrEx>
        <w:trPr>
          <w:trHeight w:val="23" w:hRule="atLeast"/>
          <w:jc w:val="center"/>
        </w:trPr>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rPr>
                <w:rFonts w:eastAsia="宋体"/>
                <w:color w:val="000000"/>
                <w:sz w:val="24"/>
              </w:rPr>
            </w:pPr>
          </w:p>
        </w:tc>
        <w:tc>
          <w:tcPr>
            <w:tcW w:w="2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textAlignment w:val="center"/>
              <w:rPr>
                <w:rFonts w:hint="eastAsia" w:eastAsia="宋体"/>
                <w:color w:val="000000"/>
                <w:kern w:val="0"/>
                <w:sz w:val="24"/>
                <w:lang w:bidi="ar"/>
              </w:rPr>
            </w:pPr>
            <w:r>
              <w:rPr>
                <w:rFonts w:hint="eastAsia" w:eastAsia="宋体"/>
                <w:color w:val="000000"/>
                <w:kern w:val="0"/>
                <w:sz w:val="24"/>
                <w:lang w:bidi="ar"/>
              </w:rPr>
              <w:t>第一书记补贴</w:t>
            </w:r>
          </w:p>
        </w:tc>
        <w:tc>
          <w:tcPr>
            <w:tcW w:w="663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textAlignment w:val="center"/>
              <w:rPr>
                <w:rFonts w:hint="eastAsia" w:eastAsia="宋体"/>
                <w:color w:val="000000"/>
                <w:kern w:val="0"/>
                <w:sz w:val="21"/>
                <w:szCs w:val="21"/>
                <w:lang w:eastAsia="zh-CN" w:bidi="ar"/>
              </w:rPr>
            </w:pPr>
            <w:r>
              <w:rPr>
                <w:rFonts w:hint="eastAsia" w:eastAsia="宋体"/>
                <w:color w:val="000000"/>
                <w:kern w:val="0"/>
                <w:sz w:val="21"/>
                <w:szCs w:val="21"/>
                <w:lang w:bidi="ar"/>
              </w:rPr>
              <w:t>助力乡村振兴，更好发挥</w:t>
            </w:r>
            <w:r>
              <w:rPr>
                <w:rFonts w:hint="eastAsia" w:eastAsia="宋体"/>
                <w:color w:val="000000"/>
                <w:kern w:val="0"/>
                <w:sz w:val="21"/>
                <w:szCs w:val="21"/>
                <w:lang w:eastAsia="zh-CN" w:bidi="ar"/>
              </w:rPr>
              <w:t>“</w:t>
            </w:r>
            <w:r>
              <w:rPr>
                <w:rFonts w:hint="eastAsia" w:eastAsia="宋体"/>
                <w:color w:val="000000"/>
                <w:kern w:val="0"/>
                <w:sz w:val="21"/>
                <w:szCs w:val="21"/>
                <w:lang w:bidi="ar"/>
              </w:rPr>
              <w:t>第一书记</w:t>
            </w:r>
            <w:r>
              <w:rPr>
                <w:rFonts w:hint="eastAsia" w:eastAsia="宋体"/>
                <w:color w:val="000000"/>
                <w:kern w:val="0"/>
                <w:sz w:val="21"/>
                <w:szCs w:val="21"/>
                <w:lang w:eastAsia="zh-CN" w:bidi="ar"/>
              </w:rPr>
              <w:t>”</w:t>
            </w:r>
            <w:r>
              <w:rPr>
                <w:rFonts w:hint="eastAsia" w:eastAsia="宋体"/>
                <w:color w:val="000000"/>
                <w:kern w:val="0"/>
                <w:sz w:val="21"/>
                <w:szCs w:val="21"/>
                <w:lang w:bidi="ar"/>
              </w:rPr>
              <w:t>及驻村工作队队员生力军作用</w:t>
            </w:r>
            <w:r>
              <w:rPr>
                <w:rFonts w:hint="eastAsia" w:eastAsia="宋体"/>
                <w:color w:val="000000"/>
                <w:kern w:val="0"/>
                <w:sz w:val="21"/>
                <w:szCs w:val="21"/>
                <w:lang w:eastAsia="zh-CN" w:bidi="ar"/>
              </w:rPr>
              <w:t>。</w:t>
            </w:r>
          </w:p>
        </w:tc>
      </w:tr>
      <w:tr>
        <w:tblPrEx>
          <w:tblCellMar>
            <w:top w:w="15" w:type="dxa"/>
            <w:left w:w="15" w:type="dxa"/>
            <w:bottom w:w="15" w:type="dxa"/>
            <w:right w:w="15" w:type="dxa"/>
          </w:tblCellMar>
        </w:tblPrEx>
        <w:trPr>
          <w:trHeight w:val="23" w:hRule="atLeast"/>
          <w:jc w:val="center"/>
        </w:trPr>
        <w:tc>
          <w:tcPr>
            <w:tcW w:w="13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eastAsia="宋体"/>
                <w:color w:val="000000"/>
                <w:kern w:val="0"/>
                <w:sz w:val="24"/>
                <w:lang w:bidi="ar"/>
              </w:rPr>
            </w:pPr>
            <w:r>
              <w:rPr>
                <w:rFonts w:eastAsia="宋体"/>
                <w:color w:val="000000"/>
                <w:kern w:val="0"/>
                <w:sz w:val="24"/>
                <w:lang w:bidi="ar"/>
              </w:rPr>
              <w:t>年度绩效</w:t>
            </w:r>
          </w:p>
          <w:p>
            <w:pPr>
              <w:widowControl/>
              <w:spacing w:line="300" w:lineRule="exact"/>
              <w:jc w:val="center"/>
              <w:textAlignment w:val="center"/>
              <w:rPr>
                <w:rFonts w:eastAsia="宋体"/>
                <w:color w:val="000000"/>
                <w:sz w:val="24"/>
              </w:rPr>
            </w:pPr>
            <w:r>
              <w:rPr>
                <w:rFonts w:eastAsia="宋体"/>
                <w:color w:val="000000"/>
                <w:kern w:val="0"/>
                <w:sz w:val="24"/>
                <w:lang w:bidi="ar"/>
              </w:rPr>
              <w:t>指标</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eastAsia="宋体"/>
                <w:color w:val="000000"/>
                <w:sz w:val="24"/>
              </w:rPr>
            </w:pPr>
            <w:r>
              <w:rPr>
                <w:rFonts w:eastAsia="宋体"/>
                <w:color w:val="000000"/>
                <w:kern w:val="0"/>
                <w:sz w:val="24"/>
                <w:lang w:bidi="ar"/>
              </w:rPr>
              <w:t>一级指标</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eastAsia="宋体"/>
                <w:color w:val="000000"/>
                <w:sz w:val="24"/>
              </w:rPr>
            </w:pPr>
            <w:r>
              <w:rPr>
                <w:rFonts w:eastAsia="宋体"/>
                <w:color w:val="000000"/>
                <w:kern w:val="0"/>
                <w:sz w:val="24"/>
                <w:lang w:bidi="ar"/>
              </w:rPr>
              <w:t>二级指标</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eastAsia="宋体"/>
                <w:color w:val="000000"/>
                <w:sz w:val="24"/>
              </w:rPr>
            </w:pPr>
            <w:r>
              <w:rPr>
                <w:rFonts w:eastAsia="宋体"/>
                <w:color w:val="000000"/>
                <w:kern w:val="0"/>
                <w:sz w:val="24"/>
                <w:lang w:bidi="ar"/>
              </w:rPr>
              <w:t>三级指标</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eastAsia="宋体"/>
                <w:color w:val="000000"/>
                <w:kern w:val="0"/>
                <w:sz w:val="24"/>
                <w:lang w:bidi="ar"/>
              </w:rPr>
            </w:pPr>
            <w:r>
              <w:rPr>
                <w:rFonts w:eastAsia="宋体"/>
                <w:color w:val="000000"/>
                <w:kern w:val="0"/>
                <w:sz w:val="24"/>
                <w:lang w:bidi="ar"/>
              </w:rPr>
              <w:t>绩效指标</w:t>
            </w:r>
          </w:p>
          <w:p>
            <w:pPr>
              <w:widowControl/>
              <w:spacing w:line="300" w:lineRule="exact"/>
              <w:jc w:val="center"/>
              <w:textAlignment w:val="center"/>
              <w:rPr>
                <w:rFonts w:eastAsia="宋体"/>
                <w:color w:val="000000"/>
                <w:sz w:val="24"/>
              </w:rPr>
            </w:pPr>
            <w:r>
              <w:rPr>
                <w:rFonts w:eastAsia="宋体"/>
                <w:color w:val="000000"/>
                <w:kern w:val="0"/>
                <w:sz w:val="24"/>
                <w:lang w:bidi="ar"/>
              </w:rPr>
              <w:t>性质</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eastAsia="宋体"/>
                <w:color w:val="000000"/>
                <w:sz w:val="24"/>
              </w:rPr>
            </w:pPr>
            <w:r>
              <w:rPr>
                <w:rFonts w:eastAsia="宋体"/>
                <w:color w:val="000000"/>
                <w:kern w:val="0"/>
                <w:sz w:val="24"/>
                <w:lang w:bidi="ar"/>
              </w:rPr>
              <w:t>绩效指标值</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eastAsia="宋体"/>
                <w:color w:val="000000"/>
                <w:sz w:val="24"/>
              </w:rPr>
            </w:pPr>
            <w:r>
              <w:rPr>
                <w:rFonts w:eastAsia="宋体"/>
                <w:color w:val="000000"/>
                <w:kern w:val="0"/>
                <w:sz w:val="24"/>
                <w:lang w:bidi="ar"/>
              </w:rPr>
              <w:t>绩效度量单位</w:t>
            </w:r>
          </w:p>
        </w:tc>
        <w:tc>
          <w:tcPr>
            <w:tcW w:w="926" w:type="dxa"/>
            <w:tcBorders>
              <w:top w:val="single" w:color="000000" w:sz="4" w:space="0"/>
              <w:left w:val="single" w:color="000000" w:sz="4" w:space="0"/>
              <w:bottom w:val="single" w:color="000000" w:sz="4" w:space="0"/>
            </w:tcBorders>
            <w:shd w:val="clear" w:color="auto" w:fill="auto"/>
            <w:vAlign w:val="center"/>
          </w:tcPr>
          <w:p>
            <w:pPr>
              <w:widowControl/>
              <w:spacing w:line="300" w:lineRule="exact"/>
              <w:jc w:val="center"/>
              <w:textAlignment w:val="center"/>
              <w:rPr>
                <w:rFonts w:eastAsia="宋体"/>
                <w:color w:val="000000"/>
                <w:sz w:val="24"/>
              </w:rPr>
            </w:pPr>
            <w:r>
              <w:rPr>
                <w:rFonts w:eastAsia="宋体"/>
                <w:color w:val="000000"/>
                <w:kern w:val="0"/>
                <w:sz w:val="24"/>
                <w:lang w:bidi="ar"/>
              </w:rPr>
              <w:t>权重</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eastAsia="宋体"/>
                <w:color w:val="000000"/>
                <w:kern w:val="0"/>
                <w:sz w:val="24"/>
                <w:lang w:bidi="ar"/>
              </w:rPr>
            </w:pPr>
            <w:r>
              <w:rPr>
                <w:rFonts w:eastAsia="宋体"/>
                <w:color w:val="000000"/>
                <w:kern w:val="0"/>
                <w:sz w:val="24"/>
                <w:lang w:bidi="ar"/>
              </w:rPr>
              <w:t>实际完成</w:t>
            </w:r>
          </w:p>
          <w:p>
            <w:pPr>
              <w:widowControl/>
              <w:spacing w:line="300" w:lineRule="exact"/>
              <w:jc w:val="center"/>
              <w:textAlignment w:val="center"/>
              <w:rPr>
                <w:rFonts w:eastAsia="宋体"/>
                <w:color w:val="000000"/>
                <w:sz w:val="24"/>
              </w:rPr>
            </w:pPr>
            <w:r>
              <w:rPr>
                <w:rFonts w:eastAsia="宋体"/>
                <w:color w:val="000000"/>
                <w:kern w:val="0"/>
                <w:sz w:val="24"/>
                <w:lang w:bidi="ar"/>
              </w:rPr>
              <w:t>指标值</w:t>
            </w:r>
          </w:p>
        </w:tc>
      </w:tr>
      <w:tr>
        <w:tblPrEx>
          <w:tblCellMar>
            <w:top w:w="15" w:type="dxa"/>
            <w:left w:w="15" w:type="dxa"/>
            <w:bottom w:w="15" w:type="dxa"/>
            <w:right w:w="15" w:type="dxa"/>
          </w:tblCellMar>
        </w:tblPrEx>
        <w:trPr>
          <w:trHeight w:val="23" w:hRule="atLeast"/>
          <w:jc w:val="center"/>
        </w:trPr>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rPr>
                <w:rFonts w:eastAsia="宋体"/>
                <w:color w:val="000000"/>
                <w:sz w:val="24"/>
              </w:rPr>
            </w:pPr>
          </w:p>
        </w:tc>
        <w:tc>
          <w:tcPr>
            <w:tcW w:w="1347" w:type="dxa"/>
            <w:tcBorders>
              <w:top w:val="single" w:color="000000" w:sz="4" w:space="0"/>
              <w:left w:val="single" w:color="000000" w:sz="4" w:space="0"/>
              <w:right w:val="single" w:color="000000" w:sz="4" w:space="0"/>
            </w:tcBorders>
            <w:shd w:val="clear" w:color="auto" w:fill="auto"/>
            <w:vAlign w:val="center"/>
          </w:tcPr>
          <w:p>
            <w:pPr>
              <w:widowControl/>
              <w:spacing w:line="300" w:lineRule="exact"/>
              <w:jc w:val="center"/>
              <w:rPr>
                <w:rFonts w:hint="default" w:eastAsia="宋体"/>
                <w:color w:val="000000"/>
                <w:sz w:val="24"/>
                <w:lang w:val="en-US" w:eastAsia="zh-CN"/>
              </w:rPr>
            </w:pPr>
            <w:r>
              <w:rPr>
                <w:rFonts w:hint="eastAsia" w:eastAsia="宋体"/>
                <w:color w:val="000000"/>
                <w:sz w:val="24"/>
                <w:lang w:val="en-US" w:eastAsia="zh-CN"/>
              </w:rPr>
              <w:t>产出指标</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eastAsia="宋体"/>
                <w:color w:val="000000"/>
                <w:sz w:val="24"/>
              </w:rPr>
            </w:pPr>
            <w:r>
              <w:rPr>
                <w:rFonts w:eastAsia="宋体"/>
                <w:color w:val="000000"/>
                <w:kern w:val="0"/>
                <w:sz w:val="24"/>
                <w:lang w:bidi="ar"/>
              </w:rPr>
              <w:t>时效指标</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rPr>
                <w:rFonts w:eastAsia="宋体"/>
                <w:color w:val="000000"/>
                <w:sz w:val="24"/>
              </w:rPr>
            </w:pPr>
            <w:r>
              <w:rPr>
                <w:rFonts w:hint="eastAsia" w:eastAsia="宋体"/>
                <w:color w:val="000000"/>
                <w:sz w:val="15"/>
                <w:szCs w:val="15"/>
              </w:rPr>
              <w:t>保障职工权益和单位正常运转</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rPr>
                <w:rFonts w:eastAsia="宋体"/>
                <w:color w:val="000000"/>
                <w:sz w:val="24"/>
              </w:rPr>
            </w:pPr>
            <w:r>
              <w:rPr>
                <w:rFonts w:hint="eastAsia" w:eastAsia="宋体"/>
                <w:color w:val="000000"/>
                <w:sz w:val="24"/>
              </w:rPr>
              <w:t>定性</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rPr>
                <w:rFonts w:eastAsia="宋体"/>
                <w:color w:val="000000"/>
                <w:sz w:val="24"/>
              </w:rPr>
            </w:pPr>
            <w:r>
              <w:rPr>
                <w:rFonts w:hint="eastAsia" w:eastAsia="宋体"/>
                <w:color w:val="000000"/>
                <w:sz w:val="24"/>
              </w:rPr>
              <w:t>优良中低差</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rPr>
                <w:rFonts w:eastAsia="宋体"/>
                <w:color w:val="000000"/>
                <w:sz w:val="24"/>
              </w:rPr>
            </w:pPr>
            <w:r>
              <w:rPr>
                <w:rFonts w:hint="eastAsia" w:eastAsia="宋体"/>
                <w:color w:val="000000"/>
                <w:sz w:val="24"/>
              </w:rPr>
              <w:t>人</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rPr>
                <w:rFonts w:hint="default" w:eastAsia="宋体"/>
                <w:color w:val="000000"/>
                <w:sz w:val="24"/>
                <w:lang w:val="en-US" w:eastAsia="zh-CN"/>
              </w:rPr>
            </w:pPr>
            <w:r>
              <w:rPr>
                <w:rFonts w:hint="eastAsia" w:eastAsia="宋体"/>
                <w:color w:val="000000"/>
                <w:sz w:val="24"/>
                <w:lang w:val="en-US" w:eastAsia="zh-CN"/>
              </w:rPr>
              <w:t>40</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ind w:firstLine="527" w:firstLineChars="0"/>
              <w:jc w:val="left"/>
              <w:rPr>
                <w:rFonts w:eastAsia="宋体"/>
                <w:color w:val="000000"/>
                <w:sz w:val="24"/>
              </w:rPr>
            </w:pPr>
            <w:r>
              <w:rPr>
                <w:rFonts w:hint="eastAsia" w:eastAsia="宋体"/>
                <w:color w:val="000000"/>
                <w:sz w:val="24"/>
              </w:rPr>
              <w:t>优</w:t>
            </w:r>
          </w:p>
        </w:tc>
      </w:tr>
      <w:tr>
        <w:tblPrEx>
          <w:tblCellMar>
            <w:top w:w="15" w:type="dxa"/>
            <w:left w:w="15" w:type="dxa"/>
            <w:bottom w:w="15" w:type="dxa"/>
            <w:right w:w="15" w:type="dxa"/>
          </w:tblCellMar>
        </w:tblPrEx>
        <w:trPr>
          <w:trHeight w:val="23" w:hRule="atLeast"/>
          <w:jc w:val="center"/>
        </w:trPr>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rPr>
                <w:rFonts w:eastAsia="宋体"/>
                <w:color w:val="000000"/>
                <w:sz w:val="24"/>
              </w:rPr>
            </w:pP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eastAsia="宋体"/>
                <w:color w:val="000000"/>
                <w:sz w:val="24"/>
              </w:rPr>
            </w:pPr>
            <w:r>
              <w:rPr>
                <w:rFonts w:eastAsia="宋体"/>
                <w:color w:val="000000"/>
                <w:kern w:val="0"/>
                <w:sz w:val="24"/>
                <w:lang w:bidi="ar"/>
              </w:rPr>
              <w:t>效益指标</w:t>
            </w:r>
          </w:p>
        </w:tc>
        <w:tc>
          <w:tcPr>
            <w:tcW w:w="1273" w:type="dxa"/>
            <w:tcBorders>
              <w:top w:val="single" w:color="000000" w:sz="4" w:space="0"/>
              <w:left w:val="single" w:color="000000" w:sz="4" w:space="0"/>
              <w:right w:val="single" w:color="000000" w:sz="4" w:space="0"/>
            </w:tcBorders>
            <w:shd w:val="clear" w:color="auto" w:fill="auto"/>
            <w:vAlign w:val="center"/>
          </w:tcPr>
          <w:p>
            <w:pPr>
              <w:widowControl/>
              <w:spacing w:line="300" w:lineRule="exact"/>
              <w:jc w:val="center"/>
              <w:textAlignment w:val="center"/>
              <w:rPr>
                <w:rFonts w:eastAsia="宋体"/>
                <w:color w:val="000000"/>
                <w:kern w:val="0"/>
                <w:sz w:val="24"/>
                <w:lang w:bidi="ar"/>
              </w:rPr>
            </w:pPr>
            <w:r>
              <w:rPr>
                <w:rFonts w:eastAsia="宋体"/>
                <w:color w:val="000000"/>
                <w:kern w:val="0"/>
                <w:sz w:val="24"/>
                <w:lang w:bidi="ar"/>
              </w:rPr>
              <w:t>社会效益</w:t>
            </w:r>
          </w:p>
          <w:p>
            <w:pPr>
              <w:widowControl/>
              <w:spacing w:line="300" w:lineRule="exact"/>
              <w:jc w:val="center"/>
              <w:textAlignment w:val="center"/>
              <w:rPr>
                <w:rFonts w:eastAsia="宋体"/>
                <w:color w:val="000000"/>
                <w:sz w:val="24"/>
              </w:rPr>
            </w:pPr>
            <w:r>
              <w:rPr>
                <w:rFonts w:eastAsia="宋体"/>
                <w:color w:val="000000"/>
                <w:kern w:val="0"/>
                <w:sz w:val="24"/>
                <w:lang w:bidi="ar"/>
              </w:rPr>
              <w:t>指标</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rPr>
                <w:rFonts w:eastAsia="宋体"/>
                <w:color w:val="000000"/>
                <w:sz w:val="15"/>
                <w:szCs w:val="15"/>
              </w:rPr>
            </w:pPr>
            <w:r>
              <w:rPr>
                <w:rFonts w:hint="eastAsia" w:eastAsia="宋体"/>
                <w:color w:val="000000"/>
                <w:sz w:val="15"/>
                <w:szCs w:val="15"/>
              </w:rPr>
              <w:t>不断提升单位服务水平</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rPr>
                <w:rFonts w:eastAsia="宋体"/>
                <w:color w:val="000000"/>
                <w:sz w:val="24"/>
              </w:rPr>
            </w:pPr>
            <w:r>
              <w:rPr>
                <w:rFonts w:hint="eastAsia" w:eastAsia="宋体"/>
                <w:color w:val="000000"/>
                <w:sz w:val="24"/>
              </w:rPr>
              <w:t>≥</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rPr>
                <w:rFonts w:eastAsia="宋体"/>
                <w:color w:val="000000"/>
                <w:sz w:val="24"/>
              </w:rPr>
            </w:pPr>
            <w:r>
              <w:rPr>
                <w:rFonts w:hint="eastAsia" w:eastAsia="宋体"/>
                <w:color w:val="000000"/>
                <w:sz w:val="24"/>
              </w:rPr>
              <w:t>98</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rPr>
                <w:rFonts w:hint="default" w:eastAsia="宋体"/>
                <w:color w:val="000000"/>
                <w:sz w:val="24"/>
                <w:lang w:val="en-US" w:eastAsia="zh-CN"/>
              </w:rPr>
            </w:pPr>
            <w:r>
              <w:rPr>
                <w:rFonts w:hint="eastAsia" w:eastAsia="宋体"/>
                <w:color w:val="000000"/>
                <w:sz w:val="24"/>
                <w:lang w:val="en-US" w:eastAsia="zh-CN"/>
              </w:rPr>
              <w:t>%</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rPr>
                <w:rFonts w:hint="default" w:eastAsia="宋体"/>
                <w:color w:val="000000"/>
                <w:sz w:val="24"/>
                <w:lang w:val="en-US" w:eastAsia="zh-CN"/>
              </w:rPr>
            </w:pPr>
            <w:r>
              <w:rPr>
                <w:rFonts w:hint="eastAsia" w:eastAsia="宋体"/>
                <w:color w:val="000000"/>
                <w:sz w:val="24"/>
                <w:lang w:val="en-US" w:eastAsia="zh-CN"/>
              </w:rPr>
              <w:t>30</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rPr>
                <w:rFonts w:eastAsia="宋体"/>
                <w:color w:val="000000"/>
                <w:sz w:val="24"/>
              </w:rPr>
            </w:pPr>
            <w:r>
              <w:rPr>
                <w:rFonts w:hint="eastAsia" w:eastAsia="宋体"/>
                <w:color w:val="000000"/>
                <w:sz w:val="24"/>
              </w:rPr>
              <w:t>98</w:t>
            </w:r>
          </w:p>
        </w:tc>
      </w:tr>
      <w:tr>
        <w:tblPrEx>
          <w:tblCellMar>
            <w:top w:w="15" w:type="dxa"/>
            <w:left w:w="15" w:type="dxa"/>
            <w:bottom w:w="15" w:type="dxa"/>
            <w:right w:w="15" w:type="dxa"/>
          </w:tblCellMar>
        </w:tblPrEx>
        <w:trPr>
          <w:trHeight w:val="23" w:hRule="atLeast"/>
          <w:jc w:val="center"/>
        </w:trPr>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rPr>
                <w:rFonts w:eastAsia="宋体"/>
                <w:color w:val="000000"/>
                <w:sz w:val="24"/>
              </w:rPr>
            </w:pP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eastAsia="宋体"/>
                <w:color w:val="000000"/>
                <w:sz w:val="24"/>
              </w:rPr>
            </w:pPr>
            <w:r>
              <w:rPr>
                <w:rFonts w:eastAsia="宋体"/>
                <w:color w:val="000000"/>
                <w:kern w:val="0"/>
                <w:sz w:val="24"/>
                <w:lang w:bidi="ar"/>
              </w:rPr>
              <w:t>满意度指标</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eastAsia="宋体"/>
                <w:color w:val="000000"/>
                <w:sz w:val="24"/>
              </w:rPr>
            </w:pPr>
            <w:r>
              <w:rPr>
                <w:rFonts w:hint="eastAsia" w:eastAsia="宋体"/>
                <w:color w:val="000000"/>
                <w:kern w:val="0"/>
                <w:sz w:val="24"/>
                <w:lang w:bidi="ar"/>
              </w:rPr>
              <w:t>服务对象满意度指标</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rPr>
                <w:rFonts w:eastAsia="宋体"/>
                <w:color w:val="000000"/>
                <w:sz w:val="15"/>
                <w:szCs w:val="15"/>
              </w:rPr>
            </w:pPr>
            <w:r>
              <w:rPr>
                <w:rFonts w:hint="eastAsia" w:eastAsia="宋体"/>
                <w:color w:val="000000"/>
                <w:sz w:val="15"/>
                <w:szCs w:val="15"/>
              </w:rPr>
              <w:t>提升就业、失业人员满意度</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rPr>
                <w:rFonts w:eastAsia="宋体"/>
                <w:color w:val="000000"/>
                <w:sz w:val="24"/>
              </w:rPr>
            </w:pPr>
            <w:r>
              <w:rPr>
                <w:rFonts w:hint="eastAsia" w:eastAsia="宋体"/>
                <w:color w:val="000000"/>
                <w:sz w:val="24"/>
              </w:rPr>
              <w:t>≥</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rPr>
                <w:rFonts w:eastAsia="宋体"/>
                <w:color w:val="000000"/>
                <w:sz w:val="24"/>
              </w:rPr>
            </w:pPr>
            <w:r>
              <w:rPr>
                <w:rFonts w:hint="eastAsia" w:eastAsia="宋体"/>
                <w:color w:val="000000"/>
                <w:sz w:val="24"/>
              </w:rPr>
              <w:t>98</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rPr>
                <w:rFonts w:hint="eastAsia" w:eastAsia="宋体"/>
                <w:color w:val="000000"/>
                <w:sz w:val="24"/>
                <w:lang w:val="en-US" w:eastAsia="zh-CN"/>
              </w:rPr>
            </w:pPr>
            <w:r>
              <w:rPr>
                <w:rFonts w:hint="eastAsia" w:eastAsia="宋体"/>
                <w:color w:val="000000"/>
                <w:sz w:val="24"/>
                <w:lang w:val="en-US" w:eastAsia="zh-CN"/>
              </w:rPr>
              <w:t>%</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rPr>
                <w:rFonts w:hint="default" w:eastAsia="宋体"/>
                <w:color w:val="000000"/>
                <w:sz w:val="24"/>
                <w:lang w:val="en-US" w:eastAsia="zh-CN"/>
              </w:rPr>
            </w:pPr>
            <w:r>
              <w:rPr>
                <w:rFonts w:hint="eastAsia" w:eastAsia="宋体"/>
                <w:color w:val="000000"/>
                <w:sz w:val="24"/>
                <w:lang w:val="en-US" w:eastAsia="zh-CN"/>
              </w:rPr>
              <w:t>30</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rPr>
                <w:rFonts w:eastAsia="宋体"/>
                <w:color w:val="000000"/>
                <w:sz w:val="24"/>
              </w:rPr>
            </w:pPr>
            <w:r>
              <w:rPr>
                <w:rFonts w:hint="eastAsia" w:eastAsia="宋体"/>
                <w:color w:val="000000"/>
                <w:sz w:val="24"/>
              </w:rPr>
              <w:t>98</w:t>
            </w:r>
          </w:p>
        </w:tc>
      </w:tr>
    </w:tbl>
    <w:p>
      <w:pPr>
        <w:pStyle w:val="14"/>
        <w:keepNext w:val="0"/>
        <w:keepLines w:val="0"/>
        <w:pageBreakBefore w:val="0"/>
        <w:numPr>
          <w:ilvl w:val="0"/>
          <w:numId w:val="0"/>
        </w:numPr>
        <w:kinsoku/>
        <w:wordWrap/>
        <w:overflowPunct/>
        <w:topLinePunct w:val="0"/>
        <w:autoSpaceDE/>
        <w:autoSpaceDN/>
        <w:bidi w:val="0"/>
        <w:spacing w:line="560" w:lineRule="exact"/>
        <w:textAlignment w:val="auto"/>
        <w:rPr>
          <w:rFonts w:hint="eastAsia" w:ascii="Times New Roman" w:hAnsi="Times New Roman" w:cs="Times New Roman"/>
          <w:sz w:val="32"/>
          <w:szCs w:val="32"/>
          <w:highlight w:val="yellow"/>
          <w:lang w:val="zh-CN" w:eastAsia="zh-CN"/>
        </w:rPr>
      </w:pPr>
    </w:p>
    <w:p>
      <w:pPr>
        <w:pStyle w:val="6"/>
        <w:rPr>
          <w:rFonts w:hint="eastAsia" w:ascii="Times New Roman" w:hAnsi="Times New Roman" w:cs="宋体"/>
          <w:color w:val="FF0000"/>
          <w:kern w:val="0"/>
          <w:sz w:val="32"/>
          <w:szCs w:val="32"/>
          <w:highlight w:val="yellow"/>
          <w:shd w:val="clear" w:color="auto" w:fill="FFFFFF"/>
          <w:lang w:val="zh-CN"/>
        </w:rPr>
      </w:pPr>
    </w:p>
    <w:p>
      <w:pPr>
        <w:rPr>
          <w:rFonts w:hint="eastAsia" w:ascii="Times New Roman" w:hAnsi="Times New Roman" w:eastAsia="黑体" w:cs="黑体"/>
          <w:color w:val="auto"/>
          <w:kern w:val="0"/>
          <w:sz w:val="32"/>
          <w:szCs w:val="32"/>
          <w:highlight w:val="none"/>
          <w:shd w:val="clear" w:color="auto" w:fill="FFFFFF"/>
          <w:lang w:val="zh-CN"/>
        </w:rPr>
      </w:pPr>
      <w:r>
        <w:rPr>
          <w:rFonts w:hint="eastAsia" w:ascii="Times New Roman" w:hAnsi="Times New Roman" w:eastAsia="黑体" w:cs="黑体"/>
          <w:color w:val="auto"/>
          <w:kern w:val="0"/>
          <w:sz w:val="32"/>
          <w:szCs w:val="32"/>
          <w:highlight w:val="none"/>
          <w:shd w:val="clear" w:color="auto" w:fill="FFFFFF"/>
          <w:lang w:val="zh-CN"/>
        </w:rPr>
        <w:br w:type="page"/>
      </w:r>
    </w:p>
    <w:p>
      <w:pPr>
        <w:pStyle w:val="6"/>
        <w:rPr>
          <w:rFonts w:ascii="Times New Roman" w:hAnsi="Times New Roman"/>
          <w:color w:val="auto"/>
          <w:kern w:val="2"/>
          <w:sz w:val="32"/>
          <w:szCs w:val="32"/>
          <w:highlight w:val="none"/>
        </w:rPr>
      </w:pPr>
      <w:r>
        <w:rPr>
          <w:rFonts w:hint="eastAsia" w:ascii="Times New Roman" w:hAnsi="Times New Roman" w:eastAsia="黑体" w:cs="黑体"/>
          <w:color w:val="auto"/>
          <w:kern w:val="0"/>
          <w:sz w:val="32"/>
          <w:szCs w:val="32"/>
          <w:highlight w:val="none"/>
          <w:shd w:val="clear" w:color="auto" w:fill="FFFFFF"/>
          <w:lang w:val="zh-CN"/>
        </w:rPr>
        <w:t>附件</w:t>
      </w:r>
      <w:r>
        <w:rPr>
          <w:rFonts w:hint="eastAsia" w:ascii="Times New Roman" w:hAnsi="Times New Roman" w:eastAsia="黑体" w:cs="黑体"/>
          <w:color w:val="auto"/>
          <w:kern w:val="0"/>
          <w:sz w:val="32"/>
          <w:szCs w:val="32"/>
          <w:highlight w:val="none"/>
          <w:shd w:val="clear" w:color="auto" w:fill="FFFFFF"/>
          <w:lang w:val="en-US" w:eastAsia="zh-CN"/>
        </w:rPr>
        <w:t>2</w:t>
      </w:r>
    </w:p>
    <w:p>
      <w:pPr>
        <w:spacing w:line="576" w:lineRule="exact"/>
        <w:jc w:val="center"/>
        <w:rPr>
          <w:rFonts w:hint="eastAsia" w:ascii="方正小标宋简体" w:hAnsi="Calibri" w:eastAsia="方正小标宋简体" w:cs="Times New Roman"/>
          <w:color w:val="auto"/>
          <w:sz w:val="44"/>
          <w:szCs w:val="44"/>
          <w:lang w:val="en-US" w:eastAsia="zh-CN"/>
        </w:rPr>
      </w:pPr>
      <w:r>
        <w:rPr>
          <w:rFonts w:hint="eastAsia" w:ascii="方正小标宋简体" w:hAnsi="Calibri" w:eastAsia="方正小标宋简体" w:cs="Times New Roman"/>
          <w:color w:val="auto"/>
          <w:sz w:val="44"/>
          <w:szCs w:val="44"/>
          <w:lang w:val="en-US" w:eastAsia="zh-CN"/>
        </w:rPr>
        <w:t>省内县外务工交通就业补贴项目</w:t>
      </w:r>
    </w:p>
    <w:p>
      <w:pPr>
        <w:pStyle w:val="36"/>
        <w:spacing w:line="578" w:lineRule="exact"/>
        <w:jc w:val="center"/>
        <w:rPr>
          <w:rFonts w:ascii="方正小标宋简体" w:hAnsi="方正小标宋简体" w:eastAsia="方正小标宋简体" w:cs="方正小标宋简体"/>
          <w:color w:val="auto"/>
          <w:kern w:val="2"/>
          <w:sz w:val="44"/>
          <w:szCs w:val="44"/>
          <w:lang w:val="en-US"/>
        </w:rPr>
      </w:pPr>
      <w:r>
        <w:rPr>
          <w:rFonts w:hint="eastAsia" w:ascii="方正小标宋简体" w:hAnsi="Calibri" w:eastAsia="方正小标宋简体" w:cs="Times New Roman"/>
          <w:color w:val="auto"/>
          <w:sz w:val="44"/>
          <w:szCs w:val="44"/>
          <w:lang w:val="en-US" w:eastAsia="zh-CN"/>
        </w:rPr>
        <w:t>支出绩效自评价报告</w:t>
      </w:r>
    </w:p>
    <w:p>
      <w:pPr>
        <w:pStyle w:val="36"/>
        <w:spacing w:line="578" w:lineRule="exact"/>
        <w:ind w:firstLine="640"/>
        <w:jc w:val="center"/>
        <w:rPr>
          <w:rFonts w:ascii="宋体" w:hAnsi="宋体"/>
          <w:color w:val="auto"/>
          <w:kern w:val="2"/>
          <w:sz w:val="32"/>
          <w:szCs w:val="32"/>
        </w:rPr>
      </w:pPr>
    </w:p>
    <w:p>
      <w:pPr>
        <w:adjustRightInd w:val="0"/>
        <w:snapToGrid w:val="0"/>
        <w:spacing w:line="578" w:lineRule="exact"/>
        <w:ind w:firstLine="640" w:firstLineChars="200"/>
        <w:rPr>
          <w:rFonts w:hint="eastAsia" w:ascii="仿宋_GB2312" w:hAnsi="仿宋_GB2312" w:eastAsia="仿宋_GB2312" w:cs="仿宋_GB2312"/>
          <w:sz w:val="32"/>
          <w:szCs w:val="32"/>
          <w:lang w:val="zh-CN"/>
        </w:rPr>
      </w:pPr>
      <w:r>
        <w:rPr>
          <w:rFonts w:hint="eastAsia" w:ascii="黑体" w:hAnsi="黑体" w:eastAsia="黑体" w:cs="黑体"/>
          <w:sz w:val="32"/>
          <w:szCs w:val="32"/>
        </w:rPr>
        <w:t>一、</w:t>
      </w:r>
      <w:r>
        <w:rPr>
          <w:rFonts w:hint="eastAsia" w:ascii="黑体" w:hAnsi="黑体" w:eastAsia="黑体" w:cs="黑体"/>
          <w:sz w:val="32"/>
          <w:szCs w:val="32"/>
          <w:lang w:val="zh-CN"/>
        </w:rPr>
        <w:t>项目概况</w:t>
      </w:r>
    </w:p>
    <w:p>
      <w:pPr>
        <w:widowControl/>
        <w:adjustRightInd w:val="0"/>
        <w:snapToGrid w:val="0"/>
        <w:spacing w:line="578" w:lineRule="exact"/>
        <w:ind w:firstLine="642" w:firstLineChars="200"/>
        <w:contextualSpacing/>
        <w:jc w:val="left"/>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（一）设立背景及基本情况</w:t>
      </w:r>
    </w:p>
    <w:p>
      <w:pPr>
        <w:widowControl/>
        <w:adjustRightInd w:val="0"/>
        <w:snapToGrid w:val="0"/>
        <w:spacing w:line="578" w:lineRule="exact"/>
        <w:ind w:firstLine="640" w:firstLineChars="200"/>
        <w:contextualSpacing/>
        <w:jc w:val="left"/>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根据《四川省农业农村厅 四川省人力资源和社会保障厅 四川省财政厅关于进一步加大脱贫人口跨区域务工就业交通补助力度促进脱贫群众就业增收的通知》，为更好引导脱贫人口外出务工，持续增加劳务收入，对脱贫户、监测户省内县外务工进行交通补贴。</w:t>
      </w:r>
    </w:p>
    <w:p>
      <w:pPr>
        <w:widowControl/>
        <w:adjustRightInd w:val="0"/>
        <w:snapToGrid w:val="0"/>
        <w:spacing w:line="578" w:lineRule="exact"/>
        <w:ind w:firstLine="640" w:firstLineChars="200"/>
        <w:contextualSpacing/>
        <w:jc w:val="left"/>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lang w:val="zh-CN"/>
        </w:rPr>
        <w:t>省内县外务工交通就业补贴项目</w:t>
      </w:r>
      <w:r>
        <w:rPr>
          <w:rFonts w:hint="eastAsia" w:ascii="仿宋_GB2312" w:hAnsi="仿宋_GB2312" w:eastAsia="仿宋_GB2312" w:cs="仿宋_GB2312"/>
          <w:kern w:val="0"/>
          <w:sz w:val="32"/>
          <w:szCs w:val="32"/>
          <w:shd w:val="clear" w:color="auto" w:fill="FFFFFF"/>
        </w:rPr>
        <w:t>，预算数</w:t>
      </w:r>
      <w:r>
        <w:rPr>
          <w:rFonts w:hint="eastAsia" w:ascii="仿宋_GB2312" w:hAnsi="仿宋_GB2312" w:eastAsia="仿宋_GB2312" w:cs="仿宋_GB2312"/>
          <w:kern w:val="0"/>
          <w:sz w:val="32"/>
          <w:szCs w:val="32"/>
          <w:shd w:val="clear" w:color="auto" w:fill="FFFFFF"/>
          <w:lang w:val="en-US" w:eastAsia="zh-CN"/>
        </w:rPr>
        <w:t>40.00</w:t>
      </w:r>
      <w:r>
        <w:rPr>
          <w:rFonts w:hint="eastAsia" w:ascii="仿宋_GB2312" w:hAnsi="仿宋_GB2312" w:eastAsia="仿宋_GB2312" w:cs="仿宋_GB2312"/>
          <w:kern w:val="0"/>
          <w:sz w:val="32"/>
          <w:szCs w:val="32"/>
          <w:shd w:val="clear" w:color="auto" w:fill="FFFFFF"/>
        </w:rPr>
        <w:t>万元，预算执行数</w:t>
      </w:r>
      <w:r>
        <w:rPr>
          <w:rFonts w:hint="eastAsia" w:ascii="仿宋_GB2312" w:hAnsi="仿宋_GB2312" w:eastAsia="仿宋_GB2312" w:cs="仿宋_GB2312"/>
          <w:kern w:val="0"/>
          <w:sz w:val="32"/>
          <w:szCs w:val="32"/>
          <w:shd w:val="clear" w:color="auto" w:fill="FFFFFF"/>
          <w:lang w:val="en-US" w:eastAsia="zh-CN"/>
        </w:rPr>
        <w:t>31.02</w:t>
      </w:r>
      <w:r>
        <w:rPr>
          <w:rFonts w:hint="eastAsia" w:ascii="仿宋_GB2312" w:hAnsi="仿宋_GB2312" w:eastAsia="仿宋_GB2312" w:cs="仿宋_GB2312"/>
          <w:kern w:val="0"/>
          <w:sz w:val="32"/>
          <w:szCs w:val="32"/>
          <w:shd w:val="clear" w:color="auto" w:fill="FFFFFF"/>
        </w:rPr>
        <w:t>万元，预算执行率</w:t>
      </w:r>
      <w:r>
        <w:rPr>
          <w:rFonts w:hint="eastAsia" w:ascii="仿宋_GB2312" w:hAnsi="仿宋_GB2312" w:eastAsia="仿宋_GB2312" w:cs="仿宋_GB2312"/>
          <w:kern w:val="0"/>
          <w:sz w:val="32"/>
          <w:szCs w:val="32"/>
          <w:shd w:val="clear" w:color="auto" w:fill="FFFFFF"/>
          <w:lang w:val="en-US" w:eastAsia="zh-CN"/>
        </w:rPr>
        <w:t>77.55</w:t>
      </w:r>
      <w:r>
        <w:rPr>
          <w:rFonts w:hint="eastAsia" w:ascii="仿宋_GB2312" w:hAnsi="仿宋_GB2312" w:eastAsia="仿宋_GB2312" w:cs="仿宋_GB2312"/>
          <w:kern w:val="0"/>
          <w:sz w:val="32"/>
          <w:szCs w:val="32"/>
          <w:shd w:val="clear" w:color="auto" w:fill="FFFFFF"/>
        </w:rPr>
        <w:t>%。</w:t>
      </w:r>
    </w:p>
    <w:p>
      <w:pPr>
        <w:widowControl/>
        <w:adjustRightInd w:val="0"/>
        <w:snapToGrid w:val="0"/>
        <w:spacing w:line="578" w:lineRule="exact"/>
        <w:ind w:firstLine="640" w:firstLineChars="200"/>
        <w:contextualSpacing/>
        <w:jc w:val="left"/>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lang w:val="zh-CN"/>
        </w:rPr>
        <w:t>省内县外务工交通就业补贴项目</w:t>
      </w:r>
      <w:r>
        <w:rPr>
          <w:rFonts w:hint="eastAsia" w:ascii="仿宋_GB2312" w:hAnsi="仿宋_GB2312" w:eastAsia="仿宋_GB2312" w:cs="仿宋_GB2312"/>
          <w:kern w:val="0"/>
          <w:sz w:val="32"/>
          <w:szCs w:val="32"/>
          <w:shd w:val="clear" w:color="auto" w:fill="FFFFFF"/>
        </w:rPr>
        <w:t>资金主要遵循原则：</w:t>
      </w:r>
    </w:p>
    <w:p>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rPr>
          <w:rFonts w:hint="eastAsia" w:ascii="仿宋_GB2312" w:hAnsi="仿宋_GB2312" w:eastAsia="仿宋_GB2312" w:cs="仿宋_GB2312"/>
          <w:kern w:val="0"/>
          <w:sz w:val="32"/>
          <w:szCs w:val="32"/>
          <w:shd w:val="clear" w:color="auto" w:fill="FFFFFF"/>
          <w:lang w:eastAsia="zh-CN"/>
        </w:rPr>
      </w:pPr>
      <w:r>
        <w:rPr>
          <w:rFonts w:hint="eastAsia" w:ascii="仿宋_GB2312" w:hAnsi="仿宋_GB2312" w:eastAsia="仿宋_GB2312" w:cs="仿宋_GB2312"/>
          <w:kern w:val="0"/>
          <w:sz w:val="32"/>
          <w:szCs w:val="32"/>
          <w:shd w:val="clear" w:color="auto" w:fill="FFFFFF"/>
          <w:lang w:eastAsia="zh-CN"/>
        </w:rPr>
        <w:t>（</w:t>
      </w:r>
      <w:r>
        <w:rPr>
          <w:rFonts w:hint="eastAsia" w:ascii="仿宋_GB2312" w:hAnsi="仿宋_GB2312" w:eastAsia="仿宋_GB2312" w:cs="仿宋_GB2312"/>
          <w:kern w:val="0"/>
          <w:sz w:val="32"/>
          <w:szCs w:val="32"/>
          <w:shd w:val="clear" w:color="auto" w:fill="FFFFFF"/>
          <w:lang w:val="en-US" w:eastAsia="zh-CN"/>
        </w:rPr>
        <w:t>1</w:t>
      </w:r>
      <w:r>
        <w:rPr>
          <w:rFonts w:hint="eastAsia" w:ascii="仿宋_GB2312" w:hAnsi="仿宋_GB2312" w:eastAsia="仿宋_GB2312" w:cs="仿宋_GB2312"/>
          <w:kern w:val="0"/>
          <w:sz w:val="32"/>
          <w:szCs w:val="32"/>
          <w:shd w:val="clear" w:color="auto" w:fill="FFFFFF"/>
          <w:lang w:eastAsia="zh-CN"/>
        </w:rPr>
        <w:t>）</w:t>
      </w:r>
      <w:r>
        <w:rPr>
          <w:rFonts w:hint="eastAsia" w:ascii="仿宋_GB2312" w:hAnsi="仿宋_GB2312" w:eastAsia="仿宋_GB2312" w:cs="仿宋_GB2312"/>
          <w:kern w:val="0"/>
          <w:sz w:val="32"/>
          <w:szCs w:val="32"/>
          <w:shd w:val="clear" w:color="auto" w:fill="FFFFFF"/>
        </w:rPr>
        <w:t>注重普惠、重点倾斜。落实就业创业政策，重点支持</w:t>
      </w:r>
      <w:r>
        <w:rPr>
          <w:rFonts w:hint="eastAsia" w:ascii="仿宋_GB2312" w:hAnsi="仿宋_GB2312" w:eastAsia="仿宋_GB2312" w:cs="仿宋_GB2312"/>
          <w:kern w:val="0"/>
          <w:sz w:val="32"/>
          <w:szCs w:val="32"/>
          <w:shd w:val="clear" w:color="auto" w:fill="FFFFFF"/>
          <w:lang w:eastAsia="zh-CN"/>
        </w:rPr>
        <w:t>脱贫户、监测户外出务工。</w:t>
      </w:r>
    </w:p>
    <w:p>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lang w:eastAsia="zh-CN"/>
        </w:rPr>
        <w:t>（</w:t>
      </w:r>
      <w:r>
        <w:rPr>
          <w:rFonts w:hint="eastAsia" w:ascii="仿宋_GB2312" w:hAnsi="仿宋_GB2312" w:eastAsia="仿宋_GB2312" w:cs="仿宋_GB2312"/>
          <w:kern w:val="0"/>
          <w:sz w:val="32"/>
          <w:szCs w:val="32"/>
          <w:shd w:val="clear" w:color="auto" w:fill="FFFFFF"/>
          <w:lang w:val="en-US" w:eastAsia="zh-CN"/>
        </w:rPr>
        <w:t>2</w:t>
      </w:r>
      <w:r>
        <w:rPr>
          <w:rFonts w:hint="eastAsia" w:ascii="仿宋_GB2312" w:hAnsi="仿宋_GB2312" w:eastAsia="仿宋_GB2312" w:cs="仿宋_GB2312"/>
          <w:kern w:val="0"/>
          <w:sz w:val="32"/>
          <w:szCs w:val="32"/>
          <w:shd w:val="clear" w:color="auto" w:fill="FFFFFF"/>
          <w:lang w:eastAsia="zh-CN"/>
        </w:rPr>
        <w:t>）</w:t>
      </w:r>
      <w:r>
        <w:rPr>
          <w:rFonts w:hint="eastAsia" w:ascii="仿宋_GB2312" w:hAnsi="仿宋_GB2312" w:eastAsia="仿宋_GB2312" w:cs="仿宋_GB2312"/>
          <w:kern w:val="0"/>
          <w:sz w:val="32"/>
          <w:szCs w:val="32"/>
          <w:shd w:val="clear" w:color="auto" w:fill="FFFFFF"/>
        </w:rPr>
        <w:t>健全机制、激励约束。强化激励与约束并重的机制效应，发挥政策执行部门、用人单位促进就业、稳定就业的主动性</w:t>
      </w:r>
    </w:p>
    <w:p>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lang w:eastAsia="zh-CN"/>
        </w:rPr>
        <w:t>（</w:t>
      </w:r>
      <w:r>
        <w:rPr>
          <w:rFonts w:hint="eastAsia" w:ascii="仿宋_GB2312" w:hAnsi="仿宋_GB2312" w:eastAsia="仿宋_GB2312" w:cs="仿宋_GB2312"/>
          <w:kern w:val="0"/>
          <w:sz w:val="32"/>
          <w:szCs w:val="32"/>
          <w:shd w:val="clear" w:color="auto" w:fill="FFFFFF"/>
          <w:lang w:val="en-US" w:eastAsia="zh-CN"/>
        </w:rPr>
        <w:t>3</w:t>
      </w:r>
      <w:r>
        <w:rPr>
          <w:rFonts w:hint="eastAsia" w:ascii="仿宋_GB2312" w:hAnsi="仿宋_GB2312" w:eastAsia="仿宋_GB2312" w:cs="仿宋_GB2312"/>
          <w:kern w:val="0"/>
          <w:sz w:val="32"/>
          <w:szCs w:val="32"/>
          <w:shd w:val="clear" w:color="auto" w:fill="FFFFFF"/>
          <w:lang w:eastAsia="zh-CN"/>
        </w:rPr>
        <w:t>）</w:t>
      </w:r>
      <w:r>
        <w:rPr>
          <w:rFonts w:hint="eastAsia" w:ascii="仿宋_GB2312" w:hAnsi="仿宋_GB2312" w:eastAsia="仿宋_GB2312" w:cs="仿宋_GB2312"/>
          <w:kern w:val="0"/>
          <w:sz w:val="32"/>
          <w:szCs w:val="32"/>
          <w:shd w:val="clear" w:color="auto" w:fill="FFFFFF"/>
        </w:rPr>
        <w:t>严格管理、强化绩效。健全管理制度，规范管理监督</w:t>
      </w:r>
      <w:r>
        <w:rPr>
          <w:rFonts w:hint="default" w:ascii="仿宋_GB2312" w:hAnsi="仿宋_GB2312" w:eastAsia="仿宋_GB2312" w:cs="仿宋_GB2312"/>
          <w:kern w:val="0"/>
          <w:sz w:val="32"/>
          <w:szCs w:val="32"/>
          <w:shd w:val="clear" w:color="auto" w:fill="FFFFFF"/>
        </w:rPr>
        <w:t>,</w:t>
      </w:r>
      <w:r>
        <w:rPr>
          <w:rFonts w:hint="eastAsia" w:ascii="仿宋_GB2312" w:hAnsi="仿宋_GB2312" w:eastAsia="仿宋_GB2312" w:cs="仿宋_GB2312"/>
          <w:kern w:val="0"/>
          <w:sz w:val="32"/>
          <w:szCs w:val="32"/>
          <w:shd w:val="clear" w:color="auto" w:fill="FFFFFF"/>
        </w:rPr>
        <w:t>强化跟踪问效。对该补助资金使用情况实行绩效管理。</w:t>
      </w:r>
    </w:p>
    <w:p>
      <w:pPr>
        <w:adjustRightInd w:val="0"/>
        <w:snapToGrid w:val="0"/>
        <w:spacing w:line="578" w:lineRule="exact"/>
        <w:ind w:firstLine="642" w:firstLine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lang w:val="zh-CN"/>
        </w:rPr>
        <w:t>（二）</w:t>
      </w:r>
      <w:r>
        <w:rPr>
          <w:rFonts w:hint="eastAsia" w:ascii="仿宋_GB2312" w:hAnsi="仿宋_GB2312" w:eastAsia="仿宋_GB2312" w:cs="仿宋_GB2312"/>
          <w:b/>
          <w:sz w:val="32"/>
          <w:szCs w:val="32"/>
        </w:rPr>
        <w:t>实施目的及支持方向</w:t>
      </w:r>
    </w:p>
    <w:p>
      <w:pPr>
        <w:widowControl/>
        <w:adjustRightInd w:val="0"/>
        <w:snapToGrid w:val="0"/>
        <w:spacing w:line="578" w:lineRule="exact"/>
        <w:ind w:firstLine="640" w:firstLineChars="200"/>
        <w:contextualSpacing/>
        <w:jc w:val="left"/>
        <w:rPr>
          <w:rFonts w:hint="eastAsia"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2"/>
          <w:sz w:val="32"/>
          <w:szCs w:val="32"/>
          <w:lang w:val="en-US" w:eastAsia="zh-CN"/>
        </w:rPr>
        <w:t>根据《四川省农业农村厅 四川省人力资源和社会保障厅 四川省财政厅关于进一步加大脱贫人口跨区域务工就业交通补助力度促进脱贫群众就业增收的通知》，对脱贫户、监测户省内县外务工进行交通补贴，引导脱贫人口外出务工，持续增加劳务收入。</w:t>
      </w:r>
      <w:r>
        <w:rPr>
          <w:rFonts w:hint="eastAsia" w:ascii="仿宋_GB2312" w:hAnsi="仿宋_GB2312" w:eastAsia="仿宋_GB2312" w:cs="仿宋_GB2312"/>
          <w:kern w:val="0"/>
          <w:sz w:val="32"/>
          <w:szCs w:val="32"/>
          <w:shd w:val="clear" w:color="auto" w:fill="FFFFFF"/>
          <w:lang w:val="zh-CN"/>
        </w:rPr>
        <w:t>对</w:t>
      </w:r>
      <w:r>
        <w:rPr>
          <w:rFonts w:hint="eastAsia" w:ascii="仿宋_GB2312" w:hAnsi="仿宋_GB2312" w:eastAsia="仿宋_GB2312" w:cs="仿宋_GB2312"/>
          <w:kern w:val="0"/>
          <w:sz w:val="32"/>
          <w:szCs w:val="32"/>
          <w:shd w:val="clear" w:color="auto" w:fill="FFFFFF"/>
          <w:lang w:val="en-US" w:eastAsia="zh-CN"/>
        </w:rPr>
        <w:t>项目</w:t>
      </w:r>
      <w:r>
        <w:rPr>
          <w:rFonts w:hint="eastAsia" w:ascii="仿宋_GB2312" w:hAnsi="仿宋_GB2312" w:eastAsia="仿宋_GB2312" w:cs="仿宋_GB2312"/>
          <w:kern w:val="0"/>
          <w:sz w:val="32"/>
          <w:szCs w:val="32"/>
          <w:shd w:val="clear" w:color="auto" w:fill="FFFFFF"/>
          <w:lang w:val="zh-CN"/>
        </w:rPr>
        <w:t>资金实行专项管理，专款专用。</w:t>
      </w:r>
    </w:p>
    <w:p>
      <w:pPr>
        <w:widowControl/>
        <w:adjustRightInd w:val="0"/>
        <w:snapToGrid w:val="0"/>
        <w:spacing w:line="578" w:lineRule="exact"/>
        <w:ind w:firstLine="640" w:firstLineChars="200"/>
        <w:contextualSpacing/>
        <w:jc w:val="left"/>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lang w:val="zh-CN"/>
        </w:rPr>
        <w:t>省内县外务工交通就业补贴项目</w:t>
      </w:r>
      <w:r>
        <w:rPr>
          <w:rFonts w:hint="eastAsia" w:ascii="仿宋_GB2312" w:hAnsi="仿宋_GB2312" w:eastAsia="仿宋_GB2312" w:cs="仿宋_GB2312"/>
          <w:kern w:val="0"/>
          <w:sz w:val="32"/>
          <w:szCs w:val="32"/>
          <w:shd w:val="clear" w:color="auto" w:fill="FFFFFF"/>
        </w:rPr>
        <w:t>资金主要用于</w:t>
      </w:r>
      <w:r>
        <w:rPr>
          <w:rFonts w:hint="eastAsia" w:ascii="仿宋_GB2312" w:hAnsi="仿宋_GB2312" w:eastAsia="仿宋_GB2312" w:cs="仿宋_GB2312"/>
          <w:kern w:val="2"/>
          <w:sz w:val="32"/>
          <w:szCs w:val="32"/>
          <w:lang w:val="en-US" w:eastAsia="zh-CN"/>
        </w:rPr>
        <w:t>对脱贫户、监测户省内县外务工进行交通补贴。</w:t>
      </w:r>
    </w:p>
    <w:p>
      <w:pPr>
        <w:widowControl/>
        <w:adjustRightInd w:val="0"/>
        <w:snapToGrid w:val="0"/>
        <w:spacing w:line="578" w:lineRule="exact"/>
        <w:ind w:firstLine="642" w:firstLineChars="200"/>
        <w:contextualSpacing/>
        <w:jc w:val="left"/>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（三）</w:t>
      </w:r>
      <w:r>
        <w:rPr>
          <w:rFonts w:hint="eastAsia" w:ascii="仿宋_GB2312" w:hAnsi="仿宋_GB2312" w:eastAsia="仿宋_GB2312" w:cs="仿宋_GB2312"/>
          <w:b/>
          <w:sz w:val="32"/>
          <w:szCs w:val="32"/>
        </w:rPr>
        <w:t>预算安排及分配管理</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shd w:val="clear" w:color="auto" w:fill="FFFFFF"/>
          <w:lang w:val="zh-CN"/>
        </w:rPr>
        <w:t>省内县外务工交通就业补贴项目，</w:t>
      </w:r>
      <w:r>
        <w:rPr>
          <w:rFonts w:hint="eastAsia" w:ascii="仿宋_GB2312" w:hAnsi="仿宋_GB2312" w:eastAsia="仿宋_GB2312" w:cs="仿宋_GB2312"/>
          <w:sz w:val="32"/>
          <w:szCs w:val="32"/>
        </w:rPr>
        <w:t>年初下达资金</w:t>
      </w:r>
      <w:r>
        <w:rPr>
          <w:rFonts w:hint="eastAsia" w:ascii="仿宋_GB2312" w:hAnsi="仿宋_GB2312" w:eastAsia="仿宋_GB2312" w:cs="仿宋_GB2312"/>
          <w:sz w:val="32"/>
          <w:szCs w:val="32"/>
          <w:lang w:val="en-US" w:eastAsia="zh-CN"/>
        </w:rPr>
        <w:t>40.00</w:t>
      </w:r>
      <w:r>
        <w:rPr>
          <w:rFonts w:hint="eastAsia" w:ascii="仿宋_GB2312" w:hAnsi="仿宋_GB2312" w:eastAsia="仿宋_GB2312" w:cs="仿宋_GB2312"/>
          <w:sz w:val="32"/>
          <w:szCs w:val="32"/>
        </w:rPr>
        <w:t>万元，全年支付</w:t>
      </w:r>
      <w:r>
        <w:rPr>
          <w:rFonts w:hint="eastAsia" w:ascii="仿宋_GB2312" w:hAnsi="仿宋_GB2312" w:eastAsia="仿宋_GB2312" w:cs="仿宋_GB2312"/>
          <w:sz w:val="32"/>
          <w:szCs w:val="32"/>
          <w:lang w:val="en-US" w:eastAsia="zh-CN"/>
        </w:rPr>
        <w:t>31.02</w:t>
      </w:r>
      <w:r>
        <w:rPr>
          <w:rFonts w:hint="eastAsia" w:ascii="仿宋_GB2312" w:hAnsi="仿宋_GB2312" w:eastAsia="仿宋_GB2312" w:cs="仿宋_GB2312"/>
          <w:sz w:val="32"/>
          <w:szCs w:val="32"/>
        </w:rPr>
        <w:t>万元，</w:t>
      </w:r>
      <w:r>
        <w:rPr>
          <w:rFonts w:hint="eastAsia" w:ascii="仿宋_GB2312" w:hAnsi="仿宋_GB2312" w:eastAsia="仿宋_GB2312" w:cs="仿宋_GB2312"/>
          <w:kern w:val="0"/>
          <w:sz w:val="32"/>
          <w:szCs w:val="32"/>
          <w:shd w:val="clear" w:color="auto" w:fill="FFFFFF"/>
        </w:rPr>
        <w:t>预算执行率</w:t>
      </w:r>
      <w:r>
        <w:rPr>
          <w:rFonts w:hint="eastAsia" w:ascii="仿宋_GB2312" w:hAnsi="仿宋_GB2312" w:eastAsia="仿宋_GB2312" w:cs="仿宋_GB2312"/>
          <w:kern w:val="0"/>
          <w:sz w:val="32"/>
          <w:szCs w:val="32"/>
          <w:shd w:val="clear" w:color="auto" w:fill="FFFFFF"/>
          <w:lang w:val="en-US" w:eastAsia="zh-CN"/>
        </w:rPr>
        <w:t>77.55</w:t>
      </w:r>
      <w:r>
        <w:rPr>
          <w:rFonts w:hint="eastAsia" w:ascii="仿宋_GB2312" w:hAnsi="仿宋_GB2312" w:eastAsia="仿宋_GB2312" w:cs="仿宋_GB2312"/>
          <w:kern w:val="0"/>
          <w:sz w:val="32"/>
          <w:szCs w:val="32"/>
          <w:shd w:val="clear" w:color="auto" w:fill="FFFFFF"/>
        </w:rPr>
        <w:t>%，</w:t>
      </w:r>
      <w:r>
        <w:rPr>
          <w:rFonts w:hint="eastAsia" w:ascii="仿宋_GB2312" w:hAnsi="仿宋_GB2312" w:eastAsia="仿宋_GB2312" w:cs="仿宋_GB2312"/>
          <w:sz w:val="32"/>
          <w:szCs w:val="32"/>
        </w:rPr>
        <w:t>预算及使用过程符合资金管理办法等相关规定。</w:t>
      </w:r>
    </w:p>
    <w:p>
      <w:pPr>
        <w:adjustRightInd w:val="0"/>
        <w:snapToGrid w:val="0"/>
        <w:spacing w:line="578" w:lineRule="exact"/>
        <w:ind w:firstLine="640" w:firstLineChars="200"/>
        <w:contextualSpacing/>
        <w:jc w:val="left"/>
        <w:rPr>
          <w:rFonts w:hint="eastAsia"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为</w:t>
      </w:r>
      <w:r>
        <w:rPr>
          <w:rFonts w:hint="eastAsia" w:ascii="仿宋_GB2312" w:hAnsi="仿宋_GB2312" w:eastAsia="仿宋_GB2312" w:cs="仿宋_GB2312"/>
          <w:color w:val="000000"/>
          <w:kern w:val="0"/>
          <w:sz w:val="32"/>
          <w:szCs w:val="32"/>
          <w:shd w:val="clear" w:color="auto" w:fill="FFFFFF"/>
          <w:lang w:eastAsia="zh-CN"/>
        </w:rPr>
        <w:t>加强</w:t>
      </w:r>
      <w:r>
        <w:rPr>
          <w:rFonts w:hint="eastAsia" w:ascii="仿宋_GB2312" w:hAnsi="仿宋_GB2312" w:eastAsia="仿宋_GB2312" w:cs="仿宋_GB2312"/>
          <w:kern w:val="0"/>
          <w:sz w:val="32"/>
          <w:szCs w:val="32"/>
          <w:shd w:val="clear" w:color="auto" w:fill="FFFFFF"/>
          <w:lang w:val="zh-CN"/>
        </w:rPr>
        <w:t>省内县外务工交通就业补贴项目</w:t>
      </w:r>
      <w:r>
        <w:rPr>
          <w:rFonts w:hint="eastAsia" w:ascii="仿宋_GB2312" w:hAnsi="仿宋_GB2312" w:eastAsia="仿宋_GB2312" w:cs="仿宋_GB2312"/>
          <w:color w:val="000000"/>
          <w:kern w:val="0"/>
          <w:sz w:val="32"/>
          <w:szCs w:val="32"/>
          <w:shd w:val="clear" w:color="auto" w:fill="FFFFFF"/>
        </w:rPr>
        <w:t>预算管理，推进厉行节约、</w:t>
      </w:r>
      <w:r>
        <w:rPr>
          <w:rFonts w:hint="eastAsia" w:ascii="仿宋_GB2312" w:hAnsi="仿宋_GB2312" w:eastAsia="仿宋_GB2312" w:cs="仿宋_GB2312"/>
          <w:color w:val="000000"/>
          <w:kern w:val="0"/>
          <w:sz w:val="32"/>
          <w:szCs w:val="32"/>
          <w:shd w:val="clear" w:color="auto" w:fill="FFFFFF"/>
          <w:lang w:val="en-US" w:eastAsia="zh-CN"/>
        </w:rPr>
        <w:t>明确补贴发放规定</w:t>
      </w:r>
      <w:r>
        <w:rPr>
          <w:rFonts w:hint="eastAsia" w:ascii="仿宋_GB2312" w:hAnsi="仿宋_GB2312" w:eastAsia="仿宋_GB2312" w:cs="仿宋_GB2312"/>
          <w:color w:val="000000"/>
          <w:kern w:val="0"/>
          <w:sz w:val="32"/>
          <w:szCs w:val="32"/>
          <w:shd w:val="clear" w:color="auto" w:fill="FFFFFF"/>
        </w:rPr>
        <w:t>，</w:t>
      </w:r>
      <w:r>
        <w:rPr>
          <w:rFonts w:hint="eastAsia" w:ascii="仿宋_GB2312" w:hAnsi="仿宋_GB2312" w:eastAsia="仿宋_GB2312" w:cs="仿宋_GB2312"/>
          <w:color w:val="000000"/>
          <w:kern w:val="0"/>
          <w:sz w:val="32"/>
          <w:szCs w:val="32"/>
          <w:shd w:val="clear" w:color="auto" w:fill="FFFFFF"/>
          <w:lang w:val="en-US" w:eastAsia="zh-CN"/>
        </w:rPr>
        <w:t>拟定了实施方案</w:t>
      </w:r>
      <w:r>
        <w:rPr>
          <w:rFonts w:hint="eastAsia" w:ascii="仿宋_GB2312" w:hAnsi="仿宋_GB2312" w:eastAsia="仿宋_GB2312" w:cs="仿宋_GB2312"/>
          <w:color w:val="000000"/>
          <w:kern w:val="0"/>
          <w:sz w:val="32"/>
          <w:szCs w:val="32"/>
          <w:shd w:val="clear" w:color="auto" w:fill="FFFFFF"/>
        </w:rPr>
        <w:t>，对</w:t>
      </w:r>
      <w:r>
        <w:rPr>
          <w:rFonts w:hint="eastAsia" w:ascii="仿宋_GB2312" w:hAnsi="仿宋_GB2312" w:eastAsia="仿宋_GB2312" w:cs="仿宋_GB2312"/>
          <w:color w:val="000000"/>
          <w:kern w:val="0"/>
          <w:sz w:val="32"/>
          <w:szCs w:val="32"/>
          <w:shd w:val="clear" w:color="auto" w:fill="FFFFFF"/>
          <w:lang w:val="en-US" w:eastAsia="zh-CN"/>
        </w:rPr>
        <w:t>项目资金的安排及分配</w:t>
      </w:r>
      <w:r>
        <w:rPr>
          <w:rFonts w:hint="eastAsia" w:ascii="仿宋_GB2312" w:hAnsi="仿宋_GB2312" w:eastAsia="仿宋_GB2312" w:cs="仿宋_GB2312"/>
          <w:color w:val="000000"/>
          <w:kern w:val="0"/>
          <w:sz w:val="32"/>
          <w:szCs w:val="32"/>
          <w:shd w:val="clear" w:color="auto" w:fill="FFFFFF"/>
        </w:rPr>
        <w:t>等内容作出了明确</w:t>
      </w:r>
      <w:r>
        <w:rPr>
          <w:rFonts w:hint="eastAsia" w:ascii="仿宋_GB2312" w:hAnsi="仿宋_GB2312" w:eastAsia="仿宋_GB2312" w:cs="仿宋_GB2312"/>
          <w:color w:val="000000"/>
          <w:kern w:val="0"/>
          <w:sz w:val="32"/>
          <w:szCs w:val="32"/>
          <w:shd w:val="clear" w:color="auto" w:fill="FFFFFF"/>
          <w:lang w:val="en-US" w:eastAsia="zh-CN"/>
        </w:rPr>
        <w:t>要求</w:t>
      </w:r>
      <w:r>
        <w:rPr>
          <w:rFonts w:hint="eastAsia" w:ascii="仿宋_GB2312" w:hAnsi="仿宋_GB2312" w:eastAsia="仿宋_GB2312" w:cs="仿宋_GB2312"/>
          <w:color w:val="000000"/>
          <w:kern w:val="0"/>
          <w:sz w:val="32"/>
          <w:szCs w:val="32"/>
          <w:shd w:val="clear" w:color="auto" w:fill="FFFFFF"/>
          <w:lang w:eastAsia="zh-CN"/>
        </w:rPr>
        <w:t>，</w:t>
      </w:r>
      <w:r>
        <w:rPr>
          <w:rFonts w:hint="eastAsia" w:ascii="仿宋_GB2312" w:hAnsi="仿宋_GB2312" w:eastAsia="仿宋_GB2312" w:cs="仿宋_GB2312"/>
          <w:color w:val="000000"/>
          <w:kern w:val="0"/>
          <w:sz w:val="32"/>
          <w:szCs w:val="32"/>
          <w:shd w:val="clear" w:color="auto" w:fill="FFFFFF"/>
          <w:lang w:val="en-US" w:eastAsia="zh-CN"/>
        </w:rPr>
        <w:t>严格财务资金管理规范开展工作</w:t>
      </w:r>
      <w:r>
        <w:rPr>
          <w:rFonts w:hint="eastAsia" w:ascii="仿宋_GB2312" w:hAnsi="仿宋_GB2312" w:eastAsia="仿宋_GB2312" w:cs="仿宋_GB2312"/>
          <w:color w:val="000000"/>
          <w:kern w:val="0"/>
          <w:sz w:val="32"/>
          <w:szCs w:val="32"/>
          <w:shd w:val="clear" w:color="auto" w:fill="FFFFFF"/>
        </w:rPr>
        <w:t>。</w:t>
      </w:r>
    </w:p>
    <w:p>
      <w:pPr>
        <w:adjustRightInd w:val="0"/>
        <w:snapToGrid w:val="0"/>
        <w:spacing w:line="578" w:lineRule="exact"/>
        <w:ind w:firstLine="642" w:firstLineChars="200"/>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（四）项目绩效目标设置</w:t>
      </w:r>
    </w:p>
    <w:p>
      <w:pPr>
        <w:widowControl/>
        <w:adjustRightInd w:val="0"/>
        <w:snapToGrid w:val="0"/>
        <w:spacing w:line="578" w:lineRule="exact"/>
        <w:ind w:firstLine="640" w:firstLineChars="200"/>
        <w:contextualSpacing/>
        <w:jc w:val="left"/>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lang w:val="zh-CN"/>
        </w:rPr>
        <w:t>省内县外务工交通就业补贴项目</w:t>
      </w:r>
      <w:r>
        <w:rPr>
          <w:rFonts w:hint="eastAsia" w:ascii="仿宋_GB2312" w:hAnsi="仿宋_GB2312" w:eastAsia="仿宋_GB2312" w:cs="仿宋_GB2312"/>
          <w:kern w:val="0"/>
          <w:sz w:val="32"/>
          <w:szCs w:val="32"/>
          <w:shd w:val="clear" w:color="auto" w:fill="FFFFFF"/>
        </w:rPr>
        <w:t>年度总体目标</w:t>
      </w:r>
      <w:r>
        <w:rPr>
          <w:rFonts w:hint="eastAsia" w:ascii="仿宋_GB2312" w:hAnsi="仿宋_GB2312" w:eastAsia="仿宋_GB2312" w:cs="仿宋_GB2312"/>
          <w:kern w:val="2"/>
          <w:sz w:val="32"/>
          <w:szCs w:val="32"/>
          <w:lang w:val="en-US" w:eastAsia="zh-CN"/>
        </w:rPr>
        <w:t>对脱贫户、监测户省内县外务工进行交通补贴，</w:t>
      </w:r>
      <w:r>
        <w:rPr>
          <w:rFonts w:hint="eastAsia" w:ascii="仿宋_GB2312" w:hAnsi="仿宋_GB2312" w:eastAsia="仿宋_GB2312" w:cs="仿宋_GB2312"/>
          <w:kern w:val="0"/>
          <w:sz w:val="32"/>
          <w:szCs w:val="32"/>
          <w:shd w:val="clear" w:color="auto" w:fill="FFFFFF"/>
        </w:rPr>
        <w:t>以及确保完成年度</w:t>
      </w:r>
      <w:r>
        <w:rPr>
          <w:rFonts w:hint="eastAsia" w:ascii="仿宋_GB2312" w:hAnsi="仿宋_GB2312" w:eastAsia="仿宋_GB2312" w:cs="仿宋_GB2312"/>
          <w:kern w:val="0"/>
          <w:sz w:val="32"/>
          <w:szCs w:val="32"/>
          <w:shd w:val="clear" w:color="auto" w:fill="FFFFFF"/>
          <w:lang w:eastAsia="zh-CN"/>
        </w:rPr>
        <w:t>脱贫攻坚与乡村振兴有效衔接</w:t>
      </w:r>
      <w:r>
        <w:rPr>
          <w:rFonts w:hint="eastAsia" w:ascii="仿宋_GB2312" w:hAnsi="仿宋_GB2312" w:eastAsia="仿宋_GB2312" w:cs="仿宋_GB2312"/>
          <w:kern w:val="0"/>
          <w:sz w:val="32"/>
          <w:szCs w:val="32"/>
          <w:shd w:val="clear" w:color="auto" w:fill="FFFFFF"/>
        </w:rPr>
        <w:t>目标任务。</w:t>
      </w:r>
    </w:p>
    <w:p>
      <w:pPr>
        <w:widowControl/>
        <w:adjustRightInd w:val="0"/>
        <w:snapToGrid w:val="0"/>
        <w:spacing w:line="578" w:lineRule="exact"/>
        <w:ind w:firstLine="640" w:firstLineChars="200"/>
        <w:contextualSpacing/>
        <w:jc w:val="left"/>
        <w:rPr>
          <w:rFonts w:hint="eastAsia"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我</w:t>
      </w:r>
      <w:r>
        <w:rPr>
          <w:rFonts w:hint="eastAsia" w:ascii="仿宋_GB2312" w:hAnsi="仿宋_GB2312" w:eastAsia="仿宋_GB2312" w:cs="仿宋_GB2312"/>
          <w:kern w:val="0"/>
          <w:sz w:val="32"/>
          <w:szCs w:val="32"/>
          <w:shd w:val="clear" w:color="auto" w:fill="FFFFFF"/>
        </w:rPr>
        <w:t>单位</w:t>
      </w:r>
      <w:r>
        <w:rPr>
          <w:rFonts w:hint="eastAsia" w:ascii="仿宋_GB2312" w:hAnsi="仿宋_GB2312" w:eastAsia="仿宋_GB2312" w:cs="仿宋_GB2312"/>
          <w:kern w:val="0"/>
          <w:sz w:val="32"/>
          <w:szCs w:val="32"/>
          <w:shd w:val="clear" w:color="auto" w:fill="FFFFFF"/>
          <w:lang w:val="zh-CN"/>
        </w:rPr>
        <w:t>产出的数量、质量普遍实现预期，完成情况均达到年初制定的绩效目标，</w:t>
      </w:r>
      <w:r>
        <w:rPr>
          <w:rFonts w:hint="eastAsia" w:ascii="仿宋_GB2312" w:hAnsi="仿宋_GB2312" w:eastAsia="仿宋_GB2312" w:cs="仿宋_GB2312"/>
          <w:kern w:val="0"/>
          <w:sz w:val="32"/>
          <w:szCs w:val="32"/>
          <w:shd w:val="clear" w:color="auto" w:fill="FFFFFF"/>
        </w:rPr>
        <w:t>本年度资金按规定用于</w:t>
      </w:r>
      <w:r>
        <w:rPr>
          <w:rFonts w:hint="eastAsia" w:ascii="仿宋_GB2312" w:hAnsi="仿宋_GB2312" w:eastAsia="仿宋_GB2312" w:cs="仿宋_GB2312"/>
          <w:kern w:val="2"/>
          <w:sz w:val="32"/>
          <w:szCs w:val="32"/>
          <w:lang w:val="en-US" w:eastAsia="zh-CN"/>
        </w:rPr>
        <w:t>对脱贫户、监测户省内县外务工进行交通补贴。</w:t>
      </w:r>
    </w:p>
    <w:p>
      <w:pPr>
        <w:adjustRightInd w:val="0"/>
        <w:snapToGrid w:val="0"/>
        <w:spacing w:line="578"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二、</w:t>
      </w:r>
      <w:r>
        <w:rPr>
          <w:rFonts w:hint="eastAsia" w:ascii="黑体" w:hAnsi="黑体" w:eastAsia="黑体" w:cs="黑体"/>
          <w:b/>
          <w:bCs/>
          <w:sz w:val="32"/>
          <w:szCs w:val="32"/>
        </w:rPr>
        <w:t>评价实施</w:t>
      </w:r>
    </w:p>
    <w:p>
      <w:pPr>
        <w:spacing w:line="578" w:lineRule="exact"/>
        <w:ind w:firstLine="640"/>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（一）评价目的</w:t>
      </w:r>
    </w:p>
    <w:p>
      <w:pPr>
        <w:adjustRightInd w:val="0"/>
        <w:snapToGrid w:val="0"/>
        <w:spacing w:line="578" w:lineRule="exact"/>
        <w:ind w:firstLine="640" w:firstLineChars="200"/>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通过对</w:t>
      </w:r>
      <w:r>
        <w:rPr>
          <w:rFonts w:hint="eastAsia" w:ascii="仿宋_GB2312" w:hAnsi="仿宋_GB2312" w:eastAsia="仿宋_GB2312" w:cs="仿宋_GB2312"/>
          <w:kern w:val="0"/>
          <w:sz w:val="32"/>
          <w:szCs w:val="32"/>
          <w:shd w:val="clear" w:color="auto" w:fill="FFFFFF"/>
          <w:lang w:val="zh-CN"/>
        </w:rPr>
        <w:t>省内县外务工交通就业补贴项目</w:t>
      </w:r>
      <w:r>
        <w:rPr>
          <w:rFonts w:hint="eastAsia" w:ascii="仿宋_GB2312" w:hAnsi="仿宋_GB2312" w:eastAsia="仿宋_GB2312" w:cs="仿宋_GB2312"/>
          <w:kern w:val="0"/>
          <w:sz w:val="32"/>
          <w:szCs w:val="32"/>
          <w:shd w:val="clear" w:color="auto" w:fill="FFFFFF"/>
        </w:rPr>
        <w:t>绩效自评，对该项目的资金分配、资金使用、资金监督有明确的了解，规范</w:t>
      </w:r>
      <w:r>
        <w:rPr>
          <w:rFonts w:hint="eastAsia" w:ascii="仿宋_GB2312" w:hAnsi="仿宋_GB2312" w:eastAsia="仿宋_GB2312" w:cs="仿宋_GB2312"/>
          <w:kern w:val="0"/>
          <w:sz w:val="32"/>
          <w:szCs w:val="32"/>
          <w:shd w:val="clear" w:color="auto" w:fill="FFFFFF"/>
          <w:lang w:val="en-US" w:eastAsia="zh-CN"/>
        </w:rPr>
        <w:t>项目</w:t>
      </w:r>
      <w:r>
        <w:rPr>
          <w:rFonts w:hint="eastAsia" w:ascii="仿宋_GB2312" w:hAnsi="仿宋_GB2312" w:eastAsia="仿宋_GB2312" w:cs="仿宋_GB2312"/>
          <w:kern w:val="0"/>
          <w:sz w:val="32"/>
          <w:szCs w:val="32"/>
          <w:shd w:val="clear" w:color="auto" w:fill="FFFFFF"/>
        </w:rPr>
        <w:t>资金的申领、审核及拨付程序。</w:t>
      </w:r>
    </w:p>
    <w:p>
      <w:pPr>
        <w:adjustRightInd w:val="0"/>
        <w:snapToGrid w:val="0"/>
        <w:spacing w:line="578" w:lineRule="exact"/>
        <w:ind w:firstLine="642" w:firstLineChars="200"/>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（二）预设问题及评价重点</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shd w:val="clear" w:color="auto" w:fill="FFFFFF"/>
          <w:lang w:val="zh-CN"/>
        </w:rPr>
        <w:t>省内县外务工交通就业补贴项目</w:t>
      </w:r>
      <w:r>
        <w:rPr>
          <w:rFonts w:hint="eastAsia" w:ascii="仿宋_GB2312" w:hAnsi="仿宋_GB2312" w:eastAsia="仿宋_GB2312" w:cs="仿宋_GB2312"/>
          <w:kern w:val="0"/>
          <w:sz w:val="32"/>
          <w:szCs w:val="32"/>
          <w:shd w:val="clear" w:color="auto" w:fill="FFFFFF"/>
        </w:rPr>
        <w:t>资金自评的重点主要是全年资金使用情况是否符合</w:t>
      </w:r>
      <w:r>
        <w:rPr>
          <w:rFonts w:hint="eastAsia" w:ascii="仿宋_GB2312" w:hAnsi="仿宋_GB2312" w:eastAsia="仿宋_GB2312" w:cs="仿宋_GB2312"/>
          <w:kern w:val="2"/>
          <w:sz w:val="32"/>
          <w:szCs w:val="32"/>
          <w:lang w:val="en-US" w:eastAsia="zh-CN"/>
        </w:rPr>
        <w:t>《四川省农业农村厅 四川省人力资源和社会保障厅 四川省财政厅关于进一步加大脱贫人口跨区域务工就业交通补助力度促进脱贫群众就业增收的通知》</w:t>
      </w:r>
      <w:r>
        <w:rPr>
          <w:rFonts w:hint="eastAsia" w:ascii="仿宋_GB2312" w:hAnsi="仿宋_GB2312" w:eastAsia="仿宋_GB2312" w:cs="仿宋_GB2312"/>
          <w:kern w:val="0"/>
          <w:sz w:val="32"/>
          <w:szCs w:val="32"/>
          <w:shd w:val="clear" w:color="auto" w:fill="FFFFFF"/>
        </w:rPr>
        <w:t>。</w:t>
      </w:r>
      <w:r>
        <w:rPr>
          <w:rFonts w:hint="eastAsia" w:ascii="仿宋_GB2312" w:hAnsi="仿宋_GB2312" w:eastAsia="仿宋_GB2312" w:cs="仿宋_GB2312"/>
          <w:sz w:val="32"/>
          <w:szCs w:val="32"/>
        </w:rPr>
        <w:t>年初下达资金</w:t>
      </w:r>
      <w:r>
        <w:rPr>
          <w:rFonts w:hint="eastAsia" w:ascii="仿宋_GB2312" w:hAnsi="仿宋_GB2312" w:eastAsia="仿宋_GB2312" w:cs="仿宋_GB2312"/>
          <w:sz w:val="32"/>
          <w:szCs w:val="32"/>
          <w:lang w:val="en-US" w:eastAsia="zh-CN"/>
        </w:rPr>
        <w:t>40.00</w:t>
      </w:r>
      <w:r>
        <w:rPr>
          <w:rFonts w:hint="eastAsia" w:ascii="仿宋_GB2312" w:hAnsi="仿宋_GB2312" w:eastAsia="仿宋_GB2312" w:cs="仿宋_GB2312"/>
          <w:sz w:val="32"/>
          <w:szCs w:val="32"/>
        </w:rPr>
        <w:t>万元，全年支付</w:t>
      </w:r>
      <w:r>
        <w:rPr>
          <w:rFonts w:hint="eastAsia" w:ascii="仿宋_GB2312" w:hAnsi="仿宋_GB2312" w:eastAsia="仿宋_GB2312" w:cs="仿宋_GB2312"/>
          <w:sz w:val="32"/>
          <w:szCs w:val="32"/>
          <w:lang w:val="en-US" w:eastAsia="zh-CN"/>
        </w:rPr>
        <w:t>31.02</w:t>
      </w:r>
      <w:r>
        <w:rPr>
          <w:rFonts w:hint="eastAsia" w:ascii="仿宋_GB2312" w:hAnsi="仿宋_GB2312" w:eastAsia="仿宋_GB2312" w:cs="仿宋_GB2312"/>
          <w:sz w:val="32"/>
          <w:szCs w:val="32"/>
        </w:rPr>
        <w:t>万元，</w:t>
      </w:r>
      <w:r>
        <w:rPr>
          <w:rFonts w:hint="eastAsia" w:ascii="仿宋_GB2312" w:hAnsi="仿宋_GB2312" w:eastAsia="仿宋_GB2312" w:cs="仿宋_GB2312"/>
          <w:kern w:val="0"/>
          <w:sz w:val="32"/>
          <w:szCs w:val="32"/>
          <w:shd w:val="clear" w:color="auto" w:fill="FFFFFF"/>
        </w:rPr>
        <w:t>预算执行率</w:t>
      </w:r>
      <w:r>
        <w:rPr>
          <w:rFonts w:hint="eastAsia" w:ascii="仿宋_GB2312" w:hAnsi="仿宋_GB2312" w:eastAsia="仿宋_GB2312" w:cs="仿宋_GB2312"/>
          <w:kern w:val="0"/>
          <w:sz w:val="32"/>
          <w:szCs w:val="32"/>
          <w:shd w:val="clear" w:color="auto" w:fill="FFFFFF"/>
          <w:lang w:val="en-US" w:eastAsia="zh-CN"/>
        </w:rPr>
        <w:t>77.55</w:t>
      </w:r>
      <w:r>
        <w:rPr>
          <w:rFonts w:hint="eastAsia" w:ascii="仿宋_GB2312" w:hAnsi="仿宋_GB2312" w:eastAsia="仿宋_GB2312" w:cs="仿宋_GB2312"/>
          <w:kern w:val="0"/>
          <w:sz w:val="32"/>
          <w:szCs w:val="32"/>
          <w:shd w:val="clear" w:color="auto" w:fill="FFFFFF"/>
        </w:rPr>
        <w:t>%，</w:t>
      </w:r>
      <w:r>
        <w:rPr>
          <w:rFonts w:hint="eastAsia" w:ascii="仿宋_GB2312" w:hAnsi="仿宋_GB2312" w:eastAsia="仿宋_GB2312" w:cs="仿宋_GB2312"/>
          <w:sz w:val="32"/>
          <w:szCs w:val="32"/>
        </w:rPr>
        <w:t>预算及使用过程符合资金管理办法等相关规定。</w:t>
      </w:r>
    </w:p>
    <w:p>
      <w:pPr>
        <w:adjustRightInd w:val="0"/>
        <w:snapToGrid w:val="0"/>
        <w:spacing w:line="578" w:lineRule="exact"/>
        <w:ind w:firstLine="642" w:firstLineChars="200"/>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（三）评价选点</w:t>
      </w:r>
    </w:p>
    <w:p>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对采集的</w:t>
      </w:r>
      <w:r>
        <w:rPr>
          <w:rFonts w:hint="eastAsia" w:ascii="仿宋_GB2312" w:hAnsi="仿宋_GB2312" w:eastAsia="仿宋_GB2312" w:cs="仿宋_GB2312"/>
          <w:kern w:val="0"/>
          <w:sz w:val="32"/>
          <w:szCs w:val="32"/>
          <w:shd w:val="clear" w:color="auto" w:fill="FFFFFF"/>
          <w:lang w:val="zh-CN"/>
        </w:rPr>
        <w:t>省内县外务工交通就业补贴项目</w:t>
      </w:r>
      <w:r>
        <w:rPr>
          <w:rFonts w:hint="eastAsia" w:ascii="仿宋_GB2312" w:hAnsi="仿宋_GB2312" w:eastAsia="仿宋_GB2312" w:cs="仿宋_GB2312"/>
          <w:sz w:val="32"/>
          <w:szCs w:val="32"/>
        </w:rPr>
        <w:t>数据信息，根据简单随机抽样的方法，</w:t>
      </w:r>
      <w:r>
        <w:rPr>
          <w:rFonts w:hint="eastAsia" w:ascii="仿宋_GB2312" w:hAnsi="仿宋_GB2312" w:eastAsia="仿宋_GB2312" w:cs="仿宋_GB2312"/>
          <w:sz w:val="32"/>
          <w:szCs w:val="32"/>
          <w:lang w:val="en-US" w:eastAsia="zh-CN"/>
        </w:rPr>
        <w:t>对稳定外出务工人员</w:t>
      </w:r>
      <w:r>
        <w:rPr>
          <w:rFonts w:hint="eastAsia" w:ascii="仿宋_GB2312" w:hAnsi="仿宋_GB2312" w:eastAsia="仿宋_GB2312" w:cs="仿宋_GB2312"/>
          <w:sz w:val="32"/>
          <w:szCs w:val="32"/>
        </w:rPr>
        <w:t>不低于</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%的比例进行抽样复核。</w:t>
      </w:r>
    </w:p>
    <w:p>
      <w:pPr>
        <w:spacing w:line="578" w:lineRule="exact"/>
        <w:ind w:firstLine="640"/>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（四）评价方法</w:t>
      </w:r>
    </w:p>
    <w:p>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本次项目绩效自评的方案包括采用成本效益分析法、标杆管理法、案卷研究法、单位自评法、实地勘察法、问卷调查法、座谈调研法等。</w:t>
      </w:r>
    </w:p>
    <w:p>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一是通过研究、解读相关文献，来获取项目概况、绩效指标等有用信息；</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二是采用成本效益分析法、实地勘察法、问卷调查法、座谈调研法对项目的实施内容安排、目标设定等进行分析判断；</w:t>
      </w:r>
    </w:p>
    <w:p>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三是对采集的数据信息，根据简单随机抽样的方法，</w:t>
      </w:r>
      <w:r>
        <w:rPr>
          <w:rFonts w:hint="eastAsia" w:ascii="仿宋_GB2312" w:hAnsi="仿宋_GB2312" w:eastAsia="仿宋_GB2312" w:cs="仿宋_GB2312"/>
          <w:sz w:val="32"/>
          <w:szCs w:val="32"/>
          <w:lang w:val="en-US" w:eastAsia="zh-CN"/>
        </w:rPr>
        <w:t>对稳定就业人员</w:t>
      </w:r>
      <w:r>
        <w:rPr>
          <w:rFonts w:hint="eastAsia" w:ascii="仿宋_GB2312" w:hAnsi="仿宋_GB2312" w:eastAsia="仿宋_GB2312" w:cs="仿宋_GB2312"/>
          <w:sz w:val="32"/>
          <w:szCs w:val="32"/>
        </w:rPr>
        <w:t>不低于</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%的比例进行抽样复核；</w:t>
      </w:r>
    </w:p>
    <w:p>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四是从项目工作及预算安排以及预算执行工作中提炼项目实施中的经验和不足。</w:t>
      </w:r>
    </w:p>
    <w:p>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综合分析相关情况后，对项目进行绩效自评。</w:t>
      </w:r>
    </w:p>
    <w:p>
      <w:pPr>
        <w:spacing w:line="578" w:lineRule="exact"/>
        <w:ind w:firstLine="640"/>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（五）评价组织</w:t>
      </w:r>
    </w:p>
    <w:p>
      <w:pPr>
        <w:adjustRightInd w:val="0"/>
        <w:snapToGrid w:val="0"/>
        <w:spacing w:line="578"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1.成立专项预算项目</w:t>
      </w:r>
      <w:r>
        <w:rPr>
          <w:rFonts w:hint="eastAsia" w:ascii="仿宋_GB2312" w:hAnsi="仿宋_GB2312" w:eastAsia="仿宋_GB2312" w:cs="仿宋_GB2312"/>
          <w:sz w:val="32"/>
          <w:szCs w:val="32"/>
          <w:lang w:eastAsia="zh-CN"/>
        </w:rPr>
        <w:t>：我单位</w:t>
      </w:r>
      <w:r>
        <w:rPr>
          <w:rFonts w:hint="eastAsia" w:ascii="仿宋_GB2312" w:hAnsi="仿宋_GB2312" w:eastAsia="仿宋_GB2312" w:cs="仿宋_GB2312"/>
          <w:sz w:val="32"/>
          <w:szCs w:val="32"/>
        </w:rPr>
        <w:t>成立绩效自评工作组，组织开展绩效自评各项工作。</w:t>
      </w:r>
    </w:p>
    <w:p>
      <w:pPr>
        <w:adjustRightInd w:val="0"/>
        <w:snapToGrid w:val="0"/>
        <w:spacing w:line="578"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2.拟定工作方案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自评工作组按要求拟定具体的绩效自评工作方案。</w:t>
      </w:r>
    </w:p>
    <w:p>
      <w:pPr>
        <w:adjustRightInd w:val="0"/>
        <w:snapToGrid w:val="0"/>
        <w:spacing w:line="578"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3.电话回访</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自评工作组通过电话回访，了解项目情况，收集准备资料。</w:t>
      </w:r>
    </w:p>
    <w:p>
      <w:pPr>
        <w:adjustRightInd w:val="0"/>
        <w:snapToGrid w:val="0"/>
        <w:spacing w:line="578"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4.收集审核资料</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自评工作组收集审核项目资料，通过咨询专业人士、查阅资料、集中座谈等方式，多渠道获取项目信息。</w:t>
      </w:r>
    </w:p>
    <w:p>
      <w:pPr>
        <w:adjustRightInd w:val="0"/>
        <w:snapToGrid w:val="0"/>
        <w:spacing w:line="578"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5.进行绩效自评</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自评工作组通过查阅专项项目资料和听取项目汇报，对项目内容进行自评，形成自评报告。</w:t>
      </w:r>
    </w:p>
    <w:p>
      <w:pPr>
        <w:adjustRightInd w:val="0"/>
        <w:snapToGrid w:val="0"/>
        <w:spacing w:line="578"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6.撰写报告</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自评工作组根据自评意见，按照规定的文本格式和要求，撰写绩效自评报告，整理绩效自评资料。</w:t>
      </w:r>
    </w:p>
    <w:p>
      <w:pPr>
        <w:adjustRightInd w:val="0"/>
        <w:snapToGrid w:val="0"/>
        <w:spacing w:line="578"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7.提交报告</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自评工作组在规定时间内，向茂县财政投资评审中心提交绩效自评报告。</w:t>
      </w:r>
    </w:p>
    <w:p>
      <w:pPr>
        <w:adjustRightInd w:val="0"/>
        <w:snapToGrid w:val="0"/>
        <w:spacing w:line="578" w:lineRule="exact"/>
        <w:ind w:firstLine="640" w:firstLineChars="200"/>
        <w:rPr>
          <w:rFonts w:hint="eastAsia" w:ascii="仿宋_GB2312" w:hAnsi="仿宋_GB2312" w:eastAsia="仿宋_GB2312" w:cs="仿宋_GB2312"/>
          <w:sz w:val="32"/>
          <w:szCs w:val="32"/>
          <w:lang w:val="zh-CN"/>
        </w:rPr>
      </w:pPr>
      <w:r>
        <w:rPr>
          <w:rFonts w:hint="eastAsia" w:ascii="黑体" w:hAnsi="黑体" w:eastAsia="黑体" w:cs="黑体"/>
          <w:sz w:val="32"/>
          <w:szCs w:val="32"/>
        </w:rPr>
        <w:t>三、绩效分析</w:t>
      </w:r>
      <w:r>
        <w:rPr>
          <w:rFonts w:hint="eastAsia" w:ascii="仿宋_GB2312" w:hAnsi="仿宋_GB2312" w:eastAsia="仿宋_GB2312" w:cs="仿宋_GB2312"/>
          <w:sz w:val="32"/>
          <w:szCs w:val="32"/>
          <w:lang w:val="zh-CN"/>
        </w:rPr>
        <w:tab/>
      </w:r>
    </w:p>
    <w:p>
      <w:pPr>
        <w:adjustRightInd w:val="0"/>
        <w:snapToGrid w:val="0"/>
        <w:spacing w:line="578" w:lineRule="exact"/>
        <w:ind w:firstLine="640" w:firstLineChars="200"/>
        <w:rPr>
          <w:rFonts w:hint="eastAsia"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省内县外务工交通就业补贴项目</w:t>
      </w:r>
      <w:r>
        <w:rPr>
          <w:rFonts w:hint="eastAsia" w:ascii="仿宋_GB2312" w:hAnsi="仿宋_GB2312" w:eastAsia="仿宋_GB2312" w:cs="仿宋_GB2312"/>
          <w:kern w:val="0"/>
          <w:sz w:val="32"/>
          <w:szCs w:val="32"/>
          <w:shd w:val="clear" w:color="auto" w:fill="FFFFFF"/>
        </w:rPr>
        <w:t>完成年度</w:t>
      </w:r>
      <w:r>
        <w:rPr>
          <w:rFonts w:hint="eastAsia" w:ascii="仿宋_GB2312" w:hAnsi="仿宋_GB2312" w:eastAsia="仿宋_GB2312" w:cs="仿宋_GB2312"/>
          <w:kern w:val="0"/>
          <w:sz w:val="32"/>
          <w:szCs w:val="32"/>
          <w:shd w:val="clear" w:color="auto" w:fill="FFFFFF"/>
          <w:lang w:eastAsia="zh-CN"/>
        </w:rPr>
        <w:t>脱贫攻坚与乡村振兴有效衔接</w:t>
      </w:r>
      <w:r>
        <w:rPr>
          <w:rFonts w:hint="eastAsia" w:ascii="仿宋_GB2312" w:hAnsi="仿宋_GB2312" w:eastAsia="仿宋_GB2312" w:cs="仿宋_GB2312"/>
          <w:kern w:val="0"/>
          <w:sz w:val="32"/>
          <w:szCs w:val="32"/>
          <w:shd w:val="clear" w:color="auto" w:fill="FFFFFF"/>
        </w:rPr>
        <w:t>目标任务，本项目评分为：100分，</w:t>
      </w:r>
      <w:r>
        <w:rPr>
          <w:rFonts w:hint="eastAsia" w:ascii="仿宋_GB2312" w:hAnsi="仿宋_GB2312" w:eastAsia="仿宋_GB2312" w:cs="仿宋_GB2312"/>
          <w:kern w:val="0"/>
          <w:sz w:val="32"/>
          <w:szCs w:val="32"/>
          <w:shd w:val="clear" w:color="auto" w:fill="FFFFFF"/>
          <w:lang w:val="zh-CN"/>
        </w:rPr>
        <w:t>总体评价为优秀，具体如下（</w:t>
      </w:r>
      <w:r>
        <w:rPr>
          <w:rFonts w:hint="eastAsia" w:ascii="仿宋_GB2312" w:hAnsi="仿宋_GB2312" w:eastAsia="仿宋_GB2312" w:cs="仿宋_GB2312"/>
          <w:kern w:val="0"/>
          <w:sz w:val="32"/>
          <w:szCs w:val="32"/>
          <w:shd w:val="clear" w:color="auto" w:fill="FFFFFF"/>
        </w:rPr>
        <w:t>评分表见附表</w:t>
      </w:r>
      <w:r>
        <w:rPr>
          <w:rFonts w:hint="eastAsia" w:ascii="仿宋_GB2312" w:hAnsi="仿宋_GB2312" w:eastAsia="仿宋_GB2312" w:cs="仿宋_GB2312"/>
          <w:kern w:val="0"/>
          <w:sz w:val="32"/>
          <w:szCs w:val="32"/>
          <w:shd w:val="clear" w:color="auto" w:fill="FFFFFF"/>
          <w:lang w:val="zh-CN"/>
        </w:rPr>
        <w:t>）：</w:t>
      </w:r>
    </w:p>
    <w:p>
      <w:pPr>
        <w:keepNext w:val="0"/>
        <w:keepLines w:val="0"/>
        <w:pageBreakBefore w:val="0"/>
        <w:widowControl w:val="0"/>
        <w:numPr>
          <w:ilvl w:val="0"/>
          <w:numId w:val="5"/>
        </w:numPr>
        <w:kinsoku/>
        <w:wordWrap/>
        <w:overflowPunct/>
        <w:topLinePunct w:val="0"/>
        <w:autoSpaceDE/>
        <w:autoSpaceDN/>
        <w:bidi w:val="0"/>
        <w:adjustRightInd w:val="0"/>
        <w:snapToGrid w:val="0"/>
        <w:spacing w:line="578" w:lineRule="exact"/>
        <w:ind w:left="0" w:leftChars="0" w:firstLine="640" w:firstLineChars="200"/>
        <w:textAlignment w:val="auto"/>
        <w:rPr>
          <w:rFonts w:hint="eastAsia" w:ascii="仿宋_GB2312" w:hAnsi="仿宋_GB2312" w:eastAsia="仿宋_GB2312" w:cs="仿宋_GB2312"/>
          <w:kern w:val="0"/>
          <w:sz w:val="32"/>
          <w:szCs w:val="32"/>
          <w:shd w:val="clear" w:color="auto" w:fill="FFFFFF"/>
          <w:lang w:val="en-US" w:eastAsia="zh-CN"/>
        </w:rPr>
      </w:pPr>
      <w:r>
        <w:rPr>
          <w:rFonts w:hint="eastAsia" w:ascii="仿宋_GB2312" w:hAnsi="仿宋_GB2312" w:eastAsia="仿宋_GB2312" w:cs="仿宋_GB2312"/>
          <w:kern w:val="0"/>
          <w:sz w:val="32"/>
          <w:szCs w:val="32"/>
          <w:shd w:val="clear" w:color="auto" w:fill="FFFFFF"/>
          <w:lang w:val="zh-CN"/>
        </w:rPr>
        <w:t>数量指标：发放跨区域交通补助不低于</w:t>
      </w:r>
      <w:r>
        <w:rPr>
          <w:rFonts w:hint="eastAsia" w:ascii="仿宋_GB2312" w:hAnsi="仿宋_GB2312" w:eastAsia="仿宋_GB2312" w:cs="仿宋_GB2312"/>
          <w:kern w:val="0"/>
          <w:sz w:val="32"/>
          <w:szCs w:val="32"/>
          <w:shd w:val="clear" w:color="auto" w:fill="FFFFFF"/>
          <w:lang w:val="en-US" w:eastAsia="zh-CN"/>
        </w:rPr>
        <w:t xml:space="preserve">800人。   </w:t>
      </w:r>
    </w:p>
    <w:p>
      <w:pPr>
        <w:keepNext w:val="0"/>
        <w:keepLines w:val="0"/>
        <w:pageBreakBefore w:val="0"/>
        <w:widowControl w:val="0"/>
        <w:numPr>
          <w:ilvl w:val="0"/>
          <w:numId w:val="5"/>
        </w:numPr>
        <w:kinsoku/>
        <w:wordWrap/>
        <w:overflowPunct/>
        <w:topLinePunct w:val="0"/>
        <w:autoSpaceDE/>
        <w:autoSpaceDN/>
        <w:bidi w:val="0"/>
        <w:adjustRightInd w:val="0"/>
        <w:snapToGrid w:val="0"/>
        <w:spacing w:line="578" w:lineRule="exact"/>
        <w:ind w:left="0" w:leftChars="0" w:firstLine="640" w:firstLineChars="200"/>
        <w:textAlignment w:val="auto"/>
        <w:rPr>
          <w:rFonts w:hint="eastAsia" w:ascii="仿宋_GB2312" w:hAnsi="仿宋_GB2312" w:eastAsia="仿宋_GB2312" w:cs="仿宋_GB2312"/>
          <w:kern w:val="0"/>
          <w:sz w:val="32"/>
          <w:szCs w:val="32"/>
          <w:shd w:val="clear" w:color="auto" w:fill="FFFFFF"/>
          <w:lang w:val="en-US" w:eastAsia="zh-CN"/>
        </w:rPr>
      </w:pPr>
      <w:r>
        <w:rPr>
          <w:rFonts w:hint="eastAsia" w:ascii="仿宋_GB2312" w:hAnsi="仿宋_GB2312" w:eastAsia="仿宋_GB2312" w:cs="仿宋_GB2312"/>
          <w:kern w:val="0"/>
          <w:sz w:val="32"/>
          <w:szCs w:val="32"/>
          <w:shd w:val="clear" w:color="auto" w:fill="FFFFFF"/>
          <w:lang w:val="en-US" w:eastAsia="zh-CN"/>
        </w:rPr>
        <w:t>可持续发展目标：促进脱贫人口外出务工水平。</w:t>
      </w:r>
    </w:p>
    <w:p>
      <w:pPr>
        <w:keepNext w:val="0"/>
        <w:keepLines w:val="0"/>
        <w:pageBreakBefore w:val="0"/>
        <w:widowControl w:val="0"/>
        <w:numPr>
          <w:ilvl w:val="0"/>
          <w:numId w:val="5"/>
        </w:numPr>
        <w:kinsoku/>
        <w:wordWrap/>
        <w:overflowPunct/>
        <w:topLinePunct w:val="0"/>
        <w:autoSpaceDE/>
        <w:autoSpaceDN/>
        <w:bidi w:val="0"/>
        <w:adjustRightInd w:val="0"/>
        <w:snapToGrid w:val="0"/>
        <w:spacing w:line="578" w:lineRule="exact"/>
        <w:ind w:left="0" w:leftChars="0" w:firstLine="640" w:firstLineChars="200"/>
        <w:textAlignment w:val="auto"/>
        <w:rPr>
          <w:rFonts w:hint="eastAsia"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社会效益指标：稳定外出务工人员就业率不低于</w:t>
      </w:r>
      <w:r>
        <w:rPr>
          <w:rFonts w:hint="eastAsia" w:ascii="仿宋_GB2312" w:hAnsi="仿宋_GB2312" w:eastAsia="仿宋_GB2312" w:cs="仿宋_GB2312"/>
          <w:kern w:val="0"/>
          <w:sz w:val="32"/>
          <w:szCs w:val="32"/>
          <w:shd w:val="clear" w:color="auto" w:fill="FFFFFF"/>
          <w:lang w:val="en-US" w:eastAsia="zh-CN"/>
        </w:rPr>
        <w:t>90%，提高外出务工人员收入200元/人，政策知晓率不低于95%。</w:t>
      </w:r>
    </w:p>
    <w:p>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0" w:firstLineChars="200"/>
        <w:textAlignment w:val="auto"/>
        <w:rPr>
          <w:rFonts w:hint="eastAsia" w:ascii="仿宋_GB2312" w:hAnsi="仿宋_GB2312" w:eastAsia="仿宋_GB2312" w:cs="仿宋_GB2312"/>
          <w:kern w:val="0"/>
          <w:sz w:val="32"/>
          <w:szCs w:val="32"/>
          <w:shd w:val="clear" w:color="auto" w:fill="FFFFFF"/>
          <w:lang w:val="en-US" w:eastAsia="zh-CN"/>
        </w:rPr>
      </w:pPr>
      <w:r>
        <w:rPr>
          <w:rFonts w:hint="eastAsia" w:ascii="仿宋_GB2312" w:hAnsi="仿宋_GB2312" w:eastAsia="仿宋_GB2312" w:cs="仿宋_GB2312"/>
          <w:kern w:val="0"/>
          <w:sz w:val="32"/>
          <w:szCs w:val="32"/>
          <w:shd w:val="clear" w:color="auto" w:fill="FFFFFF"/>
          <w:lang w:val="zh-CN"/>
        </w:rPr>
        <w:t>（</w:t>
      </w:r>
      <w:r>
        <w:rPr>
          <w:rFonts w:hint="eastAsia" w:ascii="仿宋_GB2312" w:hAnsi="仿宋_GB2312" w:eastAsia="仿宋_GB2312" w:cs="仿宋_GB2312"/>
          <w:kern w:val="0"/>
          <w:sz w:val="32"/>
          <w:szCs w:val="32"/>
          <w:shd w:val="clear" w:color="auto" w:fill="FFFFFF"/>
          <w:lang w:val="en-US" w:eastAsia="zh-CN"/>
        </w:rPr>
        <w:t>4</w:t>
      </w:r>
      <w:r>
        <w:rPr>
          <w:rFonts w:hint="eastAsia" w:ascii="仿宋_GB2312" w:hAnsi="仿宋_GB2312" w:eastAsia="仿宋_GB2312" w:cs="仿宋_GB2312"/>
          <w:kern w:val="0"/>
          <w:sz w:val="32"/>
          <w:szCs w:val="32"/>
          <w:shd w:val="clear" w:color="auto" w:fill="FFFFFF"/>
          <w:lang w:val="zh-CN"/>
        </w:rPr>
        <w:t>）帮扶对象满意度指标：帮扶对象满意度不低于</w:t>
      </w:r>
      <w:r>
        <w:rPr>
          <w:rFonts w:hint="eastAsia" w:ascii="仿宋_GB2312" w:hAnsi="仿宋_GB2312" w:eastAsia="仿宋_GB2312" w:cs="仿宋_GB2312"/>
          <w:kern w:val="0"/>
          <w:sz w:val="32"/>
          <w:szCs w:val="32"/>
          <w:shd w:val="clear" w:color="auto" w:fill="FFFFFF"/>
          <w:lang w:val="en-US" w:eastAsia="zh-CN"/>
        </w:rPr>
        <w:t>90%。</w:t>
      </w:r>
    </w:p>
    <w:p>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0" w:firstLineChars="200"/>
        <w:textAlignment w:val="auto"/>
        <w:rPr>
          <w:rFonts w:hint="eastAsia"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w:t>
      </w:r>
      <w:r>
        <w:rPr>
          <w:rFonts w:hint="eastAsia" w:ascii="仿宋_GB2312" w:hAnsi="仿宋_GB2312" w:eastAsia="仿宋_GB2312" w:cs="仿宋_GB2312"/>
          <w:kern w:val="0"/>
          <w:sz w:val="32"/>
          <w:szCs w:val="32"/>
          <w:shd w:val="clear" w:color="auto" w:fill="FFFFFF"/>
          <w:lang w:val="en-US" w:eastAsia="zh-CN"/>
        </w:rPr>
        <w:t>5</w:t>
      </w:r>
      <w:r>
        <w:rPr>
          <w:rFonts w:hint="eastAsia" w:ascii="仿宋_GB2312" w:hAnsi="仿宋_GB2312" w:eastAsia="仿宋_GB2312" w:cs="仿宋_GB2312"/>
          <w:kern w:val="0"/>
          <w:sz w:val="32"/>
          <w:szCs w:val="32"/>
          <w:shd w:val="clear" w:color="auto" w:fill="FFFFFF"/>
          <w:lang w:val="zh-CN"/>
        </w:rPr>
        <w:t>）经济</w:t>
      </w:r>
      <w:r>
        <w:rPr>
          <w:rFonts w:hint="eastAsia" w:ascii="仿宋_GB2312" w:hAnsi="仿宋_GB2312" w:eastAsia="仿宋_GB2312" w:cs="仿宋_GB2312"/>
          <w:kern w:val="0"/>
          <w:sz w:val="32"/>
          <w:szCs w:val="32"/>
          <w:shd w:val="clear" w:color="auto" w:fill="FFFFFF"/>
          <w:lang w:val="en-US" w:eastAsia="zh-CN"/>
        </w:rPr>
        <w:t>成本指标</w:t>
      </w:r>
      <w:r>
        <w:rPr>
          <w:rFonts w:hint="eastAsia" w:ascii="仿宋_GB2312" w:hAnsi="仿宋_GB2312" w:eastAsia="仿宋_GB2312" w:cs="仿宋_GB2312"/>
          <w:kern w:val="0"/>
          <w:sz w:val="32"/>
          <w:szCs w:val="32"/>
          <w:shd w:val="clear" w:color="auto" w:fill="FFFFFF"/>
          <w:lang w:val="zh-CN"/>
        </w:rPr>
        <w:t>：</w:t>
      </w:r>
      <w:r>
        <w:rPr>
          <w:rFonts w:hint="eastAsia" w:ascii="仿宋_GB2312" w:hAnsi="仿宋_GB2312" w:eastAsia="仿宋_GB2312" w:cs="仿宋_GB2312"/>
          <w:kern w:val="0"/>
          <w:sz w:val="32"/>
          <w:szCs w:val="32"/>
          <w:shd w:val="clear" w:color="auto" w:fill="FFFFFF"/>
          <w:lang w:val="en-US" w:eastAsia="zh-CN"/>
        </w:rPr>
        <w:t>支付金额不少于35.00万元</w:t>
      </w:r>
      <w:r>
        <w:rPr>
          <w:rFonts w:hint="eastAsia" w:ascii="仿宋_GB2312" w:hAnsi="仿宋_GB2312" w:eastAsia="仿宋_GB2312" w:cs="仿宋_GB2312"/>
          <w:kern w:val="0"/>
          <w:sz w:val="32"/>
          <w:szCs w:val="32"/>
          <w:shd w:val="clear" w:color="auto" w:fill="FFFFFF"/>
          <w:lang w:val="zh-CN"/>
        </w:rPr>
        <w:t>。</w:t>
      </w:r>
    </w:p>
    <w:p>
      <w:pPr>
        <w:keepNext w:val="0"/>
        <w:keepLines w:val="0"/>
        <w:pageBreakBefore w:val="0"/>
        <w:widowControl w:val="0"/>
        <w:kinsoku/>
        <w:wordWrap/>
        <w:overflowPunct/>
        <w:topLinePunct w:val="0"/>
        <w:autoSpaceDE/>
        <w:autoSpaceDN/>
        <w:bidi w:val="0"/>
        <w:adjustRightInd w:val="0"/>
        <w:snapToGrid w:val="0"/>
        <w:spacing w:line="578" w:lineRule="exact"/>
        <w:ind w:left="0" w:leftChars="0" w:firstLine="642" w:firstLineChars="20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lang w:val="zh-CN"/>
        </w:rPr>
        <w:t>（一）</w:t>
      </w:r>
      <w:r>
        <w:rPr>
          <w:rFonts w:hint="eastAsia" w:ascii="仿宋_GB2312" w:hAnsi="仿宋_GB2312" w:eastAsia="仿宋_GB2312" w:cs="仿宋_GB2312"/>
          <w:b/>
          <w:sz w:val="32"/>
          <w:szCs w:val="32"/>
        </w:rPr>
        <w:t>通用指标</w:t>
      </w:r>
      <w:r>
        <w:rPr>
          <w:rFonts w:hint="eastAsia" w:ascii="仿宋_GB2312" w:hAnsi="仿宋_GB2312" w:eastAsia="仿宋_GB2312" w:cs="仿宋_GB2312"/>
          <w:b/>
          <w:bCs/>
          <w:color w:val="000000"/>
          <w:kern w:val="0"/>
          <w:sz w:val="32"/>
          <w:szCs w:val="32"/>
          <w:shd w:val="clear" w:color="auto" w:fill="FFFFFF"/>
          <w:lang w:val="zh-CN"/>
        </w:rPr>
        <w:t>绩效分析</w:t>
      </w:r>
    </w:p>
    <w:p>
      <w:pPr>
        <w:keepNext w:val="0"/>
        <w:keepLines w:val="0"/>
        <w:pageBreakBefore w:val="0"/>
        <w:kinsoku/>
        <w:wordWrap/>
        <w:overflowPunct/>
        <w:topLinePunct w:val="0"/>
        <w:autoSpaceDE/>
        <w:autoSpaceDN/>
        <w:bidi w:val="0"/>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1.项目决策</w:t>
      </w:r>
    </w:p>
    <w:p>
      <w:pPr>
        <w:keepNext w:val="0"/>
        <w:keepLines w:val="0"/>
        <w:pageBreakBefore w:val="0"/>
        <w:kinsoku/>
        <w:wordWrap/>
        <w:overflowPunct/>
        <w:topLinePunct w:val="0"/>
        <w:autoSpaceDE/>
        <w:autoSpaceDN/>
        <w:bidi w:val="0"/>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该项目决策程序严密，项目规划论证符合相关要求，项目绩效目标设置科学合理。项目资金与项目总体规划、相关行业事业发展相匹配，聚焦重大任务、重点领域、重点环节和重点项目。项目制度办法体系健全、要素完备。</w:t>
      </w:r>
    </w:p>
    <w:p>
      <w:pPr>
        <w:keepNext w:val="0"/>
        <w:keepLines w:val="0"/>
        <w:pageBreakBefore w:val="0"/>
        <w:kinsoku/>
        <w:wordWrap/>
        <w:overflowPunct/>
        <w:topLinePunct w:val="0"/>
        <w:autoSpaceDE/>
        <w:autoSpaceDN/>
        <w:bidi w:val="0"/>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2.项目管理</w:t>
      </w:r>
    </w:p>
    <w:p>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rPr>
          <w:rFonts w:hint="eastAsia"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rPr>
        <w:t>为</w:t>
      </w:r>
      <w:r>
        <w:rPr>
          <w:rFonts w:hint="eastAsia" w:ascii="仿宋_GB2312" w:hAnsi="仿宋_GB2312" w:eastAsia="仿宋_GB2312" w:cs="仿宋_GB2312"/>
          <w:bCs/>
          <w:color w:val="000000"/>
          <w:kern w:val="2"/>
          <w:sz w:val="32"/>
          <w:szCs w:val="32"/>
          <w:lang w:val="en-US" w:eastAsia="zh-CN" w:bidi="ar-SA"/>
        </w:rPr>
        <w:t>持续</w:t>
      </w:r>
      <w:r>
        <w:rPr>
          <w:rFonts w:hint="eastAsia" w:ascii="仿宋_GB2312" w:hAnsi="仿宋_GB2312" w:eastAsia="仿宋_GB2312" w:cs="仿宋_GB2312"/>
          <w:kern w:val="2"/>
          <w:sz w:val="32"/>
          <w:szCs w:val="32"/>
          <w:lang w:val="en-US" w:eastAsia="zh-CN"/>
        </w:rPr>
        <w:t>促进脱贫群众就业增收</w:t>
      </w:r>
      <w:r>
        <w:rPr>
          <w:rFonts w:hint="eastAsia" w:ascii="仿宋_GB2312" w:hAnsi="仿宋_GB2312" w:eastAsia="仿宋_GB2312" w:cs="仿宋_GB2312"/>
          <w:kern w:val="0"/>
          <w:sz w:val="32"/>
          <w:szCs w:val="32"/>
          <w:shd w:val="clear" w:color="auto" w:fill="FFFFFF"/>
          <w:lang w:val="zh-CN"/>
        </w:rPr>
        <w:t>，</w:t>
      </w:r>
      <w:r>
        <w:rPr>
          <w:rFonts w:hint="eastAsia" w:ascii="仿宋_GB2312" w:hAnsi="仿宋_GB2312" w:eastAsia="仿宋_GB2312" w:cs="仿宋_GB2312"/>
          <w:kern w:val="0"/>
          <w:sz w:val="32"/>
          <w:szCs w:val="32"/>
          <w:shd w:val="clear" w:color="auto" w:fill="FFFFFF"/>
        </w:rPr>
        <w:t>我单位</w:t>
      </w:r>
      <w:r>
        <w:rPr>
          <w:rFonts w:hint="eastAsia" w:ascii="仿宋_GB2312" w:hAnsi="仿宋_GB2312" w:eastAsia="仿宋_GB2312" w:cs="仿宋_GB2312"/>
          <w:kern w:val="0"/>
          <w:sz w:val="32"/>
          <w:szCs w:val="32"/>
          <w:shd w:val="clear" w:color="auto" w:fill="FFFFFF"/>
          <w:lang w:val="zh-CN"/>
        </w:rPr>
        <w:t>对省内县外务工交通就业补贴项目</w:t>
      </w:r>
      <w:r>
        <w:rPr>
          <w:rFonts w:hint="eastAsia" w:ascii="仿宋_GB2312" w:hAnsi="仿宋_GB2312" w:eastAsia="仿宋_GB2312" w:cs="仿宋_GB2312"/>
          <w:bCs/>
          <w:color w:val="000000"/>
          <w:kern w:val="2"/>
          <w:sz w:val="32"/>
          <w:szCs w:val="32"/>
          <w:lang w:val="en-US" w:eastAsia="zh-CN" w:bidi="ar-SA"/>
        </w:rPr>
        <w:t>资金实行专项管理</w:t>
      </w:r>
      <w:r>
        <w:rPr>
          <w:rFonts w:hint="eastAsia" w:ascii="仿宋_GB2312" w:hAnsi="仿宋_GB2312" w:eastAsia="仿宋_GB2312" w:cs="仿宋_GB2312"/>
          <w:kern w:val="0"/>
          <w:sz w:val="32"/>
          <w:szCs w:val="32"/>
          <w:shd w:val="clear" w:color="auto" w:fill="FFFFFF"/>
          <w:lang w:val="zh-CN"/>
        </w:rPr>
        <w:t>，专款专用。项目资金分配因素选取、权重设置、区域分布，项目管理、审批符合管理要求，管资金、项目、政策、管绩效，项目绩效监管按要求开展，对下指导有力有效。</w:t>
      </w:r>
    </w:p>
    <w:p>
      <w:pPr>
        <w:keepNext w:val="0"/>
        <w:keepLines w:val="0"/>
        <w:pageBreakBefore w:val="0"/>
        <w:kinsoku/>
        <w:wordWrap/>
        <w:overflowPunct/>
        <w:topLinePunct w:val="0"/>
        <w:autoSpaceDE/>
        <w:autoSpaceDN/>
        <w:bidi w:val="0"/>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3.项目实施</w:t>
      </w:r>
    </w:p>
    <w:p>
      <w:pPr>
        <w:keepNext w:val="0"/>
        <w:keepLines w:val="0"/>
        <w:pageBreakBefore w:val="0"/>
        <w:kinsoku/>
        <w:wordWrap/>
        <w:overflowPunct/>
        <w:topLinePunct w:val="0"/>
        <w:autoSpaceDE/>
        <w:autoSpaceDN/>
        <w:bidi w:val="0"/>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shd w:val="clear" w:color="auto" w:fill="FFFFFF"/>
          <w:lang w:val="zh-CN"/>
        </w:rPr>
        <w:t>省内县外务工交通就业补贴项目</w:t>
      </w:r>
      <w:r>
        <w:rPr>
          <w:rFonts w:hint="eastAsia" w:ascii="仿宋_GB2312" w:hAnsi="仿宋_GB2312" w:eastAsia="仿宋_GB2312" w:cs="仿宋_GB2312"/>
          <w:sz w:val="32"/>
          <w:szCs w:val="32"/>
        </w:rPr>
        <w:t>完成预期目标，实施结果与绩效目标相匹配。</w:t>
      </w:r>
    </w:p>
    <w:p>
      <w:pPr>
        <w:keepNext w:val="0"/>
        <w:keepLines w:val="0"/>
        <w:pageBreakBefore w:val="0"/>
        <w:kinsoku/>
        <w:wordWrap/>
        <w:overflowPunct/>
        <w:topLinePunct w:val="0"/>
        <w:autoSpaceDE/>
        <w:autoSpaceDN/>
        <w:bidi w:val="0"/>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4.项目结果</w:t>
      </w:r>
    </w:p>
    <w:p>
      <w:pPr>
        <w:keepNext w:val="0"/>
        <w:keepLines w:val="0"/>
        <w:pageBreakBefore w:val="0"/>
        <w:kinsoku/>
        <w:wordWrap/>
        <w:overflowPunct/>
        <w:topLinePunct w:val="0"/>
        <w:autoSpaceDE/>
        <w:autoSpaceDN/>
        <w:bidi w:val="0"/>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shd w:val="clear" w:color="auto" w:fill="FFFFFF"/>
          <w:lang w:val="zh-CN"/>
        </w:rPr>
        <w:t>省内县外务工交通就业补贴项目</w:t>
      </w:r>
      <w:r>
        <w:rPr>
          <w:rFonts w:hint="eastAsia" w:ascii="仿宋_GB2312" w:hAnsi="仿宋_GB2312" w:eastAsia="仿宋_GB2312" w:cs="仿宋_GB2312"/>
          <w:sz w:val="32"/>
          <w:szCs w:val="32"/>
        </w:rPr>
        <w:t>在规定时间内下达率</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%，补贴资金在规定时间内支付到位率</w:t>
      </w:r>
      <w:r>
        <w:rPr>
          <w:rFonts w:hint="eastAsia" w:ascii="仿宋_GB2312" w:hAnsi="仿宋_GB2312" w:eastAsia="仿宋_GB2312" w:cs="仿宋_GB2312"/>
          <w:sz w:val="32"/>
          <w:szCs w:val="32"/>
          <w:lang w:val="en-US" w:eastAsia="zh-CN"/>
        </w:rPr>
        <w:t>77.55</w:t>
      </w:r>
      <w:r>
        <w:rPr>
          <w:rFonts w:hint="eastAsia" w:ascii="仿宋_GB2312" w:hAnsi="仿宋_GB2312" w:eastAsia="仿宋_GB2312" w:cs="仿宋_GB2312"/>
          <w:sz w:val="32"/>
          <w:szCs w:val="32"/>
        </w:rPr>
        <w:t>%。</w:t>
      </w:r>
    </w:p>
    <w:p>
      <w:pPr>
        <w:pStyle w:val="6"/>
        <w:keepNext w:val="0"/>
        <w:keepLines w:val="0"/>
        <w:pageBreakBefore w:val="0"/>
        <w:tabs>
          <w:tab w:val="left" w:pos="2160"/>
        </w:tabs>
        <w:kinsoku/>
        <w:wordWrap/>
        <w:overflowPunct/>
        <w:topLinePunct w:val="0"/>
        <w:autoSpaceDE/>
        <w:autoSpaceDN/>
        <w:bidi w:val="0"/>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eastAsia="zh-CN"/>
        </w:rPr>
        <w:t>四</w:t>
      </w:r>
      <w:r>
        <w:rPr>
          <w:rFonts w:hint="eastAsia" w:ascii="黑体" w:hAnsi="黑体" w:eastAsia="黑体" w:cs="黑体"/>
          <w:sz w:val="32"/>
          <w:szCs w:val="32"/>
        </w:rPr>
        <w:t>、评价结论</w:t>
      </w:r>
    </w:p>
    <w:p>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shd w:val="clear" w:color="auto" w:fill="FFFFFF"/>
          <w:lang w:eastAsia="zh-CN"/>
        </w:rPr>
        <w:t>根据</w:t>
      </w:r>
      <w:r>
        <w:rPr>
          <w:rFonts w:hint="eastAsia" w:ascii="仿宋_GB2312" w:hAnsi="仿宋_GB2312" w:eastAsia="仿宋_GB2312" w:cs="仿宋_GB2312"/>
          <w:kern w:val="0"/>
          <w:sz w:val="32"/>
          <w:szCs w:val="32"/>
          <w:shd w:val="clear" w:color="auto" w:fill="FFFFFF"/>
          <w:lang w:val="zh-CN"/>
        </w:rPr>
        <w:t>省内县外务工交通就业补贴项目</w:t>
      </w:r>
      <w:r>
        <w:rPr>
          <w:rFonts w:hint="eastAsia" w:ascii="仿宋_GB2312" w:hAnsi="仿宋_GB2312" w:eastAsia="仿宋_GB2312" w:cs="仿宋_GB2312"/>
          <w:kern w:val="0"/>
          <w:sz w:val="32"/>
          <w:szCs w:val="32"/>
        </w:rPr>
        <w:t>制定的目标任务，本年度资金按规定用</w:t>
      </w:r>
      <w:r>
        <w:rPr>
          <w:rFonts w:hint="eastAsia" w:ascii="仿宋_GB2312" w:hAnsi="仿宋_GB2312" w:eastAsia="仿宋_GB2312" w:cs="仿宋_GB2312"/>
          <w:kern w:val="0"/>
          <w:sz w:val="32"/>
          <w:szCs w:val="32"/>
          <w:lang w:eastAsia="zh-CN"/>
        </w:rPr>
        <w:t>于发放</w:t>
      </w:r>
      <w:r>
        <w:rPr>
          <w:rFonts w:hint="eastAsia" w:ascii="仿宋_GB2312" w:hAnsi="仿宋_GB2312" w:eastAsia="仿宋_GB2312" w:cs="仿宋_GB2312"/>
          <w:kern w:val="2"/>
          <w:sz w:val="32"/>
          <w:szCs w:val="32"/>
          <w:lang w:val="en-US" w:eastAsia="zh-CN"/>
        </w:rPr>
        <w:t>脱贫户、监测户省内县外务工交通补贴，</w:t>
      </w:r>
      <w:r>
        <w:rPr>
          <w:rFonts w:hint="eastAsia" w:ascii="仿宋_GB2312" w:hAnsi="仿宋_GB2312" w:eastAsia="仿宋_GB2312" w:cs="仿宋_GB2312"/>
          <w:kern w:val="0"/>
          <w:sz w:val="32"/>
          <w:szCs w:val="32"/>
        </w:rPr>
        <w:t>经评价，</w:t>
      </w:r>
      <w:r>
        <w:rPr>
          <w:rFonts w:hint="eastAsia" w:ascii="仿宋_GB2312" w:hAnsi="仿宋_GB2312" w:eastAsia="仿宋_GB2312" w:cs="仿宋_GB2312"/>
          <w:kern w:val="0"/>
          <w:sz w:val="32"/>
          <w:szCs w:val="32"/>
          <w:shd w:val="clear" w:color="auto" w:fill="FFFFFF"/>
          <w:lang w:val="zh-CN"/>
        </w:rPr>
        <w:t>省内县外务工交通就业补贴项目</w:t>
      </w:r>
      <w:r>
        <w:rPr>
          <w:rFonts w:hint="eastAsia" w:ascii="仿宋_GB2312" w:hAnsi="仿宋_GB2312" w:eastAsia="仿宋_GB2312" w:cs="仿宋_GB2312"/>
          <w:kern w:val="0"/>
          <w:sz w:val="32"/>
          <w:szCs w:val="32"/>
        </w:rPr>
        <w:t>绩效评价为优秀。</w:t>
      </w:r>
    </w:p>
    <w:p>
      <w:pPr>
        <w:pStyle w:val="6"/>
        <w:keepNext w:val="0"/>
        <w:keepLines w:val="0"/>
        <w:pageBreakBefore w:val="0"/>
        <w:tabs>
          <w:tab w:val="left" w:pos="2160"/>
        </w:tabs>
        <w:kinsoku/>
        <w:wordWrap/>
        <w:overflowPunct/>
        <w:topLinePunct w:val="0"/>
        <w:autoSpaceDE/>
        <w:autoSpaceDN/>
        <w:bidi w:val="0"/>
        <w:spacing w:line="60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五、存在主要问题</w:t>
      </w:r>
    </w:p>
    <w:p>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textAlignment w:val="auto"/>
        <w:rPr>
          <w:rFonts w:hint="eastAsia" w:ascii="仿宋_GB2312" w:hAnsi="仿宋_GB2312" w:eastAsia="仿宋_GB2312" w:cs="仿宋_GB2312"/>
          <w:kern w:val="0"/>
          <w:sz w:val="32"/>
          <w:szCs w:val="32"/>
          <w:lang w:val="en-US"/>
        </w:rPr>
      </w:pPr>
      <w:r>
        <w:rPr>
          <w:rFonts w:hint="eastAsia" w:ascii="仿宋_GB2312" w:hAnsi="仿宋_GB2312" w:eastAsia="仿宋_GB2312" w:cs="仿宋_GB2312"/>
          <w:kern w:val="0"/>
          <w:sz w:val="32"/>
          <w:szCs w:val="32"/>
        </w:rPr>
        <w:t>该项目</w:t>
      </w:r>
      <w:r>
        <w:rPr>
          <w:rFonts w:hint="eastAsia" w:ascii="仿宋_GB2312" w:hAnsi="仿宋_GB2312" w:eastAsia="仿宋_GB2312" w:cs="仿宋_GB2312"/>
          <w:kern w:val="0"/>
          <w:sz w:val="32"/>
          <w:szCs w:val="32"/>
          <w:lang w:val="en-US" w:eastAsia="zh-CN"/>
        </w:rPr>
        <w:t>按照项目资金管理办法严格执行。第一批省内务工就业交通补贴859人32.90万元，第二批省内务工就业交通补贴73人2.78万元，因部分农民工银行账号有误未支付成功，实际支付31.02万元，第三批省内务工就业交通补贴33人1.2</w:t>
      </w:r>
      <w:r>
        <w:rPr>
          <w:rFonts w:hint="default" w:ascii="仿宋_GB2312" w:hAnsi="仿宋_GB2312" w:eastAsia="仿宋_GB2312" w:cs="仿宋_GB2312"/>
          <w:kern w:val="0"/>
          <w:sz w:val="32"/>
          <w:szCs w:val="32"/>
          <w:lang w:eastAsia="zh-CN"/>
        </w:rPr>
        <w:t>2</w:t>
      </w:r>
      <w:r>
        <w:rPr>
          <w:rFonts w:hint="eastAsia" w:ascii="仿宋_GB2312" w:hAnsi="仿宋_GB2312" w:eastAsia="仿宋_GB2312" w:cs="仿宋_GB2312"/>
          <w:kern w:val="0"/>
          <w:sz w:val="32"/>
          <w:szCs w:val="32"/>
          <w:lang w:val="en-US" w:eastAsia="zh-CN"/>
        </w:rPr>
        <w:t>万元，已提支付计划但财政未审核。</w:t>
      </w:r>
    </w:p>
    <w:p>
      <w:pPr>
        <w:snapToGrid w:val="0"/>
        <w:spacing w:line="578" w:lineRule="exact"/>
        <w:ind w:firstLine="640" w:firstLineChars="200"/>
        <w:rPr>
          <w:rFonts w:hint="eastAsia" w:ascii="仿宋_GB2312" w:hAnsi="仿宋_GB2312" w:eastAsia="仿宋_GB2312" w:cs="仿宋_GB2312"/>
          <w:color w:val="000000"/>
          <w:kern w:val="0"/>
          <w:sz w:val="32"/>
          <w:szCs w:val="32"/>
          <w:shd w:val="clear" w:color="auto" w:fill="FFFFFF"/>
          <w:lang w:val="zh-CN"/>
        </w:rPr>
      </w:pPr>
    </w:p>
    <w:p>
      <w:pPr>
        <w:snapToGrid w:val="0"/>
        <w:spacing w:line="578" w:lineRule="exact"/>
        <w:ind w:firstLine="640" w:firstLineChars="200"/>
        <w:rPr>
          <w:rFonts w:hint="eastAsia" w:ascii="仿宋_GB2312" w:hAnsi="仿宋_GB2312" w:eastAsia="仿宋_GB2312" w:cs="仿宋_GB2312"/>
          <w:color w:val="000000"/>
          <w:kern w:val="0"/>
          <w:sz w:val="32"/>
          <w:szCs w:val="32"/>
          <w:shd w:val="clear" w:color="auto" w:fill="FFFFFF"/>
          <w:lang w:val="zh-CN"/>
        </w:rPr>
      </w:pPr>
    </w:p>
    <w:p>
      <w:pPr>
        <w:snapToGrid w:val="0"/>
        <w:spacing w:line="578" w:lineRule="exact"/>
        <w:ind w:firstLine="640" w:firstLineChars="200"/>
        <w:rPr>
          <w:rFonts w:hint="eastAsia" w:ascii="仿宋_GB2312" w:hAnsi="仿宋_GB2312" w:eastAsia="仿宋_GB2312" w:cs="仿宋_GB2312"/>
          <w:color w:val="000000"/>
          <w:kern w:val="0"/>
          <w:sz w:val="32"/>
          <w:szCs w:val="32"/>
          <w:shd w:val="clear" w:color="auto" w:fill="FFFFFF"/>
          <w:lang w:val="zh-CN"/>
        </w:rPr>
      </w:pPr>
    </w:p>
    <w:p>
      <w:pPr>
        <w:snapToGrid w:val="0"/>
        <w:spacing w:line="578" w:lineRule="exact"/>
        <w:ind w:firstLine="420" w:firstLineChars="200"/>
        <w:rPr>
          <w:color w:val="000000"/>
          <w:kern w:val="0"/>
          <w:shd w:val="clear" w:color="auto" w:fill="FFFFFF"/>
          <w:lang w:val="zh-CN"/>
        </w:rPr>
      </w:pPr>
      <w:r>
        <w:rPr>
          <w:rFonts w:hint="eastAsia"/>
          <w:color w:val="000000"/>
          <w:kern w:val="0"/>
          <w:shd w:val="clear" w:color="auto" w:fill="FFFFFF"/>
          <w:lang w:val="zh-CN"/>
        </w:rPr>
        <w:br w:type="page"/>
      </w:r>
    </w:p>
    <w:p>
      <w:pPr>
        <w:widowControl/>
        <w:adjustRightInd w:val="0"/>
        <w:snapToGrid w:val="0"/>
        <w:spacing w:line="578" w:lineRule="exact"/>
        <w:contextualSpacing/>
        <w:jc w:val="left"/>
        <w:rPr>
          <w:rFonts w:ascii="黑体" w:hAnsi="黑体" w:eastAsia="黑体" w:cs="黑体"/>
          <w:kern w:val="0"/>
          <w:shd w:val="clear" w:color="auto" w:fill="FFFFFF"/>
          <w:lang w:val="zh-CN"/>
        </w:rPr>
      </w:pPr>
      <w:r>
        <w:rPr>
          <w:rFonts w:hint="eastAsia" w:ascii="黑体" w:hAnsi="黑体" w:eastAsia="黑体" w:cs="黑体"/>
          <w:kern w:val="0"/>
          <w:shd w:val="clear" w:color="auto" w:fill="FFFFFF"/>
          <w:lang w:val="zh-CN"/>
        </w:rPr>
        <w:t>附表</w:t>
      </w:r>
      <w:r>
        <w:rPr>
          <w:rFonts w:hint="eastAsia" w:ascii="黑体" w:hAnsi="黑体" w:eastAsia="黑体" w:cs="黑体"/>
          <w:kern w:val="0"/>
          <w:shd w:val="clear" w:color="auto" w:fill="FFFFFF"/>
        </w:rPr>
        <w:t>1</w:t>
      </w:r>
    </w:p>
    <w:p>
      <w:pPr>
        <w:spacing w:line="578" w:lineRule="exact"/>
        <w:jc w:val="center"/>
        <w:rPr>
          <w:rFonts w:ascii="方正小标宋_GBK" w:hAnsi="方正小标宋_GBK" w:eastAsia="方正小标宋_GBK" w:cs="方正小标宋_GBK"/>
          <w:sz w:val="40"/>
          <w:szCs w:val="40"/>
        </w:rPr>
      </w:pPr>
      <w:r>
        <w:rPr>
          <w:rFonts w:hint="eastAsia" w:ascii="方正小标宋_GBK" w:hAnsi="方正小标宋_GBK" w:eastAsia="方正小标宋_GBK" w:cs="方正小标宋_GBK"/>
          <w:sz w:val="40"/>
          <w:szCs w:val="40"/>
        </w:rPr>
        <w:t>项目资金分配涉及所有点位自评得分情况表</w:t>
      </w:r>
    </w:p>
    <w:tbl>
      <w:tblPr>
        <w:tblStyle w:val="17"/>
        <w:tblW w:w="88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3"/>
        <w:gridCol w:w="3843"/>
        <w:gridCol w:w="2861"/>
        <w:gridCol w:w="9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1123" w:type="dxa"/>
          </w:tcPr>
          <w:p>
            <w:pPr>
              <w:spacing w:line="300" w:lineRule="exact"/>
              <w:jc w:val="center"/>
              <w:rPr>
                <w:rFonts w:ascii="黑体" w:hAnsi="黑体" w:eastAsia="黑体" w:cs="黑体"/>
                <w:sz w:val="24"/>
                <w:szCs w:val="24"/>
              </w:rPr>
            </w:pPr>
            <w:r>
              <w:rPr>
                <w:rFonts w:hint="eastAsia" w:ascii="黑体" w:hAnsi="黑体" w:eastAsia="黑体" w:cs="黑体"/>
                <w:sz w:val="24"/>
                <w:szCs w:val="24"/>
              </w:rPr>
              <w:t>序号</w:t>
            </w:r>
          </w:p>
        </w:tc>
        <w:tc>
          <w:tcPr>
            <w:tcW w:w="3843" w:type="dxa"/>
          </w:tcPr>
          <w:p>
            <w:pPr>
              <w:spacing w:line="300" w:lineRule="exact"/>
              <w:jc w:val="center"/>
              <w:rPr>
                <w:rFonts w:ascii="黑体" w:hAnsi="黑体" w:eastAsia="黑体" w:cs="黑体"/>
                <w:sz w:val="24"/>
                <w:szCs w:val="24"/>
              </w:rPr>
            </w:pPr>
            <w:r>
              <w:rPr>
                <w:rFonts w:hint="eastAsia" w:ascii="黑体" w:hAnsi="黑体" w:eastAsia="黑体" w:cs="黑体"/>
                <w:sz w:val="24"/>
                <w:szCs w:val="24"/>
              </w:rPr>
              <w:t>项目资金末端分配点位</w:t>
            </w:r>
          </w:p>
        </w:tc>
        <w:tc>
          <w:tcPr>
            <w:tcW w:w="2861" w:type="dxa"/>
          </w:tcPr>
          <w:p>
            <w:pPr>
              <w:spacing w:line="300" w:lineRule="exact"/>
              <w:jc w:val="center"/>
              <w:rPr>
                <w:rFonts w:ascii="黑体" w:hAnsi="黑体" w:eastAsia="黑体" w:cs="黑体"/>
                <w:sz w:val="24"/>
                <w:szCs w:val="24"/>
              </w:rPr>
            </w:pPr>
            <w:r>
              <w:rPr>
                <w:rFonts w:hint="eastAsia" w:ascii="黑体" w:hAnsi="黑体" w:eastAsia="黑体" w:cs="黑体"/>
                <w:sz w:val="24"/>
                <w:szCs w:val="24"/>
              </w:rPr>
              <w:t>自评得分（百分制）</w:t>
            </w:r>
          </w:p>
        </w:tc>
        <w:tc>
          <w:tcPr>
            <w:tcW w:w="993" w:type="dxa"/>
          </w:tcPr>
          <w:p>
            <w:pPr>
              <w:spacing w:line="300" w:lineRule="exact"/>
              <w:jc w:val="center"/>
              <w:rPr>
                <w:rFonts w:ascii="黑体" w:hAnsi="黑体" w:eastAsia="黑体" w:cs="黑体"/>
                <w:sz w:val="24"/>
                <w:szCs w:val="24"/>
              </w:rPr>
            </w:pPr>
            <w:r>
              <w:rPr>
                <w:rFonts w:hint="eastAsia" w:ascii="黑体" w:hAnsi="黑体" w:eastAsia="黑体" w:cs="黑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3" w:hRule="exact"/>
          <w:jc w:val="center"/>
        </w:trPr>
        <w:tc>
          <w:tcPr>
            <w:tcW w:w="1123" w:type="dxa"/>
          </w:tcPr>
          <w:p>
            <w:pPr>
              <w:spacing w:line="300" w:lineRule="exact"/>
              <w:jc w:val="center"/>
              <w:rPr>
                <w:rFonts w:ascii="宋体" w:hAnsi="宋体" w:eastAsia="宋体" w:cs="宋体"/>
                <w:sz w:val="24"/>
                <w:szCs w:val="24"/>
              </w:rPr>
            </w:pPr>
            <w:r>
              <w:rPr>
                <w:rFonts w:hint="eastAsia" w:ascii="宋体" w:hAnsi="宋体" w:eastAsia="宋体" w:cs="宋体"/>
                <w:sz w:val="24"/>
                <w:szCs w:val="24"/>
              </w:rPr>
              <w:t>1</w:t>
            </w:r>
          </w:p>
        </w:tc>
        <w:tc>
          <w:tcPr>
            <w:tcW w:w="3843" w:type="dxa"/>
          </w:tcPr>
          <w:p>
            <w:pPr>
              <w:adjustRightInd w:val="0"/>
              <w:snapToGrid w:val="0"/>
              <w:spacing w:line="600" w:lineRule="exact"/>
              <w:ind w:firstLine="260" w:firstLineChars="200"/>
              <w:rPr>
                <w:rFonts w:ascii="仿宋_GB2312"/>
                <w:sz w:val="13"/>
                <w:szCs w:val="13"/>
              </w:rPr>
            </w:pPr>
            <w:r>
              <w:rPr>
                <w:rFonts w:hint="eastAsia" w:ascii="仿宋_GB2312"/>
                <w:sz w:val="13"/>
                <w:szCs w:val="13"/>
              </w:rPr>
              <w:t>对采集</w:t>
            </w:r>
            <w:r>
              <w:rPr>
                <w:rFonts w:hint="eastAsia" w:ascii="仿宋_GB2312"/>
                <w:sz w:val="13"/>
                <w:szCs w:val="13"/>
                <w:lang w:val="zh-CN"/>
              </w:rPr>
              <w:t>省内县外务工交通就业补贴项目</w:t>
            </w:r>
            <w:r>
              <w:rPr>
                <w:rFonts w:hint="eastAsia" w:ascii="仿宋_GB2312"/>
                <w:sz w:val="13"/>
                <w:szCs w:val="13"/>
              </w:rPr>
              <w:t>数据信息，根据简单随机抽样的方法，</w:t>
            </w:r>
            <w:r>
              <w:rPr>
                <w:rFonts w:hint="eastAsia" w:ascii="仿宋_GB2312"/>
                <w:sz w:val="13"/>
                <w:szCs w:val="13"/>
                <w:lang w:val="en-US" w:eastAsia="zh-CN"/>
              </w:rPr>
              <w:t>对外出务工人员</w:t>
            </w:r>
            <w:r>
              <w:rPr>
                <w:rFonts w:hint="eastAsia" w:ascii="仿宋_GB2312"/>
                <w:sz w:val="13"/>
                <w:szCs w:val="13"/>
              </w:rPr>
              <w:t>不低于</w:t>
            </w:r>
            <w:r>
              <w:rPr>
                <w:rFonts w:hint="eastAsia" w:ascii="仿宋_GB2312"/>
                <w:sz w:val="13"/>
                <w:szCs w:val="13"/>
                <w:lang w:val="en-US" w:eastAsia="zh-CN"/>
              </w:rPr>
              <w:t>20</w:t>
            </w:r>
            <w:r>
              <w:rPr>
                <w:rFonts w:hint="eastAsia" w:ascii="仿宋_GB2312"/>
                <w:sz w:val="13"/>
                <w:szCs w:val="13"/>
              </w:rPr>
              <w:t>%的比例进行抽样复核。</w:t>
            </w:r>
          </w:p>
          <w:p>
            <w:pPr>
              <w:spacing w:line="300" w:lineRule="exact"/>
              <w:rPr>
                <w:rFonts w:ascii="宋体" w:hAnsi="宋体" w:cs="宋体"/>
                <w:sz w:val="24"/>
                <w:szCs w:val="24"/>
              </w:rPr>
            </w:pPr>
          </w:p>
        </w:tc>
        <w:tc>
          <w:tcPr>
            <w:tcW w:w="2861" w:type="dxa"/>
            <w:vAlign w:val="center"/>
          </w:tcPr>
          <w:p>
            <w:pPr>
              <w:spacing w:line="300" w:lineRule="exact"/>
              <w:jc w:val="center"/>
              <w:rPr>
                <w:rFonts w:hint="eastAsia" w:ascii="宋体" w:hAnsi="宋体" w:eastAsia="仿宋_GB2312" w:cs="宋体"/>
                <w:sz w:val="24"/>
                <w:szCs w:val="24"/>
                <w:lang w:val="en-US" w:eastAsia="zh-CN"/>
              </w:rPr>
            </w:pPr>
            <w:r>
              <w:rPr>
                <w:rFonts w:hint="eastAsia" w:ascii="宋体" w:hAnsi="宋体" w:cs="宋体"/>
                <w:sz w:val="24"/>
                <w:szCs w:val="24"/>
                <w:lang w:val="en-US" w:eastAsia="zh-CN"/>
              </w:rPr>
              <w:t>优</w:t>
            </w:r>
          </w:p>
        </w:tc>
        <w:tc>
          <w:tcPr>
            <w:tcW w:w="993" w:type="dxa"/>
          </w:tcPr>
          <w:p>
            <w:pPr>
              <w:spacing w:line="300" w:lineRule="exact"/>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1123" w:type="dxa"/>
          </w:tcPr>
          <w:p>
            <w:pPr>
              <w:spacing w:line="300" w:lineRule="exact"/>
              <w:jc w:val="center"/>
              <w:rPr>
                <w:rFonts w:ascii="宋体" w:hAnsi="宋体" w:eastAsia="宋体" w:cs="宋体"/>
                <w:sz w:val="24"/>
                <w:szCs w:val="24"/>
              </w:rPr>
            </w:pPr>
            <w:r>
              <w:rPr>
                <w:rFonts w:hint="eastAsia" w:ascii="宋体" w:hAnsi="宋体" w:eastAsia="宋体" w:cs="宋体"/>
                <w:sz w:val="24"/>
                <w:szCs w:val="24"/>
              </w:rPr>
              <w:t>2</w:t>
            </w:r>
          </w:p>
        </w:tc>
        <w:tc>
          <w:tcPr>
            <w:tcW w:w="3843" w:type="dxa"/>
          </w:tcPr>
          <w:p>
            <w:pPr>
              <w:spacing w:line="300" w:lineRule="exact"/>
              <w:rPr>
                <w:rFonts w:ascii="宋体" w:hAnsi="宋体" w:cs="宋体"/>
                <w:sz w:val="24"/>
                <w:szCs w:val="24"/>
              </w:rPr>
            </w:pPr>
          </w:p>
        </w:tc>
        <w:tc>
          <w:tcPr>
            <w:tcW w:w="2861" w:type="dxa"/>
          </w:tcPr>
          <w:p>
            <w:pPr>
              <w:spacing w:line="300" w:lineRule="exact"/>
              <w:rPr>
                <w:rFonts w:ascii="宋体" w:hAnsi="宋体" w:cs="宋体"/>
                <w:sz w:val="24"/>
                <w:szCs w:val="24"/>
              </w:rPr>
            </w:pPr>
          </w:p>
        </w:tc>
        <w:tc>
          <w:tcPr>
            <w:tcW w:w="993" w:type="dxa"/>
          </w:tcPr>
          <w:p>
            <w:pPr>
              <w:spacing w:line="300" w:lineRule="exact"/>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1123" w:type="dxa"/>
          </w:tcPr>
          <w:p>
            <w:pPr>
              <w:spacing w:line="300" w:lineRule="exact"/>
              <w:jc w:val="center"/>
              <w:rPr>
                <w:rFonts w:ascii="宋体" w:hAnsi="宋体" w:eastAsia="宋体" w:cs="宋体"/>
                <w:sz w:val="24"/>
                <w:szCs w:val="24"/>
              </w:rPr>
            </w:pPr>
            <w:r>
              <w:rPr>
                <w:rFonts w:hint="eastAsia" w:ascii="宋体" w:hAnsi="宋体" w:eastAsia="宋体" w:cs="宋体"/>
                <w:sz w:val="24"/>
                <w:szCs w:val="24"/>
              </w:rPr>
              <w:t>3</w:t>
            </w:r>
          </w:p>
        </w:tc>
        <w:tc>
          <w:tcPr>
            <w:tcW w:w="3843" w:type="dxa"/>
          </w:tcPr>
          <w:p>
            <w:pPr>
              <w:spacing w:line="300" w:lineRule="exact"/>
              <w:rPr>
                <w:rFonts w:ascii="宋体" w:hAnsi="宋体" w:cs="宋体"/>
                <w:sz w:val="24"/>
                <w:szCs w:val="24"/>
              </w:rPr>
            </w:pPr>
          </w:p>
        </w:tc>
        <w:tc>
          <w:tcPr>
            <w:tcW w:w="2861" w:type="dxa"/>
          </w:tcPr>
          <w:p>
            <w:pPr>
              <w:spacing w:line="300" w:lineRule="exact"/>
              <w:rPr>
                <w:rFonts w:ascii="宋体" w:hAnsi="宋体" w:cs="宋体"/>
                <w:sz w:val="24"/>
                <w:szCs w:val="24"/>
              </w:rPr>
            </w:pPr>
          </w:p>
        </w:tc>
        <w:tc>
          <w:tcPr>
            <w:tcW w:w="993" w:type="dxa"/>
          </w:tcPr>
          <w:p>
            <w:pPr>
              <w:spacing w:line="300" w:lineRule="exact"/>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1123" w:type="dxa"/>
          </w:tcPr>
          <w:p>
            <w:pPr>
              <w:spacing w:line="300" w:lineRule="exact"/>
              <w:jc w:val="center"/>
              <w:rPr>
                <w:rFonts w:ascii="宋体" w:hAnsi="宋体" w:eastAsia="宋体" w:cs="宋体"/>
                <w:sz w:val="24"/>
                <w:szCs w:val="24"/>
              </w:rPr>
            </w:pPr>
            <w:r>
              <w:rPr>
                <w:rFonts w:hint="eastAsia" w:ascii="宋体" w:hAnsi="宋体" w:eastAsia="宋体" w:cs="宋体"/>
                <w:sz w:val="24"/>
                <w:szCs w:val="24"/>
              </w:rPr>
              <w:t>4</w:t>
            </w:r>
          </w:p>
        </w:tc>
        <w:tc>
          <w:tcPr>
            <w:tcW w:w="3843" w:type="dxa"/>
          </w:tcPr>
          <w:p>
            <w:pPr>
              <w:spacing w:line="300" w:lineRule="exact"/>
              <w:rPr>
                <w:rFonts w:ascii="宋体" w:hAnsi="宋体" w:cs="宋体"/>
                <w:sz w:val="24"/>
                <w:szCs w:val="24"/>
              </w:rPr>
            </w:pPr>
          </w:p>
        </w:tc>
        <w:tc>
          <w:tcPr>
            <w:tcW w:w="2861" w:type="dxa"/>
          </w:tcPr>
          <w:p>
            <w:pPr>
              <w:spacing w:line="300" w:lineRule="exact"/>
              <w:rPr>
                <w:rFonts w:ascii="宋体" w:hAnsi="宋体" w:cs="宋体"/>
                <w:sz w:val="24"/>
                <w:szCs w:val="24"/>
              </w:rPr>
            </w:pPr>
          </w:p>
        </w:tc>
        <w:tc>
          <w:tcPr>
            <w:tcW w:w="993" w:type="dxa"/>
          </w:tcPr>
          <w:p>
            <w:pPr>
              <w:spacing w:line="300" w:lineRule="exact"/>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1123" w:type="dxa"/>
          </w:tcPr>
          <w:p>
            <w:pPr>
              <w:spacing w:line="300" w:lineRule="exact"/>
              <w:jc w:val="center"/>
              <w:rPr>
                <w:rFonts w:ascii="宋体" w:hAnsi="宋体" w:eastAsia="宋体" w:cs="宋体"/>
                <w:sz w:val="24"/>
                <w:szCs w:val="24"/>
              </w:rPr>
            </w:pPr>
            <w:r>
              <w:rPr>
                <w:rFonts w:hint="eastAsia" w:ascii="宋体" w:hAnsi="宋体" w:eastAsia="宋体" w:cs="宋体"/>
                <w:sz w:val="24"/>
                <w:szCs w:val="24"/>
              </w:rPr>
              <w:t>5</w:t>
            </w:r>
          </w:p>
        </w:tc>
        <w:tc>
          <w:tcPr>
            <w:tcW w:w="3843" w:type="dxa"/>
          </w:tcPr>
          <w:p>
            <w:pPr>
              <w:spacing w:line="300" w:lineRule="exact"/>
              <w:rPr>
                <w:rFonts w:ascii="宋体" w:hAnsi="宋体" w:cs="宋体"/>
                <w:sz w:val="24"/>
                <w:szCs w:val="24"/>
              </w:rPr>
            </w:pPr>
          </w:p>
        </w:tc>
        <w:tc>
          <w:tcPr>
            <w:tcW w:w="2861" w:type="dxa"/>
          </w:tcPr>
          <w:p>
            <w:pPr>
              <w:spacing w:line="300" w:lineRule="exact"/>
              <w:rPr>
                <w:rFonts w:ascii="宋体" w:hAnsi="宋体" w:cs="宋体"/>
                <w:sz w:val="24"/>
                <w:szCs w:val="24"/>
              </w:rPr>
            </w:pPr>
          </w:p>
        </w:tc>
        <w:tc>
          <w:tcPr>
            <w:tcW w:w="993" w:type="dxa"/>
          </w:tcPr>
          <w:p>
            <w:pPr>
              <w:spacing w:line="300" w:lineRule="exact"/>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1123" w:type="dxa"/>
          </w:tcPr>
          <w:p>
            <w:pPr>
              <w:spacing w:line="300" w:lineRule="exact"/>
              <w:jc w:val="center"/>
              <w:rPr>
                <w:rFonts w:ascii="宋体" w:hAnsi="宋体" w:eastAsia="宋体" w:cs="宋体"/>
                <w:sz w:val="24"/>
                <w:szCs w:val="24"/>
              </w:rPr>
            </w:pPr>
            <w:r>
              <w:rPr>
                <w:rFonts w:hint="eastAsia" w:ascii="宋体" w:hAnsi="宋体" w:eastAsia="宋体" w:cs="宋体"/>
                <w:sz w:val="24"/>
                <w:szCs w:val="24"/>
              </w:rPr>
              <w:t>6</w:t>
            </w:r>
          </w:p>
        </w:tc>
        <w:tc>
          <w:tcPr>
            <w:tcW w:w="3843" w:type="dxa"/>
          </w:tcPr>
          <w:p>
            <w:pPr>
              <w:spacing w:line="300" w:lineRule="exact"/>
              <w:rPr>
                <w:rFonts w:ascii="宋体" w:hAnsi="宋体" w:cs="宋体"/>
                <w:sz w:val="24"/>
                <w:szCs w:val="24"/>
              </w:rPr>
            </w:pPr>
          </w:p>
        </w:tc>
        <w:tc>
          <w:tcPr>
            <w:tcW w:w="2861" w:type="dxa"/>
          </w:tcPr>
          <w:p>
            <w:pPr>
              <w:spacing w:line="300" w:lineRule="exact"/>
              <w:rPr>
                <w:rFonts w:ascii="宋体" w:hAnsi="宋体" w:cs="宋体"/>
                <w:sz w:val="24"/>
                <w:szCs w:val="24"/>
              </w:rPr>
            </w:pPr>
          </w:p>
        </w:tc>
        <w:tc>
          <w:tcPr>
            <w:tcW w:w="993" w:type="dxa"/>
          </w:tcPr>
          <w:p>
            <w:pPr>
              <w:spacing w:line="300" w:lineRule="exact"/>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1123" w:type="dxa"/>
          </w:tcPr>
          <w:p>
            <w:pPr>
              <w:spacing w:line="300" w:lineRule="exact"/>
              <w:jc w:val="center"/>
              <w:rPr>
                <w:rFonts w:ascii="宋体" w:hAnsi="宋体" w:eastAsia="宋体" w:cs="宋体"/>
                <w:sz w:val="24"/>
                <w:szCs w:val="24"/>
              </w:rPr>
            </w:pPr>
            <w:r>
              <w:rPr>
                <w:rFonts w:hint="eastAsia" w:ascii="宋体" w:hAnsi="宋体" w:eastAsia="宋体" w:cs="宋体"/>
                <w:sz w:val="24"/>
                <w:szCs w:val="24"/>
              </w:rPr>
              <w:t>7</w:t>
            </w:r>
          </w:p>
        </w:tc>
        <w:tc>
          <w:tcPr>
            <w:tcW w:w="3843" w:type="dxa"/>
          </w:tcPr>
          <w:p>
            <w:pPr>
              <w:spacing w:line="300" w:lineRule="exact"/>
              <w:rPr>
                <w:rFonts w:ascii="宋体" w:hAnsi="宋体" w:cs="宋体"/>
                <w:sz w:val="24"/>
                <w:szCs w:val="24"/>
              </w:rPr>
            </w:pPr>
          </w:p>
        </w:tc>
        <w:tc>
          <w:tcPr>
            <w:tcW w:w="2861" w:type="dxa"/>
          </w:tcPr>
          <w:p>
            <w:pPr>
              <w:spacing w:line="300" w:lineRule="exact"/>
              <w:rPr>
                <w:rFonts w:ascii="宋体" w:hAnsi="宋体" w:cs="宋体"/>
                <w:sz w:val="24"/>
                <w:szCs w:val="24"/>
              </w:rPr>
            </w:pPr>
          </w:p>
        </w:tc>
        <w:tc>
          <w:tcPr>
            <w:tcW w:w="993" w:type="dxa"/>
          </w:tcPr>
          <w:p>
            <w:pPr>
              <w:spacing w:line="300" w:lineRule="exact"/>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1123" w:type="dxa"/>
          </w:tcPr>
          <w:p>
            <w:pPr>
              <w:spacing w:line="300" w:lineRule="exact"/>
              <w:jc w:val="center"/>
              <w:rPr>
                <w:rFonts w:ascii="宋体" w:hAnsi="宋体" w:eastAsia="宋体" w:cs="宋体"/>
                <w:sz w:val="24"/>
                <w:szCs w:val="24"/>
              </w:rPr>
            </w:pPr>
            <w:r>
              <w:rPr>
                <w:rFonts w:hint="eastAsia" w:ascii="宋体" w:hAnsi="宋体" w:eastAsia="宋体" w:cs="宋体"/>
                <w:sz w:val="24"/>
                <w:szCs w:val="24"/>
              </w:rPr>
              <w:t>8</w:t>
            </w:r>
          </w:p>
        </w:tc>
        <w:tc>
          <w:tcPr>
            <w:tcW w:w="3843" w:type="dxa"/>
          </w:tcPr>
          <w:p>
            <w:pPr>
              <w:spacing w:line="300" w:lineRule="exact"/>
              <w:rPr>
                <w:rFonts w:ascii="宋体" w:hAnsi="宋体" w:cs="宋体"/>
                <w:sz w:val="24"/>
                <w:szCs w:val="24"/>
              </w:rPr>
            </w:pPr>
          </w:p>
        </w:tc>
        <w:tc>
          <w:tcPr>
            <w:tcW w:w="2861" w:type="dxa"/>
          </w:tcPr>
          <w:p>
            <w:pPr>
              <w:spacing w:line="300" w:lineRule="exact"/>
              <w:rPr>
                <w:rFonts w:ascii="宋体" w:hAnsi="宋体" w:cs="宋体"/>
                <w:sz w:val="24"/>
                <w:szCs w:val="24"/>
              </w:rPr>
            </w:pPr>
          </w:p>
        </w:tc>
        <w:tc>
          <w:tcPr>
            <w:tcW w:w="993" w:type="dxa"/>
          </w:tcPr>
          <w:p>
            <w:pPr>
              <w:spacing w:line="300" w:lineRule="exact"/>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1123" w:type="dxa"/>
          </w:tcPr>
          <w:p>
            <w:pPr>
              <w:spacing w:line="300" w:lineRule="exact"/>
              <w:jc w:val="center"/>
              <w:rPr>
                <w:rFonts w:ascii="宋体" w:hAnsi="宋体" w:eastAsia="宋体" w:cs="宋体"/>
                <w:sz w:val="24"/>
                <w:szCs w:val="24"/>
              </w:rPr>
            </w:pPr>
            <w:r>
              <w:rPr>
                <w:rFonts w:hint="eastAsia" w:ascii="宋体" w:hAnsi="宋体" w:eastAsia="宋体" w:cs="宋体"/>
                <w:sz w:val="24"/>
                <w:szCs w:val="24"/>
              </w:rPr>
              <w:t>……</w:t>
            </w:r>
          </w:p>
        </w:tc>
        <w:tc>
          <w:tcPr>
            <w:tcW w:w="3843" w:type="dxa"/>
          </w:tcPr>
          <w:p>
            <w:pPr>
              <w:spacing w:line="300" w:lineRule="exact"/>
              <w:rPr>
                <w:rFonts w:ascii="宋体" w:hAnsi="宋体" w:cs="宋体"/>
                <w:sz w:val="24"/>
                <w:szCs w:val="24"/>
              </w:rPr>
            </w:pPr>
          </w:p>
        </w:tc>
        <w:tc>
          <w:tcPr>
            <w:tcW w:w="2861" w:type="dxa"/>
          </w:tcPr>
          <w:p>
            <w:pPr>
              <w:spacing w:line="300" w:lineRule="exact"/>
              <w:rPr>
                <w:rFonts w:ascii="宋体" w:hAnsi="宋体" w:cs="宋体"/>
                <w:sz w:val="24"/>
                <w:szCs w:val="24"/>
              </w:rPr>
            </w:pPr>
          </w:p>
        </w:tc>
        <w:tc>
          <w:tcPr>
            <w:tcW w:w="993" w:type="dxa"/>
          </w:tcPr>
          <w:p>
            <w:pPr>
              <w:spacing w:line="300" w:lineRule="exact"/>
              <w:rPr>
                <w:rFonts w:ascii="宋体" w:hAnsi="宋体" w:cs="宋体"/>
                <w:sz w:val="24"/>
                <w:szCs w:val="24"/>
              </w:rPr>
            </w:pPr>
          </w:p>
        </w:tc>
      </w:tr>
    </w:tbl>
    <w:p>
      <w:pPr>
        <w:spacing w:line="400" w:lineRule="exact"/>
        <w:jc w:val="left"/>
        <w:rPr>
          <w:rFonts w:ascii="宋体" w:hAnsi="宋体" w:eastAsia="宋体" w:cs="宋体"/>
          <w:sz w:val="21"/>
          <w:szCs w:val="21"/>
        </w:rPr>
      </w:pPr>
      <w:r>
        <w:rPr>
          <w:rFonts w:hint="eastAsia" w:ascii="宋体" w:hAnsi="宋体" w:eastAsia="宋体" w:cs="宋体"/>
          <w:sz w:val="21"/>
          <w:szCs w:val="21"/>
        </w:rPr>
        <w:t>备注：1.项目资金末端分配点位包括州本级、县（市）、州级部门下属单位及一次性单位等。</w:t>
      </w:r>
    </w:p>
    <w:p>
      <w:pPr>
        <w:spacing w:line="400" w:lineRule="exact"/>
        <w:ind w:firstLine="630" w:firstLineChars="300"/>
        <w:jc w:val="left"/>
        <w:rPr>
          <w:rFonts w:ascii="宋体" w:hAnsi="宋体" w:eastAsia="宋体" w:cs="宋体"/>
          <w:sz w:val="21"/>
          <w:szCs w:val="21"/>
        </w:rPr>
      </w:pPr>
      <w:r>
        <w:rPr>
          <w:rFonts w:hint="eastAsia" w:ascii="宋体" w:hAnsi="宋体" w:eastAsia="宋体" w:cs="宋体"/>
          <w:sz w:val="21"/>
          <w:szCs w:val="21"/>
        </w:rPr>
        <w:t>2.自评得分（百分制）从高到低划分为优、良、中、差四个档次，各个档次数量占比分别为20%、20%、55%、5%，且不同档次间得分分值应体现差异化，同档次得分分值相同的比例不超过该档次总数量的10%。</w:t>
      </w:r>
    </w:p>
    <w:p>
      <w:pPr>
        <w:rPr>
          <w:szCs w:val="24"/>
        </w:rPr>
      </w:pPr>
      <w:r>
        <w:rPr>
          <w:rFonts w:hint="eastAsia"/>
          <w:szCs w:val="24"/>
        </w:rPr>
        <w:br w:type="page"/>
      </w:r>
    </w:p>
    <w:p>
      <w:pPr>
        <w:pStyle w:val="14"/>
        <w:spacing w:after="0" w:line="578" w:lineRule="exact"/>
        <w:ind w:left="0" w:leftChars="0" w:firstLine="0" w:firstLineChars="0"/>
        <w:rPr>
          <w:rFonts w:ascii="Times New Roman" w:eastAsia="黑体"/>
          <w:szCs w:val="24"/>
        </w:rPr>
      </w:pPr>
      <w:r>
        <w:rPr>
          <w:rFonts w:ascii="Times New Roman" w:eastAsia="黑体"/>
          <w:szCs w:val="24"/>
        </w:rPr>
        <w:t>附表2</w:t>
      </w:r>
    </w:p>
    <w:tbl>
      <w:tblPr>
        <w:tblStyle w:val="16"/>
        <w:tblW w:w="10233" w:type="dxa"/>
        <w:jc w:val="center"/>
        <w:tblLayout w:type="fixed"/>
        <w:tblCellMar>
          <w:top w:w="15" w:type="dxa"/>
          <w:left w:w="15" w:type="dxa"/>
          <w:bottom w:w="15" w:type="dxa"/>
          <w:right w:w="15" w:type="dxa"/>
        </w:tblCellMar>
      </w:tblPr>
      <w:tblGrid>
        <w:gridCol w:w="685"/>
        <w:gridCol w:w="885"/>
        <w:gridCol w:w="1582"/>
        <w:gridCol w:w="2250"/>
        <w:gridCol w:w="688"/>
        <w:gridCol w:w="786"/>
        <w:gridCol w:w="1061"/>
        <w:gridCol w:w="887"/>
        <w:gridCol w:w="1409"/>
      </w:tblGrid>
      <w:tr>
        <w:tblPrEx>
          <w:tblCellMar>
            <w:top w:w="15" w:type="dxa"/>
            <w:left w:w="15" w:type="dxa"/>
            <w:bottom w:w="15" w:type="dxa"/>
            <w:right w:w="15" w:type="dxa"/>
          </w:tblCellMar>
        </w:tblPrEx>
        <w:trPr>
          <w:trHeight w:val="576" w:hRule="atLeast"/>
          <w:jc w:val="center"/>
        </w:trPr>
        <w:tc>
          <w:tcPr>
            <w:tcW w:w="10233" w:type="dxa"/>
            <w:gridSpan w:val="9"/>
            <w:shd w:val="clear" w:color="auto" w:fill="auto"/>
            <w:vAlign w:val="center"/>
          </w:tcPr>
          <w:p>
            <w:pPr>
              <w:widowControl/>
              <w:jc w:val="center"/>
              <w:textAlignment w:val="center"/>
              <w:rPr>
                <w:rFonts w:ascii="黑体" w:hAnsi="宋体" w:eastAsia="黑体" w:cs="黑体"/>
                <w:color w:val="000000"/>
                <w:sz w:val="30"/>
                <w:szCs w:val="30"/>
              </w:rPr>
            </w:pPr>
            <w:r>
              <w:rPr>
                <w:rFonts w:ascii="方正小标宋简体" w:hAnsi="方正小标宋简体" w:eastAsia="方正小标宋简体" w:cs="方正小标宋简体"/>
                <w:color w:val="000000"/>
                <w:kern w:val="0"/>
                <w:sz w:val="40"/>
                <w:szCs w:val="40"/>
              </w:rPr>
              <w:t>专项预算项目绩效目标完成情况自评表</w:t>
            </w:r>
          </w:p>
        </w:tc>
      </w:tr>
      <w:tr>
        <w:tblPrEx>
          <w:tblCellMar>
            <w:top w:w="15" w:type="dxa"/>
            <w:left w:w="15" w:type="dxa"/>
            <w:bottom w:w="15" w:type="dxa"/>
            <w:right w:w="15" w:type="dxa"/>
          </w:tblCellMar>
        </w:tblPrEx>
        <w:trPr>
          <w:trHeight w:val="23" w:hRule="atLeast"/>
          <w:jc w:val="center"/>
        </w:trPr>
        <w:tc>
          <w:tcPr>
            <w:tcW w:w="540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项目名称</w:t>
            </w:r>
          </w:p>
        </w:tc>
        <w:tc>
          <w:tcPr>
            <w:tcW w:w="4831" w:type="dxa"/>
            <w:gridSpan w:val="5"/>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textAlignment w:val="bottom"/>
              <w:rPr>
                <w:rFonts w:ascii="宋体" w:hAnsi="宋体" w:eastAsia="宋体" w:cs="宋体"/>
                <w:color w:val="000000"/>
                <w:sz w:val="24"/>
                <w:szCs w:val="24"/>
              </w:rPr>
            </w:pPr>
            <w:r>
              <w:rPr>
                <w:rFonts w:hint="eastAsia" w:ascii="仿宋_GB2312" w:hAnsi="仿宋_GB2312" w:cs="仿宋_GB2312"/>
                <w:kern w:val="0"/>
                <w:shd w:val="clear" w:color="auto" w:fill="FFFFFF"/>
                <w:lang w:val="zh-CN"/>
              </w:rPr>
              <w:t>省内县外务工交通就业补贴项目</w:t>
            </w:r>
          </w:p>
        </w:tc>
      </w:tr>
      <w:tr>
        <w:tblPrEx>
          <w:tblCellMar>
            <w:top w:w="15" w:type="dxa"/>
            <w:left w:w="15" w:type="dxa"/>
            <w:bottom w:w="15" w:type="dxa"/>
            <w:right w:w="15" w:type="dxa"/>
          </w:tblCellMar>
        </w:tblPrEx>
        <w:trPr>
          <w:trHeight w:val="23" w:hRule="atLeast"/>
          <w:jc w:val="center"/>
        </w:trPr>
        <w:tc>
          <w:tcPr>
            <w:tcW w:w="540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预算单位</w:t>
            </w:r>
          </w:p>
        </w:tc>
        <w:tc>
          <w:tcPr>
            <w:tcW w:w="4831" w:type="dxa"/>
            <w:gridSpan w:val="5"/>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textAlignment w:val="bottom"/>
              <w:rPr>
                <w:rFonts w:hint="default" w:ascii="宋体" w:hAnsi="宋体" w:eastAsia="宋体" w:cs="宋体"/>
                <w:color w:val="000000"/>
                <w:sz w:val="24"/>
                <w:szCs w:val="24"/>
                <w:lang w:val="en-US" w:eastAsia="zh-CN"/>
              </w:rPr>
            </w:pPr>
            <w:r>
              <w:rPr>
                <w:rFonts w:hint="eastAsia" w:ascii="宋体" w:hAnsi="宋体" w:eastAsia="宋体" w:cs="宋体"/>
                <w:color w:val="000000"/>
                <w:kern w:val="0"/>
                <w:sz w:val="24"/>
                <w:szCs w:val="24"/>
                <w:lang w:val="en-US" w:eastAsia="zh-CN"/>
              </w:rPr>
              <w:t>茂县就业服务中心</w:t>
            </w:r>
          </w:p>
        </w:tc>
      </w:tr>
      <w:tr>
        <w:tblPrEx>
          <w:tblCellMar>
            <w:top w:w="15" w:type="dxa"/>
            <w:left w:w="15" w:type="dxa"/>
            <w:bottom w:w="15" w:type="dxa"/>
            <w:right w:w="15" w:type="dxa"/>
          </w:tblCellMar>
        </w:tblPrEx>
        <w:trPr>
          <w:trHeight w:val="23" w:hRule="atLeast"/>
          <w:jc w:val="center"/>
        </w:trPr>
        <w:tc>
          <w:tcPr>
            <w:tcW w:w="540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项目类型</w:t>
            </w:r>
          </w:p>
        </w:tc>
        <w:tc>
          <w:tcPr>
            <w:tcW w:w="4831" w:type="dxa"/>
            <w:gridSpan w:val="5"/>
            <w:tcBorders>
              <w:top w:val="single" w:color="000000" w:sz="4" w:space="0"/>
              <w:left w:val="single" w:color="000000" w:sz="4" w:space="0"/>
              <w:bottom w:val="single" w:color="000000" w:sz="4" w:space="0"/>
              <w:right w:val="single" w:color="000000" w:sz="4" w:space="0"/>
            </w:tcBorders>
            <w:shd w:val="clear" w:color="auto" w:fill="auto"/>
            <w:vAlign w:val="bottom"/>
          </w:tcPr>
          <w:p>
            <w:pPr>
              <w:jc w:val="left"/>
              <w:rPr>
                <w:rFonts w:ascii="宋体" w:hAnsi="宋体" w:eastAsia="宋体" w:cs="宋体"/>
                <w:color w:val="000000"/>
                <w:sz w:val="24"/>
                <w:szCs w:val="24"/>
              </w:rPr>
            </w:pPr>
          </w:p>
        </w:tc>
      </w:tr>
      <w:tr>
        <w:tblPrEx>
          <w:tblCellMar>
            <w:top w:w="15" w:type="dxa"/>
            <w:left w:w="15" w:type="dxa"/>
            <w:bottom w:w="15" w:type="dxa"/>
            <w:right w:w="15" w:type="dxa"/>
          </w:tblCellMar>
        </w:tblPrEx>
        <w:trPr>
          <w:trHeight w:val="23" w:hRule="atLeast"/>
          <w:jc w:val="center"/>
        </w:trPr>
        <w:tc>
          <w:tcPr>
            <w:tcW w:w="6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项目 概况</w:t>
            </w:r>
          </w:p>
        </w:tc>
        <w:tc>
          <w:tcPr>
            <w:tcW w:w="47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中长期规划（名称、文号，仅指</w:t>
            </w:r>
          </w:p>
        </w:tc>
        <w:tc>
          <w:tcPr>
            <w:tcW w:w="4831"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eastAsia="宋体" w:cs="宋体"/>
                <w:color w:val="000000"/>
                <w:sz w:val="24"/>
                <w:szCs w:val="24"/>
              </w:rPr>
            </w:pPr>
          </w:p>
        </w:tc>
      </w:tr>
      <w:tr>
        <w:tblPrEx>
          <w:tblCellMar>
            <w:top w:w="15" w:type="dxa"/>
            <w:left w:w="15" w:type="dxa"/>
            <w:bottom w:w="15" w:type="dxa"/>
            <w:right w:w="15" w:type="dxa"/>
          </w:tblCellMar>
        </w:tblPrEx>
        <w:trPr>
          <w:trHeight w:val="23" w:hRule="atLeast"/>
          <w:jc w:val="center"/>
        </w:trPr>
        <w:tc>
          <w:tcPr>
            <w:tcW w:w="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szCs w:val="24"/>
              </w:rPr>
            </w:pPr>
          </w:p>
        </w:tc>
        <w:tc>
          <w:tcPr>
            <w:tcW w:w="47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常年项目）</w:t>
            </w:r>
          </w:p>
        </w:tc>
        <w:tc>
          <w:tcPr>
            <w:tcW w:w="4831"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jc w:val="left"/>
              <w:rPr>
                <w:rFonts w:ascii="宋体" w:hAnsi="宋体" w:eastAsia="宋体" w:cs="宋体"/>
                <w:color w:val="000000"/>
                <w:sz w:val="24"/>
                <w:szCs w:val="24"/>
              </w:rPr>
            </w:pPr>
          </w:p>
        </w:tc>
      </w:tr>
      <w:tr>
        <w:tblPrEx>
          <w:tblCellMar>
            <w:top w:w="15" w:type="dxa"/>
            <w:left w:w="15" w:type="dxa"/>
            <w:bottom w:w="15" w:type="dxa"/>
            <w:right w:w="15" w:type="dxa"/>
          </w:tblCellMar>
        </w:tblPrEx>
        <w:trPr>
          <w:trHeight w:val="23" w:hRule="atLeast"/>
          <w:jc w:val="center"/>
        </w:trPr>
        <w:tc>
          <w:tcPr>
            <w:tcW w:w="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szCs w:val="24"/>
              </w:rPr>
            </w:pPr>
          </w:p>
        </w:tc>
        <w:tc>
          <w:tcPr>
            <w:tcW w:w="47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资金管理办法（名称、文号）</w:t>
            </w:r>
          </w:p>
        </w:tc>
        <w:tc>
          <w:tcPr>
            <w:tcW w:w="4831" w:type="dxa"/>
            <w:gridSpan w:val="5"/>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rPr>
              <w:t>茂财预调（2024）00022号</w:t>
            </w:r>
            <w:r>
              <w:rPr>
                <w:rFonts w:hint="eastAsia" w:asciiTheme="minorEastAsia" w:hAnsiTheme="minorEastAsia" w:eastAsiaTheme="minorEastAsia" w:cstheme="minorEastAsia"/>
                <w:color w:val="000000"/>
                <w:sz w:val="24"/>
                <w:szCs w:val="24"/>
                <w:lang w:eastAsia="zh-CN"/>
              </w:rPr>
              <w:t>、茂财预往（2024）00275号</w:t>
            </w:r>
          </w:p>
        </w:tc>
      </w:tr>
      <w:tr>
        <w:tblPrEx>
          <w:tblCellMar>
            <w:top w:w="15" w:type="dxa"/>
            <w:left w:w="15" w:type="dxa"/>
            <w:bottom w:w="15" w:type="dxa"/>
            <w:right w:w="15" w:type="dxa"/>
          </w:tblCellMar>
        </w:tblPrEx>
        <w:trPr>
          <w:trHeight w:val="23" w:hRule="atLeast"/>
          <w:jc w:val="center"/>
        </w:trPr>
        <w:tc>
          <w:tcPr>
            <w:tcW w:w="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szCs w:val="24"/>
              </w:rPr>
            </w:pPr>
          </w:p>
        </w:tc>
        <w:tc>
          <w:tcPr>
            <w:tcW w:w="47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绩效分配方式</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4"/>
                <w:szCs w:val="24"/>
              </w:rPr>
            </w:pPr>
            <w:r>
              <w:rPr>
                <w:rFonts w:ascii="Wingdings 2" w:hAnsi="Wingdings 2" w:eastAsia="Wingdings 2" w:cs="Wingdings 2"/>
                <w:color w:val="000000"/>
                <w:kern w:val="0"/>
                <w:sz w:val="24"/>
                <w:szCs w:val="24"/>
              </w:rPr>
              <w:t>£</w:t>
            </w:r>
            <w:r>
              <w:rPr>
                <w:rStyle w:val="39"/>
                <w:rFonts w:hint="default"/>
              </w:rPr>
              <w:t>因素法</w:t>
            </w:r>
          </w:p>
        </w:tc>
        <w:tc>
          <w:tcPr>
            <w:tcW w:w="18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ascii="Wingdings 2" w:hAnsi="Wingdings 2" w:eastAsia="Wingdings 2" w:cs="Wingdings 2"/>
                <w:color w:val="000000"/>
                <w:kern w:val="0"/>
                <w:sz w:val="24"/>
                <w:szCs w:val="24"/>
              </w:rPr>
              <w:t>£项目法</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ascii="Wingdings 2" w:hAnsi="Wingdings 2" w:eastAsia="Wingdings 2" w:cs="Wingdings 2"/>
                <w:color w:val="000000"/>
                <w:kern w:val="0"/>
                <w:sz w:val="24"/>
                <w:szCs w:val="24"/>
              </w:rPr>
              <w:t>£</w:t>
            </w:r>
            <w:r>
              <w:rPr>
                <w:rStyle w:val="39"/>
                <w:rFonts w:hint="default"/>
              </w:rPr>
              <w:t>据实据效</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ascii="Wingdings 2" w:hAnsi="Wingdings 2" w:eastAsia="Wingdings 2" w:cs="Wingdings 2"/>
                <w:color w:val="000000"/>
                <w:kern w:val="0"/>
                <w:sz w:val="24"/>
                <w:szCs w:val="24"/>
              </w:rPr>
              <w:t>£</w:t>
            </w:r>
            <w:r>
              <w:rPr>
                <w:rStyle w:val="39"/>
                <w:rFonts w:hint="default"/>
              </w:rPr>
              <w:t>因素法与项目法相结合</w:t>
            </w:r>
          </w:p>
        </w:tc>
      </w:tr>
      <w:tr>
        <w:tblPrEx>
          <w:tblCellMar>
            <w:top w:w="15" w:type="dxa"/>
            <w:left w:w="15" w:type="dxa"/>
            <w:bottom w:w="15" w:type="dxa"/>
            <w:right w:w="15" w:type="dxa"/>
          </w:tblCellMar>
        </w:tblPrEx>
        <w:trPr>
          <w:trHeight w:val="23" w:hRule="atLeast"/>
          <w:jc w:val="center"/>
        </w:trPr>
        <w:tc>
          <w:tcPr>
            <w:tcW w:w="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szCs w:val="24"/>
              </w:rPr>
            </w:pPr>
          </w:p>
        </w:tc>
        <w:tc>
          <w:tcPr>
            <w:tcW w:w="47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立项依据</w:t>
            </w:r>
          </w:p>
        </w:tc>
        <w:tc>
          <w:tcPr>
            <w:tcW w:w="4831" w:type="dxa"/>
            <w:gridSpan w:val="5"/>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eastAsia="宋体" w:cs="宋体"/>
                <w:color w:val="000000"/>
                <w:sz w:val="24"/>
                <w:szCs w:val="24"/>
              </w:rPr>
            </w:pPr>
          </w:p>
        </w:tc>
      </w:tr>
      <w:tr>
        <w:tblPrEx>
          <w:tblCellMar>
            <w:top w:w="15" w:type="dxa"/>
            <w:left w:w="15" w:type="dxa"/>
            <w:bottom w:w="15" w:type="dxa"/>
            <w:right w:w="15" w:type="dxa"/>
          </w:tblCellMar>
        </w:tblPrEx>
        <w:trPr>
          <w:trHeight w:val="23" w:hRule="atLeast"/>
          <w:jc w:val="center"/>
        </w:trPr>
        <w:tc>
          <w:tcPr>
            <w:tcW w:w="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szCs w:val="24"/>
              </w:rPr>
            </w:pPr>
          </w:p>
        </w:tc>
        <w:tc>
          <w:tcPr>
            <w:tcW w:w="47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使用范围</w:t>
            </w:r>
          </w:p>
        </w:tc>
        <w:tc>
          <w:tcPr>
            <w:tcW w:w="4831" w:type="dxa"/>
            <w:gridSpan w:val="5"/>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eastAsia="宋体" w:cs="宋体"/>
                <w:color w:val="000000"/>
                <w:sz w:val="24"/>
                <w:szCs w:val="24"/>
              </w:rPr>
            </w:pPr>
            <w:r>
              <w:rPr>
                <w:rFonts w:hint="eastAsia" w:ascii="宋体" w:hAnsi="宋体" w:eastAsia="宋体" w:cs="宋体"/>
                <w:color w:val="000000"/>
                <w:kern w:val="0"/>
                <w:sz w:val="24"/>
                <w:szCs w:val="24"/>
              </w:rPr>
              <w:t>用于</w:t>
            </w:r>
            <w:r>
              <w:rPr>
                <w:rFonts w:hint="eastAsia" w:ascii="宋体" w:hAnsi="宋体" w:eastAsia="宋体" w:cs="宋体"/>
                <w:color w:val="000000"/>
                <w:kern w:val="0"/>
                <w:sz w:val="24"/>
                <w:szCs w:val="24"/>
                <w:lang w:eastAsia="zh-CN"/>
              </w:rPr>
              <w:t>支付</w:t>
            </w:r>
            <w:r>
              <w:rPr>
                <w:rFonts w:hint="eastAsia" w:ascii="宋体" w:hAnsi="宋体" w:eastAsia="宋体" w:cs="宋体"/>
                <w:color w:val="000000"/>
                <w:kern w:val="0"/>
                <w:sz w:val="24"/>
                <w:szCs w:val="24"/>
                <w:lang w:val="en-US" w:eastAsia="zh-CN"/>
              </w:rPr>
              <w:t>脱贫户、监测户省内县外务工交通补贴</w:t>
            </w:r>
          </w:p>
        </w:tc>
      </w:tr>
      <w:tr>
        <w:tblPrEx>
          <w:tblCellMar>
            <w:top w:w="15" w:type="dxa"/>
            <w:left w:w="15" w:type="dxa"/>
            <w:bottom w:w="15" w:type="dxa"/>
            <w:right w:w="15" w:type="dxa"/>
          </w:tblCellMar>
        </w:tblPrEx>
        <w:trPr>
          <w:trHeight w:val="23" w:hRule="atLeast"/>
          <w:jc w:val="center"/>
        </w:trPr>
        <w:tc>
          <w:tcPr>
            <w:tcW w:w="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szCs w:val="24"/>
              </w:rPr>
            </w:pPr>
          </w:p>
        </w:tc>
        <w:tc>
          <w:tcPr>
            <w:tcW w:w="47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申报（补助）条件</w:t>
            </w:r>
          </w:p>
        </w:tc>
        <w:tc>
          <w:tcPr>
            <w:tcW w:w="4831" w:type="dxa"/>
            <w:gridSpan w:val="5"/>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eastAsia="宋体" w:cs="宋体"/>
                <w:color w:val="000000"/>
                <w:sz w:val="24"/>
                <w:szCs w:val="24"/>
              </w:rPr>
            </w:pPr>
            <w:r>
              <w:rPr>
                <w:rFonts w:hint="eastAsia" w:ascii="宋体" w:hAnsi="宋体" w:eastAsia="宋体" w:cs="宋体"/>
                <w:color w:val="000000"/>
                <w:kern w:val="0"/>
                <w:sz w:val="24"/>
                <w:szCs w:val="24"/>
                <w:lang w:val="en-US" w:eastAsia="zh-CN"/>
              </w:rPr>
              <w:t>根据《四川省农业农村厅 四川省人力资源和社会保障厅 四川省财政厅关于进一步加大脱贫人口跨区域务工就业交通补助力度促进脱贫群众就业增收的通知》，在省内县外稳定务工三个月以上的脱贫户或监测户。</w:t>
            </w:r>
          </w:p>
        </w:tc>
      </w:tr>
      <w:tr>
        <w:tblPrEx>
          <w:tblCellMar>
            <w:top w:w="15" w:type="dxa"/>
            <w:left w:w="15" w:type="dxa"/>
            <w:bottom w:w="15" w:type="dxa"/>
            <w:right w:w="15" w:type="dxa"/>
          </w:tblCellMar>
        </w:tblPrEx>
        <w:trPr>
          <w:trHeight w:val="23" w:hRule="atLeast"/>
          <w:jc w:val="center"/>
        </w:trPr>
        <w:tc>
          <w:tcPr>
            <w:tcW w:w="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szCs w:val="24"/>
              </w:rPr>
            </w:pPr>
          </w:p>
        </w:tc>
        <w:tc>
          <w:tcPr>
            <w:tcW w:w="47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项目起止年限</w:t>
            </w:r>
          </w:p>
        </w:tc>
        <w:tc>
          <w:tcPr>
            <w:tcW w:w="4831" w:type="dxa"/>
            <w:gridSpan w:val="5"/>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textAlignment w:val="bottom"/>
              <w:rPr>
                <w:rFonts w:ascii="宋体" w:hAnsi="宋体" w:eastAsia="宋体" w:cs="宋体"/>
                <w:color w:val="000000"/>
                <w:sz w:val="24"/>
                <w:szCs w:val="24"/>
              </w:rPr>
            </w:pPr>
            <w:r>
              <w:rPr>
                <w:rFonts w:hint="eastAsia" w:ascii="宋体" w:hAnsi="宋体" w:eastAsia="宋体" w:cs="宋体"/>
                <w:color w:val="000000"/>
                <w:kern w:val="0"/>
                <w:sz w:val="24"/>
                <w:szCs w:val="24"/>
              </w:rPr>
              <w:t>202</w:t>
            </w:r>
            <w:r>
              <w:rPr>
                <w:rFonts w:hint="eastAsia" w:ascii="宋体" w:hAnsi="宋体" w:eastAsia="宋体" w:cs="宋体"/>
                <w:color w:val="000000"/>
                <w:kern w:val="0"/>
                <w:sz w:val="24"/>
                <w:szCs w:val="24"/>
                <w:lang w:val="en-US" w:eastAsia="zh-CN"/>
              </w:rPr>
              <w:t>4</w:t>
            </w:r>
            <w:r>
              <w:rPr>
                <w:rFonts w:hint="eastAsia" w:ascii="宋体" w:hAnsi="宋体" w:eastAsia="宋体" w:cs="宋体"/>
                <w:color w:val="000000"/>
                <w:kern w:val="0"/>
                <w:sz w:val="24"/>
                <w:szCs w:val="24"/>
              </w:rPr>
              <w:t>年1月1日-202</w:t>
            </w:r>
            <w:r>
              <w:rPr>
                <w:rFonts w:hint="eastAsia" w:ascii="宋体" w:hAnsi="宋体" w:eastAsia="宋体" w:cs="宋体"/>
                <w:color w:val="000000"/>
                <w:kern w:val="0"/>
                <w:sz w:val="24"/>
                <w:szCs w:val="24"/>
                <w:lang w:val="en-US" w:eastAsia="zh-CN"/>
              </w:rPr>
              <w:t>4</w:t>
            </w:r>
            <w:r>
              <w:rPr>
                <w:rFonts w:hint="eastAsia" w:ascii="宋体" w:hAnsi="宋体" w:eastAsia="宋体" w:cs="宋体"/>
                <w:color w:val="000000"/>
                <w:kern w:val="0"/>
                <w:sz w:val="24"/>
                <w:szCs w:val="24"/>
              </w:rPr>
              <w:t>年12月31日</w:t>
            </w:r>
          </w:p>
        </w:tc>
      </w:tr>
      <w:tr>
        <w:tblPrEx>
          <w:tblCellMar>
            <w:top w:w="15" w:type="dxa"/>
            <w:left w:w="15" w:type="dxa"/>
            <w:bottom w:w="15" w:type="dxa"/>
            <w:right w:w="15" w:type="dxa"/>
          </w:tblCellMar>
        </w:tblPrEx>
        <w:trPr>
          <w:trHeight w:val="23" w:hRule="atLeast"/>
          <w:jc w:val="center"/>
        </w:trPr>
        <w:tc>
          <w:tcPr>
            <w:tcW w:w="15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项目资金</w:t>
            </w:r>
          </w:p>
        </w:tc>
        <w:tc>
          <w:tcPr>
            <w:tcW w:w="38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 xml:space="preserve">  </w:t>
            </w:r>
            <w:r>
              <w:rPr>
                <w:rStyle w:val="39"/>
                <w:rFonts w:hint="default"/>
              </w:rPr>
              <w:t>年度资金总额：</w:t>
            </w:r>
          </w:p>
        </w:tc>
        <w:tc>
          <w:tcPr>
            <w:tcW w:w="4831" w:type="dxa"/>
            <w:gridSpan w:val="5"/>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hint="default" w:ascii="宋体" w:hAnsi="宋体" w:eastAsia="宋体" w:cs="宋体"/>
                <w:color w:val="000000"/>
                <w:sz w:val="24"/>
                <w:szCs w:val="24"/>
                <w:lang w:val="en-US" w:eastAsia="zh-CN"/>
              </w:rPr>
            </w:pPr>
            <w:r>
              <w:rPr>
                <w:rFonts w:hint="eastAsia" w:ascii="宋体" w:hAnsi="宋体" w:eastAsia="宋体" w:cs="宋体"/>
                <w:color w:val="000000"/>
                <w:kern w:val="0"/>
                <w:sz w:val="24"/>
                <w:szCs w:val="24"/>
                <w:lang w:val="en-US" w:eastAsia="zh-CN"/>
              </w:rPr>
              <w:t>40</w:t>
            </w:r>
          </w:p>
        </w:tc>
      </w:tr>
      <w:tr>
        <w:tblPrEx>
          <w:tblCellMar>
            <w:top w:w="15" w:type="dxa"/>
            <w:left w:w="15" w:type="dxa"/>
            <w:bottom w:w="15" w:type="dxa"/>
            <w:right w:w="15" w:type="dxa"/>
          </w:tblCellMar>
        </w:tblPrEx>
        <w:trPr>
          <w:trHeight w:val="23" w:hRule="atLeast"/>
          <w:jc w:val="center"/>
        </w:trPr>
        <w:tc>
          <w:tcPr>
            <w:tcW w:w="15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（万元）</w:t>
            </w:r>
          </w:p>
        </w:tc>
        <w:tc>
          <w:tcPr>
            <w:tcW w:w="38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 xml:space="preserve">      </w:t>
            </w:r>
            <w:r>
              <w:rPr>
                <w:rStyle w:val="39"/>
                <w:rFonts w:hint="default"/>
              </w:rPr>
              <w:t>其中：财政拨款</w:t>
            </w:r>
          </w:p>
        </w:tc>
        <w:tc>
          <w:tcPr>
            <w:tcW w:w="4831" w:type="dxa"/>
            <w:gridSpan w:val="5"/>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hint="default" w:ascii="宋体" w:hAnsi="宋体" w:eastAsia="宋体" w:cs="宋体"/>
                <w:color w:val="000000"/>
                <w:sz w:val="24"/>
                <w:szCs w:val="24"/>
                <w:lang w:val="en-US" w:eastAsia="zh-CN"/>
              </w:rPr>
            </w:pPr>
            <w:r>
              <w:rPr>
                <w:rFonts w:hint="eastAsia" w:ascii="宋体" w:hAnsi="宋体" w:eastAsia="宋体" w:cs="宋体"/>
                <w:color w:val="000000"/>
                <w:kern w:val="0"/>
                <w:sz w:val="24"/>
                <w:szCs w:val="24"/>
                <w:lang w:val="en-US" w:eastAsia="zh-CN"/>
              </w:rPr>
              <w:t>40</w:t>
            </w:r>
          </w:p>
        </w:tc>
      </w:tr>
      <w:tr>
        <w:tblPrEx>
          <w:tblCellMar>
            <w:top w:w="15" w:type="dxa"/>
            <w:left w:w="15" w:type="dxa"/>
            <w:bottom w:w="15" w:type="dxa"/>
            <w:right w:w="15" w:type="dxa"/>
          </w:tblCellMar>
        </w:tblPrEx>
        <w:trPr>
          <w:trHeight w:val="23" w:hRule="atLeast"/>
          <w:jc w:val="center"/>
        </w:trPr>
        <w:tc>
          <w:tcPr>
            <w:tcW w:w="1570"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eastAsia="宋体" w:cs="宋体"/>
                <w:color w:val="000000"/>
                <w:sz w:val="24"/>
                <w:szCs w:val="24"/>
              </w:rPr>
            </w:pPr>
          </w:p>
        </w:tc>
        <w:tc>
          <w:tcPr>
            <w:tcW w:w="38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 xml:space="preserve">            </w:t>
            </w:r>
            <w:r>
              <w:rPr>
                <w:rStyle w:val="39"/>
                <w:rFonts w:hint="default"/>
              </w:rPr>
              <w:t>其他资金</w:t>
            </w:r>
          </w:p>
        </w:tc>
        <w:tc>
          <w:tcPr>
            <w:tcW w:w="4831" w:type="dxa"/>
            <w:gridSpan w:val="5"/>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pPr>
          </w:p>
        </w:tc>
      </w:tr>
      <w:tr>
        <w:tblPrEx>
          <w:tblCellMar>
            <w:top w:w="15" w:type="dxa"/>
            <w:left w:w="15" w:type="dxa"/>
            <w:bottom w:w="15" w:type="dxa"/>
            <w:right w:w="15" w:type="dxa"/>
          </w:tblCellMar>
        </w:tblPrEx>
        <w:trPr>
          <w:trHeight w:val="23" w:hRule="atLeast"/>
          <w:jc w:val="center"/>
        </w:trPr>
        <w:tc>
          <w:tcPr>
            <w:tcW w:w="6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总体 目标</w:t>
            </w:r>
          </w:p>
        </w:tc>
        <w:tc>
          <w:tcPr>
            <w:tcW w:w="954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年度目标</w:t>
            </w:r>
          </w:p>
        </w:tc>
      </w:tr>
      <w:tr>
        <w:tblPrEx>
          <w:tblCellMar>
            <w:top w:w="15" w:type="dxa"/>
            <w:left w:w="15" w:type="dxa"/>
            <w:bottom w:w="15" w:type="dxa"/>
            <w:right w:w="15" w:type="dxa"/>
          </w:tblCellMar>
        </w:tblPrEx>
        <w:trPr>
          <w:trHeight w:val="637" w:hRule="atLeast"/>
          <w:jc w:val="center"/>
        </w:trPr>
        <w:tc>
          <w:tcPr>
            <w:tcW w:w="685"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ascii="宋体" w:hAnsi="宋体" w:eastAsia="宋体" w:cs="宋体"/>
                <w:color w:val="000000"/>
                <w:sz w:val="24"/>
                <w:szCs w:val="24"/>
              </w:rPr>
            </w:pPr>
          </w:p>
        </w:tc>
        <w:tc>
          <w:tcPr>
            <w:tcW w:w="9548" w:type="dxa"/>
            <w:gridSpan w:val="8"/>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eastAsia="宋体" w:cs="宋体"/>
                <w:color w:val="000000"/>
                <w:sz w:val="24"/>
                <w:szCs w:val="24"/>
              </w:rPr>
            </w:pPr>
          </w:p>
        </w:tc>
      </w:tr>
      <w:tr>
        <w:tblPrEx>
          <w:tblCellMar>
            <w:top w:w="15" w:type="dxa"/>
            <w:left w:w="15" w:type="dxa"/>
            <w:bottom w:w="15" w:type="dxa"/>
            <w:right w:w="15" w:type="dxa"/>
          </w:tblCellMar>
        </w:tblPrEx>
        <w:trPr>
          <w:trHeight w:val="23" w:hRule="atLeast"/>
          <w:jc w:val="center"/>
        </w:trPr>
        <w:tc>
          <w:tcPr>
            <w:tcW w:w="685" w:type="dxa"/>
            <w:vMerge w:val="restart"/>
            <w:tcBorders>
              <w:top w:val="single" w:color="000000" w:sz="4" w:space="0"/>
              <w:left w:val="single" w:color="000000" w:sz="4" w:space="0"/>
            </w:tcBorders>
            <w:shd w:val="clear" w:color="auto" w:fill="auto"/>
            <w:vAlign w:val="center"/>
          </w:tcPr>
          <w:p>
            <w:pPr>
              <w:widowControl/>
              <w:jc w:val="center"/>
              <w:textAlignment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绩效指标</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一级指标</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二级指标</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三级指标</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指标性质</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指标值</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度量单位</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权重</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实际完成指标值</w:t>
            </w:r>
          </w:p>
        </w:tc>
      </w:tr>
      <w:tr>
        <w:tblPrEx>
          <w:tblCellMar>
            <w:top w:w="15" w:type="dxa"/>
            <w:left w:w="15" w:type="dxa"/>
            <w:bottom w:w="15" w:type="dxa"/>
            <w:right w:w="15" w:type="dxa"/>
          </w:tblCellMar>
        </w:tblPrEx>
        <w:trPr>
          <w:trHeight w:val="23" w:hRule="atLeast"/>
          <w:jc w:val="center"/>
        </w:trPr>
        <w:tc>
          <w:tcPr>
            <w:tcW w:w="685" w:type="dxa"/>
            <w:vMerge w:val="continue"/>
            <w:tcBorders>
              <w:left w:val="single" w:color="000000" w:sz="4" w:space="0"/>
            </w:tcBorders>
            <w:shd w:val="clear" w:color="auto" w:fill="auto"/>
            <w:vAlign w:val="center"/>
          </w:tcPr>
          <w:p>
            <w:pPr>
              <w:jc w:val="center"/>
              <w:rPr>
                <w:rFonts w:ascii="宋体" w:hAnsi="宋体" w:eastAsia="宋体" w:cs="宋体"/>
                <w:color w:val="000000"/>
                <w:sz w:val="24"/>
                <w:szCs w:val="24"/>
              </w:rPr>
            </w:pPr>
          </w:p>
        </w:tc>
        <w:tc>
          <w:tcPr>
            <w:tcW w:w="885"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color w:val="000000"/>
                <w:sz w:val="24"/>
                <w:szCs w:val="24"/>
                <w:lang w:val="en-US" w:eastAsia="zh-CN"/>
              </w:rPr>
            </w:pPr>
            <w:r>
              <w:rPr>
                <w:rFonts w:ascii="宋体" w:hAnsi="宋体" w:eastAsia="宋体" w:cs="宋体"/>
                <w:i w:val="0"/>
                <w:iCs w:val="0"/>
                <w:color w:val="000000"/>
                <w:kern w:val="0"/>
                <w:sz w:val="18"/>
                <w:szCs w:val="18"/>
                <w:u w:val="none"/>
                <w:lang w:val="en-US" w:eastAsia="zh-CN" w:bidi="ar"/>
              </w:rPr>
              <w:t>产出指标</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ascii="宋体" w:hAnsi="宋体" w:eastAsia="宋体" w:cs="宋体"/>
                <w:i w:val="0"/>
                <w:iCs w:val="0"/>
                <w:color w:val="000000"/>
                <w:kern w:val="0"/>
                <w:sz w:val="18"/>
                <w:szCs w:val="18"/>
                <w:u w:val="none"/>
                <w:lang w:val="en-US" w:eastAsia="zh-CN" w:bidi="ar"/>
              </w:rPr>
              <w:t>数量指标</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ascii="宋体" w:hAnsi="宋体" w:eastAsia="宋体" w:cs="宋体"/>
                <w:i w:val="0"/>
                <w:iCs w:val="0"/>
                <w:color w:val="000000"/>
                <w:kern w:val="0"/>
                <w:sz w:val="18"/>
                <w:szCs w:val="18"/>
                <w:u w:val="none"/>
                <w:lang w:val="en-US" w:eastAsia="zh-CN" w:bidi="ar"/>
              </w:rPr>
              <w:t>发放跨区域交通补助</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ascii="宋体" w:hAnsi="宋体" w:eastAsia="宋体" w:cs="宋体"/>
                <w:i w:val="0"/>
                <w:iCs w:val="0"/>
                <w:color w:val="000000"/>
                <w:kern w:val="0"/>
                <w:sz w:val="18"/>
                <w:szCs w:val="18"/>
                <w:u w:val="none"/>
                <w:lang w:val="en-US" w:eastAsia="zh-CN" w:bidi="ar"/>
              </w:rPr>
              <w:t>≥</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color w:val="000000"/>
                <w:sz w:val="24"/>
                <w:szCs w:val="24"/>
                <w:lang w:val="en-US" w:eastAsia="zh-CN"/>
              </w:rPr>
            </w:pPr>
            <w:r>
              <w:rPr>
                <w:rFonts w:ascii="宋体" w:hAnsi="宋体" w:eastAsia="宋体" w:cs="宋体"/>
                <w:i w:val="0"/>
                <w:iCs w:val="0"/>
                <w:color w:val="000000"/>
                <w:kern w:val="0"/>
                <w:sz w:val="18"/>
                <w:szCs w:val="18"/>
                <w:u w:val="none"/>
                <w:lang w:val="en-US" w:eastAsia="zh-CN" w:bidi="ar"/>
              </w:rPr>
              <w:t>800</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ascii="宋体" w:hAnsi="宋体" w:eastAsia="宋体" w:cs="宋体"/>
                <w:i w:val="0"/>
                <w:iCs w:val="0"/>
                <w:color w:val="000000"/>
                <w:kern w:val="0"/>
                <w:sz w:val="18"/>
                <w:szCs w:val="18"/>
                <w:u w:val="none"/>
                <w:lang w:val="en-US" w:eastAsia="zh-CN" w:bidi="ar"/>
              </w:rPr>
              <w:t>人</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color w:val="000000"/>
                <w:sz w:val="24"/>
                <w:szCs w:val="24"/>
                <w:lang w:val="en-US" w:eastAsia="zh-CN"/>
              </w:rPr>
            </w:pPr>
            <w:r>
              <w:rPr>
                <w:rFonts w:hint="eastAsia" w:ascii="宋体" w:hAnsi="宋体" w:eastAsia="宋体" w:cs="宋体"/>
                <w:i w:val="0"/>
                <w:iCs w:val="0"/>
                <w:color w:val="000000"/>
                <w:kern w:val="0"/>
                <w:sz w:val="18"/>
                <w:szCs w:val="18"/>
                <w:u w:val="none"/>
                <w:lang w:val="en-US" w:eastAsia="zh-CN" w:bidi="ar"/>
              </w:rPr>
              <w:t>20</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859</w:t>
            </w:r>
          </w:p>
        </w:tc>
      </w:tr>
      <w:tr>
        <w:tblPrEx>
          <w:tblCellMar>
            <w:top w:w="15" w:type="dxa"/>
            <w:left w:w="15" w:type="dxa"/>
            <w:bottom w:w="15" w:type="dxa"/>
            <w:right w:w="15" w:type="dxa"/>
          </w:tblCellMar>
        </w:tblPrEx>
        <w:trPr>
          <w:trHeight w:val="23" w:hRule="atLeast"/>
          <w:jc w:val="center"/>
        </w:trPr>
        <w:tc>
          <w:tcPr>
            <w:tcW w:w="685" w:type="dxa"/>
            <w:vMerge w:val="continue"/>
            <w:tcBorders>
              <w:left w:val="single" w:color="000000" w:sz="4" w:space="0"/>
            </w:tcBorders>
            <w:shd w:val="clear" w:color="auto" w:fill="auto"/>
            <w:vAlign w:val="center"/>
          </w:tcPr>
          <w:p>
            <w:pPr>
              <w:jc w:val="center"/>
              <w:rPr>
                <w:rFonts w:ascii="宋体" w:hAnsi="宋体" w:eastAsia="宋体" w:cs="宋体"/>
                <w:color w:val="000000"/>
                <w:sz w:val="24"/>
                <w:szCs w:val="24"/>
              </w:rPr>
            </w:pPr>
          </w:p>
        </w:tc>
        <w:tc>
          <w:tcPr>
            <w:tcW w:w="885" w:type="dxa"/>
            <w:vMerge w:val="restart"/>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color w:val="000000"/>
                <w:sz w:val="24"/>
                <w:szCs w:val="24"/>
                <w:lang w:val="en-US" w:eastAsia="zh-CN"/>
              </w:rPr>
            </w:pPr>
            <w:r>
              <w:rPr>
                <w:rFonts w:ascii="宋体" w:hAnsi="宋体" w:eastAsia="宋体" w:cs="宋体"/>
                <w:i w:val="0"/>
                <w:iCs w:val="0"/>
                <w:color w:val="000000"/>
                <w:kern w:val="0"/>
                <w:sz w:val="18"/>
                <w:szCs w:val="18"/>
                <w:u w:val="none"/>
                <w:lang w:val="en-US" w:eastAsia="zh-CN" w:bidi="ar"/>
              </w:rPr>
              <w:t>效益指标</w:t>
            </w:r>
          </w:p>
        </w:tc>
        <w:tc>
          <w:tcPr>
            <w:tcW w:w="1582"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ascii="宋体" w:hAnsi="宋体" w:eastAsia="宋体" w:cs="宋体"/>
                <w:i w:val="0"/>
                <w:iCs w:val="0"/>
                <w:color w:val="000000"/>
                <w:kern w:val="0"/>
                <w:sz w:val="18"/>
                <w:szCs w:val="18"/>
                <w:u w:val="none"/>
                <w:lang w:val="en-US" w:eastAsia="zh-CN" w:bidi="ar"/>
              </w:rPr>
              <w:t>可持续发展指标</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ascii="宋体" w:hAnsi="宋体" w:eastAsia="宋体" w:cs="宋体"/>
                <w:i w:val="0"/>
                <w:iCs w:val="0"/>
                <w:color w:val="000000"/>
                <w:kern w:val="0"/>
                <w:sz w:val="18"/>
                <w:szCs w:val="18"/>
                <w:u w:val="none"/>
                <w:lang w:val="en-US" w:eastAsia="zh-CN" w:bidi="ar"/>
              </w:rPr>
              <w:t>脱贫人口外出务工水平</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ascii="宋体" w:hAnsi="宋体" w:eastAsia="宋体" w:cs="宋体"/>
                <w:i w:val="0"/>
                <w:iCs w:val="0"/>
                <w:color w:val="000000"/>
                <w:kern w:val="0"/>
                <w:sz w:val="18"/>
                <w:szCs w:val="18"/>
                <w:u w:val="none"/>
                <w:lang w:val="en-US" w:eastAsia="zh-CN" w:bidi="ar"/>
              </w:rPr>
              <w:t>＝</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color w:val="000000"/>
                <w:sz w:val="24"/>
                <w:szCs w:val="24"/>
                <w:lang w:val="en-US" w:eastAsia="zh-CN"/>
              </w:rPr>
            </w:pPr>
            <w:r>
              <w:rPr>
                <w:rFonts w:ascii="宋体" w:hAnsi="宋体" w:eastAsia="宋体" w:cs="宋体"/>
                <w:i w:val="0"/>
                <w:iCs w:val="0"/>
                <w:color w:val="000000"/>
                <w:kern w:val="0"/>
                <w:sz w:val="18"/>
                <w:szCs w:val="18"/>
                <w:u w:val="none"/>
                <w:lang w:val="en-US" w:eastAsia="zh-CN" w:bidi="ar"/>
              </w:rPr>
              <w:t>促进</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szCs w:val="24"/>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color w:val="000000"/>
                <w:sz w:val="24"/>
                <w:szCs w:val="24"/>
                <w:lang w:val="en-US" w:eastAsia="zh-CN"/>
              </w:rPr>
            </w:pPr>
            <w:r>
              <w:rPr>
                <w:rFonts w:ascii="宋体" w:hAnsi="宋体" w:eastAsia="宋体" w:cs="宋体"/>
                <w:i w:val="0"/>
                <w:iCs w:val="0"/>
                <w:color w:val="000000"/>
                <w:kern w:val="0"/>
                <w:sz w:val="18"/>
                <w:szCs w:val="18"/>
                <w:u w:val="none"/>
                <w:lang w:val="en-US" w:eastAsia="zh-CN" w:bidi="ar"/>
              </w:rPr>
              <w:t>10</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4"/>
                <w:szCs w:val="24"/>
                <w:lang w:val="en-US" w:eastAsia="zh-CN"/>
              </w:rPr>
            </w:pPr>
            <w:r>
              <w:rPr>
                <w:rFonts w:hint="eastAsia" w:ascii="宋体" w:hAnsi="宋体" w:eastAsia="宋体" w:cs="宋体"/>
                <w:color w:val="000000"/>
                <w:kern w:val="0"/>
                <w:sz w:val="20"/>
                <w:szCs w:val="20"/>
                <w:lang w:val="en-US" w:eastAsia="zh-CN"/>
              </w:rPr>
              <w:t>促进</w:t>
            </w:r>
          </w:p>
        </w:tc>
      </w:tr>
      <w:tr>
        <w:tblPrEx>
          <w:tblCellMar>
            <w:top w:w="15" w:type="dxa"/>
            <w:left w:w="15" w:type="dxa"/>
            <w:bottom w:w="15" w:type="dxa"/>
            <w:right w:w="15" w:type="dxa"/>
          </w:tblCellMar>
        </w:tblPrEx>
        <w:trPr>
          <w:trHeight w:val="23" w:hRule="atLeast"/>
          <w:jc w:val="center"/>
        </w:trPr>
        <w:tc>
          <w:tcPr>
            <w:tcW w:w="685" w:type="dxa"/>
            <w:vMerge w:val="continue"/>
            <w:tcBorders>
              <w:left w:val="single" w:color="000000" w:sz="4" w:space="0"/>
            </w:tcBorders>
            <w:shd w:val="clear" w:color="auto" w:fill="auto"/>
            <w:vAlign w:val="center"/>
          </w:tcPr>
          <w:p>
            <w:pPr>
              <w:jc w:val="center"/>
              <w:rPr>
                <w:rFonts w:ascii="宋体" w:hAnsi="宋体" w:eastAsia="宋体" w:cs="宋体"/>
                <w:color w:val="000000"/>
                <w:sz w:val="24"/>
                <w:szCs w:val="24"/>
              </w:rPr>
            </w:pPr>
          </w:p>
        </w:tc>
        <w:tc>
          <w:tcPr>
            <w:tcW w:w="885" w:type="dxa"/>
            <w:vMerge w:val="continue"/>
            <w:tcBorders>
              <w:left w:val="single" w:color="000000" w:sz="4" w:space="0"/>
              <w:right w:val="single" w:color="000000" w:sz="4" w:space="0"/>
            </w:tcBorders>
            <w:shd w:val="clear" w:color="auto" w:fill="auto"/>
            <w:vAlign w:val="center"/>
          </w:tcPr>
          <w:p>
            <w:pPr>
              <w:jc w:val="center"/>
              <w:rPr>
                <w:rFonts w:hint="default" w:ascii="宋体" w:hAnsi="宋体" w:eastAsia="宋体" w:cs="宋体"/>
                <w:color w:val="000000"/>
                <w:sz w:val="24"/>
                <w:szCs w:val="24"/>
                <w:lang w:val="en-US" w:eastAsia="zh-CN"/>
              </w:rPr>
            </w:pPr>
          </w:p>
        </w:tc>
        <w:tc>
          <w:tcPr>
            <w:tcW w:w="1582"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 w:val="24"/>
                <w:szCs w:val="24"/>
              </w:rPr>
            </w:pPr>
            <w:r>
              <w:rPr>
                <w:rFonts w:ascii="宋体" w:hAnsi="宋体" w:eastAsia="宋体" w:cs="宋体"/>
                <w:i w:val="0"/>
                <w:iCs w:val="0"/>
                <w:color w:val="000000"/>
                <w:kern w:val="0"/>
                <w:sz w:val="18"/>
                <w:szCs w:val="18"/>
                <w:u w:val="none"/>
                <w:lang w:val="en-US" w:eastAsia="zh-CN" w:bidi="ar"/>
              </w:rPr>
              <w:t>社会效益指标</w:t>
            </w:r>
          </w:p>
        </w:tc>
        <w:tc>
          <w:tcPr>
            <w:tcW w:w="2250"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ascii="宋体" w:hAnsi="宋体" w:eastAsia="宋体" w:cs="宋体"/>
                <w:i w:val="0"/>
                <w:iCs w:val="0"/>
                <w:color w:val="000000"/>
                <w:kern w:val="0"/>
                <w:sz w:val="18"/>
                <w:szCs w:val="18"/>
                <w:u w:val="none"/>
                <w:lang w:val="en-US" w:eastAsia="zh-CN" w:bidi="ar"/>
              </w:rPr>
              <w:t>稳定外出务工人员就业率</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ascii="宋体" w:hAnsi="宋体" w:eastAsia="宋体" w:cs="宋体"/>
                <w:i w:val="0"/>
                <w:iCs w:val="0"/>
                <w:color w:val="000000"/>
                <w:kern w:val="0"/>
                <w:sz w:val="18"/>
                <w:szCs w:val="18"/>
                <w:u w:val="none"/>
                <w:lang w:val="en-US" w:eastAsia="zh-CN" w:bidi="ar"/>
              </w:rPr>
              <w:t>≥</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color w:val="000000"/>
                <w:sz w:val="24"/>
                <w:szCs w:val="24"/>
                <w:lang w:val="en-US" w:eastAsia="zh-CN"/>
              </w:rPr>
            </w:pPr>
            <w:r>
              <w:rPr>
                <w:rFonts w:ascii="宋体" w:hAnsi="宋体" w:eastAsia="宋体" w:cs="宋体"/>
                <w:i w:val="0"/>
                <w:iCs w:val="0"/>
                <w:color w:val="000000"/>
                <w:kern w:val="0"/>
                <w:sz w:val="18"/>
                <w:szCs w:val="18"/>
                <w:u w:val="none"/>
                <w:lang w:val="en-US" w:eastAsia="zh-CN" w:bidi="ar"/>
              </w:rPr>
              <w:t>90</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ascii="宋体" w:hAnsi="宋体" w:eastAsia="宋体" w:cs="宋体"/>
                <w:i w:val="0"/>
                <w:iCs w:val="0"/>
                <w:color w:val="000000"/>
                <w:kern w:val="0"/>
                <w:sz w:val="18"/>
                <w:szCs w:val="18"/>
                <w:u w:val="none"/>
                <w:lang w:val="en-US" w:eastAsia="zh-CN" w:bidi="ar"/>
              </w:rPr>
              <w:t>%</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color w:val="000000"/>
                <w:sz w:val="24"/>
                <w:szCs w:val="24"/>
                <w:lang w:val="en-US" w:eastAsia="zh-CN"/>
              </w:rPr>
            </w:pPr>
            <w:r>
              <w:rPr>
                <w:rFonts w:ascii="宋体" w:hAnsi="宋体" w:eastAsia="宋体" w:cs="宋体"/>
                <w:i w:val="0"/>
                <w:iCs w:val="0"/>
                <w:color w:val="000000"/>
                <w:kern w:val="0"/>
                <w:sz w:val="18"/>
                <w:szCs w:val="18"/>
                <w:u w:val="none"/>
                <w:lang w:val="en-US" w:eastAsia="zh-CN" w:bidi="ar"/>
              </w:rPr>
              <w:t>20</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90</w:t>
            </w:r>
          </w:p>
        </w:tc>
      </w:tr>
      <w:tr>
        <w:tblPrEx>
          <w:tblCellMar>
            <w:top w:w="15" w:type="dxa"/>
            <w:left w:w="15" w:type="dxa"/>
            <w:bottom w:w="15" w:type="dxa"/>
            <w:right w:w="15" w:type="dxa"/>
          </w:tblCellMar>
        </w:tblPrEx>
        <w:trPr>
          <w:trHeight w:val="23" w:hRule="atLeast"/>
          <w:jc w:val="center"/>
        </w:trPr>
        <w:tc>
          <w:tcPr>
            <w:tcW w:w="685" w:type="dxa"/>
            <w:vMerge w:val="continue"/>
            <w:tcBorders>
              <w:left w:val="single" w:color="000000" w:sz="4" w:space="0"/>
              <w:right w:val="single" w:color="auto" w:sz="4" w:space="0"/>
            </w:tcBorders>
            <w:shd w:val="clear" w:color="auto" w:fill="auto"/>
            <w:vAlign w:val="center"/>
          </w:tcPr>
          <w:p>
            <w:pPr>
              <w:jc w:val="center"/>
              <w:rPr>
                <w:rFonts w:ascii="宋体" w:hAnsi="宋体" w:eastAsia="宋体" w:cs="宋体"/>
                <w:color w:val="000000"/>
                <w:sz w:val="24"/>
                <w:szCs w:val="24"/>
              </w:rPr>
            </w:pPr>
          </w:p>
        </w:tc>
        <w:tc>
          <w:tcPr>
            <w:tcW w:w="885" w:type="dxa"/>
            <w:vMerge w:val="continue"/>
            <w:tcBorders>
              <w:left w:val="single" w:color="000000" w:sz="4" w:space="0"/>
              <w:right w:val="single" w:color="000000" w:sz="4" w:space="0"/>
            </w:tcBorders>
            <w:shd w:val="clear" w:color="auto" w:fill="auto"/>
            <w:vAlign w:val="center"/>
          </w:tcPr>
          <w:p>
            <w:pPr>
              <w:jc w:val="center"/>
              <w:rPr>
                <w:rFonts w:ascii="宋体" w:hAnsi="宋体" w:eastAsia="宋体" w:cs="宋体"/>
                <w:color w:val="000000"/>
                <w:sz w:val="24"/>
                <w:szCs w:val="24"/>
              </w:rPr>
            </w:pPr>
          </w:p>
        </w:tc>
        <w:tc>
          <w:tcPr>
            <w:tcW w:w="158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kern w:val="0"/>
                <w:sz w:val="24"/>
                <w:szCs w:val="24"/>
              </w:rPr>
            </w:pPr>
            <w:r>
              <w:rPr>
                <w:rFonts w:ascii="宋体" w:hAnsi="宋体" w:eastAsia="宋体" w:cs="宋体"/>
                <w:i w:val="0"/>
                <w:iCs w:val="0"/>
                <w:color w:val="000000"/>
                <w:kern w:val="0"/>
                <w:sz w:val="18"/>
                <w:szCs w:val="18"/>
                <w:u w:val="none"/>
                <w:lang w:val="en-US" w:eastAsia="zh-CN" w:bidi="ar"/>
              </w:rPr>
              <w:t>社会效益指标</w:t>
            </w:r>
          </w:p>
        </w:tc>
        <w:tc>
          <w:tcPr>
            <w:tcW w:w="2250"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ascii="宋体" w:hAnsi="宋体" w:eastAsia="宋体" w:cs="宋体"/>
                <w:i w:val="0"/>
                <w:iCs w:val="0"/>
                <w:color w:val="000000"/>
                <w:kern w:val="0"/>
                <w:sz w:val="18"/>
                <w:szCs w:val="18"/>
                <w:u w:val="none"/>
                <w:lang w:val="en-US" w:eastAsia="zh-CN" w:bidi="ar"/>
              </w:rPr>
              <w:t>提高外出务工人员收入</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ascii="宋体" w:hAnsi="宋体" w:eastAsia="宋体" w:cs="宋体"/>
                <w:i w:val="0"/>
                <w:iCs w:val="0"/>
                <w:color w:val="000000"/>
                <w:kern w:val="0"/>
                <w:sz w:val="18"/>
                <w:szCs w:val="18"/>
                <w:u w:val="none"/>
                <w:lang w:val="en-US" w:eastAsia="zh-CN" w:bidi="ar"/>
              </w:rPr>
              <w:t>＝</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color w:val="000000"/>
                <w:sz w:val="24"/>
                <w:szCs w:val="24"/>
                <w:lang w:val="en-US" w:eastAsia="zh-CN"/>
              </w:rPr>
            </w:pPr>
            <w:r>
              <w:rPr>
                <w:rFonts w:ascii="宋体" w:hAnsi="宋体" w:eastAsia="宋体" w:cs="宋体"/>
                <w:i w:val="0"/>
                <w:iCs w:val="0"/>
                <w:color w:val="000000"/>
                <w:kern w:val="0"/>
                <w:sz w:val="18"/>
                <w:szCs w:val="18"/>
                <w:u w:val="none"/>
                <w:lang w:val="en-US" w:eastAsia="zh-CN" w:bidi="ar"/>
              </w:rPr>
              <w:t>200</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ascii="宋体" w:hAnsi="宋体" w:eastAsia="宋体" w:cs="宋体"/>
                <w:i w:val="0"/>
                <w:iCs w:val="0"/>
                <w:color w:val="000000"/>
                <w:kern w:val="0"/>
                <w:sz w:val="18"/>
                <w:szCs w:val="18"/>
                <w:u w:val="none"/>
                <w:lang w:val="en-US" w:eastAsia="zh-CN" w:bidi="ar"/>
              </w:rPr>
              <w:t xml:space="preserve">元/人 </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color w:val="000000"/>
                <w:sz w:val="24"/>
                <w:szCs w:val="24"/>
                <w:lang w:val="en-US" w:eastAsia="zh-CN"/>
              </w:rPr>
            </w:pPr>
            <w:r>
              <w:rPr>
                <w:rFonts w:ascii="宋体" w:hAnsi="宋体" w:eastAsia="宋体" w:cs="宋体"/>
                <w:i w:val="0"/>
                <w:iCs w:val="0"/>
                <w:color w:val="000000"/>
                <w:kern w:val="0"/>
                <w:sz w:val="18"/>
                <w:szCs w:val="18"/>
                <w:u w:val="none"/>
                <w:lang w:val="en-US" w:eastAsia="zh-CN" w:bidi="ar"/>
              </w:rPr>
              <w:t>20</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sz w:val="24"/>
                <w:szCs w:val="24"/>
                <w:lang w:val="en-US" w:eastAsia="zh-CN"/>
              </w:rPr>
            </w:pPr>
            <w:r>
              <w:rPr>
                <w:rFonts w:hint="eastAsia" w:ascii="宋体" w:hAnsi="宋体" w:eastAsia="宋体" w:cs="宋体"/>
                <w:color w:val="000000"/>
                <w:kern w:val="0"/>
                <w:sz w:val="20"/>
                <w:szCs w:val="20"/>
                <w:lang w:val="en-US" w:eastAsia="zh-CN"/>
              </w:rPr>
              <w:t>200</w:t>
            </w:r>
          </w:p>
        </w:tc>
      </w:tr>
      <w:tr>
        <w:tblPrEx>
          <w:tblCellMar>
            <w:top w:w="15" w:type="dxa"/>
            <w:left w:w="15" w:type="dxa"/>
            <w:bottom w:w="15" w:type="dxa"/>
            <w:right w:w="15" w:type="dxa"/>
          </w:tblCellMar>
        </w:tblPrEx>
        <w:trPr>
          <w:trHeight w:val="23" w:hRule="atLeast"/>
          <w:jc w:val="center"/>
        </w:trPr>
        <w:tc>
          <w:tcPr>
            <w:tcW w:w="685" w:type="dxa"/>
            <w:vMerge w:val="continue"/>
            <w:tcBorders>
              <w:left w:val="single" w:color="000000" w:sz="4" w:space="0"/>
              <w:right w:val="single" w:color="auto" w:sz="4" w:space="0"/>
            </w:tcBorders>
            <w:shd w:val="clear" w:color="auto" w:fill="auto"/>
            <w:vAlign w:val="center"/>
          </w:tcPr>
          <w:p>
            <w:pPr>
              <w:jc w:val="center"/>
              <w:rPr>
                <w:rFonts w:ascii="宋体" w:hAnsi="宋体" w:eastAsia="宋体" w:cs="宋体"/>
                <w:color w:val="000000"/>
                <w:sz w:val="24"/>
                <w:szCs w:val="24"/>
              </w:rPr>
            </w:pPr>
          </w:p>
        </w:tc>
        <w:tc>
          <w:tcPr>
            <w:tcW w:w="885" w:type="dxa"/>
            <w:vMerge w:val="continue"/>
            <w:tcBorders>
              <w:left w:val="single" w:color="000000" w:sz="4" w:space="0"/>
              <w:bottom w:val="single" w:color="auto" w:sz="4" w:space="0"/>
              <w:right w:val="single" w:color="000000" w:sz="4" w:space="0"/>
            </w:tcBorders>
            <w:shd w:val="clear" w:color="auto" w:fill="auto"/>
            <w:vAlign w:val="center"/>
          </w:tcPr>
          <w:p>
            <w:pPr>
              <w:jc w:val="center"/>
              <w:rPr>
                <w:rFonts w:hint="default" w:ascii="宋体" w:hAnsi="宋体" w:eastAsia="宋体" w:cs="宋体"/>
                <w:color w:val="000000"/>
                <w:sz w:val="24"/>
                <w:szCs w:val="24"/>
                <w:lang w:val="en-US" w:eastAsia="zh-CN"/>
              </w:rPr>
            </w:pPr>
          </w:p>
        </w:tc>
        <w:tc>
          <w:tcPr>
            <w:tcW w:w="158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社会效益指标</w:t>
            </w:r>
          </w:p>
        </w:tc>
        <w:tc>
          <w:tcPr>
            <w:tcW w:w="2250"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政策知晓率</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ascii="宋体" w:hAnsi="宋体" w:eastAsia="宋体" w:cs="宋体"/>
                <w:i w:val="0"/>
                <w:iCs w:val="0"/>
                <w:color w:val="000000"/>
                <w:kern w:val="0"/>
                <w:sz w:val="18"/>
                <w:szCs w:val="18"/>
                <w:u w:val="none"/>
                <w:lang w:val="en-US" w:eastAsia="zh-CN" w:bidi="ar"/>
              </w:rPr>
              <w:t>≥</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color w:val="000000"/>
                <w:kern w:val="0"/>
                <w:sz w:val="24"/>
                <w:szCs w:val="24"/>
                <w:lang w:val="en-US" w:eastAsia="zh-CN"/>
              </w:rPr>
            </w:pPr>
            <w:r>
              <w:rPr>
                <w:rFonts w:ascii="宋体" w:hAnsi="宋体" w:eastAsia="宋体" w:cs="宋体"/>
                <w:i w:val="0"/>
                <w:iCs w:val="0"/>
                <w:color w:val="000000"/>
                <w:kern w:val="0"/>
                <w:sz w:val="18"/>
                <w:szCs w:val="18"/>
                <w:u w:val="none"/>
                <w:lang w:val="en-US" w:eastAsia="zh-CN" w:bidi="ar"/>
              </w:rPr>
              <w:t>95</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color w:val="000000"/>
                <w:kern w:val="0"/>
                <w:sz w:val="24"/>
                <w:szCs w:val="24"/>
                <w:lang w:val="en-US" w:eastAsia="zh-CN"/>
              </w:rPr>
            </w:pPr>
            <w:r>
              <w:rPr>
                <w:rFonts w:ascii="宋体" w:hAnsi="宋体" w:eastAsia="宋体" w:cs="宋体"/>
                <w:i w:val="0"/>
                <w:iCs w:val="0"/>
                <w:color w:val="000000"/>
                <w:kern w:val="0"/>
                <w:sz w:val="18"/>
                <w:szCs w:val="18"/>
                <w:u w:val="none"/>
                <w:lang w:val="en-US" w:eastAsia="zh-CN" w:bidi="ar"/>
              </w:rPr>
              <w:t>%</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sz w:val="24"/>
                <w:szCs w:val="24"/>
                <w:lang w:val="en-US" w:eastAsia="zh-CN"/>
              </w:rPr>
            </w:pPr>
            <w:r>
              <w:rPr>
                <w:rFonts w:ascii="宋体" w:hAnsi="宋体" w:eastAsia="宋体" w:cs="宋体"/>
                <w:i w:val="0"/>
                <w:iCs w:val="0"/>
                <w:color w:val="000000"/>
                <w:kern w:val="0"/>
                <w:sz w:val="18"/>
                <w:szCs w:val="18"/>
                <w:u w:val="none"/>
                <w:lang w:val="en-US" w:eastAsia="zh-CN" w:bidi="ar"/>
              </w:rPr>
              <w:t>10</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95</w:t>
            </w:r>
          </w:p>
        </w:tc>
      </w:tr>
      <w:tr>
        <w:tblPrEx>
          <w:tblCellMar>
            <w:top w:w="15" w:type="dxa"/>
            <w:left w:w="15" w:type="dxa"/>
            <w:bottom w:w="15" w:type="dxa"/>
            <w:right w:w="15" w:type="dxa"/>
          </w:tblCellMar>
        </w:tblPrEx>
        <w:trPr>
          <w:trHeight w:val="23" w:hRule="atLeast"/>
          <w:jc w:val="center"/>
        </w:trPr>
        <w:tc>
          <w:tcPr>
            <w:tcW w:w="685" w:type="dxa"/>
            <w:vMerge w:val="continue"/>
            <w:tcBorders>
              <w:left w:val="single" w:color="000000" w:sz="4" w:space="0"/>
              <w:right w:val="single" w:color="auto" w:sz="4" w:space="0"/>
            </w:tcBorders>
            <w:shd w:val="clear" w:color="auto" w:fill="auto"/>
            <w:vAlign w:val="center"/>
          </w:tcPr>
          <w:p>
            <w:pPr>
              <w:jc w:val="center"/>
              <w:rPr>
                <w:rFonts w:ascii="宋体" w:hAnsi="宋体" w:eastAsia="宋体" w:cs="宋体"/>
                <w:color w:val="000000"/>
                <w:sz w:val="24"/>
                <w:szCs w:val="24"/>
              </w:rPr>
            </w:pP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sz w:val="24"/>
                <w:szCs w:val="24"/>
                <w:lang w:val="en-US" w:eastAsia="zh-CN"/>
              </w:rPr>
            </w:pPr>
            <w:r>
              <w:rPr>
                <w:rFonts w:ascii="宋体" w:hAnsi="宋体" w:eastAsia="宋体" w:cs="宋体"/>
                <w:i w:val="0"/>
                <w:iCs w:val="0"/>
                <w:color w:val="000000"/>
                <w:kern w:val="0"/>
                <w:sz w:val="18"/>
                <w:szCs w:val="18"/>
                <w:u w:val="none"/>
                <w:lang w:val="en-US" w:eastAsia="zh-CN" w:bidi="ar"/>
              </w:rPr>
              <w:t>满意度指标</w:t>
            </w:r>
          </w:p>
        </w:tc>
        <w:tc>
          <w:tcPr>
            <w:tcW w:w="158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帮扶对象满意度指标</w:t>
            </w:r>
          </w:p>
        </w:tc>
        <w:tc>
          <w:tcPr>
            <w:tcW w:w="2250"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帮扶对象满意度</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ascii="宋体" w:hAnsi="宋体" w:eastAsia="宋体" w:cs="宋体"/>
                <w:i w:val="0"/>
                <w:iCs w:val="0"/>
                <w:color w:val="000000"/>
                <w:kern w:val="0"/>
                <w:sz w:val="18"/>
                <w:szCs w:val="18"/>
                <w:u w:val="none"/>
                <w:lang w:val="en-US" w:eastAsia="zh-CN" w:bidi="ar"/>
              </w:rPr>
              <w:t>≥</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color w:val="000000"/>
                <w:kern w:val="0"/>
                <w:sz w:val="24"/>
                <w:szCs w:val="24"/>
                <w:lang w:val="en-US" w:eastAsia="zh-CN"/>
              </w:rPr>
            </w:pPr>
            <w:r>
              <w:rPr>
                <w:rFonts w:ascii="宋体" w:hAnsi="宋体" w:eastAsia="宋体" w:cs="宋体"/>
                <w:i w:val="0"/>
                <w:iCs w:val="0"/>
                <w:color w:val="000000"/>
                <w:kern w:val="0"/>
                <w:sz w:val="18"/>
                <w:szCs w:val="18"/>
                <w:u w:val="none"/>
                <w:lang w:val="en-US" w:eastAsia="zh-CN" w:bidi="ar"/>
              </w:rPr>
              <w:t>90</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kern w:val="0"/>
                <w:sz w:val="24"/>
                <w:szCs w:val="24"/>
                <w:lang w:val="en-US" w:eastAsia="zh-CN"/>
              </w:rPr>
            </w:pPr>
            <w:r>
              <w:rPr>
                <w:rFonts w:ascii="宋体" w:hAnsi="宋体" w:eastAsia="宋体" w:cs="宋体"/>
                <w:i w:val="0"/>
                <w:iCs w:val="0"/>
                <w:color w:val="000000"/>
                <w:kern w:val="0"/>
                <w:sz w:val="18"/>
                <w:szCs w:val="18"/>
                <w:u w:val="none"/>
                <w:lang w:val="en-US" w:eastAsia="zh-CN" w:bidi="ar"/>
              </w:rPr>
              <w:t>%</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color w:val="000000"/>
                <w:sz w:val="24"/>
                <w:szCs w:val="24"/>
                <w:lang w:val="en-US" w:eastAsia="zh-CN"/>
              </w:rPr>
            </w:pPr>
            <w:r>
              <w:rPr>
                <w:rFonts w:ascii="宋体" w:hAnsi="宋体" w:eastAsia="宋体" w:cs="宋体"/>
                <w:i w:val="0"/>
                <w:iCs w:val="0"/>
                <w:color w:val="000000"/>
                <w:kern w:val="0"/>
                <w:sz w:val="18"/>
                <w:szCs w:val="18"/>
                <w:u w:val="none"/>
                <w:lang w:val="en-US" w:eastAsia="zh-CN" w:bidi="ar"/>
              </w:rPr>
              <w:t>10</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90</w:t>
            </w:r>
          </w:p>
        </w:tc>
      </w:tr>
      <w:tr>
        <w:tblPrEx>
          <w:tblCellMar>
            <w:top w:w="15" w:type="dxa"/>
            <w:left w:w="15" w:type="dxa"/>
            <w:bottom w:w="15" w:type="dxa"/>
            <w:right w:w="15" w:type="dxa"/>
          </w:tblCellMar>
        </w:tblPrEx>
        <w:trPr>
          <w:trHeight w:val="23" w:hRule="atLeast"/>
          <w:jc w:val="center"/>
        </w:trPr>
        <w:tc>
          <w:tcPr>
            <w:tcW w:w="685" w:type="dxa"/>
            <w:vMerge w:val="continue"/>
            <w:tcBorders>
              <w:left w:val="single" w:color="000000" w:sz="4" w:space="0"/>
              <w:bottom w:val="single" w:color="000000" w:sz="4" w:space="0"/>
              <w:right w:val="single" w:color="auto" w:sz="4" w:space="0"/>
            </w:tcBorders>
            <w:shd w:val="clear" w:color="auto" w:fill="auto"/>
            <w:vAlign w:val="center"/>
          </w:tcPr>
          <w:p>
            <w:pPr>
              <w:jc w:val="center"/>
              <w:rPr>
                <w:rFonts w:ascii="宋体" w:hAnsi="宋体" w:eastAsia="宋体" w:cs="宋体"/>
                <w:color w:val="000000"/>
                <w:sz w:val="24"/>
                <w:szCs w:val="24"/>
              </w:rPr>
            </w:pPr>
          </w:p>
        </w:tc>
        <w:tc>
          <w:tcPr>
            <w:tcW w:w="8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sz w:val="24"/>
                <w:szCs w:val="24"/>
                <w:lang w:val="en-US" w:eastAsia="zh-CN"/>
              </w:rPr>
            </w:pPr>
            <w:r>
              <w:rPr>
                <w:rFonts w:ascii="宋体" w:hAnsi="宋体" w:eastAsia="宋体" w:cs="宋体"/>
                <w:i w:val="0"/>
                <w:iCs w:val="0"/>
                <w:color w:val="000000"/>
                <w:kern w:val="0"/>
                <w:sz w:val="18"/>
                <w:szCs w:val="18"/>
                <w:u w:val="none"/>
                <w:lang w:val="en-US" w:eastAsia="zh-CN" w:bidi="ar"/>
              </w:rPr>
              <w:t>成本指标</w:t>
            </w:r>
          </w:p>
        </w:tc>
        <w:tc>
          <w:tcPr>
            <w:tcW w:w="158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经济成本指标</w:t>
            </w:r>
          </w:p>
        </w:tc>
        <w:tc>
          <w:tcPr>
            <w:tcW w:w="2250"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支付金额</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kern w:val="0"/>
                <w:sz w:val="24"/>
                <w:szCs w:val="24"/>
                <w:lang w:val="en-US" w:eastAsia="zh-CN"/>
              </w:rPr>
            </w:pPr>
            <w:r>
              <w:rPr>
                <w:rFonts w:ascii="宋体" w:hAnsi="宋体" w:eastAsia="宋体" w:cs="宋体"/>
                <w:i w:val="0"/>
                <w:iCs w:val="0"/>
                <w:color w:val="000000"/>
                <w:kern w:val="0"/>
                <w:sz w:val="18"/>
                <w:szCs w:val="18"/>
                <w:u w:val="none"/>
                <w:lang w:val="en-US" w:eastAsia="zh-CN" w:bidi="ar"/>
              </w:rPr>
              <w:t>35</w:t>
            </w:r>
          </w:p>
        </w:tc>
        <w:tc>
          <w:tcPr>
            <w:tcW w:w="10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kern w:val="0"/>
                <w:sz w:val="24"/>
                <w:szCs w:val="24"/>
                <w:lang w:val="en-US" w:eastAsia="zh-CN"/>
              </w:rPr>
            </w:pPr>
            <w:r>
              <w:rPr>
                <w:rFonts w:ascii="宋体" w:hAnsi="宋体" w:eastAsia="宋体" w:cs="宋体"/>
                <w:i w:val="0"/>
                <w:iCs w:val="0"/>
                <w:color w:val="000000"/>
                <w:kern w:val="0"/>
                <w:sz w:val="18"/>
                <w:szCs w:val="18"/>
                <w:u w:val="none"/>
                <w:lang w:val="en-US" w:eastAsia="zh-CN" w:bidi="ar"/>
              </w:rPr>
              <w:t>万元</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color w:val="000000"/>
                <w:sz w:val="24"/>
                <w:szCs w:val="24"/>
                <w:lang w:val="en-US" w:eastAsia="zh-CN"/>
              </w:rPr>
            </w:pPr>
            <w:r>
              <w:rPr>
                <w:rFonts w:ascii="宋体" w:hAnsi="宋体" w:eastAsia="宋体" w:cs="宋体"/>
                <w:i w:val="0"/>
                <w:iCs w:val="0"/>
                <w:color w:val="000000"/>
                <w:kern w:val="0"/>
                <w:sz w:val="18"/>
                <w:szCs w:val="18"/>
                <w:u w:val="none"/>
                <w:lang w:val="en-US" w:eastAsia="zh-CN" w:bidi="ar"/>
              </w:rPr>
              <w:t>10</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31.02</w:t>
            </w:r>
          </w:p>
        </w:tc>
      </w:tr>
    </w:tbl>
    <w:p>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p>
    <w:p>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br w:type="page"/>
      </w:r>
    </w:p>
    <w:p>
      <w:pPr>
        <w:jc w:val="center"/>
        <w:rPr>
          <w:rFonts w:hint="eastAsia" w:ascii="仿宋_GB2312" w:hAnsi="仿宋_GB2312" w:eastAsia="仿宋_GB2312" w:cs="仿宋_GB2312"/>
          <w:color w:val="auto"/>
          <w:kern w:val="2"/>
          <w:sz w:val="32"/>
          <w:szCs w:val="32"/>
        </w:rPr>
      </w:pPr>
      <w:r>
        <w:rPr>
          <w:rFonts w:hint="eastAsia" w:ascii="方正小标宋简体" w:hAnsi="方正小标宋简体" w:eastAsia="方正小标宋简体" w:cs="方正小标宋简体"/>
          <w:sz w:val="44"/>
          <w:szCs w:val="44"/>
        </w:rPr>
        <w:t>2024年项目茂县青年（大学生）创新创业孵化基地项目绩效评价报告</w:t>
      </w:r>
    </w:p>
    <w:p>
      <w:pPr>
        <w:adjustRightInd w:val="0"/>
        <w:snapToGrid w:val="0"/>
        <w:spacing w:line="560" w:lineRule="exact"/>
        <w:ind w:firstLine="642" w:firstLineChars="200"/>
        <w:rPr>
          <w:rFonts w:hint="eastAsia" w:ascii="仿宋_GB2312" w:hAnsi="仿宋_GB2312" w:eastAsia="仿宋_GB2312" w:cs="仿宋_GB2312"/>
          <w:b/>
          <w:bCs/>
          <w:sz w:val="32"/>
          <w:szCs w:val="32"/>
          <w:lang w:val="zh-CN"/>
        </w:rPr>
      </w:pPr>
      <w:r>
        <w:rPr>
          <w:rFonts w:hint="eastAsia" w:ascii="黑体" w:hAnsi="黑体" w:eastAsia="黑体" w:cs="黑体"/>
          <w:b/>
          <w:bCs/>
          <w:sz w:val="32"/>
          <w:szCs w:val="32"/>
        </w:rPr>
        <w:t>一、</w:t>
      </w:r>
      <w:r>
        <w:rPr>
          <w:rFonts w:hint="eastAsia" w:ascii="黑体" w:hAnsi="黑体" w:eastAsia="黑体" w:cs="黑体"/>
          <w:b/>
          <w:bCs/>
          <w:sz w:val="32"/>
          <w:szCs w:val="32"/>
          <w:lang w:val="zh-CN"/>
        </w:rPr>
        <w:t>项目概况</w:t>
      </w:r>
    </w:p>
    <w:p>
      <w:pPr>
        <w:widowControl/>
        <w:adjustRightInd w:val="0"/>
        <w:snapToGrid w:val="0"/>
        <w:spacing w:line="560" w:lineRule="exact"/>
        <w:ind w:firstLine="642" w:firstLineChars="200"/>
        <w:contextualSpacing/>
        <w:jc w:val="left"/>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（一）设立背景及基本情况</w:t>
      </w:r>
    </w:p>
    <w:p>
      <w:pPr>
        <w:spacing w:line="560" w:lineRule="exact"/>
        <w:ind w:firstLine="640" w:firstLineChars="200"/>
        <w:rPr>
          <w:rFonts w:hint="eastAsia" w:ascii="仿宋_GB2312" w:hAnsi="仿宋_GB2312" w:eastAsia="仿宋_GB2312" w:cs="仿宋_GB2312"/>
          <w:bCs/>
          <w:color w:val="000000"/>
          <w:kern w:val="36"/>
          <w:sz w:val="32"/>
          <w:szCs w:val="32"/>
        </w:rPr>
      </w:pPr>
      <w:r>
        <w:rPr>
          <w:rFonts w:hint="eastAsia" w:ascii="仿宋_GB2312" w:hAnsi="仿宋_GB2312" w:eastAsia="仿宋_GB2312" w:cs="仿宋_GB2312"/>
          <w:bCs/>
          <w:color w:val="000000"/>
          <w:kern w:val="36"/>
          <w:sz w:val="32"/>
          <w:szCs w:val="32"/>
        </w:rPr>
        <w:t>为深入贯彻落实党中央、国务院和省、州、县党委、政府关于进一步促进大众创业、万众创新工作要求，整合资源、合理布局、市场运作的发展思路，建设产业特色突出、配套功能完善、承载能力较强、具有示范带动效应的孵化基地和创业基地，形成以创新促进创业、创业带动就业的创新创业工作。2024年对茂县青年（大学生）创新创业孵化基地提档升级、基础设施改造。</w:t>
      </w:r>
    </w:p>
    <w:p>
      <w:pPr>
        <w:widowControl/>
        <w:adjustRightInd w:val="0"/>
        <w:snapToGrid w:val="0"/>
        <w:spacing w:line="560" w:lineRule="exact"/>
        <w:ind w:firstLine="640" w:firstLineChars="200"/>
        <w:contextualSpacing/>
        <w:jc w:val="left"/>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lang w:val="zh-CN"/>
        </w:rPr>
        <w:t>茂县青年（大学生）创新创业孵化基地项目资金</w:t>
      </w:r>
      <w:r>
        <w:rPr>
          <w:rFonts w:hint="eastAsia" w:ascii="仿宋_GB2312" w:hAnsi="仿宋_GB2312" w:eastAsia="仿宋_GB2312" w:cs="仿宋_GB2312"/>
          <w:kern w:val="0"/>
          <w:sz w:val="32"/>
          <w:szCs w:val="32"/>
          <w:shd w:val="clear" w:color="auto" w:fill="FFFFFF"/>
        </w:rPr>
        <w:t>申请资金预算</w:t>
      </w:r>
      <w:r>
        <w:rPr>
          <w:rFonts w:hint="eastAsia" w:ascii="仿宋_GB2312" w:hAnsi="仿宋_GB2312" w:eastAsia="仿宋_GB2312" w:cs="仿宋_GB2312"/>
          <w:kern w:val="0"/>
          <w:sz w:val="32"/>
          <w:szCs w:val="32"/>
          <w:shd w:val="clear" w:color="auto" w:fill="FFFFFF"/>
          <w:lang w:val="en-US" w:eastAsia="zh-CN"/>
        </w:rPr>
        <w:t>218.00</w:t>
      </w:r>
      <w:r>
        <w:rPr>
          <w:rFonts w:hint="eastAsia" w:ascii="仿宋_GB2312" w:hAnsi="仿宋_GB2312" w:eastAsia="仿宋_GB2312" w:cs="仿宋_GB2312"/>
          <w:kern w:val="0"/>
          <w:sz w:val="32"/>
          <w:szCs w:val="32"/>
          <w:shd w:val="clear" w:color="auto" w:fill="FFFFFF"/>
        </w:rPr>
        <w:t>万元，预算数165.4</w:t>
      </w:r>
      <w:r>
        <w:rPr>
          <w:rFonts w:hint="eastAsia" w:ascii="仿宋_GB2312" w:hAnsi="仿宋_GB2312" w:eastAsia="仿宋_GB2312" w:cs="仿宋_GB2312"/>
          <w:kern w:val="0"/>
          <w:sz w:val="32"/>
          <w:szCs w:val="32"/>
          <w:shd w:val="clear" w:color="auto" w:fill="FFFFFF"/>
          <w:lang w:val="en-US" w:eastAsia="zh-CN"/>
        </w:rPr>
        <w:t>0</w:t>
      </w:r>
      <w:r>
        <w:rPr>
          <w:rFonts w:hint="eastAsia" w:ascii="仿宋_GB2312" w:hAnsi="仿宋_GB2312" w:eastAsia="仿宋_GB2312" w:cs="仿宋_GB2312"/>
          <w:kern w:val="0"/>
          <w:sz w:val="32"/>
          <w:szCs w:val="32"/>
          <w:shd w:val="clear" w:color="auto" w:fill="FFFFFF"/>
        </w:rPr>
        <w:t>万元，预算执行数160.8</w:t>
      </w:r>
      <w:r>
        <w:rPr>
          <w:rFonts w:hint="eastAsia" w:ascii="仿宋_GB2312" w:hAnsi="仿宋_GB2312" w:eastAsia="仿宋_GB2312" w:cs="仿宋_GB2312"/>
          <w:kern w:val="0"/>
          <w:sz w:val="32"/>
          <w:szCs w:val="32"/>
          <w:shd w:val="clear" w:color="auto" w:fill="FFFFFF"/>
          <w:lang w:val="en-US" w:eastAsia="zh-CN"/>
        </w:rPr>
        <w:t>5</w:t>
      </w:r>
      <w:r>
        <w:rPr>
          <w:rFonts w:hint="eastAsia" w:ascii="仿宋_GB2312" w:hAnsi="仿宋_GB2312" w:eastAsia="仿宋_GB2312" w:cs="仿宋_GB2312"/>
          <w:kern w:val="0"/>
          <w:sz w:val="32"/>
          <w:szCs w:val="32"/>
          <w:shd w:val="clear" w:color="auto" w:fill="FFFFFF"/>
        </w:rPr>
        <w:t>万元，预算执行率97.25%。遵循原则：</w:t>
      </w:r>
    </w:p>
    <w:p>
      <w:pPr>
        <w:widowControl/>
        <w:numPr>
          <w:ilvl w:val="0"/>
          <w:numId w:val="0"/>
        </w:numPr>
        <w:adjustRightInd w:val="0"/>
        <w:snapToGrid w:val="0"/>
        <w:spacing w:line="560" w:lineRule="exact"/>
        <w:ind w:firstLine="640" w:firstLineChars="200"/>
        <w:contextualSpacing/>
        <w:jc w:val="left"/>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lang w:eastAsia="zh-CN"/>
        </w:rPr>
        <w:t>（</w:t>
      </w:r>
      <w:r>
        <w:rPr>
          <w:rFonts w:hint="eastAsia" w:ascii="仿宋_GB2312" w:hAnsi="仿宋_GB2312" w:eastAsia="仿宋_GB2312" w:cs="仿宋_GB2312"/>
          <w:kern w:val="0"/>
          <w:sz w:val="32"/>
          <w:szCs w:val="32"/>
          <w:shd w:val="clear" w:color="auto" w:fill="FFFFFF"/>
          <w:lang w:val="en-US" w:eastAsia="zh-CN"/>
        </w:rPr>
        <w:t>1</w:t>
      </w:r>
      <w:r>
        <w:rPr>
          <w:rFonts w:hint="eastAsia" w:ascii="仿宋_GB2312" w:hAnsi="仿宋_GB2312" w:eastAsia="仿宋_GB2312" w:cs="仿宋_GB2312"/>
          <w:kern w:val="0"/>
          <w:sz w:val="32"/>
          <w:szCs w:val="32"/>
          <w:shd w:val="clear" w:color="auto" w:fill="FFFFFF"/>
          <w:lang w:eastAsia="zh-CN"/>
        </w:rPr>
        <w:t>）</w:t>
      </w:r>
      <w:r>
        <w:rPr>
          <w:rFonts w:hint="eastAsia" w:ascii="仿宋_GB2312" w:hAnsi="仿宋_GB2312" w:eastAsia="仿宋_GB2312" w:cs="仿宋_GB2312"/>
          <w:kern w:val="0"/>
          <w:sz w:val="32"/>
          <w:szCs w:val="32"/>
          <w:shd w:val="clear" w:color="auto" w:fill="FFFFFF"/>
        </w:rPr>
        <w:t>政策引导。严格执行国家及地方相关政策，为入驻企业提供政策支持。</w:t>
      </w:r>
    </w:p>
    <w:p>
      <w:pPr>
        <w:widowControl/>
        <w:numPr>
          <w:ilvl w:val="0"/>
          <w:numId w:val="0"/>
        </w:numPr>
        <w:adjustRightInd w:val="0"/>
        <w:snapToGrid w:val="0"/>
        <w:spacing w:line="560" w:lineRule="exact"/>
        <w:ind w:firstLine="640" w:firstLineChars="200"/>
        <w:contextualSpacing/>
        <w:jc w:val="left"/>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lang w:eastAsia="zh-CN"/>
        </w:rPr>
        <w:t>（</w:t>
      </w:r>
      <w:r>
        <w:rPr>
          <w:rFonts w:hint="eastAsia" w:ascii="仿宋_GB2312" w:hAnsi="仿宋_GB2312" w:eastAsia="仿宋_GB2312" w:cs="仿宋_GB2312"/>
          <w:kern w:val="0"/>
          <w:sz w:val="32"/>
          <w:szCs w:val="32"/>
          <w:shd w:val="clear" w:color="auto" w:fill="FFFFFF"/>
          <w:lang w:val="en-US" w:eastAsia="zh-CN"/>
        </w:rPr>
        <w:t>2</w:t>
      </w:r>
      <w:r>
        <w:rPr>
          <w:rFonts w:hint="eastAsia" w:ascii="仿宋_GB2312" w:hAnsi="仿宋_GB2312" w:eastAsia="仿宋_GB2312" w:cs="仿宋_GB2312"/>
          <w:kern w:val="0"/>
          <w:sz w:val="32"/>
          <w:szCs w:val="32"/>
          <w:shd w:val="clear" w:color="auto" w:fill="FFFFFF"/>
          <w:lang w:eastAsia="zh-CN"/>
        </w:rPr>
        <w:t>）</w:t>
      </w:r>
      <w:r>
        <w:rPr>
          <w:rFonts w:hint="eastAsia" w:ascii="仿宋_GB2312" w:hAnsi="仿宋_GB2312" w:eastAsia="仿宋_GB2312" w:cs="仿宋_GB2312"/>
          <w:kern w:val="0"/>
          <w:sz w:val="32"/>
          <w:szCs w:val="32"/>
          <w:shd w:val="clear" w:color="auto" w:fill="FFFFFF"/>
        </w:rPr>
        <w:t>公平公正。对所有入驻企业提供公平公正的服务和待遇。</w:t>
      </w:r>
    </w:p>
    <w:p>
      <w:pPr>
        <w:widowControl/>
        <w:adjustRightInd w:val="0"/>
        <w:snapToGrid w:val="0"/>
        <w:spacing w:line="560" w:lineRule="exact"/>
        <w:ind w:firstLine="640" w:firstLineChars="200"/>
        <w:contextualSpacing/>
        <w:jc w:val="left"/>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lang w:eastAsia="zh-CN"/>
        </w:rPr>
        <w:t>（</w:t>
      </w:r>
      <w:r>
        <w:rPr>
          <w:rFonts w:hint="eastAsia" w:ascii="仿宋_GB2312" w:hAnsi="仿宋_GB2312" w:eastAsia="仿宋_GB2312" w:cs="仿宋_GB2312"/>
          <w:kern w:val="0"/>
          <w:sz w:val="32"/>
          <w:szCs w:val="32"/>
          <w:shd w:val="clear" w:color="auto" w:fill="FFFFFF"/>
          <w:lang w:val="en-US" w:eastAsia="zh-CN"/>
        </w:rPr>
        <w:t>3</w:t>
      </w:r>
      <w:r>
        <w:rPr>
          <w:rFonts w:hint="eastAsia" w:ascii="仿宋_GB2312" w:hAnsi="仿宋_GB2312" w:eastAsia="仿宋_GB2312" w:cs="仿宋_GB2312"/>
          <w:kern w:val="0"/>
          <w:sz w:val="32"/>
          <w:szCs w:val="32"/>
          <w:shd w:val="clear" w:color="auto" w:fill="FFFFFF"/>
          <w:lang w:eastAsia="zh-CN"/>
        </w:rPr>
        <w:t>）</w:t>
      </w:r>
      <w:r>
        <w:rPr>
          <w:rFonts w:hint="eastAsia" w:ascii="仿宋_GB2312" w:hAnsi="仿宋_GB2312" w:eastAsia="仿宋_GB2312" w:cs="仿宋_GB2312"/>
          <w:kern w:val="0"/>
          <w:sz w:val="32"/>
          <w:szCs w:val="32"/>
          <w:shd w:val="clear" w:color="auto" w:fill="FFFFFF"/>
        </w:rPr>
        <w:t>效率优先。提高孵化效率和成功率是孵化基地重要目标之一。</w:t>
      </w:r>
    </w:p>
    <w:p>
      <w:pPr>
        <w:adjustRightInd w:val="0"/>
        <w:snapToGrid w:val="0"/>
        <w:spacing w:line="560" w:lineRule="exact"/>
        <w:ind w:firstLine="642" w:firstLine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lang w:val="zh-CN"/>
        </w:rPr>
        <w:t>（二）</w:t>
      </w:r>
      <w:r>
        <w:rPr>
          <w:rFonts w:hint="eastAsia" w:ascii="仿宋_GB2312" w:hAnsi="仿宋_GB2312" w:eastAsia="仿宋_GB2312" w:cs="仿宋_GB2312"/>
          <w:b/>
          <w:sz w:val="32"/>
          <w:szCs w:val="32"/>
        </w:rPr>
        <w:t>实施目的及支持方向</w:t>
      </w:r>
    </w:p>
    <w:p>
      <w:pPr>
        <w:widowControl/>
        <w:adjustRightInd w:val="0"/>
        <w:snapToGrid w:val="0"/>
        <w:spacing w:line="560" w:lineRule="exact"/>
        <w:ind w:firstLine="640" w:firstLineChars="200"/>
        <w:contextualSpacing/>
        <w:jc w:val="left"/>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lang w:val="zh-CN"/>
        </w:rPr>
        <w:t>茂县青年（大学生）创新创业孵化基地</w:t>
      </w:r>
      <w:r>
        <w:rPr>
          <w:rFonts w:hint="eastAsia" w:ascii="仿宋_GB2312" w:hAnsi="仿宋_GB2312" w:eastAsia="仿宋_GB2312" w:cs="仿宋_GB2312"/>
          <w:kern w:val="0"/>
          <w:sz w:val="32"/>
          <w:szCs w:val="32"/>
          <w:shd w:val="clear" w:color="auto" w:fill="FFFFFF"/>
        </w:rPr>
        <w:t>主要用于各类创业者提供场地，帮助企业降低成本，提高工作效率。为创业者提供一个有利的创新创业生态系统，促进入驻企业的孵化和成长，以创业带动就业。</w:t>
      </w:r>
    </w:p>
    <w:p>
      <w:pPr>
        <w:widowControl/>
        <w:adjustRightInd w:val="0"/>
        <w:snapToGrid w:val="0"/>
        <w:spacing w:line="560" w:lineRule="exact"/>
        <w:ind w:firstLine="642" w:firstLineChars="200"/>
        <w:contextualSpacing/>
        <w:jc w:val="left"/>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（三）</w:t>
      </w:r>
      <w:r>
        <w:rPr>
          <w:rFonts w:hint="eastAsia" w:ascii="仿宋_GB2312" w:hAnsi="仿宋_GB2312" w:eastAsia="仿宋_GB2312" w:cs="仿宋_GB2312"/>
          <w:b/>
          <w:sz w:val="32"/>
          <w:szCs w:val="32"/>
        </w:rPr>
        <w:t>预算安排及分配管理</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shd w:val="clear" w:color="auto" w:fill="FFFFFF"/>
          <w:lang w:val="zh-CN"/>
        </w:rPr>
        <w:t>2024年茂县青年（大学生）创新创业孵化基地项目</w:t>
      </w:r>
      <w:r>
        <w:rPr>
          <w:rFonts w:hint="eastAsia" w:ascii="仿宋_GB2312" w:hAnsi="仿宋_GB2312" w:eastAsia="仿宋_GB2312" w:cs="仿宋_GB2312"/>
          <w:sz w:val="32"/>
          <w:szCs w:val="32"/>
        </w:rPr>
        <w:t>年初下达资金</w:t>
      </w:r>
      <w:r>
        <w:rPr>
          <w:rFonts w:hint="eastAsia" w:ascii="仿宋_GB2312" w:hAnsi="仿宋_GB2312" w:eastAsia="仿宋_GB2312" w:cs="仿宋_GB2312"/>
          <w:kern w:val="0"/>
          <w:sz w:val="32"/>
          <w:szCs w:val="32"/>
          <w:shd w:val="clear" w:color="auto" w:fill="FFFFFF"/>
        </w:rPr>
        <w:t>165.4</w:t>
      </w:r>
      <w:r>
        <w:rPr>
          <w:rFonts w:hint="eastAsia" w:ascii="仿宋_GB2312" w:hAnsi="仿宋_GB2312" w:eastAsia="仿宋_GB2312" w:cs="仿宋_GB2312"/>
          <w:kern w:val="0"/>
          <w:sz w:val="32"/>
          <w:szCs w:val="32"/>
          <w:shd w:val="clear" w:color="auto" w:fill="FFFFFF"/>
          <w:lang w:val="en-US" w:eastAsia="zh-CN"/>
        </w:rPr>
        <w:t>0</w:t>
      </w:r>
      <w:r>
        <w:rPr>
          <w:rFonts w:hint="eastAsia" w:ascii="仿宋_GB2312" w:hAnsi="仿宋_GB2312" w:eastAsia="仿宋_GB2312" w:cs="仿宋_GB2312"/>
          <w:sz w:val="32"/>
          <w:szCs w:val="32"/>
        </w:rPr>
        <w:t>万元，全年支付160.8</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万元，</w:t>
      </w:r>
      <w:r>
        <w:rPr>
          <w:rFonts w:hint="eastAsia" w:ascii="仿宋_GB2312" w:hAnsi="仿宋_GB2312" w:eastAsia="仿宋_GB2312" w:cs="仿宋_GB2312"/>
          <w:kern w:val="0"/>
          <w:sz w:val="32"/>
          <w:szCs w:val="32"/>
          <w:shd w:val="clear" w:color="auto" w:fill="FFFFFF"/>
        </w:rPr>
        <w:t>预算执行率97.25%，</w:t>
      </w:r>
      <w:r>
        <w:rPr>
          <w:rFonts w:hint="eastAsia" w:ascii="仿宋_GB2312" w:hAnsi="仿宋_GB2312" w:eastAsia="仿宋_GB2312" w:cs="仿宋_GB2312"/>
          <w:sz w:val="32"/>
          <w:szCs w:val="32"/>
        </w:rPr>
        <w:t>预算及使用过程符合相关规定。</w:t>
      </w:r>
    </w:p>
    <w:p>
      <w:pPr>
        <w:adjustRightInd w:val="0"/>
        <w:snapToGrid w:val="0"/>
        <w:spacing w:line="560" w:lineRule="exact"/>
        <w:ind w:firstLine="640" w:firstLineChars="200"/>
        <w:contextualSpacing/>
        <w:jc w:val="left"/>
        <w:rPr>
          <w:rFonts w:hint="eastAsia"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对</w:t>
      </w:r>
      <w:r>
        <w:rPr>
          <w:rFonts w:hint="eastAsia" w:ascii="仿宋_GB2312" w:hAnsi="仿宋_GB2312" w:eastAsia="仿宋_GB2312" w:cs="仿宋_GB2312"/>
          <w:kern w:val="0"/>
          <w:sz w:val="32"/>
          <w:szCs w:val="32"/>
          <w:shd w:val="clear" w:color="auto" w:fill="FFFFFF"/>
          <w:lang w:val="zh-CN"/>
        </w:rPr>
        <w:t>2024年茂县青年（大学生）创新创业孵化基地项目</w:t>
      </w:r>
      <w:r>
        <w:rPr>
          <w:rFonts w:hint="eastAsia" w:ascii="仿宋_GB2312" w:hAnsi="仿宋_GB2312" w:eastAsia="仿宋_GB2312" w:cs="仿宋_GB2312"/>
          <w:color w:val="000000"/>
          <w:kern w:val="0"/>
          <w:sz w:val="32"/>
          <w:szCs w:val="32"/>
          <w:shd w:val="clear" w:color="auto" w:fill="FFFFFF"/>
        </w:rPr>
        <w:t>进行预算编制</w:t>
      </w:r>
      <w:r>
        <w:rPr>
          <w:rFonts w:hint="eastAsia" w:ascii="仿宋_GB2312" w:hAnsi="仿宋_GB2312" w:eastAsia="仿宋_GB2312" w:cs="仿宋_GB2312"/>
          <w:color w:val="000000"/>
          <w:kern w:val="0"/>
          <w:sz w:val="32"/>
          <w:szCs w:val="32"/>
          <w:shd w:val="clear" w:color="auto" w:fill="FFFFFF"/>
          <w:lang w:eastAsia="zh-CN"/>
        </w:rPr>
        <w:t>，</w:t>
      </w:r>
      <w:r>
        <w:rPr>
          <w:rFonts w:hint="eastAsia" w:ascii="仿宋_GB2312" w:hAnsi="仿宋_GB2312" w:eastAsia="仿宋_GB2312" w:cs="仿宋_GB2312"/>
          <w:color w:val="000000"/>
          <w:kern w:val="0"/>
          <w:sz w:val="32"/>
          <w:szCs w:val="32"/>
          <w:shd w:val="clear" w:color="auto" w:fill="FFFFFF"/>
        </w:rPr>
        <w:t>预算编制责任分工、预算执行及分析、预算调整、决算编制、预算绩效管理等内容作出了明确规定，预算管理制度健全。</w:t>
      </w:r>
    </w:p>
    <w:p>
      <w:pPr>
        <w:adjustRightInd w:val="0"/>
        <w:snapToGrid w:val="0"/>
        <w:spacing w:line="560" w:lineRule="exact"/>
        <w:ind w:firstLine="642" w:firstLineChars="200"/>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（四）项目绩效目标设置</w:t>
      </w:r>
    </w:p>
    <w:p>
      <w:pPr>
        <w:adjustRightInd w:val="0"/>
        <w:snapToGrid w:val="0"/>
        <w:spacing w:line="560" w:lineRule="exact"/>
        <w:ind w:firstLine="640" w:firstLineChars="200"/>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lang w:val="zh-CN"/>
        </w:rPr>
        <w:t>2024年茂县青年（大学生）创新创业孵化基地项目</w:t>
      </w:r>
      <w:r>
        <w:rPr>
          <w:rFonts w:hint="eastAsia" w:ascii="仿宋_GB2312" w:hAnsi="仿宋_GB2312" w:eastAsia="仿宋_GB2312" w:cs="仿宋_GB2312"/>
          <w:kern w:val="0"/>
          <w:sz w:val="32"/>
          <w:szCs w:val="32"/>
          <w:shd w:val="clear" w:color="auto" w:fill="FFFFFF"/>
        </w:rPr>
        <w:t>年度总体目标是资金按规定用于孵化基地建设，基地建设完成后进行创业孵化，引导创业带动就业。</w:t>
      </w:r>
    </w:p>
    <w:p>
      <w:pPr>
        <w:adjustRightInd w:val="0"/>
        <w:snapToGrid w:val="0"/>
        <w:spacing w:line="560" w:lineRule="exact"/>
        <w:ind w:firstLine="640" w:firstLineChars="200"/>
        <w:rPr>
          <w:rFonts w:hint="eastAsia"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我</w:t>
      </w:r>
      <w:r>
        <w:rPr>
          <w:rFonts w:hint="eastAsia" w:ascii="仿宋_GB2312" w:hAnsi="仿宋_GB2312" w:eastAsia="仿宋_GB2312" w:cs="仿宋_GB2312"/>
          <w:kern w:val="0"/>
          <w:sz w:val="32"/>
          <w:szCs w:val="32"/>
          <w:shd w:val="clear" w:color="auto" w:fill="FFFFFF"/>
        </w:rPr>
        <w:t>单位</w:t>
      </w:r>
      <w:r>
        <w:rPr>
          <w:rFonts w:hint="eastAsia" w:ascii="仿宋_GB2312" w:hAnsi="仿宋_GB2312" w:eastAsia="仿宋_GB2312" w:cs="仿宋_GB2312"/>
          <w:kern w:val="0"/>
          <w:sz w:val="32"/>
          <w:szCs w:val="32"/>
          <w:shd w:val="clear" w:color="auto" w:fill="FFFFFF"/>
          <w:lang w:val="zh-CN"/>
        </w:rPr>
        <w:t>产出的数量、质量普遍超过了预期，完成情况均达到年初制定的绩效目标，</w:t>
      </w:r>
      <w:r>
        <w:rPr>
          <w:rFonts w:hint="eastAsia" w:ascii="仿宋_GB2312" w:hAnsi="仿宋_GB2312" w:eastAsia="仿宋_GB2312" w:cs="仿宋_GB2312"/>
          <w:kern w:val="0"/>
          <w:sz w:val="32"/>
          <w:szCs w:val="32"/>
          <w:shd w:val="clear" w:color="auto" w:fill="FFFFFF"/>
        </w:rPr>
        <w:t>本年度资金按规定用于孵化基地提档升级、基础设施改造的支出项目，在预算执行年度内，无超设定范围使用经费的情况发生。</w:t>
      </w:r>
    </w:p>
    <w:p>
      <w:pPr>
        <w:adjustRightInd w:val="0"/>
        <w:snapToGrid w:val="0"/>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二、评价实施</w:t>
      </w:r>
    </w:p>
    <w:p>
      <w:pPr>
        <w:spacing w:line="560" w:lineRule="exact"/>
        <w:ind w:firstLine="640"/>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（一）评价目的</w:t>
      </w:r>
    </w:p>
    <w:p>
      <w:pPr>
        <w:adjustRightInd w:val="0"/>
        <w:snapToGrid w:val="0"/>
        <w:spacing w:line="560" w:lineRule="exact"/>
        <w:ind w:firstLine="640" w:firstLineChars="200"/>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通过对2024年茂县青年（大学生）创新创业孵化基地项目绩效自评，对该项目的资金有明确的了解，更加有利于贯彻落实好孵化基地就业扶持政策。</w:t>
      </w:r>
    </w:p>
    <w:p>
      <w:pPr>
        <w:adjustRightInd w:val="0"/>
        <w:snapToGrid w:val="0"/>
        <w:spacing w:line="560" w:lineRule="exact"/>
        <w:ind w:firstLine="642" w:firstLineChars="200"/>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（二）预设问题及评价重点</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shd w:val="clear" w:color="auto" w:fill="FFFFFF"/>
          <w:lang w:val="zh-CN"/>
        </w:rPr>
        <w:t>2024年茂县青年（大学生）创新创业孵化基地项目</w:t>
      </w:r>
      <w:r>
        <w:rPr>
          <w:rFonts w:hint="eastAsia" w:ascii="仿宋_GB2312" w:hAnsi="仿宋_GB2312" w:eastAsia="仿宋_GB2312" w:cs="仿宋_GB2312"/>
          <w:kern w:val="0"/>
          <w:sz w:val="32"/>
          <w:szCs w:val="32"/>
          <w:shd w:val="clear" w:color="auto" w:fill="FFFFFF"/>
        </w:rPr>
        <w:t>自评的重点主要是资金使用情况是否真实。</w:t>
      </w:r>
      <w:r>
        <w:rPr>
          <w:rFonts w:hint="eastAsia" w:ascii="仿宋_GB2312" w:hAnsi="仿宋_GB2312" w:eastAsia="仿宋_GB2312" w:cs="仿宋_GB2312"/>
          <w:sz w:val="32"/>
          <w:szCs w:val="32"/>
        </w:rPr>
        <w:t>本项目本年度年初下达</w:t>
      </w:r>
      <w:r>
        <w:rPr>
          <w:rFonts w:hint="eastAsia" w:ascii="仿宋_GB2312" w:hAnsi="仿宋_GB2312" w:eastAsia="仿宋_GB2312" w:cs="仿宋_GB2312"/>
          <w:sz w:val="32"/>
          <w:szCs w:val="32"/>
          <w:lang w:val="en-US" w:eastAsia="zh-CN"/>
        </w:rPr>
        <w:t>资</w:t>
      </w:r>
      <w:r>
        <w:rPr>
          <w:rFonts w:hint="eastAsia" w:ascii="仿宋_GB2312" w:hAnsi="仿宋_GB2312" w:eastAsia="仿宋_GB2312" w:cs="仿宋_GB2312"/>
          <w:sz w:val="32"/>
          <w:szCs w:val="32"/>
        </w:rPr>
        <w:t>金</w:t>
      </w:r>
      <w:r>
        <w:rPr>
          <w:rFonts w:hint="eastAsia" w:ascii="仿宋_GB2312" w:hAnsi="仿宋_GB2312" w:eastAsia="仿宋_GB2312" w:cs="仿宋_GB2312"/>
          <w:kern w:val="0"/>
          <w:sz w:val="32"/>
          <w:szCs w:val="32"/>
          <w:shd w:val="clear" w:color="auto" w:fill="FFFFFF"/>
        </w:rPr>
        <w:t>165.4</w:t>
      </w:r>
      <w:r>
        <w:rPr>
          <w:rFonts w:hint="eastAsia" w:ascii="仿宋_GB2312" w:hAnsi="仿宋_GB2312" w:eastAsia="仿宋_GB2312" w:cs="仿宋_GB2312"/>
          <w:kern w:val="0"/>
          <w:sz w:val="32"/>
          <w:szCs w:val="32"/>
          <w:shd w:val="clear" w:color="auto" w:fill="FFFFFF"/>
          <w:lang w:val="en-US" w:eastAsia="zh-CN"/>
        </w:rPr>
        <w:t>0</w:t>
      </w:r>
      <w:r>
        <w:rPr>
          <w:rFonts w:hint="eastAsia" w:ascii="仿宋_GB2312" w:hAnsi="仿宋_GB2312" w:eastAsia="仿宋_GB2312" w:cs="仿宋_GB2312"/>
          <w:sz w:val="32"/>
          <w:szCs w:val="32"/>
        </w:rPr>
        <w:t>万元，全年支付</w:t>
      </w:r>
      <w:r>
        <w:rPr>
          <w:rFonts w:hint="eastAsia" w:ascii="仿宋_GB2312" w:hAnsi="仿宋_GB2312" w:eastAsia="仿宋_GB2312" w:cs="仿宋_GB2312"/>
          <w:kern w:val="0"/>
          <w:sz w:val="32"/>
          <w:szCs w:val="32"/>
          <w:shd w:val="clear" w:color="auto" w:fill="FFFFFF"/>
        </w:rPr>
        <w:t>160.8</w:t>
      </w:r>
      <w:r>
        <w:rPr>
          <w:rFonts w:hint="eastAsia" w:ascii="仿宋_GB2312" w:hAnsi="仿宋_GB2312" w:eastAsia="仿宋_GB2312" w:cs="仿宋_GB2312"/>
          <w:kern w:val="0"/>
          <w:sz w:val="32"/>
          <w:szCs w:val="32"/>
          <w:shd w:val="clear" w:color="auto" w:fill="FFFFFF"/>
          <w:lang w:val="en-US" w:eastAsia="zh-CN"/>
        </w:rPr>
        <w:t>5</w:t>
      </w:r>
      <w:r>
        <w:rPr>
          <w:rFonts w:hint="eastAsia" w:ascii="仿宋_GB2312" w:hAnsi="仿宋_GB2312" w:eastAsia="仿宋_GB2312" w:cs="仿宋_GB2312"/>
          <w:sz w:val="32"/>
          <w:szCs w:val="32"/>
        </w:rPr>
        <w:t>万元，</w:t>
      </w:r>
      <w:r>
        <w:rPr>
          <w:rFonts w:hint="eastAsia" w:ascii="仿宋_GB2312" w:hAnsi="仿宋_GB2312" w:eastAsia="仿宋_GB2312" w:cs="仿宋_GB2312"/>
          <w:kern w:val="0"/>
          <w:sz w:val="32"/>
          <w:szCs w:val="32"/>
          <w:shd w:val="clear" w:color="auto" w:fill="FFFFFF"/>
        </w:rPr>
        <w:t>预算执行率97.25%，</w:t>
      </w:r>
      <w:r>
        <w:rPr>
          <w:rFonts w:hint="eastAsia" w:ascii="仿宋_GB2312" w:hAnsi="仿宋_GB2312" w:eastAsia="仿宋_GB2312" w:cs="仿宋_GB2312"/>
          <w:sz w:val="32"/>
          <w:szCs w:val="32"/>
        </w:rPr>
        <w:t>预算及使用过程符合相关规定。</w:t>
      </w:r>
    </w:p>
    <w:p>
      <w:pPr>
        <w:adjustRightInd w:val="0"/>
        <w:snapToGrid w:val="0"/>
        <w:spacing w:line="560" w:lineRule="exact"/>
        <w:ind w:firstLine="642" w:firstLineChars="200"/>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（三）评价选点</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w:t>
      </w:r>
      <w:r>
        <w:rPr>
          <w:rFonts w:hint="eastAsia" w:ascii="仿宋_GB2312" w:hAnsi="仿宋_GB2312" w:eastAsia="仿宋_GB2312" w:cs="仿宋_GB2312"/>
          <w:kern w:val="0"/>
          <w:sz w:val="32"/>
          <w:szCs w:val="32"/>
          <w:shd w:val="clear" w:color="auto" w:fill="FFFFFF"/>
        </w:rPr>
        <w:t>2024年茂县青年（大学生）创新创业孵化基地项目</w:t>
      </w:r>
      <w:r>
        <w:rPr>
          <w:rFonts w:hint="eastAsia" w:ascii="仿宋_GB2312" w:hAnsi="仿宋_GB2312" w:eastAsia="仿宋_GB2312" w:cs="仿宋_GB2312"/>
          <w:sz w:val="32"/>
          <w:szCs w:val="32"/>
        </w:rPr>
        <w:t>资金使用情况进行复核。</w:t>
      </w:r>
    </w:p>
    <w:p>
      <w:pPr>
        <w:spacing w:line="560" w:lineRule="exact"/>
        <w:ind w:firstLine="640"/>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（四）评价方法。</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本次项目绩效自评的方案包括采用成本效益分析法、标杆管理法、案卷研究法、单位自评法、实地勘察法、问卷调查法、座谈调研法等。</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一是通过研究、解读相关文献，获取项目概况、绩效指标等有用信息；</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二是采用成本效益分析法、实地勘察法、问卷调查法、座谈调研法对项目的实施内容安排、目标设定等进行分析判断；</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三是从项目工作及预算安排以及预算执行工作中提炼项目实施中的经验和不足。</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综合分析相关情况后，对项目进行绩效自评。</w:t>
      </w:r>
    </w:p>
    <w:p>
      <w:pPr>
        <w:spacing w:line="560" w:lineRule="exact"/>
        <w:ind w:firstLine="640"/>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（五）评价组织</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1.成立专项预算项目自评工作组。茂县就业服务中心成立绩效自评工作组，组织开展绩效自评各项工作。</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2.拟定工作方案。自评工作组按要求拟定具体的绩效自评工作方案。</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3.进行绩效自评。自评工作组通过查阅专项项目资料和听取项目汇报，对项目内容进行自评，形成自评报告。</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4.撰写报告。自评工作组根据自评意见，按照规定的文本格式和要求，撰写绩效自评报告，整理绩效自评资料。</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5.提交报告。自评工作组在规定时间内，向茂县财政投资评审中心提交绩效自评报告。</w:t>
      </w:r>
    </w:p>
    <w:p>
      <w:pPr>
        <w:adjustRightInd w:val="0"/>
        <w:snapToGrid w:val="0"/>
        <w:spacing w:line="560" w:lineRule="exact"/>
        <w:ind w:firstLine="640" w:firstLineChars="200"/>
        <w:rPr>
          <w:rFonts w:hint="eastAsia" w:ascii="仿宋_GB2312" w:hAnsi="仿宋_GB2312" w:eastAsia="仿宋_GB2312" w:cs="仿宋_GB2312"/>
          <w:sz w:val="32"/>
          <w:szCs w:val="32"/>
          <w:lang w:val="zh-CN"/>
        </w:rPr>
      </w:pPr>
      <w:r>
        <w:rPr>
          <w:rFonts w:hint="eastAsia" w:ascii="黑体" w:hAnsi="黑体" w:eastAsia="黑体" w:cs="黑体"/>
          <w:sz w:val="32"/>
          <w:szCs w:val="32"/>
        </w:rPr>
        <w:t>三、绩效分析</w:t>
      </w:r>
      <w:r>
        <w:rPr>
          <w:rFonts w:hint="eastAsia" w:ascii="仿宋_GB2312" w:hAnsi="仿宋_GB2312" w:eastAsia="仿宋_GB2312" w:cs="仿宋_GB2312"/>
          <w:sz w:val="32"/>
          <w:szCs w:val="32"/>
          <w:lang w:val="zh-CN"/>
        </w:rPr>
        <w:tab/>
      </w:r>
    </w:p>
    <w:p>
      <w:pPr>
        <w:adjustRightInd w:val="0"/>
        <w:snapToGrid w:val="0"/>
        <w:spacing w:line="560" w:lineRule="exact"/>
        <w:ind w:firstLine="640" w:firstLineChars="200"/>
        <w:rPr>
          <w:rFonts w:hint="eastAsia"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rPr>
        <w:t>2024年茂县青年（大学生）创新创业孵化基地项目完成了目标任务，本项目评分为：99.2</w:t>
      </w:r>
      <w:r>
        <w:rPr>
          <w:rFonts w:hint="eastAsia" w:ascii="仿宋_GB2312" w:hAnsi="仿宋_GB2312" w:eastAsia="仿宋_GB2312" w:cs="仿宋_GB2312"/>
          <w:kern w:val="0"/>
          <w:sz w:val="32"/>
          <w:szCs w:val="32"/>
          <w:shd w:val="clear" w:color="auto" w:fill="FFFFFF"/>
          <w:lang w:val="en-US" w:eastAsia="zh-CN"/>
        </w:rPr>
        <w:t>0</w:t>
      </w:r>
      <w:r>
        <w:rPr>
          <w:rFonts w:hint="eastAsia" w:ascii="仿宋_GB2312" w:hAnsi="仿宋_GB2312" w:eastAsia="仿宋_GB2312" w:cs="仿宋_GB2312"/>
          <w:kern w:val="0"/>
          <w:sz w:val="32"/>
          <w:szCs w:val="32"/>
          <w:shd w:val="clear" w:color="auto" w:fill="FFFFFF"/>
        </w:rPr>
        <w:t>分，</w:t>
      </w:r>
      <w:r>
        <w:rPr>
          <w:rFonts w:hint="eastAsia" w:ascii="仿宋_GB2312" w:hAnsi="仿宋_GB2312" w:eastAsia="仿宋_GB2312" w:cs="仿宋_GB2312"/>
          <w:kern w:val="0"/>
          <w:sz w:val="32"/>
          <w:szCs w:val="32"/>
          <w:shd w:val="clear" w:color="auto" w:fill="FFFFFF"/>
          <w:lang w:val="zh-CN"/>
        </w:rPr>
        <w:t>总体评价为优秀。</w:t>
      </w:r>
    </w:p>
    <w:p>
      <w:pPr>
        <w:spacing w:line="560" w:lineRule="exact"/>
        <w:ind w:firstLine="640"/>
        <w:rPr>
          <w:rFonts w:hint="eastAsia" w:ascii="仿宋_GB2312" w:hAnsi="仿宋_GB2312" w:eastAsia="仿宋_GB2312" w:cs="仿宋_GB2312"/>
          <w:b/>
          <w:bCs/>
          <w:color w:val="000000"/>
          <w:kern w:val="0"/>
          <w:sz w:val="32"/>
          <w:szCs w:val="32"/>
          <w:shd w:val="clear" w:color="auto" w:fill="FFFFFF"/>
          <w:lang w:val="zh-CN"/>
        </w:rPr>
      </w:pPr>
      <w:r>
        <w:rPr>
          <w:rFonts w:hint="eastAsia" w:ascii="仿宋_GB2312" w:hAnsi="仿宋_GB2312" w:eastAsia="仿宋_GB2312" w:cs="仿宋_GB2312"/>
          <w:b/>
          <w:bCs/>
          <w:color w:val="000000"/>
          <w:kern w:val="0"/>
          <w:sz w:val="32"/>
          <w:szCs w:val="32"/>
          <w:shd w:val="clear" w:color="auto" w:fill="FFFFFF"/>
        </w:rPr>
        <w:t>1.指标</w:t>
      </w:r>
      <w:r>
        <w:rPr>
          <w:rFonts w:hint="eastAsia" w:ascii="仿宋_GB2312" w:hAnsi="仿宋_GB2312" w:eastAsia="仿宋_GB2312" w:cs="仿宋_GB2312"/>
          <w:b/>
          <w:bCs/>
          <w:color w:val="000000"/>
          <w:kern w:val="0"/>
          <w:sz w:val="32"/>
          <w:szCs w:val="32"/>
          <w:shd w:val="clear" w:color="auto" w:fill="FFFFFF"/>
          <w:lang w:val="zh-CN"/>
        </w:rPr>
        <w:t>具体如下：</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（1）数量指标：孵化基地入驻</w:t>
      </w:r>
      <w:r>
        <w:rPr>
          <w:rFonts w:hint="eastAsia" w:ascii="仿宋_GB2312" w:hAnsi="仿宋_GB2312" w:eastAsia="仿宋_GB2312" w:cs="仿宋_GB2312"/>
          <w:kern w:val="0"/>
          <w:sz w:val="32"/>
          <w:szCs w:val="32"/>
          <w:shd w:val="clear" w:color="auto" w:fill="FFFFFF"/>
        </w:rPr>
        <w:t>率90%，</w:t>
      </w:r>
      <w:r>
        <w:rPr>
          <w:rFonts w:hint="eastAsia" w:ascii="仿宋_GB2312" w:hAnsi="仿宋_GB2312" w:eastAsia="仿宋_GB2312" w:cs="仿宋_GB2312"/>
          <w:kern w:val="0"/>
          <w:sz w:val="32"/>
          <w:szCs w:val="32"/>
          <w:shd w:val="clear" w:color="auto" w:fill="FFFFFF"/>
          <w:lang w:val="zh-CN"/>
        </w:rPr>
        <w:t>总体绩效目标完成。</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（2）质量指标：基地孵化成功率</w:t>
      </w:r>
      <w:r>
        <w:rPr>
          <w:rFonts w:hint="eastAsia" w:ascii="仿宋_GB2312" w:hAnsi="仿宋_GB2312" w:eastAsia="仿宋_GB2312" w:cs="仿宋_GB2312"/>
          <w:kern w:val="0"/>
          <w:sz w:val="32"/>
          <w:szCs w:val="32"/>
          <w:shd w:val="clear" w:color="auto" w:fill="FFFFFF"/>
        </w:rPr>
        <w:t>100%。</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（3）时效指标：资金</w:t>
      </w:r>
      <w:r>
        <w:rPr>
          <w:rFonts w:hint="eastAsia" w:ascii="仿宋_GB2312" w:hAnsi="仿宋_GB2312" w:eastAsia="仿宋_GB2312" w:cs="仿宋_GB2312"/>
          <w:kern w:val="0"/>
          <w:sz w:val="32"/>
          <w:szCs w:val="32"/>
          <w:shd w:val="clear" w:color="auto" w:fill="FFFFFF"/>
        </w:rPr>
        <w:t>在12月前支付到位率100%</w:t>
      </w:r>
      <w:r>
        <w:rPr>
          <w:rFonts w:hint="eastAsia" w:ascii="仿宋_GB2312" w:hAnsi="仿宋_GB2312" w:eastAsia="仿宋_GB2312" w:cs="仿宋_GB2312"/>
          <w:kern w:val="0"/>
          <w:sz w:val="32"/>
          <w:szCs w:val="32"/>
          <w:shd w:val="clear" w:color="auto" w:fill="FFFFFF"/>
          <w:lang w:val="zh-CN"/>
        </w:rPr>
        <w:t>。</w:t>
      </w:r>
    </w:p>
    <w:p>
      <w:pPr>
        <w:pStyle w:val="10"/>
        <w:keepNext w:val="0"/>
        <w:keepLines w:val="0"/>
        <w:pageBreakBefore w:val="0"/>
        <w:widowControl w:val="0"/>
        <w:kinsoku/>
        <w:wordWrap/>
        <w:overflowPunct/>
        <w:topLinePunct w:val="0"/>
        <w:autoSpaceDE/>
        <w:autoSpaceDN/>
        <w:bidi w:val="0"/>
        <w:snapToGrid w:val="0"/>
        <w:spacing w:line="560" w:lineRule="exact"/>
        <w:ind w:firstLine="640" w:firstLineChars="200"/>
        <w:textAlignment w:val="auto"/>
        <w:rPr>
          <w:rFonts w:hint="eastAsia" w:ascii="仿宋_GB2312" w:hAnsi="仿宋_GB2312" w:eastAsia="仿宋_GB2312" w:cs="仿宋_GB2312"/>
          <w:kern w:val="0"/>
          <w:sz w:val="32"/>
          <w:szCs w:val="32"/>
          <w:shd w:val="clear" w:color="auto" w:fill="FFFFFF"/>
          <w:lang w:val="en-US"/>
        </w:rPr>
      </w:pPr>
      <w:r>
        <w:rPr>
          <w:rFonts w:hint="eastAsia" w:ascii="仿宋_GB2312" w:hAnsi="仿宋_GB2312" w:eastAsia="仿宋_GB2312" w:cs="仿宋_GB2312"/>
          <w:kern w:val="0"/>
          <w:sz w:val="32"/>
          <w:szCs w:val="32"/>
          <w:shd w:val="clear" w:color="auto" w:fill="FFFFFF"/>
        </w:rPr>
        <w:t>（</w:t>
      </w:r>
      <w:r>
        <w:rPr>
          <w:rFonts w:hint="eastAsia" w:ascii="仿宋_GB2312" w:hAnsi="仿宋_GB2312" w:eastAsia="仿宋_GB2312" w:cs="仿宋_GB2312"/>
          <w:kern w:val="0"/>
          <w:sz w:val="32"/>
          <w:szCs w:val="32"/>
          <w:shd w:val="clear" w:color="auto" w:fill="FFFFFF"/>
          <w:lang w:val="en-US"/>
        </w:rPr>
        <w:t>4</w:t>
      </w:r>
      <w:r>
        <w:rPr>
          <w:rFonts w:hint="eastAsia" w:ascii="仿宋_GB2312" w:hAnsi="仿宋_GB2312" w:eastAsia="仿宋_GB2312" w:cs="仿宋_GB2312"/>
          <w:kern w:val="0"/>
          <w:sz w:val="32"/>
          <w:szCs w:val="32"/>
          <w:shd w:val="clear" w:color="auto" w:fill="FFFFFF"/>
        </w:rPr>
        <w:t>）社会效益指标：以创业带动就业不低于</w:t>
      </w:r>
      <w:r>
        <w:rPr>
          <w:rFonts w:hint="eastAsia" w:ascii="仿宋_GB2312" w:hAnsi="仿宋_GB2312" w:eastAsia="仿宋_GB2312" w:cs="仿宋_GB2312"/>
          <w:kern w:val="0"/>
          <w:sz w:val="32"/>
          <w:szCs w:val="32"/>
          <w:shd w:val="clear" w:color="auto" w:fill="FFFFFF"/>
          <w:lang w:val="en-US"/>
        </w:rPr>
        <w:t>90%。</w:t>
      </w:r>
    </w:p>
    <w:p>
      <w:pPr>
        <w:pStyle w:val="10"/>
        <w:keepNext w:val="0"/>
        <w:keepLines w:val="0"/>
        <w:pageBreakBefore w:val="0"/>
        <w:widowControl w:val="0"/>
        <w:kinsoku/>
        <w:wordWrap/>
        <w:overflowPunct/>
        <w:topLinePunct w:val="0"/>
        <w:autoSpaceDE/>
        <w:autoSpaceDN/>
        <w:bidi w:val="0"/>
        <w:snapToGrid w:val="0"/>
        <w:spacing w:line="560" w:lineRule="exact"/>
        <w:ind w:firstLine="640" w:firstLineChars="200"/>
        <w:textAlignment w:val="auto"/>
        <w:rPr>
          <w:rFonts w:hint="eastAsia" w:ascii="仿宋_GB2312" w:hAnsi="仿宋_GB2312" w:eastAsia="仿宋_GB2312" w:cs="仿宋_GB2312"/>
          <w:kern w:val="0"/>
          <w:sz w:val="32"/>
          <w:szCs w:val="32"/>
          <w:shd w:val="clear" w:color="auto" w:fill="FFFFFF"/>
          <w:lang w:val="en-US"/>
        </w:rPr>
      </w:pPr>
      <w:r>
        <w:rPr>
          <w:rFonts w:hint="eastAsia" w:ascii="仿宋_GB2312" w:hAnsi="仿宋_GB2312" w:eastAsia="仿宋_GB2312" w:cs="仿宋_GB2312"/>
          <w:kern w:val="0"/>
          <w:sz w:val="32"/>
          <w:szCs w:val="32"/>
          <w:shd w:val="clear" w:color="auto" w:fill="FFFFFF"/>
          <w:lang w:val="en-US"/>
        </w:rPr>
        <w:t>（5）可持续发展指标：规模不断扩大，保持发展促进更多就业。</w:t>
      </w:r>
    </w:p>
    <w:p>
      <w:pPr>
        <w:pStyle w:val="10"/>
        <w:keepNext w:val="0"/>
        <w:keepLines w:val="0"/>
        <w:pageBreakBefore w:val="0"/>
        <w:widowControl w:val="0"/>
        <w:kinsoku/>
        <w:wordWrap/>
        <w:overflowPunct/>
        <w:topLinePunct w:val="0"/>
        <w:autoSpaceDE/>
        <w:autoSpaceDN/>
        <w:bidi w:val="0"/>
        <w:snapToGrid w:val="0"/>
        <w:spacing w:line="560" w:lineRule="exact"/>
        <w:ind w:firstLine="640" w:firstLineChars="200"/>
        <w:textAlignment w:val="auto"/>
        <w:rPr>
          <w:rFonts w:hint="eastAsia" w:ascii="仿宋_GB2312" w:hAnsi="仿宋_GB2312" w:eastAsia="仿宋_GB2312" w:cs="仿宋_GB2312"/>
          <w:kern w:val="0"/>
          <w:sz w:val="32"/>
          <w:szCs w:val="32"/>
          <w:shd w:val="clear" w:color="auto" w:fill="FFFFFF"/>
          <w:lang w:val="en-US"/>
        </w:rPr>
      </w:pPr>
      <w:r>
        <w:rPr>
          <w:rFonts w:hint="eastAsia" w:ascii="仿宋_GB2312" w:hAnsi="仿宋_GB2312" w:eastAsia="仿宋_GB2312" w:cs="仿宋_GB2312"/>
          <w:kern w:val="0"/>
          <w:sz w:val="32"/>
          <w:szCs w:val="32"/>
          <w:shd w:val="clear" w:color="auto" w:fill="FFFFFF"/>
          <w:lang w:val="en-US"/>
        </w:rPr>
        <w:t>（6）经济成本指标：支付金额165</w:t>
      </w:r>
      <w:r>
        <w:rPr>
          <w:rFonts w:hint="eastAsia" w:ascii="仿宋_GB2312" w:hAnsi="仿宋_GB2312" w:eastAsia="仿宋_GB2312" w:cs="仿宋_GB2312"/>
          <w:kern w:val="0"/>
          <w:sz w:val="32"/>
          <w:szCs w:val="32"/>
          <w:shd w:val="clear" w:color="auto" w:fill="FFFFFF"/>
          <w:lang w:val="en-US" w:eastAsia="zh-CN"/>
        </w:rPr>
        <w:t>.00</w:t>
      </w:r>
      <w:r>
        <w:rPr>
          <w:rFonts w:hint="eastAsia" w:ascii="仿宋_GB2312" w:hAnsi="仿宋_GB2312" w:eastAsia="仿宋_GB2312" w:cs="仿宋_GB2312"/>
          <w:kern w:val="0"/>
          <w:sz w:val="32"/>
          <w:szCs w:val="32"/>
          <w:shd w:val="clear" w:color="auto" w:fill="FFFFFF"/>
          <w:lang w:val="en-US"/>
        </w:rPr>
        <w:t>万</w:t>
      </w:r>
      <w:r>
        <w:rPr>
          <w:rFonts w:hint="eastAsia" w:ascii="仿宋_GB2312" w:hAnsi="仿宋_GB2312" w:eastAsia="仿宋_GB2312" w:cs="仿宋_GB2312"/>
          <w:kern w:val="0"/>
          <w:sz w:val="32"/>
          <w:szCs w:val="32"/>
          <w:shd w:val="clear" w:color="auto" w:fill="FFFFFF"/>
          <w:lang w:val="en-US" w:eastAsia="zh-CN"/>
        </w:rPr>
        <w:t>元</w:t>
      </w:r>
      <w:r>
        <w:rPr>
          <w:rFonts w:hint="eastAsia" w:ascii="仿宋_GB2312" w:hAnsi="仿宋_GB2312" w:eastAsia="仿宋_GB2312" w:cs="仿宋_GB2312"/>
          <w:kern w:val="0"/>
          <w:sz w:val="32"/>
          <w:szCs w:val="32"/>
          <w:shd w:val="clear" w:color="auto" w:fill="FFFFFF"/>
          <w:lang w:val="en-US"/>
        </w:rPr>
        <w:t>，完成97.25%。</w:t>
      </w:r>
    </w:p>
    <w:p>
      <w:pPr>
        <w:pStyle w:val="10"/>
        <w:keepNext w:val="0"/>
        <w:keepLines w:val="0"/>
        <w:pageBreakBefore w:val="0"/>
        <w:widowControl w:val="0"/>
        <w:kinsoku/>
        <w:wordWrap/>
        <w:overflowPunct/>
        <w:topLinePunct w:val="0"/>
        <w:autoSpaceDE/>
        <w:autoSpaceDN/>
        <w:bidi w:val="0"/>
        <w:snapToGrid w:val="0"/>
        <w:spacing w:line="560" w:lineRule="exact"/>
        <w:ind w:firstLine="640" w:firstLineChars="200"/>
        <w:textAlignment w:val="auto"/>
        <w:rPr>
          <w:rFonts w:hint="eastAsia" w:ascii="仿宋_GB2312" w:hAnsi="仿宋_GB2312" w:eastAsia="仿宋_GB2312" w:cs="仿宋_GB2312"/>
          <w:kern w:val="0"/>
          <w:sz w:val="32"/>
          <w:szCs w:val="32"/>
          <w:shd w:val="clear" w:color="auto" w:fill="FFFFFF"/>
          <w:lang w:val="en-US"/>
        </w:rPr>
      </w:pPr>
      <w:r>
        <w:rPr>
          <w:rFonts w:hint="eastAsia" w:ascii="仿宋_GB2312" w:hAnsi="仿宋_GB2312" w:eastAsia="仿宋_GB2312" w:cs="仿宋_GB2312"/>
          <w:kern w:val="0"/>
          <w:sz w:val="32"/>
          <w:szCs w:val="32"/>
          <w:shd w:val="clear" w:color="auto" w:fill="FFFFFF"/>
        </w:rPr>
        <w:t>（</w:t>
      </w:r>
      <w:r>
        <w:rPr>
          <w:rFonts w:hint="eastAsia" w:ascii="仿宋_GB2312" w:hAnsi="仿宋_GB2312" w:eastAsia="仿宋_GB2312" w:cs="仿宋_GB2312"/>
          <w:kern w:val="0"/>
          <w:sz w:val="32"/>
          <w:szCs w:val="32"/>
          <w:shd w:val="clear" w:color="auto" w:fill="FFFFFF"/>
          <w:lang w:val="en-US"/>
        </w:rPr>
        <w:t>7</w:t>
      </w:r>
      <w:r>
        <w:rPr>
          <w:rFonts w:hint="eastAsia" w:ascii="仿宋_GB2312" w:hAnsi="仿宋_GB2312" w:eastAsia="仿宋_GB2312" w:cs="仿宋_GB2312"/>
          <w:kern w:val="0"/>
          <w:sz w:val="32"/>
          <w:szCs w:val="32"/>
          <w:shd w:val="clear" w:color="auto" w:fill="FFFFFF"/>
        </w:rPr>
        <w:t>）</w:t>
      </w:r>
      <w:r>
        <w:rPr>
          <w:rFonts w:hint="eastAsia" w:ascii="仿宋_GB2312" w:hAnsi="仿宋_GB2312" w:eastAsia="仿宋_GB2312" w:cs="仿宋_GB2312"/>
          <w:kern w:val="0"/>
          <w:sz w:val="32"/>
          <w:szCs w:val="32"/>
          <w:shd w:val="clear" w:color="auto" w:fill="FFFFFF"/>
          <w:lang w:val="en-US"/>
        </w:rPr>
        <w:t>满意度指标：服务对象满意度不低于95%。</w:t>
      </w:r>
    </w:p>
    <w:p>
      <w:pPr>
        <w:spacing w:line="560" w:lineRule="exact"/>
        <w:ind w:firstLine="64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2.指标</w:t>
      </w:r>
      <w:r>
        <w:rPr>
          <w:rFonts w:hint="eastAsia" w:ascii="仿宋_GB2312" w:hAnsi="仿宋_GB2312" w:eastAsia="仿宋_GB2312" w:cs="仿宋_GB2312"/>
          <w:b/>
          <w:bCs/>
          <w:color w:val="000000"/>
          <w:kern w:val="0"/>
          <w:sz w:val="32"/>
          <w:szCs w:val="32"/>
          <w:shd w:val="clear" w:color="auto" w:fill="FFFFFF"/>
          <w:lang w:val="zh-CN"/>
        </w:rPr>
        <w:t>绩效分析</w:t>
      </w:r>
    </w:p>
    <w:p>
      <w:pPr>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1.项目决策</w:t>
      </w:r>
    </w:p>
    <w:p>
      <w:pPr>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该项目决策程序严密，项目规划论证符合相关要求，项目绩效目标设置科学合理。项目资金与项目总体规划、相关行业事业发展相匹配，聚焦重大任务、重点领域、重点环节和重点项目。项目制度办法体系健全、要素完备。</w:t>
      </w:r>
    </w:p>
    <w:p>
      <w:pPr>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2.项目管理</w:t>
      </w:r>
    </w:p>
    <w:p>
      <w:pPr>
        <w:widowControl/>
        <w:adjustRightInd w:val="0"/>
        <w:snapToGrid w:val="0"/>
        <w:spacing w:line="560" w:lineRule="exact"/>
        <w:ind w:firstLine="640" w:firstLineChars="200"/>
        <w:contextualSpacing/>
        <w:jc w:val="left"/>
        <w:rPr>
          <w:rFonts w:hint="eastAsia"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bCs/>
          <w:color w:val="000000"/>
          <w:kern w:val="36"/>
          <w:sz w:val="32"/>
          <w:szCs w:val="32"/>
        </w:rPr>
        <w:t>为落实党中央、国务院和省、州、县党委、政府关于进一步促进大众创业、万众创新工作精神，</w:t>
      </w:r>
      <w:r>
        <w:rPr>
          <w:rFonts w:hint="eastAsia" w:ascii="仿宋_GB2312" w:hAnsi="仿宋_GB2312" w:eastAsia="仿宋_GB2312" w:cs="仿宋_GB2312"/>
          <w:kern w:val="0"/>
          <w:sz w:val="32"/>
          <w:szCs w:val="32"/>
          <w:shd w:val="clear" w:color="auto" w:fill="FFFFFF"/>
        </w:rPr>
        <w:t>为贯彻落实好各项就业扶持政策,我单位</w:t>
      </w:r>
      <w:r>
        <w:rPr>
          <w:rFonts w:hint="eastAsia" w:ascii="仿宋_GB2312" w:hAnsi="仿宋_GB2312" w:eastAsia="仿宋_GB2312" w:cs="仿宋_GB2312"/>
          <w:kern w:val="0"/>
          <w:sz w:val="32"/>
          <w:szCs w:val="32"/>
          <w:shd w:val="clear" w:color="auto" w:fill="FFFFFF"/>
          <w:lang w:val="zh-CN"/>
        </w:rPr>
        <w:t>对</w:t>
      </w:r>
      <w:r>
        <w:rPr>
          <w:rFonts w:hint="eastAsia" w:ascii="仿宋_GB2312" w:hAnsi="仿宋_GB2312" w:eastAsia="仿宋_GB2312" w:cs="仿宋_GB2312"/>
          <w:kern w:val="0"/>
          <w:sz w:val="32"/>
          <w:szCs w:val="32"/>
          <w:shd w:val="clear" w:color="auto" w:fill="FFFFFF"/>
        </w:rPr>
        <w:t>2024年茂县青年（大学生）创新创业孵化基地项目</w:t>
      </w:r>
      <w:r>
        <w:rPr>
          <w:rFonts w:hint="eastAsia" w:ascii="仿宋_GB2312" w:hAnsi="仿宋_GB2312" w:eastAsia="仿宋_GB2312" w:cs="仿宋_GB2312"/>
          <w:sz w:val="32"/>
          <w:szCs w:val="32"/>
        </w:rPr>
        <w:t>资金</w:t>
      </w:r>
      <w:r>
        <w:rPr>
          <w:rFonts w:hint="eastAsia" w:ascii="仿宋_GB2312" w:hAnsi="仿宋_GB2312" w:eastAsia="仿宋_GB2312" w:cs="仿宋_GB2312"/>
          <w:kern w:val="0"/>
          <w:sz w:val="32"/>
          <w:szCs w:val="32"/>
          <w:shd w:val="clear" w:color="auto" w:fill="FFFFFF"/>
          <w:lang w:val="zh-CN"/>
        </w:rPr>
        <w:t>实行专项管理，专款专用。</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3.项目实施</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shd w:val="clear" w:color="auto" w:fill="FFFFFF"/>
        </w:rPr>
        <w:t>2024年茂县青年（大学生）创新创业孵化基地项目</w:t>
      </w:r>
      <w:r>
        <w:rPr>
          <w:rFonts w:hint="eastAsia" w:ascii="仿宋_GB2312" w:hAnsi="仿宋_GB2312" w:eastAsia="仿宋_GB2312" w:cs="仿宋_GB2312"/>
          <w:sz w:val="32"/>
          <w:szCs w:val="32"/>
        </w:rPr>
        <w:t>完成预期目标，实施结果与绩效目标相匹配。</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4.项目结果</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shd w:val="clear" w:color="auto" w:fill="FFFFFF"/>
        </w:rPr>
        <w:t>2024年茂县青年（大学生）创新创业孵化基地项目</w:t>
      </w:r>
      <w:r>
        <w:rPr>
          <w:rFonts w:hint="eastAsia" w:ascii="仿宋_GB2312" w:hAnsi="仿宋_GB2312" w:eastAsia="仿宋_GB2312" w:cs="仿宋_GB2312"/>
          <w:sz w:val="32"/>
          <w:szCs w:val="32"/>
        </w:rPr>
        <w:t>资金在规定时间内下达率100%，补贴资金在规定时间内支付到位率97.25%。</w:t>
      </w:r>
    </w:p>
    <w:p>
      <w:pPr>
        <w:pStyle w:val="6"/>
        <w:tabs>
          <w:tab w:val="left" w:pos="2160"/>
        </w:tabs>
        <w:spacing w:line="560" w:lineRule="exact"/>
        <w:ind w:firstLine="640" w:firstLineChars="200"/>
        <w:rPr>
          <w:rFonts w:hint="eastAsia" w:ascii="黑体" w:hAnsi="黑体" w:eastAsia="黑体" w:cs="黑体"/>
          <w:sz w:val="32"/>
          <w:szCs w:val="32"/>
          <w:lang w:eastAsia="zh-CN"/>
        </w:rPr>
      </w:pPr>
      <w:r>
        <w:rPr>
          <w:rFonts w:hint="eastAsia" w:ascii="黑体" w:hAnsi="黑体" w:eastAsia="黑体" w:cs="黑体"/>
          <w:sz w:val="32"/>
          <w:szCs w:val="32"/>
          <w:lang w:eastAsia="zh-CN"/>
        </w:rPr>
        <w:t>四</w:t>
      </w:r>
      <w:r>
        <w:rPr>
          <w:rFonts w:hint="eastAsia" w:ascii="黑体" w:hAnsi="黑体" w:eastAsia="黑体" w:cs="黑体"/>
          <w:sz w:val="32"/>
          <w:szCs w:val="32"/>
        </w:rPr>
        <w:t>、评价结论</w:t>
      </w:r>
    </w:p>
    <w:p>
      <w:pPr>
        <w:pStyle w:val="6"/>
        <w:tabs>
          <w:tab w:val="left" w:pos="2160"/>
        </w:tabs>
        <w:spacing w:line="560" w:lineRule="exact"/>
        <w:ind w:firstLine="640" w:firstLineChars="200"/>
        <w:rPr>
          <w:rFonts w:hint="eastAsia" w:ascii="仿宋_GB2312" w:hAnsi="仿宋_GB2312" w:eastAsia="仿宋_GB2312" w:cs="仿宋_GB2312"/>
          <w:position w:val="0"/>
          <w:sz w:val="32"/>
          <w:szCs w:val="32"/>
          <w:shd w:val="clear" w:color="auto" w:fill="FFFFFF"/>
          <w:lang w:eastAsia="zh-CN"/>
        </w:rPr>
      </w:pPr>
      <w:r>
        <w:rPr>
          <w:rFonts w:hint="eastAsia" w:ascii="仿宋_GB2312" w:hAnsi="仿宋_GB2312" w:eastAsia="仿宋_GB2312" w:cs="仿宋_GB2312"/>
          <w:position w:val="0"/>
          <w:sz w:val="32"/>
          <w:szCs w:val="32"/>
          <w:shd w:val="clear" w:color="auto" w:fill="FFFFFF"/>
          <w:lang w:eastAsia="zh-CN"/>
        </w:rPr>
        <w:t>2024年茂县青年（大学生）创新创业孵化基地项目制定的目标任务，资金按规定用于孵化基地建设，完成年度基地目标任务。经评价，2024年茂县青年（大学生）创新创业孵化基地项目绩效评价为优秀。</w:t>
      </w:r>
    </w:p>
    <w:p>
      <w:pPr>
        <w:pStyle w:val="6"/>
        <w:tabs>
          <w:tab w:val="left" w:pos="2160"/>
        </w:tabs>
        <w:spacing w:line="560" w:lineRule="exact"/>
        <w:ind w:firstLine="640" w:firstLineChars="200"/>
        <w:rPr>
          <w:rFonts w:hint="eastAsia" w:ascii="黑体" w:hAnsi="黑体" w:eastAsia="黑体" w:cs="黑体"/>
          <w:sz w:val="32"/>
          <w:szCs w:val="32"/>
          <w:lang w:eastAsia="zh-CN"/>
        </w:rPr>
      </w:pPr>
      <w:r>
        <w:rPr>
          <w:rFonts w:hint="eastAsia" w:ascii="黑体" w:hAnsi="黑体" w:eastAsia="黑体" w:cs="黑体"/>
          <w:sz w:val="32"/>
          <w:szCs w:val="32"/>
          <w:lang w:eastAsia="zh-CN"/>
        </w:rPr>
        <w:t>五、存在主要问题</w:t>
      </w:r>
    </w:p>
    <w:p>
      <w:pPr>
        <w:pStyle w:val="6"/>
        <w:tabs>
          <w:tab w:val="left" w:pos="2160"/>
        </w:tabs>
        <w:spacing w:line="560" w:lineRule="exact"/>
        <w:ind w:left="638" w:leftChars="304" w:firstLine="0" w:firstLineChars="0"/>
        <w:rPr>
          <w:rFonts w:hint="eastAsia" w:ascii="黑体" w:hAnsi="黑体" w:eastAsia="黑体" w:cs="黑体"/>
          <w:sz w:val="32"/>
          <w:szCs w:val="32"/>
          <w:lang w:val="zh-CN" w:eastAsia="zh-CN"/>
        </w:rPr>
      </w:pPr>
      <w:r>
        <w:rPr>
          <w:rFonts w:hint="eastAsia" w:ascii="仿宋_GB2312" w:hAnsi="仿宋_GB2312" w:eastAsia="仿宋_GB2312" w:cs="仿宋_GB2312"/>
          <w:kern w:val="0"/>
          <w:sz w:val="32"/>
          <w:szCs w:val="32"/>
        </w:rPr>
        <w:t>该项目按照项目资金管理办法严格执行</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无其他问题。</w:t>
      </w:r>
      <w:r>
        <w:rPr>
          <w:rFonts w:hint="eastAsia" w:ascii="黑体" w:hAnsi="黑体" w:eastAsia="黑体" w:cs="黑体"/>
          <w:sz w:val="32"/>
          <w:szCs w:val="32"/>
          <w:lang w:val="zh-CN" w:eastAsia="zh-CN"/>
        </w:rPr>
        <w:t>六、改进建议</w:t>
      </w:r>
    </w:p>
    <w:p>
      <w:pPr>
        <w:snapToGrid w:val="0"/>
        <w:spacing w:line="560" w:lineRule="exact"/>
        <w:ind w:firstLine="640" w:firstLineChars="200"/>
        <w:rPr>
          <w:rFonts w:hint="eastAsia"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lang w:val="en-US" w:eastAsia="zh-CN"/>
        </w:rPr>
        <w:t>暂无改进建议</w:t>
      </w:r>
      <w:r>
        <w:rPr>
          <w:rFonts w:hint="eastAsia" w:ascii="仿宋_GB2312" w:hAnsi="仿宋_GB2312" w:eastAsia="仿宋_GB2312" w:cs="仿宋_GB2312"/>
          <w:color w:val="000000"/>
          <w:kern w:val="0"/>
          <w:sz w:val="32"/>
          <w:szCs w:val="32"/>
          <w:shd w:val="clear" w:color="auto" w:fill="FFFFFF"/>
          <w:lang w:val="zh-CN"/>
        </w:rPr>
        <w:t>。</w:t>
      </w:r>
    </w:p>
    <w:p>
      <w:pPr>
        <w:snapToGrid w:val="0"/>
        <w:spacing w:line="560" w:lineRule="exact"/>
        <w:ind w:firstLine="420" w:firstLineChars="200"/>
        <w:rPr>
          <w:color w:val="000000"/>
          <w:kern w:val="0"/>
          <w:shd w:val="clear" w:color="auto" w:fill="FFFFFF"/>
          <w:lang w:val="zh-CN"/>
        </w:rPr>
      </w:pPr>
      <w:r>
        <w:rPr>
          <w:rFonts w:hint="eastAsia"/>
          <w:color w:val="000000"/>
          <w:kern w:val="0"/>
          <w:shd w:val="clear" w:color="auto" w:fill="FFFFFF"/>
          <w:lang w:val="zh-CN"/>
        </w:rPr>
        <w:br w:type="page"/>
      </w:r>
    </w:p>
    <w:p>
      <w:pPr>
        <w:widowControl/>
        <w:adjustRightInd w:val="0"/>
        <w:snapToGrid w:val="0"/>
        <w:spacing w:line="578" w:lineRule="exact"/>
        <w:contextualSpacing/>
        <w:jc w:val="left"/>
        <w:rPr>
          <w:rFonts w:ascii="黑体" w:hAnsi="黑体" w:eastAsia="黑体" w:cs="黑体"/>
          <w:kern w:val="0"/>
          <w:shd w:val="clear" w:color="auto" w:fill="FFFFFF"/>
          <w:lang w:val="zh-CN"/>
        </w:rPr>
      </w:pPr>
      <w:r>
        <w:rPr>
          <w:rFonts w:hint="eastAsia" w:ascii="黑体" w:hAnsi="黑体" w:eastAsia="黑体" w:cs="黑体"/>
          <w:kern w:val="0"/>
          <w:shd w:val="clear" w:color="auto" w:fill="FFFFFF"/>
          <w:lang w:val="zh-CN"/>
        </w:rPr>
        <w:t>附表</w:t>
      </w:r>
      <w:r>
        <w:rPr>
          <w:rFonts w:hint="eastAsia" w:ascii="黑体" w:hAnsi="黑体" w:eastAsia="黑体" w:cs="黑体"/>
          <w:kern w:val="0"/>
          <w:shd w:val="clear" w:color="auto" w:fill="FFFFFF"/>
        </w:rPr>
        <w:t>1</w:t>
      </w:r>
    </w:p>
    <w:p>
      <w:pPr>
        <w:spacing w:line="578" w:lineRule="exact"/>
        <w:jc w:val="center"/>
        <w:rPr>
          <w:rFonts w:ascii="方正小标宋_GBK" w:hAnsi="方正小标宋_GBK" w:eastAsia="方正小标宋_GBK" w:cs="方正小标宋_GBK"/>
          <w:sz w:val="40"/>
          <w:szCs w:val="40"/>
        </w:rPr>
      </w:pPr>
      <w:r>
        <w:rPr>
          <w:rFonts w:hint="eastAsia" w:ascii="方正小标宋_GBK" w:hAnsi="方正小标宋_GBK" w:eastAsia="方正小标宋_GBK" w:cs="方正小标宋_GBK"/>
          <w:sz w:val="40"/>
          <w:szCs w:val="40"/>
        </w:rPr>
        <w:t>项目资金分配涉及所有点位自评得分情况表</w:t>
      </w:r>
    </w:p>
    <w:tbl>
      <w:tblPr>
        <w:tblStyle w:val="17"/>
        <w:tblW w:w="88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3"/>
        <w:gridCol w:w="3843"/>
        <w:gridCol w:w="2861"/>
        <w:gridCol w:w="9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1123" w:type="dxa"/>
          </w:tcPr>
          <w:p>
            <w:pPr>
              <w:spacing w:line="300" w:lineRule="exact"/>
              <w:jc w:val="center"/>
              <w:rPr>
                <w:rFonts w:ascii="黑体" w:hAnsi="黑体" w:eastAsia="黑体" w:cs="黑体"/>
                <w:sz w:val="24"/>
                <w:szCs w:val="24"/>
              </w:rPr>
            </w:pPr>
            <w:r>
              <w:rPr>
                <w:rFonts w:hint="eastAsia" w:ascii="黑体" w:hAnsi="黑体" w:eastAsia="黑体" w:cs="黑体"/>
                <w:sz w:val="24"/>
                <w:szCs w:val="24"/>
              </w:rPr>
              <w:t>序号</w:t>
            </w:r>
          </w:p>
        </w:tc>
        <w:tc>
          <w:tcPr>
            <w:tcW w:w="3843" w:type="dxa"/>
          </w:tcPr>
          <w:p>
            <w:pPr>
              <w:spacing w:line="300" w:lineRule="exact"/>
              <w:jc w:val="center"/>
              <w:rPr>
                <w:rFonts w:ascii="黑体" w:hAnsi="黑体" w:eastAsia="黑体" w:cs="黑体"/>
                <w:sz w:val="24"/>
                <w:szCs w:val="24"/>
              </w:rPr>
            </w:pPr>
            <w:r>
              <w:rPr>
                <w:rFonts w:hint="eastAsia" w:ascii="黑体" w:hAnsi="黑体" w:eastAsia="黑体" w:cs="黑体"/>
                <w:sz w:val="24"/>
                <w:szCs w:val="24"/>
              </w:rPr>
              <w:t>项目资金末端分配点位</w:t>
            </w:r>
          </w:p>
        </w:tc>
        <w:tc>
          <w:tcPr>
            <w:tcW w:w="2861" w:type="dxa"/>
          </w:tcPr>
          <w:p>
            <w:pPr>
              <w:spacing w:line="300" w:lineRule="exact"/>
              <w:jc w:val="center"/>
              <w:rPr>
                <w:rFonts w:ascii="黑体" w:hAnsi="黑体" w:eastAsia="黑体" w:cs="黑体"/>
                <w:sz w:val="24"/>
                <w:szCs w:val="24"/>
                <w:highlight w:val="none"/>
              </w:rPr>
            </w:pPr>
            <w:r>
              <w:rPr>
                <w:rFonts w:hint="eastAsia" w:ascii="黑体" w:hAnsi="黑体" w:eastAsia="黑体" w:cs="黑体"/>
                <w:sz w:val="24"/>
                <w:szCs w:val="24"/>
                <w:highlight w:val="none"/>
              </w:rPr>
              <w:t>自评得分（百分制）</w:t>
            </w:r>
          </w:p>
        </w:tc>
        <w:tc>
          <w:tcPr>
            <w:tcW w:w="993" w:type="dxa"/>
          </w:tcPr>
          <w:p>
            <w:pPr>
              <w:spacing w:line="300" w:lineRule="exact"/>
              <w:jc w:val="center"/>
              <w:rPr>
                <w:rFonts w:ascii="黑体" w:hAnsi="黑体" w:eastAsia="黑体" w:cs="黑体"/>
                <w:sz w:val="24"/>
                <w:szCs w:val="24"/>
              </w:rPr>
            </w:pPr>
            <w:r>
              <w:rPr>
                <w:rFonts w:hint="eastAsia" w:ascii="黑体" w:hAnsi="黑体" w:eastAsia="黑体" w:cs="黑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exact"/>
          <w:jc w:val="center"/>
        </w:trPr>
        <w:tc>
          <w:tcPr>
            <w:tcW w:w="1123" w:type="dxa"/>
          </w:tcPr>
          <w:p>
            <w:pPr>
              <w:spacing w:line="300" w:lineRule="exact"/>
              <w:jc w:val="center"/>
              <w:rPr>
                <w:rFonts w:ascii="宋体" w:hAnsi="宋体" w:eastAsia="宋体" w:cs="宋体"/>
                <w:sz w:val="24"/>
                <w:szCs w:val="24"/>
              </w:rPr>
            </w:pPr>
            <w:r>
              <w:rPr>
                <w:rFonts w:hint="eastAsia" w:ascii="宋体" w:hAnsi="宋体" w:eastAsia="宋体" w:cs="宋体"/>
                <w:sz w:val="24"/>
                <w:szCs w:val="24"/>
              </w:rPr>
              <w:t>1</w:t>
            </w:r>
          </w:p>
        </w:tc>
        <w:tc>
          <w:tcPr>
            <w:tcW w:w="3843" w:type="dxa"/>
          </w:tcPr>
          <w:p>
            <w:pPr>
              <w:adjustRightInd w:val="0"/>
              <w:snapToGrid w:val="0"/>
              <w:spacing w:line="576" w:lineRule="exact"/>
              <w:rPr>
                <w:rFonts w:ascii="仿宋_GB2312"/>
              </w:rPr>
            </w:pPr>
            <w:r>
              <w:rPr>
                <w:rFonts w:hint="eastAsia" w:ascii="仿宋_GB2312"/>
              </w:rPr>
              <w:t>对孵化基地资金使用情况进行复核。</w:t>
            </w:r>
          </w:p>
          <w:p>
            <w:pPr>
              <w:spacing w:line="300" w:lineRule="exact"/>
              <w:rPr>
                <w:rFonts w:ascii="宋体" w:hAnsi="宋体" w:cs="宋体"/>
                <w:sz w:val="13"/>
                <w:szCs w:val="13"/>
              </w:rPr>
            </w:pPr>
          </w:p>
        </w:tc>
        <w:tc>
          <w:tcPr>
            <w:tcW w:w="2861" w:type="dxa"/>
            <w:vAlign w:val="center"/>
          </w:tcPr>
          <w:p>
            <w:pPr>
              <w:spacing w:line="300" w:lineRule="exact"/>
              <w:jc w:val="center"/>
              <w:rPr>
                <w:rFonts w:ascii="宋体" w:hAnsi="宋体" w:cs="宋体"/>
                <w:sz w:val="24"/>
                <w:szCs w:val="24"/>
                <w:highlight w:val="none"/>
              </w:rPr>
            </w:pPr>
            <w:r>
              <w:rPr>
                <w:rFonts w:hint="eastAsia" w:ascii="仿宋_GB2312"/>
                <w:highlight w:val="none"/>
              </w:rPr>
              <w:t>优</w:t>
            </w:r>
          </w:p>
        </w:tc>
        <w:tc>
          <w:tcPr>
            <w:tcW w:w="993" w:type="dxa"/>
          </w:tcPr>
          <w:p>
            <w:pPr>
              <w:spacing w:line="300" w:lineRule="exact"/>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exact"/>
          <w:jc w:val="center"/>
        </w:trPr>
        <w:tc>
          <w:tcPr>
            <w:tcW w:w="1123" w:type="dxa"/>
          </w:tcPr>
          <w:p>
            <w:pPr>
              <w:spacing w:line="300" w:lineRule="exact"/>
              <w:jc w:val="center"/>
              <w:rPr>
                <w:rFonts w:ascii="宋体" w:hAnsi="宋体" w:eastAsia="宋体" w:cs="宋体"/>
                <w:sz w:val="24"/>
                <w:szCs w:val="24"/>
              </w:rPr>
            </w:pPr>
            <w:r>
              <w:rPr>
                <w:rFonts w:hint="eastAsia" w:ascii="宋体" w:hAnsi="宋体" w:eastAsia="宋体" w:cs="宋体"/>
                <w:sz w:val="24"/>
                <w:szCs w:val="24"/>
              </w:rPr>
              <w:t>2</w:t>
            </w:r>
          </w:p>
        </w:tc>
        <w:tc>
          <w:tcPr>
            <w:tcW w:w="3843" w:type="dxa"/>
          </w:tcPr>
          <w:p>
            <w:pPr>
              <w:spacing w:line="300" w:lineRule="exact"/>
              <w:rPr>
                <w:rFonts w:ascii="宋体" w:hAnsi="宋体" w:cs="宋体"/>
                <w:sz w:val="24"/>
                <w:szCs w:val="24"/>
              </w:rPr>
            </w:pPr>
          </w:p>
        </w:tc>
        <w:tc>
          <w:tcPr>
            <w:tcW w:w="2861" w:type="dxa"/>
          </w:tcPr>
          <w:p>
            <w:pPr>
              <w:spacing w:line="300" w:lineRule="exact"/>
              <w:rPr>
                <w:rFonts w:ascii="宋体" w:hAnsi="宋体" w:cs="宋体"/>
                <w:sz w:val="24"/>
                <w:szCs w:val="24"/>
              </w:rPr>
            </w:pPr>
          </w:p>
        </w:tc>
        <w:tc>
          <w:tcPr>
            <w:tcW w:w="993" w:type="dxa"/>
          </w:tcPr>
          <w:p>
            <w:pPr>
              <w:spacing w:line="300" w:lineRule="exact"/>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exact"/>
          <w:jc w:val="center"/>
        </w:trPr>
        <w:tc>
          <w:tcPr>
            <w:tcW w:w="1123" w:type="dxa"/>
          </w:tcPr>
          <w:p>
            <w:pPr>
              <w:spacing w:line="300" w:lineRule="exact"/>
              <w:jc w:val="center"/>
              <w:rPr>
                <w:rFonts w:ascii="宋体" w:hAnsi="宋体" w:eastAsia="宋体" w:cs="宋体"/>
                <w:sz w:val="24"/>
                <w:szCs w:val="24"/>
              </w:rPr>
            </w:pPr>
            <w:r>
              <w:rPr>
                <w:rFonts w:hint="eastAsia" w:ascii="宋体" w:hAnsi="宋体" w:eastAsia="宋体" w:cs="宋体"/>
                <w:sz w:val="24"/>
                <w:szCs w:val="24"/>
              </w:rPr>
              <w:t>3</w:t>
            </w:r>
          </w:p>
        </w:tc>
        <w:tc>
          <w:tcPr>
            <w:tcW w:w="3843" w:type="dxa"/>
          </w:tcPr>
          <w:p>
            <w:pPr>
              <w:spacing w:line="300" w:lineRule="exact"/>
              <w:rPr>
                <w:rFonts w:ascii="宋体" w:hAnsi="宋体" w:cs="宋体"/>
                <w:sz w:val="24"/>
                <w:szCs w:val="24"/>
              </w:rPr>
            </w:pPr>
          </w:p>
        </w:tc>
        <w:tc>
          <w:tcPr>
            <w:tcW w:w="2861" w:type="dxa"/>
          </w:tcPr>
          <w:p>
            <w:pPr>
              <w:spacing w:line="300" w:lineRule="exact"/>
              <w:rPr>
                <w:rFonts w:ascii="宋体" w:hAnsi="宋体" w:cs="宋体"/>
                <w:sz w:val="24"/>
                <w:szCs w:val="24"/>
              </w:rPr>
            </w:pPr>
          </w:p>
        </w:tc>
        <w:tc>
          <w:tcPr>
            <w:tcW w:w="993" w:type="dxa"/>
          </w:tcPr>
          <w:p>
            <w:pPr>
              <w:spacing w:line="300" w:lineRule="exact"/>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1123" w:type="dxa"/>
          </w:tcPr>
          <w:p>
            <w:pPr>
              <w:spacing w:line="300" w:lineRule="exact"/>
              <w:jc w:val="center"/>
              <w:rPr>
                <w:rFonts w:ascii="宋体" w:hAnsi="宋体" w:eastAsia="宋体" w:cs="宋体"/>
                <w:sz w:val="24"/>
                <w:szCs w:val="24"/>
              </w:rPr>
            </w:pPr>
            <w:r>
              <w:rPr>
                <w:rFonts w:hint="eastAsia" w:ascii="宋体" w:hAnsi="宋体" w:eastAsia="宋体" w:cs="宋体"/>
                <w:sz w:val="24"/>
                <w:szCs w:val="24"/>
              </w:rPr>
              <w:t>4</w:t>
            </w:r>
          </w:p>
        </w:tc>
        <w:tc>
          <w:tcPr>
            <w:tcW w:w="3843" w:type="dxa"/>
          </w:tcPr>
          <w:p>
            <w:pPr>
              <w:spacing w:line="300" w:lineRule="exact"/>
              <w:rPr>
                <w:rFonts w:ascii="宋体" w:hAnsi="宋体" w:cs="宋体"/>
                <w:sz w:val="24"/>
                <w:szCs w:val="24"/>
              </w:rPr>
            </w:pPr>
          </w:p>
        </w:tc>
        <w:tc>
          <w:tcPr>
            <w:tcW w:w="2861" w:type="dxa"/>
          </w:tcPr>
          <w:p>
            <w:pPr>
              <w:spacing w:line="300" w:lineRule="exact"/>
              <w:rPr>
                <w:rFonts w:ascii="宋体" w:hAnsi="宋体" w:cs="宋体"/>
                <w:sz w:val="24"/>
                <w:szCs w:val="24"/>
              </w:rPr>
            </w:pPr>
          </w:p>
        </w:tc>
        <w:tc>
          <w:tcPr>
            <w:tcW w:w="993" w:type="dxa"/>
          </w:tcPr>
          <w:p>
            <w:pPr>
              <w:spacing w:line="300" w:lineRule="exact"/>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1123" w:type="dxa"/>
          </w:tcPr>
          <w:p>
            <w:pPr>
              <w:spacing w:line="300" w:lineRule="exact"/>
              <w:jc w:val="center"/>
              <w:rPr>
                <w:rFonts w:ascii="宋体" w:hAnsi="宋体" w:eastAsia="宋体" w:cs="宋体"/>
                <w:sz w:val="24"/>
                <w:szCs w:val="24"/>
              </w:rPr>
            </w:pPr>
            <w:r>
              <w:rPr>
                <w:rFonts w:hint="eastAsia" w:ascii="宋体" w:hAnsi="宋体" w:eastAsia="宋体" w:cs="宋体"/>
                <w:sz w:val="24"/>
                <w:szCs w:val="24"/>
              </w:rPr>
              <w:t>5</w:t>
            </w:r>
          </w:p>
        </w:tc>
        <w:tc>
          <w:tcPr>
            <w:tcW w:w="3843" w:type="dxa"/>
          </w:tcPr>
          <w:p>
            <w:pPr>
              <w:spacing w:line="300" w:lineRule="exact"/>
              <w:rPr>
                <w:rFonts w:ascii="宋体" w:hAnsi="宋体" w:cs="宋体"/>
                <w:sz w:val="24"/>
                <w:szCs w:val="24"/>
              </w:rPr>
            </w:pPr>
          </w:p>
        </w:tc>
        <w:tc>
          <w:tcPr>
            <w:tcW w:w="2861" w:type="dxa"/>
          </w:tcPr>
          <w:p>
            <w:pPr>
              <w:spacing w:line="300" w:lineRule="exact"/>
              <w:rPr>
                <w:rFonts w:ascii="宋体" w:hAnsi="宋体" w:cs="宋体"/>
                <w:sz w:val="24"/>
                <w:szCs w:val="24"/>
              </w:rPr>
            </w:pPr>
          </w:p>
        </w:tc>
        <w:tc>
          <w:tcPr>
            <w:tcW w:w="993" w:type="dxa"/>
          </w:tcPr>
          <w:p>
            <w:pPr>
              <w:spacing w:line="300" w:lineRule="exact"/>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exact"/>
          <w:jc w:val="center"/>
        </w:trPr>
        <w:tc>
          <w:tcPr>
            <w:tcW w:w="1123" w:type="dxa"/>
          </w:tcPr>
          <w:p>
            <w:pPr>
              <w:spacing w:line="300" w:lineRule="exact"/>
              <w:jc w:val="center"/>
              <w:rPr>
                <w:rFonts w:ascii="宋体" w:hAnsi="宋体" w:eastAsia="宋体" w:cs="宋体"/>
                <w:sz w:val="24"/>
                <w:szCs w:val="24"/>
              </w:rPr>
            </w:pPr>
            <w:r>
              <w:rPr>
                <w:rFonts w:hint="eastAsia" w:ascii="宋体" w:hAnsi="宋体" w:eastAsia="宋体" w:cs="宋体"/>
                <w:sz w:val="24"/>
                <w:szCs w:val="24"/>
              </w:rPr>
              <w:t>6</w:t>
            </w:r>
          </w:p>
        </w:tc>
        <w:tc>
          <w:tcPr>
            <w:tcW w:w="3843" w:type="dxa"/>
          </w:tcPr>
          <w:p>
            <w:pPr>
              <w:spacing w:line="300" w:lineRule="exact"/>
              <w:rPr>
                <w:rFonts w:ascii="宋体" w:hAnsi="宋体" w:cs="宋体"/>
                <w:sz w:val="24"/>
                <w:szCs w:val="24"/>
              </w:rPr>
            </w:pPr>
          </w:p>
        </w:tc>
        <w:tc>
          <w:tcPr>
            <w:tcW w:w="2861" w:type="dxa"/>
          </w:tcPr>
          <w:p>
            <w:pPr>
              <w:spacing w:line="300" w:lineRule="exact"/>
              <w:rPr>
                <w:rFonts w:ascii="宋体" w:hAnsi="宋体" w:cs="宋体"/>
                <w:sz w:val="24"/>
                <w:szCs w:val="24"/>
              </w:rPr>
            </w:pPr>
          </w:p>
        </w:tc>
        <w:tc>
          <w:tcPr>
            <w:tcW w:w="993" w:type="dxa"/>
          </w:tcPr>
          <w:p>
            <w:pPr>
              <w:spacing w:line="300" w:lineRule="exact"/>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exact"/>
          <w:jc w:val="center"/>
        </w:trPr>
        <w:tc>
          <w:tcPr>
            <w:tcW w:w="1123" w:type="dxa"/>
          </w:tcPr>
          <w:p>
            <w:pPr>
              <w:spacing w:line="300" w:lineRule="exact"/>
              <w:jc w:val="center"/>
              <w:rPr>
                <w:rFonts w:ascii="宋体" w:hAnsi="宋体" w:eastAsia="宋体" w:cs="宋体"/>
                <w:sz w:val="24"/>
                <w:szCs w:val="24"/>
              </w:rPr>
            </w:pPr>
            <w:r>
              <w:rPr>
                <w:rFonts w:hint="eastAsia" w:ascii="宋体" w:hAnsi="宋体" w:eastAsia="宋体" w:cs="宋体"/>
                <w:sz w:val="24"/>
                <w:szCs w:val="24"/>
              </w:rPr>
              <w:t>7</w:t>
            </w:r>
          </w:p>
        </w:tc>
        <w:tc>
          <w:tcPr>
            <w:tcW w:w="3843" w:type="dxa"/>
          </w:tcPr>
          <w:p>
            <w:pPr>
              <w:spacing w:line="300" w:lineRule="exact"/>
              <w:rPr>
                <w:rFonts w:ascii="宋体" w:hAnsi="宋体" w:cs="宋体"/>
                <w:sz w:val="24"/>
                <w:szCs w:val="24"/>
              </w:rPr>
            </w:pPr>
          </w:p>
        </w:tc>
        <w:tc>
          <w:tcPr>
            <w:tcW w:w="2861" w:type="dxa"/>
          </w:tcPr>
          <w:p>
            <w:pPr>
              <w:spacing w:line="300" w:lineRule="exact"/>
              <w:rPr>
                <w:rFonts w:ascii="宋体" w:hAnsi="宋体" w:cs="宋体"/>
                <w:sz w:val="24"/>
                <w:szCs w:val="24"/>
              </w:rPr>
            </w:pPr>
          </w:p>
        </w:tc>
        <w:tc>
          <w:tcPr>
            <w:tcW w:w="993" w:type="dxa"/>
          </w:tcPr>
          <w:p>
            <w:pPr>
              <w:spacing w:line="300" w:lineRule="exact"/>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1123" w:type="dxa"/>
          </w:tcPr>
          <w:p>
            <w:pPr>
              <w:spacing w:line="300" w:lineRule="exact"/>
              <w:jc w:val="center"/>
              <w:rPr>
                <w:rFonts w:ascii="宋体" w:hAnsi="宋体" w:eastAsia="宋体" w:cs="宋体"/>
                <w:sz w:val="24"/>
                <w:szCs w:val="24"/>
              </w:rPr>
            </w:pPr>
            <w:r>
              <w:rPr>
                <w:rFonts w:hint="eastAsia" w:ascii="宋体" w:hAnsi="宋体" w:eastAsia="宋体" w:cs="宋体"/>
                <w:sz w:val="24"/>
                <w:szCs w:val="24"/>
              </w:rPr>
              <w:t>8</w:t>
            </w:r>
          </w:p>
        </w:tc>
        <w:tc>
          <w:tcPr>
            <w:tcW w:w="3843" w:type="dxa"/>
          </w:tcPr>
          <w:p>
            <w:pPr>
              <w:spacing w:line="300" w:lineRule="exact"/>
              <w:rPr>
                <w:rFonts w:ascii="宋体" w:hAnsi="宋体" w:cs="宋体"/>
                <w:sz w:val="24"/>
                <w:szCs w:val="24"/>
              </w:rPr>
            </w:pPr>
          </w:p>
        </w:tc>
        <w:tc>
          <w:tcPr>
            <w:tcW w:w="2861" w:type="dxa"/>
          </w:tcPr>
          <w:p>
            <w:pPr>
              <w:spacing w:line="300" w:lineRule="exact"/>
              <w:rPr>
                <w:rFonts w:ascii="宋体" w:hAnsi="宋体" w:cs="宋体"/>
                <w:sz w:val="24"/>
                <w:szCs w:val="24"/>
              </w:rPr>
            </w:pPr>
          </w:p>
        </w:tc>
        <w:tc>
          <w:tcPr>
            <w:tcW w:w="993" w:type="dxa"/>
          </w:tcPr>
          <w:p>
            <w:pPr>
              <w:spacing w:line="300" w:lineRule="exact"/>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1123" w:type="dxa"/>
          </w:tcPr>
          <w:p>
            <w:pPr>
              <w:spacing w:line="300" w:lineRule="exact"/>
              <w:jc w:val="center"/>
              <w:rPr>
                <w:rFonts w:ascii="宋体" w:hAnsi="宋体" w:eastAsia="宋体" w:cs="宋体"/>
                <w:sz w:val="24"/>
                <w:szCs w:val="24"/>
              </w:rPr>
            </w:pPr>
            <w:r>
              <w:rPr>
                <w:rFonts w:hint="eastAsia" w:ascii="宋体" w:hAnsi="宋体" w:eastAsia="宋体" w:cs="宋体"/>
                <w:sz w:val="24"/>
                <w:szCs w:val="24"/>
              </w:rPr>
              <w:t>……</w:t>
            </w:r>
          </w:p>
        </w:tc>
        <w:tc>
          <w:tcPr>
            <w:tcW w:w="3843" w:type="dxa"/>
          </w:tcPr>
          <w:p>
            <w:pPr>
              <w:spacing w:line="300" w:lineRule="exact"/>
              <w:rPr>
                <w:rFonts w:ascii="宋体" w:hAnsi="宋体" w:cs="宋体"/>
                <w:sz w:val="24"/>
                <w:szCs w:val="24"/>
              </w:rPr>
            </w:pPr>
          </w:p>
        </w:tc>
        <w:tc>
          <w:tcPr>
            <w:tcW w:w="2861" w:type="dxa"/>
          </w:tcPr>
          <w:p>
            <w:pPr>
              <w:spacing w:line="300" w:lineRule="exact"/>
              <w:rPr>
                <w:rFonts w:ascii="宋体" w:hAnsi="宋体" w:cs="宋体"/>
                <w:sz w:val="24"/>
                <w:szCs w:val="24"/>
              </w:rPr>
            </w:pPr>
          </w:p>
        </w:tc>
        <w:tc>
          <w:tcPr>
            <w:tcW w:w="993" w:type="dxa"/>
          </w:tcPr>
          <w:p>
            <w:pPr>
              <w:spacing w:line="300" w:lineRule="exact"/>
              <w:rPr>
                <w:rFonts w:ascii="宋体" w:hAnsi="宋体" w:cs="宋体"/>
                <w:sz w:val="24"/>
                <w:szCs w:val="24"/>
              </w:rPr>
            </w:pPr>
          </w:p>
        </w:tc>
      </w:tr>
    </w:tbl>
    <w:p>
      <w:pPr>
        <w:spacing w:line="400" w:lineRule="exact"/>
        <w:jc w:val="left"/>
        <w:rPr>
          <w:rFonts w:ascii="宋体" w:hAnsi="宋体" w:eastAsia="宋体" w:cs="宋体"/>
          <w:sz w:val="21"/>
          <w:szCs w:val="21"/>
        </w:rPr>
      </w:pPr>
      <w:r>
        <w:rPr>
          <w:rFonts w:hint="eastAsia" w:ascii="宋体" w:hAnsi="宋体" w:eastAsia="宋体" w:cs="宋体"/>
          <w:sz w:val="21"/>
          <w:szCs w:val="21"/>
        </w:rPr>
        <w:t>备注：1.项目资金末端分配点位包括州本级、县（市）、州级部门下属单位及一次性单位等。</w:t>
      </w:r>
    </w:p>
    <w:p>
      <w:pPr>
        <w:spacing w:line="400" w:lineRule="exact"/>
        <w:ind w:firstLine="630" w:firstLineChars="300"/>
        <w:jc w:val="left"/>
        <w:rPr>
          <w:rFonts w:ascii="宋体" w:hAnsi="宋体" w:eastAsia="宋体" w:cs="宋体"/>
          <w:sz w:val="21"/>
          <w:szCs w:val="21"/>
        </w:rPr>
      </w:pPr>
      <w:r>
        <w:rPr>
          <w:rFonts w:hint="eastAsia" w:ascii="宋体" w:hAnsi="宋体" w:eastAsia="宋体" w:cs="宋体"/>
          <w:sz w:val="21"/>
          <w:szCs w:val="21"/>
        </w:rPr>
        <w:t>2.自评得分（百分制）从高到低划分为优、良、中、差四个档次，各个档次数量占比分别为20%、20%、55%、5%，且不同档次间得分分值应体现差异化，同档次得分分值相同的比例不超过该档次总数量的10%。</w:t>
      </w:r>
    </w:p>
    <w:p>
      <w:pPr>
        <w:rPr>
          <w:szCs w:val="24"/>
        </w:rPr>
      </w:pPr>
      <w:r>
        <w:rPr>
          <w:rFonts w:hint="eastAsia"/>
          <w:szCs w:val="24"/>
        </w:rPr>
        <w:br w:type="page"/>
      </w:r>
    </w:p>
    <w:p>
      <w:pPr>
        <w:pStyle w:val="14"/>
        <w:spacing w:after="0" w:line="576" w:lineRule="exact"/>
        <w:ind w:left="0" w:leftChars="0" w:firstLine="0" w:firstLineChars="0"/>
        <w:rPr>
          <w:rFonts w:ascii="Times New Roman" w:eastAsia="黑体"/>
          <w:szCs w:val="24"/>
        </w:rPr>
      </w:pPr>
      <w:r>
        <w:rPr>
          <w:rFonts w:ascii="Times New Roman" w:eastAsia="黑体"/>
          <w:szCs w:val="24"/>
        </w:rPr>
        <w:t>附表2</w:t>
      </w:r>
    </w:p>
    <w:tbl>
      <w:tblPr>
        <w:tblStyle w:val="16"/>
        <w:tblW w:w="10233" w:type="dxa"/>
        <w:jc w:val="center"/>
        <w:tblLayout w:type="fixed"/>
        <w:tblCellMar>
          <w:top w:w="15" w:type="dxa"/>
          <w:left w:w="15" w:type="dxa"/>
          <w:bottom w:w="15" w:type="dxa"/>
          <w:right w:w="15" w:type="dxa"/>
        </w:tblCellMar>
      </w:tblPr>
      <w:tblGrid>
        <w:gridCol w:w="785"/>
        <w:gridCol w:w="785"/>
        <w:gridCol w:w="1097"/>
        <w:gridCol w:w="2400"/>
        <w:gridCol w:w="1023"/>
        <w:gridCol w:w="786"/>
        <w:gridCol w:w="786"/>
        <w:gridCol w:w="1162"/>
        <w:gridCol w:w="1409"/>
      </w:tblGrid>
      <w:tr>
        <w:tblPrEx>
          <w:tblCellMar>
            <w:top w:w="15" w:type="dxa"/>
            <w:left w:w="15" w:type="dxa"/>
            <w:bottom w:w="15" w:type="dxa"/>
            <w:right w:w="15" w:type="dxa"/>
          </w:tblCellMar>
        </w:tblPrEx>
        <w:trPr>
          <w:trHeight w:val="576" w:hRule="atLeast"/>
          <w:jc w:val="center"/>
        </w:trPr>
        <w:tc>
          <w:tcPr>
            <w:tcW w:w="10233" w:type="dxa"/>
            <w:gridSpan w:val="9"/>
            <w:shd w:val="clear" w:color="auto" w:fill="auto"/>
            <w:vAlign w:val="center"/>
          </w:tcPr>
          <w:p>
            <w:pPr>
              <w:widowControl/>
              <w:spacing w:line="576" w:lineRule="exact"/>
              <w:jc w:val="center"/>
              <w:textAlignment w:val="center"/>
              <w:rPr>
                <w:rFonts w:ascii="黑体" w:hAnsi="宋体" w:eastAsia="黑体" w:cs="黑体"/>
                <w:color w:val="000000"/>
                <w:sz w:val="30"/>
                <w:szCs w:val="30"/>
              </w:rPr>
            </w:pPr>
            <w:r>
              <w:rPr>
                <w:rFonts w:ascii="方正小标宋简体" w:hAnsi="方正小标宋简体" w:eastAsia="方正小标宋简体" w:cs="方正小标宋简体"/>
                <w:color w:val="000000"/>
                <w:kern w:val="0"/>
                <w:sz w:val="40"/>
                <w:szCs w:val="40"/>
              </w:rPr>
              <w:t>专项预算项目绩效目标完成情况自评表</w:t>
            </w:r>
          </w:p>
        </w:tc>
      </w:tr>
      <w:tr>
        <w:tblPrEx>
          <w:tblCellMar>
            <w:top w:w="15" w:type="dxa"/>
            <w:left w:w="15" w:type="dxa"/>
            <w:bottom w:w="15" w:type="dxa"/>
            <w:right w:w="15" w:type="dxa"/>
          </w:tblCellMar>
        </w:tblPrEx>
        <w:trPr>
          <w:trHeight w:val="23" w:hRule="atLeast"/>
          <w:jc w:val="center"/>
        </w:trPr>
        <w:tc>
          <w:tcPr>
            <w:tcW w:w="506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76" w:lineRule="exact"/>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项目名称</w:t>
            </w:r>
          </w:p>
        </w:tc>
        <w:tc>
          <w:tcPr>
            <w:tcW w:w="5166" w:type="dxa"/>
            <w:gridSpan w:val="5"/>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576" w:lineRule="exact"/>
              <w:textAlignment w:val="bottom"/>
              <w:rPr>
                <w:rFonts w:ascii="宋体" w:hAnsi="宋体" w:eastAsia="宋体" w:cs="宋体"/>
                <w:color w:val="000000"/>
                <w:sz w:val="24"/>
                <w:szCs w:val="24"/>
              </w:rPr>
            </w:pPr>
            <w:r>
              <w:rPr>
                <w:rFonts w:hint="eastAsia" w:ascii="宋体" w:hAnsi="宋体" w:eastAsia="宋体" w:cs="宋体"/>
                <w:color w:val="000000"/>
                <w:kern w:val="0"/>
                <w:sz w:val="24"/>
                <w:szCs w:val="24"/>
              </w:rPr>
              <w:t>2024年项目茂县青年（大学生）创新创业孵化基地项目</w:t>
            </w:r>
          </w:p>
        </w:tc>
      </w:tr>
      <w:tr>
        <w:tblPrEx>
          <w:tblCellMar>
            <w:top w:w="15" w:type="dxa"/>
            <w:left w:w="15" w:type="dxa"/>
            <w:bottom w:w="15" w:type="dxa"/>
            <w:right w:w="15" w:type="dxa"/>
          </w:tblCellMar>
        </w:tblPrEx>
        <w:trPr>
          <w:trHeight w:val="23" w:hRule="atLeast"/>
          <w:jc w:val="center"/>
        </w:trPr>
        <w:tc>
          <w:tcPr>
            <w:tcW w:w="506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76" w:lineRule="exact"/>
              <w:jc w:val="left"/>
              <w:textAlignment w:val="center"/>
              <w:rPr>
                <w:rFonts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预算单位</w:t>
            </w:r>
          </w:p>
        </w:tc>
        <w:tc>
          <w:tcPr>
            <w:tcW w:w="5166" w:type="dxa"/>
            <w:gridSpan w:val="5"/>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576" w:lineRule="exact"/>
              <w:textAlignment w:val="bottom"/>
              <w:rPr>
                <w:rFonts w:hint="default" w:ascii="宋体" w:hAnsi="宋体" w:eastAsia="宋体" w:cs="宋体"/>
                <w:color w:val="000000"/>
                <w:sz w:val="24"/>
                <w:szCs w:val="24"/>
                <w:highlight w:val="none"/>
                <w:lang w:val="en-US" w:eastAsia="zh-CN"/>
              </w:rPr>
            </w:pPr>
            <w:r>
              <w:rPr>
                <w:rFonts w:hint="eastAsia" w:ascii="宋体" w:hAnsi="宋体" w:cs="宋体"/>
                <w:color w:val="000000"/>
                <w:kern w:val="0"/>
                <w:sz w:val="24"/>
                <w:szCs w:val="24"/>
                <w:highlight w:val="none"/>
                <w:lang w:val="en-US" w:eastAsia="zh-CN"/>
              </w:rPr>
              <w:t>茂县就业服务中心</w:t>
            </w:r>
          </w:p>
        </w:tc>
      </w:tr>
      <w:tr>
        <w:tblPrEx>
          <w:tblCellMar>
            <w:top w:w="15" w:type="dxa"/>
            <w:left w:w="15" w:type="dxa"/>
            <w:bottom w:w="15" w:type="dxa"/>
            <w:right w:w="15" w:type="dxa"/>
          </w:tblCellMar>
        </w:tblPrEx>
        <w:trPr>
          <w:trHeight w:val="23" w:hRule="atLeast"/>
          <w:jc w:val="center"/>
        </w:trPr>
        <w:tc>
          <w:tcPr>
            <w:tcW w:w="506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76" w:lineRule="exact"/>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项目类型</w:t>
            </w:r>
          </w:p>
        </w:tc>
        <w:tc>
          <w:tcPr>
            <w:tcW w:w="5166" w:type="dxa"/>
            <w:gridSpan w:val="5"/>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576" w:lineRule="exact"/>
              <w:jc w:val="left"/>
              <w:rPr>
                <w:rFonts w:ascii="宋体" w:hAnsi="宋体" w:eastAsia="宋体" w:cs="宋体"/>
                <w:color w:val="000000"/>
                <w:sz w:val="24"/>
                <w:szCs w:val="24"/>
              </w:rPr>
            </w:pPr>
          </w:p>
        </w:tc>
      </w:tr>
      <w:tr>
        <w:tblPrEx>
          <w:tblCellMar>
            <w:top w:w="15" w:type="dxa"/>
            <w:left w:w="15" w:type="dxa"/>
            <w:bottom w:w="15" w:type="dxa"/>
            <w:right w:w="15" w:type="dxa"/>
          </w:tblCellMar>
        </w:tblPrEx>
        <w:trPr>
          <w:trHeight w:val="23" w:hRule="atLeast"/>
          <w:jc w:val="center"/>
        </w:trPr>
        <w:tc>
          <w:tcPr>
            <w:tcW w:w="7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76" w:lineRule="exact"/>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项目 概况</w:t>
            </w:r>
          </w:p>
        </w:tc>
        <w:tc>
          <w:tcPr>
            <w:tcW w:w="428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76" w:lineRule="exact"/>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中长期规划（名称、文号，仅指</w:t>
            </w:r>
          </w:p>
        </w:tc>
        <w:tc>
          <w:tcPr>
            <w:tcW w:w="5166"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576" w:lineRule="exact"/>
              <w:jc w:val="left"/>
              <w:textAlignment w:val="bottom"/>
              <w:rPr>
                <w:rFonts w:ascii="宋体" w:hAnsi="宋体" w:eastAsia="宋体" w:cs="宋体"/>
                <w:color w:val="000000"/>
                <w:sz w:val="24"/>
                <w:szCs w:val="24"/>
              </w:rPr>
            </w:pPr>
            <w:r>
              <w:rPr>
                <w:rFonts w:hint="eastAsia" w:ascii="宋体" w:hAnsi="宋体" w:eastAsia="宋体" w:cs="宋体"/>
                <w:color w:val="000000"/>
                <w:sz w:val="24"/>
                <w:szCs w:val="24"/>
              </w:rPr>
              <w:t xml:space="preserve"> </w:t>
            </w:r>
          </w:p>
        </w:tc>
      </w:tr>
      <w:tr>
        <w:tblPrEx>
          <w:tblCellMar>
            <w:top w:w="15" w:type="dxa"/>
            <w:left w:w="15" w:type="dxa"/>
            <w:bottom w:w="15" w:type="dxa"/>
            <w:right w:w="15" w:type="dxa"/>
          </w:tblCellMar>
        </w:tblPrEx>
        <w:trPr>
          <w:trHeight w:val="23" w:hRule="atLeast"/>
          <w:jc w:val="center"/>
        </w:trPr>
        <w:tc>
          <w:tcPr>
            <w:tcW w:w="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76" w:lineRule="exact"/>
              <w:jc w:val="center"/>
              <w:rPr>
                <w:rFonts w:ascii="宋体" w:hAnsi="宋体" w:eastAsia="宋体" w:cs="宋体"/>
                <w:color w:val="000000"/>
                <w:sz w:val="24"/>
                <w:szCs w:val="24"/>
              </w:rPr>
            </w:pPr>
          </w:p>
        </w:tc>
        <w:tc>
          <w:tcPr>
            <w:tcW w:w="428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76" w:lineRule="exact"/>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常年项目）</w:t>
            </w:r>
          </w:p>
        </w:tc>
        <w:tc>
          <w:tcPr>
            <w:tcW w:w="5166"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576" w:lineRule="exact"/>
              <w:jc w:val="left"/>
              <w:rPr>
                <w:rFonts w:ascii="宋体" w:hAnsi="宋体" w:eastAsia="宋体" w:cs="宋体"/>
                <w:color w:val="000000"/>
                <w:sz w:val="24"/>
                <w:szCs w:val="24"/>
              </w:rPr>
            </w:pPr>
          </w:p>
        </w:tc>
      </w:tr>
      <w:tr>
        <w:tblPrEx>
          <w:tblCellMar>
            <w:top w:w="15" w:type="dxa"/>
            <w:left w:w="15" w:type="dxa"/>
            <w:bottom w:w="15" w:type="dxa"/>
            <w:right w:w="15" w:type="dxa"/>
          </w:tblCellMar>
        </w:tblPrEx>
        <w:trPr>
          <w:trHeight w:val="23" w:hRule="atLeast"/>
          <w:jc w:val="center"/>
        </w:trPr>
        <w:tc>
          <w:tcPr>
            <w:tcW w:w="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76" w:lineRule="exact"/>
              <w:jc w:val="center"/>
              <w:rPr>
                <w:rFonts w:ascii="宋体" w:hAnsi="宋体" w:eastAsia="宋体" w:cs="宋体"/>
                <w:color w:val="000000"/>
                <w:sz w:val="24"/>
                <w:szCs w:val="24"/>
              </w:rPr>
            </w:pPr>
          </w:p>
        </w:tc>
        <w:tc>
          <w:tcPr>
            <w:tcW w:w="428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76" w:lineRule="exact"/>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资金管理办法（名称、文号）</w:t>
            </w:r>
          </w:p>
        </w:tc>
        <w:tc>
          <w:tcPr>
            <w:tcW w:w="5166" w:type="dxa"/>
            <w:gridSpan w:val="5"/>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576" w:lineRule="exact"/>
              <w:jc w:val="left"/>
              <w:textAlignment w:val="bottom"/>
              <w:rPr>
                <w:rFonts w:ascii="Wingdings 2" w:hAnsi="Wingdings 2" w:eastAsia="Wingdings 2" w:cs="Wingdings 2"/>
                <w:color w:val="000000"/>
                <w:sz w:val="24"/>
                <w:szCs w:val="24"/>
              </w:rPr>
            </w:pPr>
            <w:r>
              <w:rPr>
                <w:rFonts w:hint="eastAsia" w:ascii="宋体" w:hAnsi="宋体" w:eastAsia="宋体" w:cs="宋体"/>
                <w:color w:val="000000"/>
                <w:sz w:val="24"/>
                <w:szCs w:val="24"/>
              </w:rPr>
              <w:t xml:space="preserve"> 茂财预金（2024）08024号、对口援建（2024）00003号</w:t>
            </w:r>
          </w:p>
        </w:tc>
      </w:tr>
      <w:tr>
        <w:tblPrEx>
          <w:tblCellMar>
            <w:top w:w="15" w:type="dxa"/>
            <w:left w:w="15" w:type="dxa"/>
            <w:bottom w:w="15" w:type="dxa"/>
            <w:right w:w="15" w:type="dxa"/>
          </w:tblCellMar>
        </w:tblPrEx>
        <w:trPr>
          <w:trHeight w:val="23" w:hRule="atLeast"/>
          <w:jc w:val="center"/>
        </w:trPr>
        <w:tc>
          <w:tcPr>
            <w:tcW w:w="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76" w:lineRule="exact"/>
              <w:jc w:val="center"/>
              <w:rPr>
                <w:rFonts w:ascii="宋体" w:hAnsi="宋体" w:eastAsia="宋体" w:cs="宋体"/>
                <w:color w:val="000000"/>
                <w:sz w:val="24"/>
                <w:szCs w:val="24"/>
              </w:rPr>
            </w:pPr>
          </w:p>
        </w:tc>
        <w:tc>
          <w:tcPr>
            <w:tcW w:w="428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76" w:lineRule="exact"/>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绩效分配方式</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76" w:lineRule="exact"/>
              <w:jc w:val="left"/>
              <w:textAlignment w:val="center"/>
              <w:rPr>
                <w:rFonts w:ascii="宋体" w:hAnsi="宋体" w:eastAsia="宋体" w:cs="宋体"/>
                <w:color w:val="000000"/>
                <w:sz w:val="24"/>
                <w:szCs w:val="24"/>
              </w:rPr>
            </w:pPr>
            <w:r>
              <w:rPr>
                <w:rFonts w:ascii="Wingdings 2" w:hAnsi="Wingdings 2" w:eastAsia="Wingdings 2" w:cs="Wingdings 2"/>
                <w:color w:val="000000"/>
                <w:kern w:val="0"/>
                <w:sz w:val="24"/>
                <w:szCs w:val="24"/>
              </w:rPr>
              <w:t>£</w:t>
            </w:r>
            <w:r>
              <w:rPr>
                <w:rStyle w:val="39"/>
                <w:rFonts w:hint="default"/>
              </w:rPr>
              <w:t>因素法</w:t>
            </w:r>
          </w:p>
        </w:tc>
        <w:tc>
          <w:tcPr>
            <w:tcW w:w="15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76" w:lineRule="exact"/>
              <w:jc w:val="center"/>
              <w:textAlignment w:val="center"/>
            </w:pPr>
            <w:r>
              <w:rPr>
                <w:rFonts w:ascii="Wingdings 2" w:hAnsi="Wingdings 2" w:eastAsia="Wingdings 2" w:cs="Wingdings 2"/>
                <w:color w:val="000000"/>
                <w:kern w:val="0"/>
                <w:sz w:val="24"/>
                <w:szCs w:val="24"/>
              </w:rPr>
              <w:t>£项目法</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76" w:lineRule="exact"/>
              <w:jc w:val="center"/>
              <w:textAlignment w:val="center"/>
            </w:pPr>
            <w:r>
              <w:rPr>
                <w:rFonts w:ascii="Wingdings 2" w:hAnsi="Wingdings 2" w:eastAsia="Wingdings 2" w:cs="Wingdings 2"/>
                <w:color w:val="000000"/>
                <w:kern w:val="0"/>
                <w:sz w:val="24"/>
                <w:szCs w:val="24"/>
              </w:rPr>
              <w:t>£</w:t>
            </w:r>
            <w:r>
              <w:rPr>
                <w:rStyle w:val="39"/>
                <w:rFonts w:hint="default"/>
              </w:rPr>
              <w:t>据实据效</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76" w:lineRule="exact"/>
              <w:jc w:val="center"/>
              <w:textAlignment w:val="center"/>
            </w:pPr>
            <w:r>
              <w:rPr>
                <w:rFonts w:ascii="Wingdings 2" w:hAnsi="Wingdings 2" w:eastAsia="Wingdings 2" w:cs="Wingdings 2"/>
                <w:color w:val="000000"/>
                <w:kern w:val="0"/>
                <w:sz w:val="24"/>
                <w:szCs w:val="24"/>
              </w:rPr>
              <w:t>£</w:t>
            </w:r>
            <w:r>
              <w:rPr>
                <w:rStyle w:val="39"/>
                <w:rFonts w:hint="default"/>
              </w:rPr>
              <w:t>因素法与项目法相结合</w:t>
            </w:r>
          </w:p>
        </w:tc>
      </w:tr>
      <w:tr>
        <w:tblPrEx>
          <w:tblCellMar>
            <w:top w:w="15" w:type="dxa"/>
            <w:left w:w="15" w:type="dxa"/>
            <w:bottom w:w="15" w:type="dxa"/>
            <w:right w:w="15" w:type="dxa"/>
          </w:tblCellMar>
        </w:tblPrEx>
        <w:trPr>
          <w:trHeight w:val="23" w:hRule="atLeast"/>
          <w:jc w:val="center"/>
        </w:trPr>
        <w:tc>
          <w:tcPr>
            <w:tcW w:w="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76" w:lineRule="exact"/>
              <w:jc w:val="center"/>
              <w:rPr>
                <w:rFonts w:ascii="宋体" w:hAnsi="宋体" w:eastAsia="宋体" w:cs="宋体"/>
                <w:color w:val="000000"/>
                <w:sz w:val="24"/>
                <w:szCs w:val="24"/>
              </w:rPr>
            </w:pPr>
          </w:p>
        </w:tc>
        <w:tc>
          <w:tcPr>
            <w:tcW w:w="428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76" w:lineRule="exact"/>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立项依据</w:t>
            </w:r>
          </w:p>
        </w:tc>
        <w:tc>
          <w:tcPr>
            <w:tcW w:w="5166" w:type="dxa"/>
            <w:gridSpan w:val="5"/>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576" w:lineRule="exact"/>
              <w:jc w:val="left"/>
              <w:textAlignment w:val="bottom"/>
              <w:rPr>
                <w:rFonts w:ascii="宋体" w:hAnsi="宋体" w:eastAsia="宋体" w:cs="宋体"/>
                <w:color w:val="000000"/>
                <w:sz w:val="24"/>
                <w:szCs w:val="24"/>
              </w:rPr>
            </w:pPr>
          </w:p>
        </w:tc>
      </w:tr>
      <w:tr>
        <w:tblPrEx>
          <w:tblCellMar>
            <w:top w:w="15" w:type="dxa"/>
            <w:left w:w="15" w:type="dxa"/>
            <w:bottom w:w="15" w:type="dxa"/>
            <w:right w:w="15" w:type="dxa"/>
          </w:tblCellMar>
        </w:tblPrEx>
        <w:trPr>
          <w:trHeight w:val="23" w:hRule="atLeast"/>
          <w:jc w:val="center"/>
        </w:trPr>
        <w:tc>
          <w:tcPr>
            <w:tcW w:w="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76" w:lineRule="exact"/>
              <w:jc w:val="center"/>
              <w:rPr>
                <w:rFonts w:ascii="宋体" w:hAnsi="宋体" w:eastAsia="宋体" w:cs="宋体"/>
                <w:color w:val="000000"/>
                <w:sz w:val="24"/>
                <w:szCs w:val="24"/>
              </w:rPr>
            </w:pPr>
          </w:p>
        </w:tc>
        <w:tc>
          <w:tcPr>
            <w:tcW w:w="428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76" w:lineRule="exact"/>
              <w:textAlignment w:val="bottom"/>
              <w:rPr>
                <w:rFonts w:ascii="宋体" w:hAnsi="宋体" w:eastAsia="宋体" w:cs="宋体"/>
                <w:color w:val="000000"/>
                <w:kern w:val="0"/>
                <w:sz w:val="24"/>
                <w:szCs w:val="24"/>
              </w:rPr>
            </w:pPr>
            <w:r>
              <w:rPr>
                <w:rFonts w:hint="eastAsia" w:ascii="宋体" w:hAnsi="宋体" w:eastAsia="宋体" w:cs="宋体"/>
                <w:color w:val="000000"/>
                <w:kern w:val="0"/>
                <w:sz w:val="24"/>
                <w:szCs w:val="24"/>
              </w:rPr>
              <w:t>使用范围</w:t>
            </w:r>
          </w:p>
        </w:tc>
        <w:tc>
          <w:tcPr>
            <w:tcW w:w="5166" w:type="dxa"/>
            <w:gridSpan w:val="5"/>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576" w:lineRule="exact"/>
              <w:textAlignment w:val="bottom"/>
              <w:rPr>
                <w:rFonts w:ascii="宋体" w:hAnsi="宋体" w:eastAsia="宋体" w:cs="宋体"/>
                <w:color w:val="000000"/>
                <w:kern w:val="0"/>
                <w:sz w:val="24"/>
                <w:szCs w:val="24"/>
              </w:rPr>
            </w:pPr>
            <w:r>
              <w:rPr>
                <w:rFonts w:hint="eastAsia" w:ascii="宋体" w:hAnsi="宋体" w:eastAsia="宋体" w:cs="宋体"/>
                <w:color w:val="000000"/>
                <w:kern w:val="0"/>
                <w:sz w:val="24"/>
                <w:szCs w:val="24"/>
              </w:rPr>
              <w:t>茂县青年（大学生）创新创业孵化基地提档升级、基础设施改造</w:t>
            </w:r>
          </w:p>
        </w:tc>
      </w:tr>
      <w:tr>
        <w:tblPrEx>
          <w:tblCellMar>
            <w:top w:w="15" w:type="dxa"/>
            <w:left w:w="15" w:type="dxa"/>
            <w:bottom w:w="15" w:type="dxa"/>
            <w:right w:w="15" w:type="dxa"/>
          </w:tblCellMar>
        </w:tblPrEx>
        <w:trPr>
          <w:trHeight w:val="23" w:hRule="atLeast"/>
          <w:jc w:val="center"/>
        </w:trPr>
        <w:tc>
          <w:tcPr>
            <w:tcW w:w="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76" w:lineRule="exact"/>
              <w:jc w:val="center"/>
              <w:rPr>
                <w:rFonts w:ascii="宋体" w:hAnsi="宋体" w:eastAsia="宋体" w:cs="宋体"/>
                <w:color w:val="000000"/>
                <w:sz w:val="24"/>
                <w:szCs w:val="24"/>
              </w:rPr>
            </w:pPr>
          </w:p>
        </w:tc>
        <w:tc>
          <w:tcPr>
            <w:tcW w:w="428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76" w:lineRule="exact"/>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申报（补助）条件</w:t>
            </w:r>
          </w:p>
        </w:tc>
        <w:tc>
          <w:tcPr>
            <w:tcW w:w="5166" w:type="dxa"/>
            <w:gridSpan w:val="5"/>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576" w:lineRule="exact"/>
              <w:jc w:val="left"/>
              <w:textAlignment w:val="bottom"/>
              <w:rPr>
                <w:rFonts w:ascii="宋体" w:hAnsi="宋体" w:eastAsia="宋体" w:cs="宋体"/>
                <w:color w:val="000000"/>
                <w:sz w:val="24"/>
                <w:szCs w:val="24"/>
              </w:rPr>
            </w:pPr>
          </w:p>
        </w:tc>
      </w:tr>
      <w:tr>
        <w:tblPrEx>
          <w:tblCellMar>
            <w:top w:w="15" w:type="dxa"/>
            <w:left w:w="15" w:type="dxa"/>
            <w:bottom w:w="15" w:type="dxa"/>
            <w:right w:w="15" w:type="dxa"/>
          </w:tblCellMar>
        </w:tblPrEx>
        <w:trPr>
          <w:trHeight w:val="23" w:hRule="atLeast"/>
          <w:jc w:val="center"/>
        </w:trPr>
        <w:tc>
          <w:tcPr>
            <w:tcW w:w="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76" w:lineRule="exact"/>
              <w:jc w:val="center"/>
              <w:rPr>
                <w:rFonts w:ascii="宋体" w:hAnsi="宋体" w:eastAsia="宋体" w:cs="宋体"/>
                <w:color w:val="000000"/>
                <w:sz w:val="24"/>
                <w:szCs w:val="24"/>
              </w:rPr>
            </w:pPr>
          </w:p>
        </w:tc>
        <w:tc>
          <w:tcPr>
            <w:tcW w:w="428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76" w:lineRule="exact"/>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项目起止年限</w:t>
            </w:r>
          </w:p>
        </w:tc>
        <w:tc>
          <w:tcPr>
            <w:tcW w:w="5166" w:type="dxa"/>
            <w:gridSpan w:val="5"/>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576" w:lineRule="exact"/>
              <w:textAlignment w:val="bottom"/>
              <w:rPr>
                <w:rFonts w:ascii="宋体" w:hAnsi="宋体" w:eastAsia="宋体" w:cs="宋体"/>
                <w:color w:val="000000"/>
                <w:sz w:val="24"/>
                <w:szCs w:val="24"/>
              </w:rPr>
            </w:pPr>
            <w:r>
              <w:rPr>
                <w:rFonts w:hint="eastAsia" w:ascii="宋体" w:hAnsi="宋体" w:eastAsia="宋体" w:cs="宋体"/>
                <w:color w:val="000000"/>
                <w:kern w:val="0"/>
                <w:sz w:val="24"/>
                <w:szCs w:val="24"/>
              </w:rPr>
              <w:t>2024年1月1日-2024年12月31日</w:t>
            </w:r>
          </w:p>
        </w:tc>
      </w:tr>
      <w:tr>
        <w:tblPrEx>
          <w:tblCellMar>
            <w:top w:w="15" w:type="dxa"/>
            <w:left w:w="15" w:type="dxa"/>
            <w:bottom w:w="15" w:type="dxa"/>
            <w:right w:w="15" w:type="dxa"/>
          </w:tblCellMar>
        </w:tblPrEx>
        <w:trPr>
          <w:trHeight w:val="23" w:hRule="atLeast"/>
          <w:jc w:val="center"/>
        </w:trPr>
        <w:tc>
          <w:tcPr>
            <w:tcW w:w="15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76" w:lineRule="exact"/>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项目资金</w:t>
            </w:r>
          </w:p>
        </w:tc>
        <w:tc>
          <w:tcPr>
            <w:tcW w:w="34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76" w:lineRule="exact"/>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 xml:space="preserve">  </w:t>
            </w:r>
            <w:r>
              <w:rPr>
                <w:rStyle w:val="39"/>
                <w:rFonts w:hint="default"/>
              </w:rPr>
              <w:t>年度资金总额：</w:t>
            </w:r>
          </w:p>
        </w:tc>
        <w:tc>
          <w:tcPr>
            <w:tcW w:w="5166" w:type="dxa"/>
            <w:gridSpan w:val="5"/>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576" w:lineRule="exact"/>
              <w:jc w:val="center"/>
              <w:textAlignment w:val="bottom"/>
              <w:rPr>
                <w:rFonts w:ascii="宋体" w:hAnsi="宋体" w:eastAsia="宋体" w:cs="宋体"/>
                <w:color w:val="000000"/>
                <w:sz w:val="24"/>
                <w:szCs w:val="24"/>
              </w:rPr>
            </w:pPr>
            <w:r>
              <w:rPr>
                <w:rFonts w:hint="eastAsia" w:ascii="宋体" w:hAnsi="宋体" w:eastAsia="宋体" w:cs="宋体"/>
                <w:color w:val="000000"/>
                <w:kern w:val="0"/>
                <w:sz w:val="24"/>
                <w:szCs w:val="24"/>
              </w:rPr>
              <w:t>165.4</w:t>
            </w:r>
          </w:p>
        </w:tc>
      </w:tr>
      <w:tr>
        <w:tblPrEx>
          <w:tblCellMar>
            <w:top w:w="15" w:type="dxa"/>
            <w:left w:w="15" w:type="dxa"/>
            <w:bottom w:w="15" w:type="dxa"/>
            <w:right w:w="15" w:type="dxa"/>
          </w:tblCellMar>
        </w:tblPrEx>
        <w:trPr>
          <w:trHeight w:val="23" w:hRule="atLeast"/>
          <w:jc w:val="center"/>
        </w:trPr>
        <w:tc>
          <w:tcPr>
            <w:tcW w:w="15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76" w:lineRule="exact"/>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（万元）</w:t>
            </w:r>
          </w:p>
        </w:tc>
        <w:tc>
          <w:tcPr>
            <w:tcW w:w="34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76" w:lineRule="exact"/>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 xml:space="preserve">      </w:t>
            </w:r>
            <w:r>
              <w:rPr>
                <w:rStyle w:val="39"/>
                <w:rFonts w:hint="default"/>
              </w:rPr>
              <w:t>其中：财政拨款</w:t>
            </w:r>
          </w:p>
        </w:tc>
        <w:tc>
          <w:tcPr>
            <w:tcW w:w="5166" w:type="dxa"/>
            <w:gridSpan w:val="5"/>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576" w:lineRule="exact"/>
              <w:jc w:val="center"/>
              <w:textAlignment w:val="bottom"/>
              <w:rPr>
                <w:rFonts w:ascii="宋体" w:hAnsi="宋体" w:eastAsia="宋体" w:cs="宋体"/>
                <w:color w:val="000000"/>
                <w:sz w:val="24"/>
                <w:szCs w:val="24"/>
              </w:rPr>
            </w:pPr>
            <w:r>
              <w:rPr>
                <w:rFonts w:hint="eastAsia" w:ascii="宋体" w:hAnsi="宋体" w:eastAsia="宋体" w:cs="宋体"/>
                <w:color w:val="000000"/>
                <w:kern w:val="0"/>
                <w:sz w:val="24"/>
                <w:szCs w:val="24"/>
              </w:rPr>
              <w:t>165.4</w:t>
            </w:r>
          </w:p>
        </w:tc>
      </w:tr>
      <w:tr>
        <w:tblPrEx>
          <w:tblCellMar>
            <w:top w:w="15" w:type="dxa"/>
            <w:left w:w="15" w:type="dxa"/>
            <w:bottom w:w="15" w:type="dxa"/>
            <w:right w:w="15" w:type="dxa"/>
          </w:tblCellMar>
        </w:tblPrEx>
        <w:trPr>
          <w:trHeight w:val="23" w:hRule="atLeast"/>
          <w:jc w:val="center"/>
        </w:trPr>
        <w:tc>
          <w:tcPr>
            <w:tcW w:w="1570"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576" w:lineRule="exact"/>
              <w:rPr>
                <w:rFonts w:ascii="宋体" w:hAnsi="宋体" w:eastAsia="宋体" w:cs="宋体"/>
                <w:color w:val="000000"/>
                <w:sz w:val="24"/>
                <w:szCs w:val="24"/>
              </w:rPr>
            </w:pPr>
          </w:p>
        </w:tc>
        <w:tc>
          <w:tcPr>
            <w:tcW w:w="34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76" w:lineRule="exact"/>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 xml:space="preserve">            </w:t>
            </w:r>
            <w:r>
              <w:rPr>
                <w:rStyle w:val="39"/>
                <w:rFonts w:hint="default"/>
              </w:rPr>
              <w:t>其他资金</w:t>
            </w:r>
          </w:p>
        </w:tc>
        <w:tc>
          <w:tcPr>
            <w:tcW w:w="5166" w:type="dxa"/>
            <w:gridSpan w:val="5"/>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576" w:lineRule="exact"/>
              <w:jc w:val="right"/>
            </w:pPr>
          </w:p>
        </w:tc>
      </w:tr>
      <w:tr>
        <w:tblPrEx>
          <w:tblCellMar>
            <w:top w:w="15" w:type="dxa"/>
            <w:left w:w="15" w:type="dxa"/>
            <w:bottom w:w="15" w:type="dxa"/>
            <w:right w:w="15" w:type="dxa"/>
          </w:tblCellMar>
        </w:tblPrEx>
        <w:trPr>
          <w:trHeight w:val="23" w:hRule="atLeast"/>
          <w:jc w:val="center"/>
        </w:trPr>
        <w:tc>
          <w:tcPr>
            <w:tcW w:w="7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76" w:lineRule="exact"/>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总体 目标</w:t>
            </w:r>
          </w:p>
        </w:tc>
        <w:tc>
          <w:tcPr>
            <w:tcW w:w="944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76" w:lineRule="exact"/>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年度目标</w:t>
            </w:r>
          </w:p>
        </w:tc>
      </w:tr>
      <w:tr>
        <w:tblPrEx>
          <w:tblCellMar>
            <w:top w:w="15" w:type="dxa"/>
            <w:left w:w="15" w:type="dxa"/>
            <w:bottom w:w="15" w:type="dxa"/>
            <w:right w:w="15" w:type="dxa"/>
          </w:tblCellMar>
        </w:tblPrEx>
        <w:trPr>
          <w:trHeight w:val="23" w:hRule="atLeast"/>
          <w:jc w:val="center"/>
        </w:trPr>
        <w:tc>
          <w:tcPr>
            <w:tcW w:w="785" w:type="dxa"/>
            <w:vMerge w:val="continue"/>
            <w:tcBorders>
              <w:top w:val="single" w:color="000000" w:sz="4" w:space="0"/>
              <w:left w:val="single" w:color="000000" w:sz="4" w:space="0"/>
              <w:bottom w:val="single" w:color="000000" w:sz="4" w:space="0"/>
            </w:tcBorders>
            <w:shd w:val="clear" w:color="auto" w:fill="auto"/>
            <w:vAlign w:val="center"/>
          </w:tcPr>
          <w:p>
            <w:pPr>
              <w:spacing w:line="576" w:lineRule="exact"/>
              <w:jc w:val="center"/>
              <w:rPr>
                <w:rFonts w:ascii="宋体" w:hAnsi="宋体" w:eastAsia="宋体" w:cs="宋体"/>
                <w:color w:val="000000"/>
                <w:sz w:val="24"/>
                <w:szCs w:val="24"/>
              </w:rPr>
            </w:pPr>
          </w:p>
        </w:tc>
        <w:tc>
          <w:tcPr>
            <w:tcW w:w="9448" w:type="dxa"/>
            <w:gridSpan w:val="8"/>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576" w:lineRule="exact"/>
              <w:rPr>
                <w:rFonts w:ascii="宋体" w:hAnsi="宋体" w:eastAsia="宋体" w:cs="宋体"/>
                <w:color w:val="000000"/>
                <w:sz w:val="24"/>
                <w:szCs w:val="24"/>
              </w:rPr>
            </w:pPr>
            <w:r>
              <w:rPr>
                <w:rFonts w:hint="eastAsia" w:ascii="宋体" w:hAnsi="宋体" w:eastAsia="宋体" w:cs="宋体"/>
                <w:color w:val="000000"/>
                <w:sz w:val="24"/>
                <w:szCs w:val="24"/>
              </w:rPr>
              <w:t>进一步促进创新创业工作，鼓励和帮扶我县未就业高校毕业生等重点群体自主创新创业，坚持以创业带动就业，更好的发挥创业带动就业的倍增效应。</w:t>
            </w:r>
          </w:p>
        </w:tc>
      </w:tr>
      <w:tr>
        <w:tblPrEx>
          <w:tblCellMar>
            <w:top w:w="15" w:type="dxa"/>
            <w:left w:w="15" w:type="dxa"/>
            <w:bottom w:w="15" w:type="dxa"/>
            <w:right w:w="15" w:type="dxa"/>
          </w:tblCellMar>
        </w:tblPrEx>
        <w:trPr>
          <w:trHeight w:val="23" w:hRule="atLeast"/>
          <w:jc w:val="center"/>
        </w:trPr>
        <w:tc>
          <w:tcPr>
            <w:tcW w:w="785" w:type="dxa"/>
            <w:vMerge w:val="restart"/>
            <w:tcBorders>
              <w:top w:val="single" w:color="000000" w:sz="4" w:space="0"/>
              <w:left w:val="single" w:color="000000" w:sz="4" w:space="0"/>
            </w:tcBorders>
            <w:shd w:val="clear" w:color="auto" w:fill="auto"/>
            <w:vAlign w:val="center"/>
          </w:tcPr>
          <w:p>
            <w:pPr>
              <w:widowControl/>
              <w:spacing w:line="576" w:lineRule="exact"/>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绩效 指标</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76" w:lineRule="exact"/>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一级指标</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76" w:lineRule="exact"/>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二级指标</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76" w:lineRule="exact"/>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三级指标</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76" w:lineRule="exact"/>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指标性质</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76" w:lineRule="exact"/>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指标值</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76" w:lineRule="exact"/>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度量单位</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76" w:lineRule="exact"/>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权重</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76" w:lineRule="exact"/>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实际完成指标值</w:t>
            </w:r>
          </w:p>
        </w:tc>
      </w:tr>
      <w:tr>
        <w:tblPrEx>
          <w:tblCellMar>
            <w:top w:w="15" w:type="dxa"/>
            <w:left w:w="15" w:type="dxa"/>
            <w:bottom w:w="15" w:type="dxa"/>
            <w:right w:w="15" w:type="dxa"/>
          </w:tblCellMar>
        </w:tblPrEx>
        <w:trPr>
          <w:trHeight w:val="23" w:hRule="atLeast"/>
          <w:jc w:val="center"/>
        </w:trPr>
        <w:tc>
          <w:tcPr>
            <w:tcW w:w="785" w:type="dxa"/>
            <w:vMerge w:val="continue"/>
            <w:tcBorders>
              <w:left w:val="single" w:color="000000" w:sz="4" w:space="0"/>
            </w:tcBorders>
            <w:shd w:val="clear" w:color="auto" w:fill="auto"/>
            <w:vAlign w:val="center"/>
          </w:tcPr>
          <w:p>
            <w:pPr>
              <w:spacing w:line="576" w:lineRule="exact"/>
              <w:jc w:val="center"/>
              <w:rPr>
                <w:rFonts w:ascii="宋体" w:hAnsi="宋体" w:eastAsia="宋体" w:cs="宋体"/>
                <w:color w:val="000000"/>
                <w:sz w:val="24"/>
                <w:szCs w:val="24"/>
              </w:rPr>
            </w:pPr>
          </w:p>
        </w:tc>
        <w:tc>
          <w:tcPr>
            <w:tcW w:w="785" w:type="dxa"/>
            <w:vMerge w:val="restart"/>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ascii="宋体" w:hAnsi="宋体" w:eastAsia="宋体" w:cs="宋体"/>
                <w:color w:val="000000"/>
                <w:kern w:val="0"/>
                <w:sz w:val="18"/>
                <w:szCs w:val="18"/>
              </w:rPr>
              <w:t>产出指标</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ascii="宋体" w:hAnsi="宋体" w:eastAsia="宋体" w:cs="宋体"/>
                <w:color w:val="000000"/>
                <w:kern w:val="0"/>
                <w:sz w:val="18"/>
                <w:szCs w:val="18"/>
              </w:rPr>
              <w:t>数量指标</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ascii="宋体" w:hAnsi="宋体" w:eastAsia="宋体" w:cs="宋体"/>
                <w:color w:val="000000"/>
                <w:kern w:val="0"/>
                <w:sz w:val="18"/>
                <w:szCs w:val="18"/>
              </w:rPr>
              <w:t>基地入驻率</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ascii="宋体" w:hAnsi="宋体" w:eastAsia="宋体" w:cs="宋体"/>
                <w:color w:val="000000"/>
                <w:kern w:val="0"/>
                <w:sz w:val="18"/>
                <w:szCs w:val="18"/>
              </w:rPr>
              <w:t>≥</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ascii="宋体" w:hAnsi="宋体" w:eastAsia="宋体" w:cs="宋体"/>
                <w:color w:val="000000"/>
                <w:kern w:val="0"/>
                <w:sz w:val="18"/>
                <w:szCs w:val="18"/>
              </w:rPr>
              <w:t>90.00</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ascii="宋体" w:hAnsi="宋体" w:eastAsia="宋体" w:cs="宋体"/>
                <w:color w:val="000000"/>
                <w:kern w:val="0"/>
                <w:sz w:val="18"/>
                <w:szCs w:val="18"/>
              </w:rPr>
              <w:t>%</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18"/>
                <w:szCs w:val="18"/>
              </w:rPr>
            </w:pPr>
            <w:r>
              <w:rPr>
                <w:rFonts w:ascii="宋体" w:hAnsi="宋体" w:eastAsia="宋体" w:cs="宋体"/>
                <w:color w:val="000000"/>
                <w:kern w:val="0"/>
                <w:sz w:val="18"/>
                <w:szCs w:val="18"/>
              </w:rPr>
              <w:t>10</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76" w:lineRule="exact"/>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rPr>
              <w:t>90</w:t>
            </w:r>
          </w:p>
        </w:tc>
      </w:tr>
      <w:tr>
        <w:tblPrEx>
          <w:tblCellMar>
            <w:top w:w="15" w:type="dxa"/>
            <w:left w:w="15" w:type="dxa"/>
            <w:bottom w:w="15" w:type="dxa"/>
            <w:right w:w="15" w:type="dxa"/>
          </w:tblCellMar>
        </w:tblPrEx>
        <w:trPr>
          <w:trHeight w:val="23" w:hRule="atLeast"/>
          <w:jc w:val="center"/>
        </w:trPr>
        <w:tc>
          <w:tcPr>
            <w:tcW w:w="785" w:type="dxa"/>
            <w:vMerge w:val="continue"/>
            <w:tcBorders>
              <w:left w:val="single" w:color="000000" w:sz="4" w:space="0"/>
            </w:tcBorders>
            <w:shd w:val="clear" w:color="auto" w:fill="auto"/>
            <w:vAlign w:val="center"/>
          </w:tcPr>
          <w:p>
            <w:pPr>
              <w:spacing w:line="576" w:lineRule="exact"/>
              <w:jc w:val="center"/>
              <w:rPr>
                <w:rFonts w:ascii="宋体" w:hAnsi="宋体" w:eastAsia="宋体" w:cs="宋体"/>
                <w:color w:val="000000"/>
                <w:sz w:val="24"/>
                <w:szCs w:val="24"/>
              </w:rPr>
            </w:pPr>
          </w:p>
        </w:tc>
        <w:tc>
          <w:tcPr>
            <w:tcW w:w="785" w:type="dxa"/>
            <w:vMerge w:val="continue"/>
            <w:tcBorders>
              <w:left w:val="single" w:color="000000" w:sz="4" w:space="0"/>
              <w:right w:val="single" w:color="000000" w:sz="4" w:space="0"/>
            </w:tcBorders>
            <w:shd w:val="clear" w:color="auto" w:fill="auto"/>
            <w:vAlign w:val="center"/>
          </w:tcPr>
          <w:p>
            <w:pPr>
              <w:jc w:val="center"/>
              <w:rPr>
                <w:rFonts w:ascii="宋体" w:hAnsi="宋体" w:eastAsia="宋体" w:cs="宋体"/>
                <w:color w:val="000000"/>
                <w:sz w:val="24"/>
                <w:szCs w:val="24"/>
              </w:rPr>
            </w:pPr>
          </w:p>
        </w:tc>
        <w:tc>
          <w:tcPr>
            <w:tcW w:w="1097" w:type="dxa"/>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ascii="宋体" w:hAnsi="宋体" w:eastAsia="宋体" w:cs="宋体"/>
                <w:color w:val="000000"/>
                <w:kern w:val="0"/>
                <w:sz w:val="18"/>
                <w:szCs w:val="18"/>
              </w:rPr>
              <w:t>时效指标</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ascii="宋体" w:hAnsi="宋体" w:eastAsia="宋体" w:cs="宋体"/>
                <w:color w:val="000000"/>
                <w:kern w:val="0"/>
                <w:sz w:val="18"/>
                <w:szCs w:val="18"/>
              </w:rPr>
              <w:t>资金在12月之前支付到位</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ascii="宋体" w:hAnsi="宋体" w:eastAsia="宋体" w:cs="宋体"/>
                <w:color w:val="000000"/>
                <w:kern w:val="0"/>
                <w:sz w:val="18"/>
                <w:szCs w:val="18"/>
              </w:rPr>
              <w:t>≥</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ascii="宋体" w:hAnsi="宋体" w:eastAsia="宋体" w:cs="宋体"/>
                <w:color w:val="000000"/>
                <w:kern w:val="0"/>
                <w:sz w:val="18"/>
                <w:szCs w:val="18"/>
              </w:rPr>
              <w:t>100.00</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ascii="宋体" w:hAnsi="宋体" w:eastAsia="宋体" w:cs="宋体"/>
                <w:color w:val="000000"/>
                <w:kern w:val="0"/>
                <w:sz w:val="18"/>
                <w:szCs w:val="18"/>
              </w:rPr>
              <w:t>%</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ascii="宋体" w:hAnsi="宋体" w:eastAsia="宋体" w:cs="宋体"/>
                <w:color w:val="000000"/>
                <w:kern w:val="0"/>
                <w:sz w:val="18"/>
                <w:szCs w:val="18"/>
              </w:rPr>
              <w:t>20</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76" w:lineRule="exact"/>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rPr>
              <w:t>100</w:t>
            </w:r>
          </w:p>
        </w:tc>
      </w:tr>
      <w:tr>
        <w:tblPrEx>
          <w:tblCellMar>
            <w:top w:w="15" w:type="dxa"/>
            <w:left w:w="15" w:type="dxa"/>
            <w:bottom w:w="15" w:type="dxa"/>
            <w:right w:w="15" w:type="dxa"/>
          </w:tblCellMar>
        </w:tblPrEx>
        <w:trPr>
          <w:trHeight w:val="23" w:hRule="atLeast"/>
          <w:jc w:val="center"/>
        </w:trPr>
        <w:tc>
          <w:tcPr>
            <w:tcW w:w="785" w:type="dxa"/>
            <w:vMerge w:val="continue"/>
            <w:tcBorders>
              <w:left w:val="single" w:color="000000" w:sz="4" w:space="0"/>
            </w:tcBorders>
            <w:shd w:val="clear" w:color="auto" w:fill="auto"/>
            <w:vAlign w:val="center"/>
          </w:tcPr>
          <w:p>
            <w:pPr>
              <w:spacing w:line="576" w:lineRule="exact"/>
              <w:jc w:val="center"/>
              <w:rPr>
                <w:rFonts w:ascii="宋体" w:hAnsi="宋体" w:eastAsia="宋体" w:cs="宋体"/>
                <w:color w:val="000000"/>
                <w:sz w:val="24"/>
                <w:szCs w:val="24"/>
              </w:rPr>
            </w:pPr>
          </w:p>
        </w:tc>
        <w:tc>
          <w:tcPr>
            <w:tcW w:w="785"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szCs w:val="24"/>
              </w:rPr>
            </w:pP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4"/>
                <w:szCs w:val="24"/>
              </w:rPr>
            </w:pPr>
            <w:r>
              <w:rPr>
                <w:rFonts w:ascii="宋体" w:hAnsi="宋体" w:eastAsia="宋体" w:cs="宋体"/>
                <w:color w:val="000000"/>
                <w:kern w:val="0"/>
                <w:sz w:val="18"/>
                <w:szCs w:val="18"/>
              </w:rPr>
              <w:t>质量指标</w:t>
            </w:r>
          </w:p>
        </w:tc>
        <w:tc>
          <w:tcPr>
            <w:tcW w:w="2400" w:type="dxa"/>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ascii="宋体" w:hAnsi="宋体" w:eastAsia="宋体" w:cs="宋体"/>
                <w:color w:val="000000"/>
                <w:kern w:val="0"/>
                <w:sz w:val="18"/>
                <w:szCs w:val="18"/>
              </w:rPr>
              <w:t>基地孵化成功率</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ascii="宋体" w:hAnsi="宋体" w:eastAsia="宋体" w:cs="宋体"/>
                <w:color w:val="000000"/>
                <w:kern w:val="0"/>
                <w:sz w:val="18"/>
                <w:szCs w:val="18"/>
              </w:rPr>
              <w:t>≥</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ascii="宋体" w:hAnsi="宋体" w:eastAsia="宋体" w:cs="宋体"/>
                <w:color w:val="000000"/>
                <w:kern w:val="0"/>
                <w:sz w:val="18"/>
                <w:szCs w:val="18"/>
              </w:rPr>
              <w:t>100.00</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ascii="宋体" w:hAnsi="宋体" w:eastAsia="宋体" w:cs="宋体"/>
                <w:color w:val="000000"/>
                <w:kern w:val="0"/>
                <w:sz w:val="18"/>
                <w:szCs w:val="18"/>
              </w:rPr>
              <w:t>%</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ascii="宋体" w:hAnsi="宋体" w:eastAsia="宋体" w:cs="宋体"/>
                <w:color w:val="000000"/>
                <w:kern w:val="0"/>
                <w:sz w:val="18"/>
                <w:szCs w:val="18"/>
              </w:rPr>
              <w:t>10</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76" w:lineRule="exact"/>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rPr>
              <w:t>100</w:t>
            </w:r>
          </w:p>
        </w:tc>
      </w:tr>
      <w:tr>
        <w:tblPrEx>
          <w:tblCellMar>
            <w:top w:w="15" w:type="dxa"/>
            <w:left w:w="15" w:type="dxa"/>
            <w:bottom w:w="15" w:type="dxa"/>
            <w:right w:w="15" w:type="dxa"/>
          </w:tblCellMar>
        </w:tblPrEx>
        <w:trPr>
          <w:trHeight w:val="23" w:hRule="atLeast"/>
          <w:jc w:val="center"/>
        </w:trPr>
        <w:tc>
          <w:tcPr>
            <w:tcW w:w="785" w:type="dxa"/>
            <w:vMerge w:val="continue"/>
            <w:tcBorders>
              <w:left w:val="single" w:color="000000" w:sz="4" w:space="0"/>
            </w:tcBorders>
            <w:shd w:val="clear" w:color="auto" w:fill="auto"/>
            <w:vAlign w:val="center"/>
          </w:tcPr>
          <w:p>
            <w:pPr>
              <w:spacing w:line="576" w:lineRule="exact"/>
              <w:jc w:val="center"/>
              <w:rPr>
                <w:rFonts w:ascii="宋体" w:hAnsi="宋体" w:eastAsia="宋体" w:cs="宋体"/>
                <w:color w:val="000000"/>
                <w:sz w:val="24"/>
                <w:szCs w:val="24"/>
              </w:rPr>
            </w:pPr>
          </w:p>
        </w:tc>
        <w:tc>
          <w:tcPr>
            <w:tcW w:w="785" w:type="dxa"/>
            <w:vMerge w:val="restart"/>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ascii="宋体" w:hAnsi="宋体" w:eastAsia="宋体" w:cs="宋体"/>
                <w:color w:val="000000"/>
                <w:kern w:val="0"/>
                <w:sz w:val="18"/>
                <w:szCs w:val="18"/>
              </w:rPr>
              <w:t>效益指标</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4"/>
                <w:szCs w:val="24"/>
              </w:rPr>
            </w:pPr>
            <w:r>
              <w:rPr>
                <w:rFonts w:ascii="宋体" w:hAnsi="宋体" w:eastAsia="宋体" w:cs="宋体"/>
                <w:color w:val="000000"/>
                <w:kern w:val="0"/>
                <w:sz w:val="18"/>
                <w:szCs w:val="18"/>
              </w:rPr>
              <w:t>社会效益指标</w:t>
            </w:r>
          </w:p>
        </w:tc>
        <w:tc>
          <w:tcPr>
            <w:tcW w:w="2400" w:type="dxa"/>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ascii="宋体" w:hAnsi="宋体" w:eastAsia="宋体" w:cs="宋体"/>
                <w:color w:val="000000"/>
                <w:kern w:val="0"/>
                <w:sz w:val="18"/>
                <w:szCs w:val="18"/>
              </w:rPr>
              <w:t>创业带动就业</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ascii="宋体" w:hAnsi="宋体" w:eastAsia="宋体" w:cs="宋体"/>
                <w:color w:val="000000"/>
                <w:kern w:val="0"/>
                <w:sz w:val="18"/>
                <w:szCs w:val="18"/>
              </w:rPr>
              <w:t>≥</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ascii="宋体" w:hAnsi="宋体" w:eastAsia="宋体" w:cs="宋体"/>
                <w:color w:val="000000"/>
                <w:kern w:val="0"/>
                <w:sz w:val="18"/>
                <w:szCs w:val="18"/>
              </w:rPr>
              <w:t>90.00</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ascii="宋体" w:hAnsi="宋体" w:eastAsia="宋体" w:cs="宋体"/>
                <w:color w:val="000000"/>
                <w:kern w:val="0"/>
                <w:sz w:val="18"/>
                <w:szCs w:val="18"/>
              </w:rPr>
              <w:t>%</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ascii="宋体" w:hAnsi="宋体" w:eastAsia="宋体" w:cs="宋体"/>
                <w:color w:val="000000"/>
                <w:kern w:val="0"/>
                <w:sz w:val="18"/>
                <w:szCs w:val="18"/>
              </w:rPr>
              <w:t>10</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76" w:lineRule="exact"/>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rPr>
              <w:t>90</w:t>
            </w:r>
          </w:p>
        </w:tc>
      </w:tr>
      <w:tr>
        <w:tblPrEx>
          <w:tblCellMar>
            <w:top w:w="15" w:type="dxa"/>
            <w:left w:w="15" w:type="dxa"/>
            <w:bottom w:w="15" w:type="dxa"/>
            <w:right w:w="15" w:type="dxa"/>
          </w:tblCellMar>
        </w:tblPrEx>
        <w:trPr>
          <w:trHeight w:val="23" w:hRule="atLeast"/>
          <w:jc w:val="center"/>
        </w:trPr>
        <w:tc>
          <w:tcPr>
            <w:tcW w:w="785" w:type="dxa"/>
            <w:vMerge w:val="continue"/>
            <w:tcBorders>
              <w:left w:val="single" w:color="000000" w:sz="4" w:space="0"/>
            </w:tcBorders>
            <w:shd w:val="clear" w:color="auto" w:fill="auto"/>
            <w:vAlign w:val="center"/>
          </w:tcPr>
          <w:p>
            <w:pPr>
              <w:spacing w:line="576" w:lineRule="exact"/>
              <w:jc w:val="center"/>
              <w:rPr>
                <w:rFonts w:ascii="宋体" w:hAnsi="宋体" w:eastAsia="宋体" w:cs="宋体"/>
                <w:color w:val="000000"/>
                <w:sz w:val="24"/>
                <w:szCs w:val="24"/>
              </w:rPr>
            </w:pPr>
          </w:p>
        </w:tc>
        <w:tc>
          <w:tcPr>
            <w:tcW w:w="785"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szCs w:val="24"/>
              </w:rPr>
            </w:pP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4"/>
                <w:szCs w:val="24"/>
              </w:rPr>
            </w:pPr>
            <w:r>
              <w:rPr>
                <w:rFonts w:ascii="宋体" w:hAnsi="宋体" w:eastAsia="宋体" w:cs="宋体"/>
                <w:color w:val="000000"/>
                <w:kern w:val="0"/>
                <w:sz w:val="18"/>
                <w:szCs w:val="18"/>
              </w:rPr>
              <w:t>可持续发展指标</w:t>
            </w:r>
          </w:p>
        </w:tc>
        <w:tc>
          <w:tcPr>
            <w:tcW w:w="2400" w:type="dxa"/>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0"/>
                <w:szCs w:val="20"/>
              </w:rPr>
            </w:pPr>
            <w:r>
              <w:rPr>
                <w:rFonts w:ascii="宋体" w:hAnsi="宋体" w:eastAsia="宋体" w:cs="宋体"/>
                <w:color w:val="000000"/>
                <w:kern w:val="0"/>
                <w:sz w:val="18"/>
                <w:szCs w:val="18"/>
              </w:rPr>
              <w:t>发展规模扩大</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0"/>
                <w:szCs w:val="20"/>
              </w:rPr>
            </w:pPr>
            <w:r>
              <w:rPr>
                <w:rFonts w:ascii="宋体" w:hAnsi="宋体" w:eastAsia="宋体" w:cs="宋体"/>
                <w:color w:val="000000"/>
                <w:kern w:val="0"/>
                <w:sz w:val="18"/>
                <w:szCs w:val="18"/>
              </w:rPr>
              <w:t>＝</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4"/>
                <w:szCs w:val="24"/>
              </w:rPr>
            </w:pPr>
            <w:r>
              <w:rPr>
                <w:rFonts w:ascii="宋体" w:hAnsi="宋体" w:eastAsia="宋体" w:cs="宋体"/>
                <w:color w:val="000000"/>
                <w:kern w:val="0"/>
                <w:sz w:val="18"/>
                <w:szCs w:val="18"/>
              </w:rPr>
              <w:t>保持发展，促进更多创业</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kern w:val="0"/>
                <w:sz w:val="24"/>
                <w:szCs w:val="24"/>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ascii="宋体" w:hAnsi="宋体" w:eastAsia="宋体" w:cs="宋体"/>
                <w:color w:val="000000"/>
                <w:kern w:val="0"/>
                <w:sz w:val="18"/>
                <w:szCs w:val="18"/>
              </w:rPr>
              <w:t>10</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76" w:lineRule="exact"/>
              <w:jc w:val="center"/>
              <w:textAlignment w:val="center"/>
              <w:rPr>
                <w:rFonts w:ascii="宋体" w:hAnsi="宋体" w:eastAsia="宋体" w:cs="宋体"/>
                <w:color w:val="000000"/>
                <w:kern w:val="0"/>
                <w:sz w:val="20"/>
                <w:szCs w:val="20"/>
              </w:rPr>
            </w:pPr>
            <w:r>
              <w:rPr>
                <w:rFonts w:ascii="宋体" w:hAnsi="宋体" w:eastAsia="宋体" w:cs="宋体"/>
                <w:color w:val="000000"/>
                <w:kern w:val="0"/>
                <w:sz w:val="18"/>
                <w:szCs w:val="18"/>
              </w:rPr>
              <w:t>保持发展，促进更多创业</w:t>
            </w:r>
          </w:p>
        </w:tc>
      </w:tr>
      <w:tr>
        <w:tblPrEx>
          <w:tblCellMar>
            <w:top w:w="15" w:type="dxa"/>
            <w:left w:w="15" w:type="dxa"/>
            <w:bottom w:w="15" w:type="dxa"/>
            <w:right w:w="15" w:type="dxa"/>
          </w:tblCellMar>
        </w:tblPrEx>
        <w:trPr>
          <w:trHeight w:val="23" w:hRule="atLeast"/>
          <w:jc w:val="center"/>
        </w:trPr>
        <w:tc>
          <w:tcPr>
            <w:tcW w:w="785" w:type="dxa"/>
            <w:vMerge w:val="continue"/>
            <w:tcBorders>
              <w:left w:val="single" w:color="000000" w:sz="4" w:space="0"/>
            </w:tcBorders>
            <w:shd w:val="clear" w:color="auto" w:fill="auto"/>
            <w:vAlign w:val="center"/>
          </w:tcPr>
          <w:p>
            <w:pPr>
              <w:spacing w:line="576" w:lineRule="exact"/>
              <w:jc w:val="center"/>
              <w:rPr>
                <w:rFonts w:ascii="宋体" w:hAnsi="宋体" w:eastAsia="宋体" w:cs="宋体"/>
                <w:color w:val="000000"/>
                <w:sz w:val="24"/>
                <w:szCs w:val="24"/>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ascii="宋体" w:hAnsi="宋体" w:eastAsia="宋体" w:cs="宋体"/>
                <w:color w:val="000000"/>
                <w:kern w:val="0"/>
                <w:sz w:val="18"/>
                <w:szCs w:val="18"/>
              </w:rPr>
              <w:t>成本指标</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4"/>
                <w:szCs w:val="24"/>
              </w:rPr>
            </w:pPr>
            <w:r>
              <w:rPr>
                <w:rFonts w:ascii="宋体" w:hAnsi="宋体" w:eastAsia="宋体" w:cs="宋体"/>
                <w:color w:val="000000"/>
                <w:kern w:val="0"/>
                <w:sz w:val="18"/>
                <w:szCs w:val="18"/>
              </w:rPr>
              <w:t>经济成本指标</w:t>
            </w:r>
          </w:p>
        </w:tc>
        <w:tc>
          <w:tcPr>
            <w:tcW w:w="2400" w:type="dxa"/>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0"/>
                <w:szCs w:val="20"/>
              </w:rPr>
            </w:pPr>
            <w:r>
              <w:rPr>
                <w:rFonts w:ascii="宋体" w:hAnsi="宋体" w:eastAsia="宋体" w:cs="宋体"/>
                <w:color w:val="000000"/>
                <w:kern w:val="0"/>
                <w:sz w:val="18"/>
                <w:szCs w:val="18"/>
              </w:rPr>
              <w:t>支付金额</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0"/>
                <w:szCs w:val="20"/>
              </w:rPr>
            </w:pPr>
            <w:r>
              <w:rPr>
                <w:rFonts w:ascii="宋体" w:hAnsi="宋体" w:eastAsia="宋体" w:cs="宋体"/>
                <w:color w:val="000000"/>
                <w:kern w:val="0"/>
                <w:sz w:val="18"/>
                <w:szCs w:val="18"/>
              </w:rPr>
              <w:t>＝</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4"/>
                <w:szCs w:val="24"/>
              </w:rPr>
            </w:pPr>
            <w:r>
              <w:rPr>
                <w:rFonts w:ascii="宋体" w:hAnsi="宋体" w:eastAsia="宋体" w:cs="宋体"/>
                <w:color w:val="000000"/>
                <w:kern w:val="0"/>
                <w:sz w:val="18"/>
                <w:szCs w:val="18"/>
              </w:rPr>
              <w:t>165.00</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4"/>
                <w:szCs w:val="24"/>
              </w:rPr>
            </w:pPr>
            <w:r>
              <w:rPr>
                <w:rFonts w:ascii="宋体" w:hAnsi="宋体" w:eastAsia="宋体" w:cs="宋体"/>
                <w:color w:val="000000"/>
                <w:kern w:val="0"/>
                <w:sz w:val="18"/>
                <w:szCs w:val="18"/>
              </w:rPr>
              <w:t>万元</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ascii="宋体" w:hAnsi="宋体" w:eastAsia="宋体" w:cs="宋体"/>
                <w:color w:val="000000"/>
                <w:kern w:val="0"/>
                <w:sz w:val="18"/>
                <w:szCs w:val="18"/>
              </w:rPr>
              <w:t>20</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76" w:lineRule="exact"/>
              <w:jc w:val="center"/>
              <w:textAlignment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160.846</w:t>
            </w:r>
          </w:p>
        </w:tc>
      </w:tr>
      <w:tr>
        <w:tblPrEx>
          <w:tblCellMar>
            <w:top w:w="15" w:type="dxa"/>
            <w:left w:w="15" w:type="dxa"/>
            <w:bottom w:w="15" w:type="dxa"/>
            <w:right w:w="15" w:type="dxa"/>
          </w:tblCellMar>
        </w:tblPrEx>
        <w:trPr>
          <w:trHeight w:val="23" w:hRule="atLeast"/>
          <w:jc w:val="center"/>
        </w:trPr>
        <w:tc>
          <w:tcPr>
            <w:tcW w:w="785" w:type="dxa"/>
            <w:vMerge w:val="continue"/>
            <w:tcBorders>
              <w:left w:val="single" w:color="000000" w:sz="4" w:space="0"/>
              <w:bottom w:val="single" w:color="000000" w:sz="4" w:space="0"/>
            </w:tcBorders>
            <w:shd w:val="clear" w:color="auto" w:fill="auto"/>
            <w:vAlign w:val="center"/>
          </w:tcPr>
          <w:p>
            <w:pPr>
              <w:spacing w:line="576" w:lineRule="exact"/>
              <w:jc w:val="center"/>
              <w:rPr>
                <w:rFonts w:ascii="宋体" w:hAnsi="宋体" w:eastAsia="宋体" w:cs="宋体"/>
                <w:color w:val="000000"/>
                <w:sz w:val="24"/>
                <w:szCs w:val="24"/>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ascii="宋体" w:hAnsi="宋体" w:eastAsia="宋体" w:cs="宋体"/>
                <w:color w:val="000000"/>
                <w:kern w:val="0"/>
                <w:sz w:val="18"/>
                <w:szCs w:val="18"/>
              </w:rPr>
              <w:t>满意度指标</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4"/>
                <w:szCs w:val="24"/>
              </w:rPr>
            </w:pPr>
            <w:r>
              <w:rPr>
                <w:rFonts w:ascii="宋体" w:hAnsi="宋体" w:eastAsia="宋体" w:cs="宋体"/>
                <w:color w:val="000000"/>
                <w:kern w:val="0"/>
                <w:sz w:val="18"/>
                <w:szCs w:val="18"/>
              </w:rPr>
              <w:t>服务对象满意度</w:t>
            </w:r>
          </w:p>
        </w:tc>
        <w:tc>
          <w:tcPr>
            <w:tcW w:w="2400" w:type="dxa"/>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0"/>
                <w:szCs w:val="20"/>
              </w:rPr>
            </w:pPr>
            <w:r>
              <w:rPr>
                <w:rFonts w:ascii="宋体" w:hAnsi="宋体" w:eastAsia="宋体" w:cs="宋体"/>
                <w:color w:val="000000"/>
                <w:kern w:val="0"/>
                <w:sz w:val="18"/>
                <w:szCs w:val="18"/>
              </w:rPr>
              <w:t>服务对象满意度</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0"/>
                <w:szCs w:val="20"/>
              </w:rPr>
            </w:pPr>
            <w:r>
              <w:rPr>
                <w:rFonts w:ascii="宋体" w:hAnsi="宋体" w:eastAsia="宋体" w:cs="宋体"/>
                <w:color w:val="000000"/>
                <w:kern w:val="0"/>
                <w:sz w:val="18"/>
                <w:szCs w:val="18"/>
              </w:rPr>
              <w:t>≥</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4"/>
                <w:szCs w:val="24"/>
              </w:rPr>
            </w:pPr>
            <w:r>
              <w:rPr>
                <w:rFonts w:ascii="宋体" w:hAnsi="宋体" w:eastAsia="宋体" w:cs="宋体"/>
                <w:color w:val="000000"/>
                <w:kern w:val="0"/>
                <w:sz w:val="18"/>
                <w:szCs w:val="18"/>
              </w:rPr>
              <w:t>95.00</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4"/>
                <w:szCs w:val="24"/>
              </w:rPr>
            </w:pPr>
            <w:r>
              <w:rPr>
                <w:rFonts w:ascii="宋体" w:hAnsi="宋体" w:eastAsia="宋体" w:cs="宋体"/>
                <w:color w:val="000000"/>
                <w:kern w:val="0"/>
                <w:sz w:val="18"/>
                <w:szCs w:val="18"/>
              </w:rPr>
              <w:t>%</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18"/>
                <w:szCs w:val="18"/>
              </w:rPr>
              <w:t>20</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576" w:lineRule="exact"/>
              <w:jc w:val="center"/>
              <w:textAlignment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95</w:t>
            </w:r>
          </w:p>
        </w:tc>
      </w:tr>
    </w:tbl>
    <w:p>
      <w:pPr>
        <w:widowControl/>
        <w:jc w:val="center"/>
        <w:rPr>
          <w:rFonts w:hint="eastAsia" w:ascii="Times New Roman" w:hAnsi="Times New Roman" w:eastAsia="黑体"/>
          <w:color w:val="auto"/>
          <w:sz w:val="44"/>
          <w:szCs w:val="44"/>
          <w:highlight w:val="none"/>
        </w:rPr>
      </w:pPr>
    </w:p>
    <w:p>
      <w:pPr>
        <w:pStyle w:val="40"/>
        <w:rPr>
          <w:rFonts w:hint="eastAsia" w:ascii="Times New Roman" w:hAnsi="Times New Roman" w:eastAsia="黑体"/>
          <w:color w:val="auto"/>
          <w:sz w:val="44"/>
          <w:szCs w:val="44"/>
          <w:highlight w:val="none"/>
        </w:rPr>
      </w:pPr>
    </w:p>
    <w:p>
      <w:pPr>
        <w:pStyle w:val="40"/>
        <w:rPr>
          <w:rFonts w:hint="eastAsia" w:ascii="Times New Roman" w:hAnsi="Times New Roman" w:eastAsia="黑体"/>
          <w:color w:val="auto"/>
          <w:sz w:val="44"/>
          <w:szCs w:val="44"/>
          <w:highlight w:val="none"/>
        </w:rPr>
      </w:pPr>
    </w:p>
    <w:p>
      <w:pPr>
        <w:pStyle w:val="40"/>
        <w:rPr>
          <w:rFonts w:hint="eastAsia" w:ascii="Times New Roman" w:hAnsi="Times New Roman" w:eastAsia="黑体"/>
          <w:color w:val="auto"/>
          <w:sz w:val="44"/>
          <w:szCs w:val="44"/>
          <w:highlight w:val="none"/>
        </w:rPr>
      </w:pPr>
    </w:p>
    <w:p>
      <w:pPr>
        <w:pStyle w:val="40"/>
        <w:rPr>
          <w:rFonts w:hint="eastAsia" w:ascii="Times New Roman" w:hAnsi="Times New Roman" w:eastAsia="黑体"/>
          <w:color w:val="auto"/>
          <w:sz w:val="44"/>
          <w:szCs w:val="44"/>
          <w:highlight w:val="none"/>
        </w:rPr>
      </w:pPr>
    </w:p>
    <w:p>
      <w:pPr>
        <w:pStyle w:val="40"/>
        <w:rPr>
          <w:rFonts w:hint="eastAsia" w:ascii="Times New Roman" w:hAnsi="Times New Roman" w:eastAsia="黑体"/>
          <w:color w:val="auto"/>
          <w:sz w:val="44"/>
          <w:szCs w:val="44"/>
          <w:highlight w:val="none"/>
        </w:rPr>
      </w:pPr>
    </w:p>
    <w:p>
      <w:pPr>
        <w:pStyle w:val="40"/>
        <w:rPr>
          <w:rFonts w:hint="eastAsia" w:ascii="Times New Roman" w:hAnsi="Times New Roman" w:eastAsia="黑体"/>
          <w:color w:val="auto"/>
          <w:sz w:val="44"/>
          <w:szCs w:val="44"/>
          <w:highlight w:val="none"/>
        </w:rPr>
      </w:pPr>
    </w:p>
    <w:p>
      <w:pPr>
        <w:pStyle w:val="40"/>
        <w:rPr>
          <w:rFonts w:hint="eastAsia" w:ascii="Times New Roman" w:hAnsi="Times New Roman" w:eastAsia="黑体"/>
          <w:color w:val="auto"/>
          <w:sz w:val="44"/>
          <w:szCs w:val="44"/>
          <w:highlight w:val="none"/>
        </w:rPr>
      </w:pPr>
    </w:p>
    <w:p>
      <w:pPr>
        <w:pStyle w:val="40"/>
        <w:rPr>
          <w:rFonts w:hint="eastAsia" w:ascii="Times New Roman" w:hAnsi="Times New Roman" w:eastAsia="黑体"/>
          <w:color w:val="auto"/>
          <w:sz w:val="44"/>
          <w:szCs w:val="44"/>
          <w:highlight w:val="none"/>
        </w:rPr>
      </w:pPr>
    </w:p>
    <w:p>
      <w:pPr>
        <w:pStyle w:val="40"/>
        <w:rPr>
          <w:rFonts w:hint="eastAsia" w:ascii="Times New Roman" w:hAnsi="Times New Roman" w:eastAsia="黑体"/>
          <w:color w:val="auto"/>
          <w:sz w:val="44"/>
          <w:szCs w:val="44"/>
          <w:highlight w:val="none"/>
        </w:rPr>
      </w:pPr>
    </w:p>
    <w:p>
      <w:pPr>
        <w:pStyle w:val="40"/>
        <w:rPr>
          <w:rFonts w:hint="eastAsia" w:ascii="Times New Roman" w:hAnsi="Times New Roman" w:eastAsia="黑体"/>
          <w:color w:val="auto"/>
          <w:sz w:val="44"/>
          <w:szCs w:val="44"/>
          <w:highlight w:val="none"/>
        </w:rPr>
      </w:pPr>
    </w:p>
    <w:p>
      <w:pPr>
        <w:pStyle w:val="36"/>
        <w:spacing w:line="578" w:lineRule="exact"/>
        <w:jc w:val="center"/>
        <w:rPr>
          <w:rFonts w:ascii="方正小标宋简体" w:hAnsi="方正小标宋简体" w:eastAsia="方正小标宋简体" w:cs="方正小标宋简体"/>
          <w:color w:val="auto"/>
          <w:kern w:val="2"/>
          <w:sz w:val="44"/>
          <w:szCs w:val="44"/>
          <w:lang w:val="en-US"/>
        </w:rPr>
      </w:pPr>
      <w:r>
        <w:rPr>
          <w:rFonts w:hint="eastAsia" w:ascii="方正小标宋简体" w:hAnsi="Calibri" w:eastAsia="方正小标宋简体" w:cs="Times New Roman"/>
          <w:color w:val="auto"/>
          <w:sz w:val="44"/>
          <w:szCs w:val="44"/>
          <w:lang w:val="en-US" w:eastAsia="zh-CN"/>
        </w:rPr>
        <w:t>茂县劳动力技能培训和转移就业项目支出绩效自评价报告</w:t>
      </w:r>
    </w:p>
    <w:p>
      <w:pPr>
        <w:pStyle w:val="36"/>
        <w:spacing w:line="578" w:lineRule="exact"/>
        <w:ind w:firstLine="640"/>
        <w:jc w:val="center"/>
        <w:rPr>
          <w:rFonts w:ascii="宋体" w:hAnsi="宋体"/>
          <w:color w:val="auto"/>
          <w:kern w:val="2"/>
          <w:sz w:val="32"/>
          <w:szCs w:val="32"/>
        </w:rPr>
      </w:pPr>
    </w:p>
    <w:p>
      <w:pPr>
        <w:adjustRightInd w:val="0"/>
        <w:snapToGrid w:val="0"/>
        <w:spacing w:line="578" w:lineRule="exact"/>
        <w:ind w:firstLine="640" w:firstLineChars="200"/>
        <w:rPr>
          <w:rFonts w:hint="eastAsia" w:ascii="黑体" w:hAnsi="黑体" w:eastAsia="黑体" w:cs="黑体"/>
          <w:sz w:val="32"/>
          <w:szCs w:val="32"/>
          <w:lang w:val="zh-CN"/>
        </w:rPr>
      </w:pPr>
      <w:r>
        <w:rPr>
          <w:rFonts w:hint="eastAsia" w:ascii="黑体" w:hAnsi="黑体" w:eastAsia="黑体" w:cs="黑体"/>
          <w:sz w:val="32"/>
          <w:szCs w:val="32"/>
        </w:rPr>
        <w:t>一、</w:t>
      </w:r>
      <w:r>
        <w:rPr>
          <w:rFonts w:hint="eastAsia" w:ascii="黑体" w:hAnsi="黑体" w:eastAsia="黑体" w:cs="黑体"/>
          <w:sz w:val="32"/>
          <w:szCs w:val="32"/>
          <w:lang w:val="zh-CN"/>
        </w:rPr>
        <w:t>项目概况</w:t>
      </w:r>
    </w:p>
    <w:p>
      <w:pPr>
        <w:widowControl/>
        <w:adjustRightInd w:val="0"/>
        <w:snapToGrid w:val="0"/>
        <w:spacing w:line="578" w:lineRule="exact"/>
        <w:ind w:firstLine="642" w:firstLineChars="200"/>
        <w:contextualSpacing/>
        <w:jc w:val="left"/>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（一）设立背景及基本情况</w:t>
      </w:r>
    </w:p>
    <w:p>
      <w:pPr>
        <w:widowControl/>
        <w:adjustRightInd w:val="0"/>
        <w:snapToGrid w:val="0"/>
        <w:spacing w:line="578" w:lineRule="exact"/>
        <w:ind w:firstLine="640" w:firstLineChars="200"/>
        <w:contextualSpacing/>
        <w:jc w:val="left"/>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sz w:val="32"/>
          <w:szCs w:val="32"/>
        </w:rPr>
        <w:t>按照浙江对口支援工作计划，为进一步深化对口支援工作，</w:t>
      </w:r>
      <w:r>
        <w:rPr>
          <w:rFonts w:hint="eastAsia" w:ascii="仿宋_GB2312" w:hAnsi="仿宋_GB2312" w:eastAsia="仿宋_GB2312" w:cs="仿宋_GB2312"/>
          <w:b w:val="0"/>
          <w:bCs/>
          <w:w w:val="100"/>
          <w:kern w:val="0"/>
          <w:sz w:val="32"/>
          <w:szCs w:val="32"/>
          <w:highlight w:val="none"/>
          <w:lang w:val="en-US" w:eastAsia="zh-CN" w:bidi="ar-SA"/>
        </w:rPr>
        <w:t>巩固扩大城乡劳动力转移就业，促进更多城乡劳动力外出就业，提高就业收入，持续</w:t>
      </w:r>
      <w:r>
        <w:rPr>
          <w:rFonts w:hint="eastAsia" w:ascii="仿宋_GB2312" w:hAnsi="仿宋_GB2312" w:eastAsia="仿宋_GB2312" w:cs="仿宋_GB2312"/>
          <w:sz w:val="32"/>
          <w:szCs w:val="32"/>
          <w:lang w:eastAsia="zh-CN"/>
        </w:rPr>
        <w:t>深化</w:t>
      </w:r>
      <w:r>
        <w:rPr>
          <w:rFonts w:hint="eastAsia" w:ascii="仿宋_GB2312" w:hAnsi="仿宋_GB2312" w:eastAsia="仿宋_GB2312" w:cs="仿宋_GB2312"/>
          <w:sz w:val="32"/>
          <w:szCs w:val="32"/>
          <w:lang w:val="en-US" w:eastAsia="zh-CN"/>
        </w:rPr>
        <w:t>对口支援促进就业增收工作</w:t>
      </w:r>
      <w:r>
        <w:rPr>
          <w:rFonts w:hint="eastAsia" w:ascii="仿宋_GB2312" w:hAnsi="仿宋_GB2312" w:eastAsia="仿宋_GB2312" w:cs="仿宋_GB2312"/>
          <w:kern w:val="0"/>
          <w:sz w:val="32"/>
          <w:szCs w:val="32"/>
          <w:shd w:val="clear" w:color="auto" w:fill="FFFFFF"/>
        </w:rPr>
        <w:t>，根据</w:t>
      </w:r>
      <w:r>
        <w:rPr>
          <w:rFonts w:hint="eastAsia" w:ascii="仿宋_GB2312" w:hAnsi="仿宋_GB2312" w:eastAsia="仿宋_GB2312" w:cs="仿宋_GB2312"/>
          <w:kern w:val="0"/>
          <w:sz w:val="32"/>
          <w:szCs w:val="32"/>
          <w:shd w:val="clear" w:color="auto" w:fill="FFFFFF"/>
          <w:lang w:eastAsia="zh-CN"/>
        </w:rPr>
        <w:t>《</w:t>
      </w:r>
      <w:r>
        <w:rPr>
          <w:rFonts w:hint="eastAsia" w:ascii="仿宋_GB2312" w:hAnsi="仿宋_GB2312" w:eastAsia="仿宋_GB2312" w:cs="仿宋_GB2312"/>
          <w:bCs/>
          <w:color w:val="000000"/>
          <w:sz w:val="32"/>
          <w:szCs w:val="32"/>
        </w:rPr>
        <w:t>茂县人力资源和社会保障局2024年浙江省对口支援茂县创业能力提升培训项目</w:t>
      </w:r>
      <w:r>
        <w:rPr>
          <w:rFonts w:hint="eastAsia" w:ascii="仿宋_GB2312" w:hAnsi="仿宋_GB2312" w:eastAsia="仿宋_GB2312" w:cs="仿宋_GB2312"/>
          <w:kern w:val="0"/>
          <w:sz w:val="32"/>
          <w:szCs w:val="32"/>
          <w:shd w:val="clear" w:color="auto" w:fill="FFFFFF"/>
          <w:lang w:eastAsia="zh-CN"/>
        </w:rPr>
        <w:t>实施方案》，</w:t>
      </w:r>
      <w:r>
        <w:rPr>
          <w:rFonts w:hint="eastAsia" w:ascii="仿宋_GB2312" w:hAnsi="仿宋_GB2312" w:eastAsia="仿宋_GB2312" w:cs="仿宋_GB2312"/>
          <w:kern w:val="0"/>
          <w:sz w:val="32"/>
          <w:szCs w:val="32"/>
          <w:shd w:val="clear" w:color="auto" w:fill="FFFFFF"/>
          <w:lang w:val="zh-CN"/>
        </w:rPr>
        <w:t>项目</w:t>
      </w:r>
      <w:r>
        <w:rPr>
          <w:rFonts w:hint="eastAsia" w:ascii="仿宋_GB2312" w:hAnsi="仿宋_GB2312" w:eastAsia="仿宋_GB2312" w:cs="仿宋_GB2312"/>
          <w:kern w:val="0"/>
          <w:sz w:val="32"/>
          <w:szCs w:val="32"/>
          <w:shd w:val="clear" w:color="auto" w:fill="FFFFFF"/>
        </w:rPr>
        <w:t>资金主要用于</w:t>
      </w:r>
      <w:r>
        <w:rPr>
          <w:rFonts w:hint="eastAsia" w:ascii="仿宋_GB2312" w:hAnsi="仿宋_GB2312" w:eastAsia="仿宋_GB2312" w:cs="仿宋_GB2312"/>
          <w:bCs/>
          <w:color w:val="000000"/>
          <w:sz w:val="32"/>
          <w:szCs w:val="32"/>
        </w:rPr>
        <w:t>就业创业政策宣传、实用技术培训、招聘活动、劳务输出、稳定就业补助、</w:t>
      </w:r>
      <w:r>
        <w:rPr>
          <w:rFonts w:hint="eastAsia" w:ascii="仿宋_GB2312" w:hAnsi="仿宋_GB2312" w:eastAsia="仿宋_GB2312" w:cs="仿宋_GB2312"/>
          <w:bCs/>
          <w:color w:val="000000"/>
          <w:sz w:val="32"/>
          <w:szCs w:val="32"/>
          <w:lang w:eastAsia="zh-CN"/>
        </w:rPr>
        <w:t>创业大赛、美食</w:t>
      </w:r>
      <w:r>
        <w:rPr>
          <w:rFonts w:hint="eastAsia" w:ascii="仿宋_GB2312" w:hAnsi="仿宋_GB2312" w:eastAsia="仿宋_GB2312" w:cs="仿宋_GB2312"/>
          <w:bCs/>
          <w:color w:val="000000"/>
          <w:sz w:val="32"/>
          <w:szCs w:val="32"/>
        </w:rPr>
        <w:t>大赛等</w:t>
      </w:r>
      <w:r>
        <w:rPr>
          <w:rFonts w:hint="eastAsia" w:ascii="仿宋_GB2312" w:hAnsi="仿宋_GB2312" w:eastAsia="仿宋_GB2312" w:cs="仿宋_GB2312"/>
          <w:kern w:val="0"/>
          <w:sz w:val="32"/>
          <w:szCs w:val="32"/>
          <w:shd w:val="clear" w:color="auto" w:fill="FFFFFF"/>
        </w:rPr>
        <w:t>支出项目。</w:t>
      </w:r>
      <w:r>
        <w:rPr>
          <w:rFonts w:hint="eastAsia" w:ascii="仿宋_GB2312" w:hAnsi="仿宋_GB2312" w:eastAsia="仿宋_GB2312" w:cs="仿宋_GB2312"/>
          <w:bCs/>
          <w:color w:val="000000"/>
          <w:sz w:val="32"/>
          <w:szCs w:val="32"/>
        </w:rPr>
        <w:t>更好</w:t>
      </w:r>
      <w:r>
        <w:rPr>
          <w:rFonts w:hint="eastAsia" w:ascii="仿宋_GB2312" w:hAnsi="仿宋_GB2312" w:eastAsia="仿宋_GB2312" w:cs="仿宋_GB2312"/>
          <w:bCs/>
          <w:color w:val="000000"/>
          <w:sz w:val="32"/>
          <w:szCs w:val="32"/>
          <w:lang w:val="en-US" w:eastAsia="zh-CN"/>
        </w:rPr>
        <w:t>提升城乡劳动者的产业技能，提升就业创业意识，</w:t>
      </w:r>
      <w:r>
        <w:rPr>
          <w:rFonts w:hint="eastAsia" w:ascii="仿宋_GB2312" w:hAnsi="仿宋_GB2312" w:eastAsia="仿宋_GB2312" w:cs="仿宋_GB2312"/>
          <w:bCs/>
          <w:color w:val="000000"/>
          <w:sz w:val="32"/>
          <w:szCs w:val="32"/>
        </w:rPr>
        <w:t>有序引导和组织劳动力创业创新，持续推进劳务精准输出</w:t>
      </w:r>
      <w:r>
        <w:rPr>
          <w:rFonts w:hint="eastAsia" w:ascii="仿宋_GB2312" w:hAnsi="仿宋_GB2312" w:eastAsia="仿宋_GB2312" w:cs="仿宋_GB2312"/>
          <w:bCs/>
          <w:color w:val="000000"/>
          <w:sz w:val="32"/>
          <w:szCs w:val="32"/>
          <w:lang w:eastAsia="zh-CN"/>
        </w:rPr>
        <w:t>。</w:t>
      </w:r>
    </w:p>
    <w:p>
      <w:pPr>
        <w:widowControl/>
        <w:adjustRightInd w:val="0"/>
        <w:snapToGrid w:val="0"/>
        <w:spacing w:line="578" w:lineRule="exact"/>
        <w:ind w:firstLine="640" w:firstLineChars="200"/>
        <w:contextualSpacing/>
        <w:jc w:val="left"/>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sz w:val="32"/>
          <w:szCs w:val="32"/>
          <w:lang w:eastAsia="zh-CN"/>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年浙江省对口支援茂县创业能力提升培训项目</w:t>
      </w:r>
      <w:r>
        <w:rPr>
          <w:rFonts w:hint="eastAsia" w:ascii="仿宋_GB2312" w:hAnsi="仿宋_GB2312" w:eastAsia="仿宋_GB2312" w:cs="仿宋_GB2312"/>
          <w:kern w:val="0"/>
          <w:sz w:val="32"/>
          <w:szCs w:val="32"/>
          <w:shd w:val="clear" w:color="auto" w:fill="FFFFFF"/>
        </w:rPr>
        <w:t>资金，预算数</w:t>
      </w:r>
      <w:r>
        <w:rPr>
          <w:rFonts w:hint="eastAsia" w:ascii="仿宋_GB2312" w:hAnsi="仿宋_GB2312" w:eastAsia="仿宋_GB2312" w:cs="仿宋_GB2312"/>
          <w:kern w:val="0"/>
          <w:sz w:val="32"/>
          <w:szCs w:val="32"/>
          <w:shd w:val="clear" w:color="auto" w:fill="FFFFFF"/>
          <w:lang w:val="en-US" w:eastAsia="zh-CN"/>
        </w:rPr>
        <w:t>220.00</w:t>
      </w:r>
      <w:r>
        <w:rPr>
          <w:rFonts w:hint="eastAsia" w:ascii="仿宋_GB2312" w:hAnsi="仿宋_GB2312" w:eastAsia="仿宋_GB2312" w:cs="仿宋_GB2312"/>
          <w:kern w:val="0"/>
          <w:sz w:val="32"/>
          <w:szCs w:val="32"/>
          <w:shd w:val="clear" w:color="auto" w:fill="FFFFFF"/>
        </w:rPr>
        <w:t>万元，预算执行数</w:t>
      </w:r>
      <w:r>
        <w:rPr>
          <w:rFonts w:hint="eastAsia" w:ascii="仿宋_GB2312" w:hAnsi="仿宋_GB2312" w:eastAsia="仿宋_GB2312" w:cs="仿宋_GB2312"/>
          <w:kern w:val="0"/>
          <w:sz w:val="32"/>
          <w:szCs w:val="32"/>
          <w:shd w:val="clear" w:color="auto" w:fill="FFFFFF"/>
          <w:lang w:val="en-US" w:eastAsia="zh-CN"/>
        </w:rPr>
        <w:t>200.00</w:t>
      </w:r>
      <w:r>
        <w:rPr>
          <w:rFonts w:hint="eastAsia" w:ascii="仿宋_GB2312" w:hAnsi="仿宋_GB2312" w:eastAsia="仿宋_GB2312" w:cs="仿宋_GB2312"/>
          <w:kern w:val="0"/>
          <w:sz w:val="32"/>
          <w:szCs w:val="32"/>
          <w:shd w:val="clear" w:color="auto" w:fill="FFFFFF"/>
        </w:rPr>
        <w:t>万元，预算执行率100%。</w:t>
      </w:r>
    </w:p>
    <w:p>
      <w:pPr>
        <w:widowControl/>
        <w:adjustRightInd w:val="0"/>
        <w:snapToGrid w:val="0"/>
        <w:spacing w:line="578" w:lineRule="exact"/>
        <w:ind w:firstLine="640" w:firstLineChars="200"/>
        <w:contextualSpacing/>
        <w:jc w:val="left"/>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sz w:val="32"/>
          <w:szCs w:val="32"/>
          <w:lang w:eastAsia="zh-CN"/>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年浙江省对口支援茂县创业能力提升培训项目</w:t>
      </w:r>
      <w:r>
        <w:rPr>
          <w:rFonts w:hint="eastAsia" w:ascii="仿宋_GB2312" w:hAnsi="仿宋_GB2312" w:eastAsia="仿宋_GB2312" w:cs="仿宋_GB2312"/>
          <w:kern w:val="0"/>
          <w:sz w:val="32"/>
          <w:szCs w:val="32"/>
          <w:shd w:val="clear" w:color="auto" w:fill="FFFFFF"/>
        </w:rPr>
        <w:t>资金主要遵循原则：</w:t>
      </w:r>
    </w:p>
    <w:p>
      <w:pPr>
        <w:widowControl/>
        <w:adjustRightInd w:val="0"/>
        <w:snapToGrid w:val="0"/>
        <w:spacing w:line="578" w:lineRule="exact"/>
        <w:ind w:firstLine="640" w:firstLineChars="200"/>
        <w:contextualSpacing/>
        <w:jc w:val="left"/>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（1）注重普惠、重点倾斜。落实各项就业创业政策，重点支持就业困难人员、建档立卡贫困劳动力、大学生、退役军人、农民工等群体就业创业，同时兼顾其他各类群体，促进城乡劳动者平等就业。</w:t>
      </w:r>
    </w:p>
    <w:p>
      <w:pPr>
        <w:widowControl/>
        <w:adjustRightInd w:val="0"/>
        <w:snapToGrid w:val="0"/>
        <w:spacing w:line="578" w:lineRule="exact"/>
        <w:ind w:firstLine="640" w:firstLineChars="200"/>
        <w:contextualSpacing/>
        <w:jc w:val="left"/>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lang w:eastAsia="zh-CN"/>
        </w:rPr>
        <w:t>（</w:t>
      </w:r>
      <w:r>
        <w:rPr>
          <w:rFonts w:hint="eastAsia" w:ascii="仿宋_GB2312" w:hAnsi="仿宋_GB2312" w:eastAsia="仿宋_GB2312" w:cs="仿宋_GB2312"/>
          <w:kern w:val="0"/>
          <w:sz w:val="32"/>
          <w:szCs w:val="32"/>
          <w:shd w:val="clear" w:color="auto" w:fill="FFFFFF"/>
          <w:lang w:val="en-US" w:eastAsia="zh-CN"/>
        </w:rPr>
        <w:t>2</w:t>
      </w:r>
      <w:r>
        <w:rPr>
          <w:rFonts w:hint="eastAsia" w:ascii="仿宋_GB2312" w:hAnsi="仿宋_GB2312" w:eastAsia="仿宋_GB2312" w:cs="仿宋_GB2312"/>
          <w:kern w:val="0"/>
          <w:sz w:val="32"/>
          <w:szCs w:val="32"/>
          <w:shd w:val="clear" w:color="auto" w:fill="FFFFFF"/>
          <w:lang w:eastAsia="zh-CN"/>
        </w:rPr>
        <w:t>）</w:t>
      </w:r>
      <w:r>
        <w:rPr>
          <w:rFonts w:hint="eastAsia" w:ascii="仿宋_GB2312" w:hAnsi="仿宋_GB2312" w:eastAsia="仿宋_GB2312" w:cs="仿宋_GB2312"/>
          <w:kern w:val="0"/>
          <w:sz w:val="32"/>
          <w:szCs w:val="32"/>
          <w:shd w:val="clear" w:color="auto" w:fill="FFFFFF"/>
        </w:rPr>
        <w:t>健全机制、激励约束。优化制度设计，奖补结合，强化激励与约束并重的机制效应，发挥政策执行部门、用人单位促进就业、稳定就业的主动性，调动城乡劳动者提升能力、主动就业、积极创业的积极性。</w:t>
      </w:r>
    </w:p>
    <w:p>
      <w:pPr>
        <w:widowControl/>
        <w:adjustRightInd w:val="0"/>
        <w:snapToGrid w:val="0"/>
        <w:spacing w:line="578" w:lineRule="exact"/>
        <w:ind w:firstLine="640" w:firstLineChars="200"/>
        <w:contextualSpacing/>
        <w:jc w:val="left"/>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lang w:eastAsia="zh-CN"/>
        </w:rPr>
        <w:t>（</w:t>
      </w:r>
      <w:r>
        <w:rPr>
          <w:rFonts w:hint="eastAsia" w:ascii="仿宋_GB2312" w:hAnsi="仿宋_GB2312" w:eastAsia="仿宋_GB2312" w:cs="仿宋_GB2312"/>
          <w:kern w:val="0"/>
          <w:sz w:val="32"/>
          <w:szCs w:val="32"/>
          <w:shd w:val="clear" w:color="auto" w:fill="FFFFFF"/>
          <w:lang w:val="en-US" w:eastAsia="zh-CN"/>
        </w:rPr>
        <w:t>3</w:t>
      </w:r>
      <w:r>
        <w:rPr>
          <w:rFonts w:hint="eastAsia" w:ascii="仿宋_GB2312" w:hAnsi="仿宋_GB2312" w:eastAsia="仿宋_GB2312" w:cs="仿宋_GB2312"/>
          <w:kern w:val="0"/>
          <w:sz w:val="32"/>
          <w:szCs w:val="32"/>
          <w:shd w:val="clear" w:color="auto" w:fill="FFFFFF"/>
          <w:lang w:eastAsia="zh-CN"/>
        </w:rPr>
        <w:t>）</w:t>
      </w:r>
      <w:r>
        <w:rPr>
          <w:rFonts w:hint="eastAsia" w:ascii="仿宋_GB2312" w:hAnsi="仿宋_GB2312" w:eastAsia="仿宋_GB2312" w:cs="仿宋_GB2312"/>
          <w:kern w:val="0"/>
          <w:sz w:val="32"/>
          <w:szCs w:val="32"/>
          <w:shd w:val="clear" w:color="auto" w:fill="FFFFFF"/>
        </w:rPr>
        <w:t>严格管理、强化绩效。健全管理制度，规范管理监督</w:t>
      </w:r>
      <w:r>
        <w:rPr>
          <w:rFonts w:hint="eastAsia" w:ascii="仿宋_GB2312" w:hAnsi="仿宋_GB2312" w:eastAsia="仿宋_GB2312" w:cs="仿宋_GB2312"/>
          <w:kern w:val="0"/>
          <w:sz w:val="32"/>
          <w:szCs w:val="32"/>
          <w:shd w:val="clear" w:color="auto" w:fill="FFFFFF"/>
          <w:lang w:eastAsia="zh-CN"/>
        </w:rPr>
        <w:t>，</w:t>
      </w:r>
      <w:r>
        <w:rPr>
          <w:rFonts w:hint="eastAsia" w:ascii="仿宋_GB2312" w:hAnsi="仿宋_GB2312" w:eastAsia="仿宋_GB2312" w:cs="仿宋_GB2312"/>
          <w:kern w:val="0"/>
          <w:sz w:val="32"/>
          <w:szCs w:val="32"/>
          <w:shd w:val="clear" w:color="auto" w:fill="FFFFFF"/>
        </w:rPr>
        <w:t>强化跟踪问效。对该补助资金使用情况实行绩效管理。</w:t>
      </w:r>
    </w:p>
    <w:p>
      <w:pPr>
        <w:adjustRightInd w:val="0"/>
        <w:snapToGrid w:val="0"/>
        <w:spacing w:line="578" w:lineRule="exact"/>
        <w:ind w:firstLine="642" w:firstLine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lang w:val="zh-CN"/>
        </w:rPr>
        <w:t>（二）</w:t>
      </w:r>
      <w:r>
        <w:rPr>
          <w:rFonts w:hint="eastAsia" w:ascii="仿宋_GB2312" w:hAnsi="仿宋_GB2312" w:eastAsia="仿宋_GB2312" w:cs="仿宋_GB2312"/>
          <w:b/>
          <w:sz w:val="32"/>
          <w:szCs w:val="32"/>
        </w:rPr>
        <w:t>实施目的及支持方向</w:t>
      </w:r>
    </w:p>
    <w:p>
      <w:pPr>
        <w:adjustRightInd w:val="0"/>
        <w:snapToGrid w:val="0"/>
        <w:spacing w:line="578" w:lineRule="exact"/>
        <w:ind w:firstLine="640" w:firstLineChars="200"/>
        <w:rPr>
          <w:rFonts w:hint="eastAsia"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sz w:val="32"/>
          <w:szCs w:val="32"/>
        </w:rPr>
        <w:t>按照浙江对口支援工作计划，为进一步深化对口支援工作，</w:t>
      </w:r>
      <w:r>
        <w:rPr>
          <w:rFonts w:hint="eastAsia" w:ascii="仿宋_GB2312" w:hAnsi="仿宋_GB2312" w:eastAsia="仿宋_GB2312" w:cs="仿宋_GB2312"/>
          <w:sz w:val="32"/>
          <w:szCs w:val="32"/>
          <w:lang w:val="en-US" w:eastAsia="zh-CN"/>
        </w:rPr>
        <w:t>巩固扩大城乡劳动力转移就业，促进更多城乡劳动力外出就业，提高就业收入，持续</w:t>
      </w:r>
      <w:r>
        <w:rPr>
          <w:rFonts w:hint="eastAsia" w:ascii="仿宋_GB2312" w:hAnsi="仿宋_GB2312" w:eastAsia="仿宋_GB2312" w:cs="仿宋_GB2312"/>
          <w:sz w:val="32"/>
          <w:szCs w:val="32"/>
          <w:lang w:eastAsia="zh-CN"/>
        </w:rPr>
        <w:t>深化</w:t>
      </w:r>
      <w:r>
        <w:rPr>
          <w:rFonts w:hint="eastAsia" w:ascii="仿宋_GB2312" w:hAnsi="仿宋_GB2312" w:eastAsia="仿宋_GB2312" w:cs="仿宋_GB2312"/>
          <w:sz w:val="32"/>
          <w:szCs w:val="32"/>
          <w:lang w:val="en-US" w:eastAsia="zh-CN"/>
        </w:rPr>
        <w:t>对口支援促进就业增收工作要求</w:t>
      </w:r>
      <w:r>
        <w:rPr>
          <w:rFonts w:hint="eastAsia" w:ascii="仿宋_GB2312" w:hAnsi="仿宋_GB2312" w:eastAsia="仿宋_GB2312" w:cs="仿宋_GB2312"/>
          <w:kern w:val="0"/>
          <w:sz w:val="32"/>
          <w:szCs w:val="32"/>
          <w:shd w:val="clear" w:color="auto" w:fill="FFFFFF"/>
          <w:lang w:val="zh-CN"/>
        </w:rPr>
        <w:t>，</w:t>
      </w:r>
      <w:r>
        <w:rPr>
          <w:rFonts w:hint="eastAsia" w:ascii="仿宋_GB2312" w:hAnsi="仿宋_GB2312" w:eastAsia="仿宋_GB2312" w:cs="仿宋_GB2312"/>
          <w:kern w:val="0"/>
          <w:sz w:val="32"/>
          <w:szCs w:val="32"/>
          <w:shd w:val="clear" w:color="auto" w:fill="FFFFFF"/>
          <w:lang w:val="en-US" w:eastAsia="zh-CN"/>
        </w:rPr>
        <w:t>拟</w:t>
      </w:r>
      <w:r>
        <w:rPr>
          <w:rFonts w:hint="eastAsia" w:ascii="仿宋_GB2312" w:hAnsi="仿宋_GB2312" w:eastAsia="仿宋_GB2312" w:cs="仿宋_GB2312"/>
          <w:kern w:val="0"/>
          <w:sz w:val="32"/>
          <w:szCs w:val="32"/>
          <w:shd w:val="clear" w:color="auto" w:fill="FFFFFF"/>
          <w:lang w:val="zh-CN"/>
        </w:rPr>
        <w:t>定了《</w:t>
      </w:r>
      <w:r>
        <w:rPr>
          <w:rFonts w:hint="eastAsia" w:ascii="仿宋_GB2312" w:hAnsi="仿宋_GB2312" w:eastAsia="仿宋_GB2312" w:cs="仿宋_GB2312"/>
          <w:sz w:val="32"/>
          <w:szCs w:val="32"/>
          <w:lang w:eastAsia="zh-CN"/>
        </w:rPr>
        <w:t>茂县人力资源和社会保障</w:t>
      </w:r>
      <w:r>
        <w:rPr>
          <w:rFonts w:hint="eastAsia" w:ascii="仿宋_GB2312" w:hAnsi="仿宋_GB2312" w:eastAsia="仿宋_GB2312" w:cs="仿宋_GB2312"/>
          <w:sz w:val="32"/>
          <w:szCs w:val="32"/>
          <w:lang w:val="en-US" w:eastAsia="zh-CN"/>
        </w:rPr>
        <w:t>局</w:t>
      </w:r>
      <w:r>
        <w:rPr>
          <w:rFonts w:hint="eastAsia" w:ascii="仿宋_GB2312" w:hAnsi="仿宋_GB2312" w:eastAsia="仿宋_GB2312" w:cs="仿宋_GB2312"/>
          <w:bCs/>
          <w:color w:val="000000"/>
          <w:sz w:val="32"/>
          <w:szCs w:val="32"/>
        </w:rPr>
        <w:t>2024年浙江省对口支援茂县创业能力提升培训项目</w:t>
      </w:r>
      <w:r>
        <w:rPr>
          <w:rFonts w:hint="eastAsia" w:ascii="仿宋_GB2312" w:hAnsi="仿宋_GB2312" w:eastAsia="仿宋_GB2312" w:cs="仿宋_GB2312"/>
          <w:sz w:val="32"/>
          <w:szCs w:val="32"/>
          <w:lang w:eastAsia="zh-CN"/>
        </w:rPr>
        <w:t>实施方案</w:t>
      </w:r>
      <w:r>
        <w:rPr>
          <w:rFonts w:hint="eastAsia" w:ascii="仿宋_GB2312" w:hAnsi="仿宋_GB2312" w:eastAsia="仿宋_GB2312" w:cs="仿宋_GB2312"/>
          <w:kern w:val="0"/>
          <w:sz w:val="32"/>
          <w:szCs w:val="32"/>
          <w:shd w:val="clear" w:color="auto" w:fill="FFFFFF"/>
          <w:lang w:val="zh-CN"/>
        </w:rPr>
        <w:t>》，对</w:t>
      </w:r>
      <w:r>
        <w:rPr>
          <w:rFonts w:hint="eastAsia" w:ascii="仿宋_GB2312" w:hAnsi="仿宋_GB2312" w:eastAsia="仿宋_GB2312" w:cs="仿宋_GB2312"/>
          <w:kern w:val="0"/>
          <w:sz w:val="32"/>
          <w:szCs w:val="32"/>
          <w:shd w:val="clear" w:color="auto" w:fill="FFFFFF"/>
          <w:lang w:val="en-US" w:eastAsia="zh-CN"/>
        </w:rPr>
        <w:t>项目</w:t>
      </w:r>
      <w:r>
        <w:rPr>
          <w:rFonts w:hint="eastAsia" w:ascii="仿宋_GB2312" w:hAnsi="仿宋_GB2312" w:eastAsia="仿宋_GB2312" w:cs="仿宋_GB2312"/>
          <w:kern w:val="0"/>
          <w:sz w:val="32"/>
          <w:szCs w:val="32"/>
          <w:shd w:val="clear" w:color="auto" w:fill="FFFFFF"/>
          <w:lang w:val="zh-CN"/>
        </w:rPr>
        <w:t>资金实行专项管理，专款专用。</w:t>
      </w:r>
    </w:p>
    <w:p>
      <w:pPr>
        <w:widowControl/>
        <w:adjustRightInd w:val="0"/>
        <w:snapToGrid w:val="0"/>
        <w:spacing w:line="578" w:lineRule="exact"/>
        <w:ind w:firstLine="640" w:firstLineChars="200"/>
        <w:contextualSpacing/>
        <w:jc w:val="left"/>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bCs/>
          <w:color w:val="000000"/>
          <w:sz w:val="32"/>
          <w:szCs w:val="32"/>
        </w:rPr>
        <w:t>2024年浙江省对口支援茂县创业能力提升培训项目</w:t>
      </w:r>
      <w:r>
        <w:rPr>
          <w:rFonts w:hint="eastAsia" w:ascii="仿宋_GB2312" w:hAnsi="仿宋_GB2312" w:eastAsia="仿宋_GB2312" w:cs="仿宋_GB2312"/>
          <w:kern w:val="0"/>
          <w:sz w:val="32"/>
          <w:szCs w:val="32"/>
          <w:shd w:val="clear" w:color="auto" w:fill="FFFFFF"/>
        </w:rPr>
        <w:t>资金主要用于</w:t>
      </w:r>
      <w:r>
        <w:rPr>
          <w:rFonts w:hint="eastAsia" w:ascii="仿宋_GB2312" w:hAnsi="仿宋_GB2312" w:eastAsia="仿宋_GB2312" w:cs="仿宋_GB2312"/>
          <w:sz w:val="32"/>
          <w:szCs w:val="32"/>
        </w:rPr>
        <w:t>就业创业政策宣传、实用技术培训、招聘活动、劳务输出、稳定就业补助、创业大赛等支出项目。更好</w:t>
      </w:r>
      <w:r>
        <w:rPr>
          <w:rFonts w:hint="eastAsia" w:ascii="仿宋_GB2312" w:hAnsi="仿宋_GB2312" w:eastAsia="仿宋_GB2312" w:cs="仿宋_GB2312"/>
          <w:sz w:val="32"/>
          <w:szCs w:val="32"/>
          <w:lang w:val="en-US" w:eastAsia="zh-CN"/>
        </w:rPr>
        <w:t>提升城乡劳动者的产业技能，提升就业创业意识，</w:t>
      </w:r>
      <w:r>
        <w:rPr>
          <w:rFonts w:hint="eastAsia" w:ascii="仿宋_GB2312" w:hAnsi="仿宋_GB2312" w:eastAsia="仿宋_GB2312" w:cs="仿宋_GB2312"/>
          <w:sz w:val="32"/>
          <w:szCs w:val="32"/>
        </w:rPr>
        <w:t>有序引导和组织劳动力创业创新，持续推进劳务精准输出</w:t>
      </w:r>
      <w:r>
        <w:rPr>
          <w:rFonts w:hint="eastAsia" w:ascii="仿宋_GB2312" w:hAnsi="仿宋_GB2312" w:eastAsia="仿宋_GB2312" w:cs="仿宋_GB2312"/>
          <w:sz w:val="32"/>
          <w:szCs w:val="32"/>
          <w:lang w:eastAsia="zh-CN"/>
        </w:rPr>
        <w:t>。</w:t>
      </w:r>
    </w:p>
    <w:p>
      <w:pPr>
        <w:widowControl/>
        <w:adjustRightInd w:val="0"/>
        <w:snapToGrid w:val="0"/>
        <w:spacing w:line="578" w:lineRule="exact"/>
        <w:ind w:firstLine="642" w:firstLineChars="200"/>
        <w:contextualSpacing/>
        <w:jc w:val="left"/>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（三）</w:t>
      </w:r>
      <w:r>
        <w:rPr>
          <w:rFonts w:hint="eastAsia" w:ascii="仿宋_GB2312" w:hAnsi="仿宋_GB2312" w:eastAsia="仿宋_GB2312" w:cs="仿宋_GB2312"/>
          <w:b/>
          <w:sz w:val="32"/>
          <w:szCs w:val="32"/>
        </w:rPr>
        <w:t>预算安排及分配管理</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年浙江省对口支援茂县创业能力提升培训</w:t>
      </w:r>
      <w:r>
        <w:rPr>
          <w:rFonts w:hint="eastAsia" w:ascii="仿宋_GB2312" w:hAnsi="仿宋_GB2312" w:eastAsia="仿宋_GB2312" w:cs="仿宋_GB2312"/>
          <w:kern w:val="0"/>
          <w:sz w:val="32"/>
          <w:szCs w:val="32"/>
          <w:shd w:val="clear" w:color="auto" w:fill="FFFFFF"/>
          <w:lang w:val="zh-CN"/>
        </w:rPr>
        <w:t>项目</w:t>
      </w:r>
      <w:r>
        <w:rPr>
          <w:rFonts w:hint="eastAsia" w:ascii="仿宋_GB2312" w:hAnsi="仿宋_GB2312" w:eastAsia="仿宋_GB2312" w:cs="仿宋_GB2312"/>
          <w:kern w:val="0"/>
          <w:sz w:val="32"/>
          <w:szCs w:val="32"/>
          <w:shd w:val="clear" w:color="auto" w:fill="FFFFFF"/>
        </w:rPr>
        <w:t>资金，</w:t>
      </w:r>
      <w:r>
        <w:rPr>
          <w:rFonts w:hint="eastAsia" w:ascii="仿宋_GB2312" w:hAnsi="仿宋_GB2312" w:eastAsia="仿宋_GB2312" w:cs="仿宋_GB2312"/>
          <w:sz w:val="32"/>
          <w:szCs w:val="32"/>
        </w:rPr>
        <w:t>本项目年初下达资金</w:t>
      </w:r>
      <w:r>
        <w:rPr>
          <w:rFonts w:hint="eastAsia" w:ascii="仿宋_GB2312" w:hAnsi="仿宋_GB2312" w:eastAsia="仿宋_GB2312" w:cs="仿宋_GB2312"/>
          <w:sz w:val="32"/>
          <w:szCs w:val="32"/>
          <w:lang w:val="en-US" w:eastAsia="zh-CN"/>
        </w:rPr>
        <w:t>220.00</w:t>
      </w:r>
      <w:r>
        <w:rPr>
          <w:rFonts w:hint="eastAsia" w:ascii="仿宋_GB2312" w:hAnsi="仿宋_GB2312" w:eastAsia="仿宋_GB2312" w:cs="仿宋_GB2312"/>
          <w:sz w:val="32"/>
          <w:szCs w:val="32"/>
        </w:rPr>
        <w:t>万元，全年支付</w:t>
      </w:r>
      <w:r>
        <w:rPr>
          <w:rFonts w:hint="eastAsia" w:ascii="仿宋_GB2312" w:hAnsi="仿宋_GB2312" w:eastAsia="仿宋_GB2312" w:cs="仿宋_GB2312"/>
          <w:kern w:val="0"/>
          <w:sz w:val="32"/>
          <w:szCs w:val="32"/>
          <w:shd w:val="clear" w:color="auto" w:fill="FFFFFF"/>
          <w:lang w:val="en-US" w:eastAsia="zh-CN"/>
        </w:rPr>
        <w:t>220.00</w:t>
      </w:r>
      <w:r>
        <w:rPr>
          <w:rFonts w:hint="eastAsia" w:ascii="仿宋_GB2312" w:hAnsi="仿宋_GB2312" w:eastAsia="仿宋_GB2312" w:cs="仿宋_GB2312"/>
          <w:sz w:val="32"/>
          <w:szCs w:val="32"/>
        </w:rPr>
        <w:t>万元，</w:t>
      </w:r>
      <w:r>
        <w:rPr>
          <w:rFonts w:hint="eastAsia" w:ascii="仿宋_GB2312" w:hAnsi="仿宋_GB2312" w:eastAsia="仿宋_GB2312" w:cs="仿宋_GB2312"/>
          <w:kern w:val="0"/>
          <w:sz w:val="32"/>
          <w:szCs w:val="32"/>
          <w:shd w:val="clear" w:color="auto" w:fill="FFFFFF"/>
        </w:rPr>
        <w:t>预算执行率100%，</w:t>
      </w:r>
      <w:r>
        <w:rPr>
          <w:rFonts w:hint="eastAsia" w:ascii="仿宋_GB2312" w:hAnsi="仿宋_GB2312" w:eastAsia="仿宋_GB2312" w:cs="仿宋_GB2312"/>
          <w:sz w:val="32"/>
          <w:szCs w:val="32"/>
        </w:rPr>
        <w:t>预算及使用过程符合资金管理办法等相关规定。</w:t>
      </w:r>
    </w:p>
    <w:p>
      <w:pPr>
        <w:adjustRightInd w:val="0"/>
        <w:snapToGrid w:val="0"/>
        <w:spacing w:line="578" w:lineRule="exact"/>
        <w:ind w:firstLine="640" w:firstLineChars="200"/>
        <w:contextualSpacing/>
        <w:jc w:val="left"/>
        <w:rPr>
          <w:rFonts w:hint="eastAsia"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为加强</w:t>
      </w:r>
      <w:r>
        <w:rPr>
          <w:rFonts w:hint="eastAsia" w:ascii="仿宋_GB2312" w:hAnsi="仿宋_GB2312" w:eastAsia="仿宋_GB2312" w:cs="仿宋_GB2312"/>
          <w:sz w:val="32"/>
          <w:szCs w:val="32"/>
          <w:lang w:eastAsia="zh-CN"/>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年浙江省对口支援茂县创业能力提升培训项目</w:t>
      </w:r>
      <w:r>
        <w:rPr>
          <w:rFonts w:hint="eastAsia" w:ascii="仿宋_GB2312" w:hAnsi="仿宋_GB2312" w:eastAsia="仿宋_GB2312" w:cs="仿宋_GB2312"/>
          <w:kern w:val="0"/>
          <w:sz w:val="32"/>
          <w:szCs w:val="32"/>
          <w:shd w:val="clear" w:color="auto" w:fill="FFFFFF"/>
        </w:rPr>
        <w:t>资金</w:t>
      </w:r>
      <w:r>
        <w:rPr>
          <w:rFonts w:hint="eastAsia" w:ascii="仿宋_GB2312" w:hAnsi="仿宋_GB2312" w:eastAsia="仿宋_GB2312" w:cs="仿宋_GB2312"/>
          <w:color w:val="000000"/>
          <w:kern w:val="0"/>
          <w:sz w:val="32"/>
          <w:szCs w:val="32"/>
          <w:shd w:val="clear" w:color="auto" w:fill="FFFFFF"/>
        </w:rPr>
        <w:t>预算管理，推进厉行节约、规范财务行为，</w:t>
      </w:r>
      <w:r>
        <w:rPr>
          <w:rFonts w:hint="eastAsia" w:ascii="仿宋_GB2312" w:hAnsi="仿宋_GB2312" w:eastAsia="仿宋_GB2312" w:cs="仿宋_GB2312"/>
          <w:color w:val="000000"/>
          <w:kern w:val="0"/>
          <w:sz w:val="32"/>
          <w:szCs w:val="32"/>
          <w:shd w:val="clear" w:color="auto" w:fill="FFFFFF"/>
          <w:lang w:val="en-US" w:eastAsia="zh-CN"/>
        </w:rPr>
        <w:t>拟定了实施方案</w:t>
      </w:r>
      <w:r>
        <w:rPr>
          <w:rFonts w:hint="eastAsia" w:ascii="仿宋_GB2312" w:hAnsi="仿宋_GB2312" w:eastAsia="仿宋_GB2312" w:cs="仿宋_GB2312"/>
          <w:color w:val="000000"/>
          <w:kern w:val="0"/>
          <w:sz w:val="32"/>
          <w:szCs w:val="32"/>
          <w:shd w:val="clear" w:color="auto" w:fill="FFFFFF"/>
        </w:rPr>
        <w:t>，对</w:t>
      </w:r>
      <w:r>
        <w:rPr>
          <w:rFonts w:hint="eastAsia" w:ascii="仿宋_GB2312" w:hAnsi="仿宋_GB2312" w:eastAsia="仿宋_GB2312" w:cs="仿宋_GB2312"/>
          <w:color w:val="000000"/>
          <w:kern w:val="0"/>
          <w:sz w:val="32"/>
          <w:szCs w:val="32"/>
          <w:shd w:val="clear" w:color="auto" w:fill="FFFFFF"/>
          <w:lang w:val="en-US" w:eastAsia="zh-CN"/>
        </w:rPr>
        <w:t>项目资金的安排及分配</w:t>
      </w:r>
      <w:r>
        <w:rPr>
          <w:rFonts w:hint="eastAsia" w:ascii="仿宋_GB2312" w:hAnsi="仿宋_GB2312" w:eastAsia="仿宋_GB2312" w:cs="仿宋_GB2312"/>
          <w:color w:val="000000"/>
          <w:kern w:val="0"/>
          <w:sz w:val="32"/>
          <w:szCs w:val="32"/>
          <w:shd w:val="clear" w:color="auto" w:fill="FFFFFF"/>
        </w:rPr>
        <w:t>等内容作出了明确规定</w:t>
      </w:r>
      <w:r>
        <w:rPr>
          <w:rFonts w:hint="eastAsia" w:ascii="仿宋_GB2312" w:hAnsi="仿宋_GB2312" w:eastAsia="仿宋_GB2312" w:cs="仿宋_GB2312"/>
          <w:color w:val="000000"/>
          <w:kern w:val="0"/>
          <w:sz w:val="32"/>
          <w:szCs w:val="32"/>
          <w:shd w:val="clear" w:color="auto" w:fill="FFFFFF"/>
          <w:lang w:eastAsia="zh-CN"/>
        </w:rPr>
        <w:t>，</w:t>
      </w:r>
      <w:r>
        <w:rPr>
          <w:rFonts w:hint="eastAsia" w:ascii="仿宋_GB2312" w:hAnsi="仿宋_GB2312" w:eastAsia="仿宋_GB2312" w:cs="仿宋_GB2312"/>
          <w:color w:val="000000"/>
          <w:kern w:val="0"/>
          <w:sz w:val="32"/>
          <w:szCs w:val="32"/>
          <w:shd w:val="clear" w:color="auto" w:fill="FFFFFF"/>
          <w:lang w:val="en-US" w:eastAsia="zh-CN"/>
        </w:rPr>
        <w:t>严格财务资金管理规范开展工作</w:t>
      </w:r>
      <w:r>
        <w:rPr>
          <w:rFonts w:hint="eastAsia" w:ascii="仿宋_GB2312" w:hAnsi="仿宋_GB2312" w:eastAsia="仿宋_GB2312" w:cs="仿宋_GB2312"/>
          <w:color w:val="000000"/>
          <w:kern w:val="0"/>
          <w:sz w:val="32"/>
          <w:szCs w:val="32"/>
          <w:shd w:val="clear" w:color="auto" w:fill="FFFFFF"/>
        </w:rPr>
        <w:t>。</w:t>
      </w:r>
    </w:p>
    <w:p>
      <w:pPr>
        <w:adjustRightInd w:val="0"/>
        <w:snapToGrid w:val="0"/>
        <w:spacing w:line="578" w:lineRule="exact"/>
        <w:ind w:firstLine="642" w:firstLineChars="200"/>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（四）项目绩效目标设置</w:t>
      </w:r>
    </w:p>
    <w:p>
      <w:pPr>
        <w:adjustRightInd w:val="0"/>
        <w:snapToGrid w:val="0"/>
        <w:spacing w:line="578" w:lineRule="exact"/>
        <w:ind w:firstLine="640" w:firstLineChars="200"/>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sz w:val="32"/>
          <w:szCs w:val="32"/>
          <w:lang w:eastAsia="zh-CN"/>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年浙江省对口支援茂县创业能力提升培训项目</w:t>
      </w:r>
      <w:r>
        <w:rPr>
          <w:rFonts w:hint="eastAsia" w:ascii="仿宋_GB2312" w:hAnsi="仿宋_GB2312" w:eastAsia="仿宋_GB2312" w:cs="仿宋_GB2312"/>
          <w:kern w:val="0"/>
          <w:sz w:val="32"/>
          <w:szCs w:val="32"/>
          <w:shd w:val="clear" w:color="auto" w:fill="FFFFFF"/>
        </w:rPr>
        <w:t>年度总体目标是资金按规定用于</w:t>
      </w:r>
      <w:r>
        <w:rPr>
          <w:rFonts w:hint="eastAsia" w:ascii="仿宋_GB2312" w:hAnsi="仿宋_GB2312" w:eastAsia="仿宋_GB2312" w:cs="仿宋_GB2312"/>
          <w:sz w:val="32"/>
          <w:szCs w:val="32"/>
        </w:rPr>
        <w:t>就业创业政策宣传、实用技术培训、招聘活动、劳务输出、稳定就业补助、创业大赛</w:t>
      </w:r>
      <w:r>
        <w:rPr>
          <w:rFonts w:hint="eastAsia" w:ascii="仿宋_GB2312" w:hAnsi="仿宋_GB2312" w:eastAsia="仿宋_GB2312" w:cs="仿宋_GB2312"/>
          <w:sz w:val="32"/>
          <w:szCs w:val="32"/>
          <w:lang w:eastAsia="zh-CN"/>
        </w:rPr>
        <w:t>、美食大赛</w:t>
      </w:r>
      <w:r>
        <w:rPr>
          <w:rFonts w:hint="eastAsia" w:ascii="仿宋_GB2312" w:hAnsi="仿宋_GB2312" w:eastAsia="仿宋_GB2312" w:cs="仿宋_GB2312"/>
          <w:sz w:val="32"/>
          <w:szCs w:val="32"/>
        </w:rPr>
        <w:t>等支出项目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kern w:val="0"/>
          <w:sz w:val="32"/>
          <w:szCs w:val="32"/>
          <w:shd w:val="clear" w:color="auto" w:fill="FFFFFF"/>
        </w:rPr>
        <w:t>以及确保完成年度</w:t>
      </w:r>
      <w:r>
        <w:rPr>
          <w:rFonts w:hint="eastAsia" w:ascii="仿宋_GB2312" w:hAnsi="仿宋_GB2312" w:eastAsia="仿宋_GB2312" w:cs="仿宋_GB2312"/>
          <w:kern w:val="0"/>
          <w:sz w:val="32"/>
          <w:szCs w:val="32"/>
          <w:shd w:val="clear" w:color="auto" w:fill="FFFFFF"/>
          <w:lang w:val="en-US" w:eastAsia="zh-CN"/>
        </w:rPr>
        <w:t>劳务输出</w:t>
      </w:r>
      <w:r>
        <w:rPr>
          <w:rFonts w:hint="eastAsia" w:ascii="仿宋_GB2312" w:hAnsi="仿宋_GB2312" w:eastAsia="仿宋_GB2312" w:cs="仿宋_GB2312"/>
          <w:kern w:val="0"/>
          <w:sz w:val="32"/>
          <w:szCs w:val="32"/>
          <w:shd w:val="clear" w:color="auto" w:fill="FFFFFF"/>
        </w:rPr>
        <w:t>目标任务。</w:t>
      </w:r>
    </w:p>
    <w:p>
      <w:pPr>
        <w:adjustRightInd w:val="0"/>
        <w:snapToGrid w:val="0"/>
        <w:spacing w:line="578" w:lineRule="exact"/>
        <w:ind w:firstLine="640" w:firstLineChars="200"/>
        <w:rPr>
          <w:rFonts w:hint="eastAsia"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我</w:t>
      </w:r>
      <w:r>
        <w:rPr>
          <w:rFonts w:hint="eastAsia" w:ascii="仿宋_GB2312" w:hAnsi="仿宋_GB2312" w:eastAsia="仿宋_GB2312" w:cs="仿宋_GB2312"/>
          <w:kern w:val="0"/>
          <w:sz w:val="32"/>
          <w:szCs w:val="32"/>
          <w:shd w:val="clear" w:color="auto" w:fill="FFFFFF"/>
        </w:rPr>
        <w:t>单位</w:t>
      </w:r>
      <w:r>
        <w:rPr>
          <w:rFonts w:hint="eastAsia" w:ascii="仿宋_GB2312" w:hAnsi="仿宋_GB2312" w:eastAsia="仿宋_GB2312" w:cs="仿宋_GB2312"/>
          <w:kern w:val="0"/>
          <w:sz w:val="32"/>
          <w:szCs w:val="32"/>
          <w:shd w:val="clear" w:color="auto" w:fill="FFFFFF"/>
          <w:lang w:val="zh-CN"/>
        </w:rPr>
        <w:t>产出的数量、质量普遍超过了预期，完成情况均达到年初制定的绩效目标，</w:t>
      </w:r>
      <w:r>
        <w:rPr>
          <w:rFonts w:hint="eastAsia" w:ascii="仿宋_GB2312" w:hAnsi="仿宋_GB2312" w:eastAsia="仿宋_GB2312" w:cs="仿宋_GB2312"/>
          <w:kern w:val="0"/>
          <w:sz w:val="32"/>
          <w:szCs w:val="32"/>
          <w:shd w:val="clear" w:color="auto" w:fill="FFFFFF"/>
        </w:rPr>
        <w:t>本年度资金按规定用于</w:t>
      </w:r>
      <w:r>
        <w:rPr>
          <w:rFonts w:hint="eastAsia" w:ascii="仿宋_GB2312" w:hAnsi="仿宋_GB2312" w:eastAsia="仿宋_GB2312" w:cs="仿宋_GB2312"/>
          <w:sz w:val="32"/>
          <w:szCs w:val="32"/>
        </w:rPr>
        <w:t>就业创业政策宣传、实用技术培训、招聘活动、劳务输出、稳定就业补助、创业大赛</w:t>
      </w:r>
      <w:r>
        <w:rPr>
          <w:rFonts w:hint="eastAsia" w:ascii="仿宋_GB2312" w:hAnsi="仿宋_GB2312" w:eastAsia="仿宋_GB2312" w:cs="仿宋_GB2312"/>
          <w:sz w:val="32"/>
          <w:szCs w:val="32"/>
          <w:lang w:eastAsia="zh-CN"/>
        </w:rPr>
        <w:t>、美食大赛</w:t>
      </w:r>
      <w:r>
        <w:rPr>
          <w:rFonts w:hint="eastAsia" w:ascii="仿宋_GB2312" w:hAnsi="仿宋_GB2312" w:eastAsia="仿宋_GB2312" w:cs="仿宋_GB2312"/>
          <w:sz w:val="32"/>
          <w:szCs w:val="32"/>
        </w:rPr>
        <w:t>等支出项目</w:t>
      </w:r>
      <w:r>
        <w:rPr>
          <w:rFonts w:hint="eastAsia" w:ascii="仿宋_GB2312" w:hAnsi="仿宋_GB2312" w:eastAsia="仿宋_GB2312" w:cs="仿宋_GB2312"/>
          <w:kern w:val="0"/>
          <w:sz w:val="32"/>
          <w:szCs w:val="32"/>
          <w:shd w:val="clear" w:color="auto" w:fill="FFFFFF"/>
        </w:rPr>
        <w:t>。在预算执行年度内，无</w:t>
      </w:r>
      <w:r>
        <w:rPr>
          <w:rFonts w:hint="eastAsia" w:ascii="仿宋_GB2312" w:hAnsi="仿宋_GB2312" w:eastAsia="仿宋_GB2312" w:cs="仿宋_GB2312"/>
          <w:kern w:val="0"/>
          <w:sz w:val="32"/>
          <w:szCs w:val="32"/>
          <w:shd w:val="clear" w:color="auto" w:fill="FFFFFF"/>
          <w:lang w:val="en-US" w:eastAsia="zh-CN"/>
        </w:rPr>
        <w:t>违规</w:t>
      </w:r>
      <w:r>
        <w:rPr>
          <w:rFonts w:hint="eastAsia" w:ascii="仿宋_GB2312" w:hAnsi="仿宋_GB2312" w:eastAsia="仿宋_GB2312" w:cs="仿宋_GB2312"/>
          <w:kern w:val="0"/>
          <w:sz w:val="32"/>
          <w:szCs w:val="32"/>
          <w:shd w:val="clear" w:color="auto" w:fill="FFFFFF"/>
        </w:rPr>
        <w:t>使用</w:t>
      </w:r>
      <w:r>
        <w:rPr>
          <w:rFonts w:hint="eastAsia" w:ascii="仿宋_GB2312" w:hAnsi="仿宋_GB2312" w:eastAsia="仿宋_GB2312" w:cs="仿宋_GB2312"/>
          <w:kern w:val="0"/>
          <w:sz w:val="32"/>
          <w:szCs w:val="32"/>
          <w:shd w:val="clear" w:color="auto" w:fill="FFFFFF"/>
          <w:lang w:val="en-US" w:eastAsia="zh-CN"/>
        </w:rPr>
        <w:t>资金的</w:t>
      </w:r>
      <w:r>
        <w:rPr>
          <w:rFonts w:hint="eastAsia" w:ascii="仿宋_GB2312" w:hAnsi="仿宋_GB2312" w:eastAsia="仿宋_GB2312" w:cs="仿宋_GB2312"/>
          <w:kern w:val="0"/>
          <w:sz w:val="32"/>
          <w:szCs w:val="32"/>
          <w:shd w:val="clear" w:color="auto" w:fill="FFFFFF"/>
        </w:rPr>
        <w:t>情况发生。</w:t>
      </w:r>
    </w:p>
    <w:p>
      <w:pPr>
        <w:adjustRightInd w:val="0"/>
        <w:snapToGrid w:val="0"/>
        <w:spacing w:line="578"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二、评价实施</w:t>
      </w:r>
    </w:p>
    <w:p>
      <w:pPr>
        <w:spacing w:line="578" w:lineRule="exact"/>
        <w:ind w:firstLine="640"/>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（一）评价目的</w:t>
      </w:r>
    </w:p>
    <w:p>
      <w:pPr>
        <w:adjustRightInd w:val="0"/>
        <w:snapToGrid w:val="0"/>
        <w:spacing w:line="578" w:lineRule="exact"/>
        <w:ind w:firstLine="640" w:firstLineChars="200"/>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通过对</w:t>
      </w:r>
      <w:r>
        <w:rPr>
          <w:rFonts w:hint="eastAsia" w:ascii="仿宋_GB2312" w:hAnsi="仿宋_GB2312" w:eastAsia="仿宋_GB2312" w:cs="仿宋_GB2312"/>
          <w:sz w:val="32"/>
          <w:szCs w:val="32"/>
          <w:lang w:eastAsia="zh-CN"/>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年浙江省对口支援茂县创业能力提升培训项目</w:t>
      </w:r>
      <w:r>
        <w:rPr>
          <w:rFonts w:hint="eastAsia" w:ascii="仿宋_GB2312" w:hAnsi="仿宋_GB2312" w:eastAsia="仿宋_GB2312" w:cs="仿宋_GB2312"/>
          <w:kern w:val="0"/>
          <w:sz w:val="32"/>
          <w:szCs w:val="32"/>
          <w:shd w:val="clear" w:color="auto" w:fill="FFFFFF"/>
        </w:rPr>
        <w:t>绩效自评，对该项目的资金分配、资金使用、资金监督有明确的了解，规范</w:t>
      </w:r>
      <w:r>
        <w:rPr>
          <w:rFonts w:hint="eastAsia" w:ascii="仿宋_GB2312" w:hAnsi="仿宋_GB2312" w:eastAsia="仿宋_GB2312" w:cs="仿宋_GB2312"/>
          <w:kern w:val="0"/>
          <w:sz w:val="32"/>
          <w:szCs w:val="32"/>
          <w:shd w:val="clear" w:color="auto" w:fill="FFFFFF"/>
          <w:lang w:val="en-US" w:eastAsia="zh-CN"/>
        </w:rPr>
        <w:t>项目</w:t>
      </w:r>
      <w:r>
        <w:rPr>
          <w:rFonts w:hint="eastAsia" w:ascii="仿宋_GB2312" w:hAnsi="仿宋_GB2312" w:eastAsia="仿宋_GB2312" w:cs="仿宋_GB2312"/>
          <w:kern w:val="0"/>
          <w:sz w:val="32"/>
          <w:szCs w:val="32"/>
          <w:shd w:val="clear" w:color="auto" w:fill="FFFFFF"/>
        </w:rPr>
        <w:t>资金的申领、审核及拨付程序。</w:t>
      </w:r>
    </w:p>
    <w:p>
      <w:pPr>
        <w:adjustRightInd w:val="0"/>
        <w:snapToGrid w:val="0"/>
        <w:spacing w:line="578" w:lineRule="exact"/>
        <w:ind w:firstLine="642" w:firstLineChars="200"/>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（二）预设问题及评价重点</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年浙江省对口支援茂县创业能力提升培训项目</w:t>
      </w:r>
      <w:r>
        <w:rPr>
          <w:rFonts w:hint="eastAsia" w:ascii="仿宋_GB2312" w:hAnsi="仿宋_GB2312" w:eastAsia="仿宋_GB2312" w:cs="仿宋_GB2312"/>
          <w:kern w:val="0"/>
          <w:sz w:val="32"/>
          <w:szCs w:val="32"/>
          <w:shd w:val="clear" w:color="auto" w:fill="FFFFFF"/>
        </w:rPr>
        <w:t>资金自评的重点主要是全年资金使用情况是否符合《</w:t>
      </w:r>
      <w:r>
        <w:rPr>
          <w:rFonts w:hint="eastAsia" w:ascii="仿宋_GB2312" w:hAnsi="仿宋_GB2312" w:eastAsia="仿宋_GB2312" w:cs="仿宋_GB2312"/>
          <w:sz w:val="32"/>
          <w:szCs w:val="32"/>
          <w:lang w:eastAsia="zh-CN"/>
        </w:rPr>
        <w:t>茂县人力资源和社会保障</w:t>
      </w:r>
      <w:r>
        <w:rPr>
          <w:rFonts w:hint="eastAsia" w:ascii="仿宋_GB2312" w:hAnsi="仿宋_GB2312" w:eastAsia="仿宋_GB2312" w:cs="仿宋_GB2312"/>
          <w:sz w:val="32"/>
          <w:szCs w:val="32"/>
          <w:lang w:val="en-US" w:eastAsia="zh-CN"/>
        </w:rPr>
        <w:t>局</w:t>
      </w:r>
      <w:r>
        <w:rPr>
          <w:rFonts w:hint="eastAsia" w:ascii="仿宋_GB2312" w:hAnsi="仿宋_GB2312" w:eastAsia="仿宋_GB2312" w:cs="仿宋_GB2312"/>
          <w:sz w:val="32"/>
          <w:szCs w:val="32"/>
          <w:lang w:eastAsia="zh-CN"/>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年浙江省对口支援茂县创业能力提升培训项目实施方案</w:t>
      </w:r>
      <w:r>
        <w:rPr>
          <w:rFonts w:hint="eastAsia" w:ascii="仿宋_GB2312" w:hAnsi="仿宋_GB2312" w:eastAsia="仿宋_GB2312" w:cs="仿宋_GB2312"/>
          <w:kern w:val="0"/>
          <w:sz w:val="32"/>
          <w:szCs w:val="32"/>
          <w:shd w:val="clear" w:color="auto" w:fill="FFFFFF"/>
        </w:rPr>
        <w:t>》。</w:t>
      </w:r>
      <w:r>
        <w:rPr>
          <w:rFonts w:hint="eastAsia" w:ascii="仿宋_GB2312" w:hAnsi="仿宋_GB2312" w:eastAsia="仿宋_GB2312" w:cs="仿宋_GB2312"/>
          <w:sz w:val="32"/>
          <w:szCs w:val="32"/>
        </w:rPr>
        <w:t>本项目本年度年初下达资金</w:t>
      </w:r>
      <w:r>
        <w:rPr>
          <w:rFonts w:hint="eastAsia" w:ascii="仿宋_GB2312" w:hAnsi="仿宋_GB2312" w:eastAsia="仿宋_GB2312" w:cs="仿宋_GB2312"/>
          <w:sz w:val="32"/>
          <w:szCs w:val="32"/>
          <w:lang w:val="en-US" w:eastAsia="zh-CN"/>
        </w:rPr>
        <w:t>220.00</w:t>
      </w:r>
      <w:r>
        <w:rPr>
          <w:rFonts w:hint="eastAsia" w:ascii="仿宋_GB2312" w:hAnsi="仿宋_GB2312" w:eastAsia="仿宋_GB2312" w:cs="仿宋_GB2312"/>
          <w:sz w:val="32"/>
          <w:szCs w:val="32"/>
        </w:rPr>
        <w:t>万元，全年支付</w:t>
      </w:r>
      <w:r>
        <w:rPr>
          <w:rFonts w:hint="eastAsia" w:ascii="仿宋_GB2312" w:hAnsi="仿宋_GB2312" w:eastAsia="仿宋_GB2312" w:cs="仿宋_GB2312"/>
          <w:kern w:val="0"/>
          <w:sz w:val="32"/>
          <w:szCs w:val="32"/>
          <w:shd w:val="clear" w:color="auto" w:fill="FFFFFF"/>
          <w:lang w:val="en-US" w:eastAsia="zh-CN"/>
        </w:rPr>
        <w:t>220.00</w:t>
      </w:r>
      <w:r>
        <w:rPr>
          <w:rFonts w:hint="eastAsia" w:ascii="仿宋_GB2312" w:hAnsi="仿宋_GB2312" w:eastAsia="仿宋_GB2312" w:cs="仿宋_GB2312"/>
          <w:sz w:val="32"/>
          <w:szCs w:val="32"/>
        </w:rPr>
        <w:t>万元，</w:t>
      </w:r>
      <w:r>
        <w:rPr>
          <w:rFonts w:hint="eastAsia" w:ascii="仿宋_GB2312" w:hAnsi="仿宋_GB2312" w:eastAsia="仿宋_GB2312" w:cs="仿宋_GB2312"/>
          <w:kern w:val="0"/>
          <w:sz w:val="32"/>
          <w:szCs w:val="32"/>
          <w:shd w:val="clear" w:color="auto" w:fill="FFFFFF"/>
        </w:rPr>
        <w:t>预算执行率100%，</w:t>
      </w:r>
      <w:r>
        <w:rPr>
          <w:rFonts w:hint="eastAsia" w:ascii="仿宋_GB2312" w:hAnsi="仿宋_GB2312" w:eastAsia="仿宋_GB2312" w:cs="仿宋_GB2312"/>
          <w:sz w:val="32"/>
          <w:szCs w:val="32"/>
        </w:rPr>
        <w:t>预算及使用过程符合资金管理办法等相关规定。</w:t>
      </w:r>
    </w:p>
    <w:p>
      <w:pPr>
        <w:adjustRightInd w:val="0"/>
        <w:snapToGrid w:val="0"/>
        <w:spacing w:line="578" w:lineRule="exact"/>
        <w:ind w:firstLine="642" w:firstLineChars="200"/>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（三）评价选点</w:t>
      </w:r>
    </w:p>
    <w:p>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对采集的</w:t>
      </w:r>
      <w:r>
        <w:rPr>
          <w:rFonts w:hint="eastAsia" w:ascii="仿宋_GB2312" w:hAnsi="仿宋_GB2312" w:eastAsia="仿宋_GB2312" w:cs="仿宋_GB2312"/>
          <w:sz w:val="32"/>
          <w:szCs w:val="32"/>
          <w:lang w:eastAsia="zh-CN"/>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年浙江省对口支援茂县创业能力提升培训项目</w:t>
      </w:r>
      <w:r>
        <w:rPr>
          <w:rFonts w:hint="eastAsia" w:ascii="仿宋_GB2312" w:hAnsi="仿宋_GB2312" w:eastAsia="仿宋_GB2312" w:cs="仿宋_GB2312"/>
          <w:sz w:val="32"/>
          <w:szCs w:val="32"/>
        </w:rPr>
        <w:t>数据信息，根据简单随机抽样的方法，按照</w:t>
      </w:r>
      <w:r>
        <w:rPr>
          <w:rFonts w:hint="eastAsia" w:ascii="仿宋_GB2312" w:hAnsi="仿宋_GB2312" w:eastAsia="仿宋_GB2312" w:cs="仿宋_GB2312"/>
          <w:sz w:val="32"/>
          <w:szCs w:val="32"/>
          <w:lang w:val="en-US" w:eastAsia="zh-CN"/>
        </w:rPr>
        <w:t>稳定就业人员</w:t>
      </w:r>
      <w:r>
        <w:rPr>
          <w:rFonts w:hint="eastAsia" w:ascii="仿宋_GB2312" w:hAnsi="仿宋_GB2312" w:eastAsia="仿宋_GB2312" w:cs="仿宋_GB2312"/>
          <w:sz w:val="32"/>
          <w:szCs w:val="32"/>
        </w:rPr>
        <w:t>不低于</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%的比例进行抽样复核。</w:t>
      </w:r>
    </w:p>
    <w:p>
      <w:pPr>
        <w:spacing w:line="578" w:lineRule="exact"/>
        <w:ind w:firstLine="640"/>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（四）评价方法</w:t>
      </w:r>
    </w:p>
    <w:p>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本次项目绩效自评的方案包括采用成本效益分析法、标杆管理法、案卷研究法、单位自评法、实地勘察法、问卷调查法、座谈调研法等。</w:t>
      </w:r>
    </w:p>
    <w:p>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一是通过研究、解读相关文献，获取项目概况、绩效指标等有用信息；</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二是采用成本效益分析法、实地勘察法、问卷调查法、座谈调研法对项目的实施内容安排、目标设定等进行分析判断；</w:t>
      </w:r>
    </w:p>
    <w:p>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三是对采集的数据信息，根据简单随机抽样的方法，按照职业技能培训不低于20%的比例进行抽样复核；</w:t>
      </w:r>
    </w:p>
    <w:p>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四是从项目工作及预算安排以及预算执行工作中提炼项目实施中的经验和不足。</w:t>
      </w:r>
    </w:p>
    <w:p>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综合分析相关情况后，对项目进行绩效自评。</w:t>
      </w:r>
    </w:p>
    <w:p>
      <w:pPr>
        <w:spacing w:line="578" w:lineRule="exact"/>
        <w:ind w:firstLine="640"/>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（五）评价组织</w:t>
      </w:r>
    </w:p>
    <w:p>
      <w:pPr>
        <w:adjustRightInd w:val="0"/>
        <w:snapToGrid w:val="0"/>
        <w:spacing w:line="578"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1.成立专项预算项目自评工作组。</w:t>
      </w:r>
      <w:r>
        <w:rPr>
          <w:rFonts w:hint="eastAsia" w:ascii="仿宋_GB2312" w:hAnsi="仿宋_GB2312" w:eastAsia="仿宋_GB2312" w:cs="仿宋_GB2312"/>
          <w:sz w:val="32"/>
          <w:szCs w:val="32"/>
          <w:lang w:eastAsia="zh-CN"/>
        </w:rPr>
        <w:t>茂县就业服务中心</w:t>
      </w:r>
      <w:r>
        <w:rPr>
          <w:rFonts w:hint="eastAsia" w:ascii="仿宋_GB2312" w:hAnsi="仿宋_GB2312" w:eastAsia="仿宋_GB2312" w:cs="仿宋_GB2312"/>
          <w:sz w:val="32"/>
          <w:szCs w:val="32"/>
        </w:rPr>
        <w:t>成立绩效自评工作组，组织开展绩效自评各项工作。</w:t>
      </w:r>
    </w:p>
    <w:p>
      <w:pPr>
        <w:adjustRightInd w:val="0"/>
        <w:snapToGrid w:val="0"/>
        <w:spacing w:line="578"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2.拟定工作方案。自评工作组按要求拟定具体的绩效自评工作方案。</w:t>
      </w:r>
    </w:p>
    <w:p>
      <w:pPr>
        <w:adjustRightInd w:val="0"/>
        <w:snapToGrid w:val="0"/>
        <w:spacing w:line="578"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3.电话回访。自评工作组通过电话回访，了解项目情况，收集准备资料。</w:t>
      </w:r>
    </w:p>
    <w:p>
      <w:pPr>
        <w:adjustRightInd w:val="0"/>
        <w:snapToGrid w:val="0"/>
        <w:spacing w:line="578"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4.收集审核资料。自评工作组收集审核项目资料，通过咨询专业人士、查阅资料、集中座谈等方式，多渠道获取项目信息。</w:t>
      </w:r>
    </w:p>
    <w:p>
      <w:pPr>
        <w:adjustRightInd w:val="0"/>
        <w:snapToGrid w:val="0"/>
        <w:spacing w:line="578"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5.进行绩效自评。自评工作组通过查阅专项项目资料和听取项目汇报，对项目内容进行自评，形成自评报告。</w:t>
      </w:r>
    </w:p>
    <w:p>
      <w:pPr>
        <w:adjustRightInd w:val="0"/>
        <w:snapToGrid w:val="0"/>
        <w:spacing w:line="578"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6.撰写报告。自评工作组根据自评意见，按照规定的文本格式和要求，撰写绩效自评报告，整理绩效自评资料。</w:t>
      </w:r>
    </w:p>
    <w:p>
      <w:pPr>
        <w:adjustRightInd w:val="0"/>
        <w:snapToGrid w:val="0"/>
        <w:spacing w:line="578"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7.提交报告。自评工作组在规定时间内，向茂县财政投资评审中心提交绩效自评报告。</w:t>
      </w:r>
    </w:p>
    <w:p>
      <w:pPr>
        <w:adjustRightInd w:val="0"/>
        <w:snapToGrid w:val="0"/>
        <w:spacing w:line="578" w:lineRule="exact"/>
        <w:ind w:firstLine="640" w:firstLineChars="200"/>
        <w:rPr>
          <w:rFonts w:hint="eastAsia" w:ascii="仿宋_GB2312" w:hAnsi="仿宋_GB2312" w:eastAsia="仿宋_GB2312" w:cs="仿宋_GB2312"/>
          <w:sz w:val="32"/>
          <w:szCs w:val="32"/>
          <w:lang w:val="zh-CN"/>
        </w:rPr>
      </w:pPr>
      <w:r>
        <w:rPr>
          <w:rFonts w:hint="eastAsia" w:ascii="黑体" w:hAnsi="黑体" w:eastAsia="黑体" w:cs="黑体"/>
          <w:sz w:val="32"/>
          <w:szCs w:val="32"/>
        </w:rPr>
        <w:t>三、绩效分析</w:t>
      </w:r>
      <w:r>
        <w:rPr>
          <w:rFonts w:hint="eastAsia" w:ascii="仿宋_GB2312" w:hAnsi="仿宋_GB2312" w:eastAsia="仿宋_GB2312" w:cs="仿宋_GB2312"/>
          <w:sz w:val="32"/>
          <w:szCs w:val="32"/>
          <w:lang w:val="zh-CN"/>
        </w:rPr>
        <w:tab/>
      </w:r>
    </w:p>
    <w:p>
      <w:pPr>
        <w:adjustRightInd w:val="0"/>
        <w:snapToGrid w:val="0"/>
        <w:spacing w:line="578" w:lineRule="exact"/>
        <w:ind w:firstLine="640" w:firstLineChars="200"/>
        <w:rPr>
          <w:rFonts w:hint="eastAsia"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sz w:val="32"/>
          <w:szCs w:val="32"/>
          <w:lang w:eastAsia="zh-CN"/>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年浙江省对口支援茂县创业能力提升培训项目</w:t>
      </w:r>
      <w:r>
        <w:rPr>
          <w:rFonts w:hint="eastAsia" w:ascii="仿宋_GB2312" w:hAnsi="仿宋_GB2312" w:eastAsia="仿宋_GB2312" w:cs="仿宋_GB2312"/>
          <w:kern w:val="0"/>
          <w:sz w:val="32"/>
          <w:szCs w:val="32"/>
          <w:shd w:val="clear" w:color="auto" w:fill="FFFFFF"/>
        </w:rPr>
        <w:t>资金完成了年度劳务输出目标任务，本项目评分为：100分，</w:t>
      </w:r>
      <w:r>
        <w:rPr>
          <w:rFonts w:hint="eastAsia" w:ascii="仿宋_GB2312" w:hAnsi="仿宋_GB2312" w:eastAsia="仿宋_GB2312" w:cs="仿宋_GB2312"/>
          <w:kern w:val="0"/>
          <w:sz w:val="32"/>
          <w:szCs w:val="32"/>
          <w:shd w:val="clear" w:color="auto" w:fill="FFFFFF"/>
          <w:lang w:val="zh-CN"/>
        </w:rPr>
        <w:t>总体评价为优秀，具体如下（</w:t>
      </w:r>
      <w:r>
        <w:rPr>
          <w:rFonts w:hint="eastAsia" w:ascii="仿宋_GB2312" w:hAnsi="仿宋_GB2312" w:eastAsia="仿宋_GB2312" w:cs="仿宋_GB2312"/>
          <w:kern w:val="0"/>
          <w:sz w:val="32"/>
          <w:szCs w:val="32"/>
          <w:shd w:val="clear" w:color="auto" w:fill="FFFFFF"/>
        </w:rPr>
        <w:t>评分表见附表</w:t>
      </w:r>
      <w:r>
        <w:rPr>
          <w:rFonts w:hint="eastAsia" w:ascii="仿宋_GB2312" w:hAnsi="仿宋_GB2312" w:eastAsia="仿宋_GB2312" w:cs="仿宋_GB2312"/>
          <w:kern w:val="0"/>
          <w:sz w:val="32"/>
          <w:szCs w:val="32"/>
          <w:shd w:val="clear" w:color="auto" w:fill="FFFFFF"/>
          <w:lang w:val="zh-CN"/>
        </w:rPr>
        <w:t>）：</w:t>
      </w:r>
    </w:p>
    <w:p>
      <w:pPr>
        <w:adjustRightInd w:val="0"/>
        <w:snapToGrid w:val="0"/>
        <w:spacing w:line="578" w:lineRule="exact"/>
        <w:ind w:firstLine="640" w:firstLineChars="200"/>
        <w:rPr>
          <w:rFonts w:hint="eastAsia"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（1）数量指标：购买已脱贫人员公益性岗位意外险</w:t>
      </w:r>
      <w:r>
        <w:rPr>
          <w:rFonts w:hint="eastAsia" w:ascii="仿宋_GB2312" w:hAnsi="仿宋_GB2312" w:eastAsia="仿宋_GB2312" w:cs="仿宋_GB2312"/>
          <w:kern w:val="0"/>
          <w:sz w:val="32"/>
          <w:szCs w:val="32"/>
          <w:shd w:val="clear" w:color="auto" w:fill="FFFFFF"/>
          <w:lang w:val="en-US" w:eastAsia="zh-CN"/>
        </w:rPr>
        <w:t>500</w:t>
      </w:r>
      <w:r>
        <w:rPr>
          <w:rFonts w:hint="eastAsia" w:ascii="仿宋_GB2312" w:hAnsi="仿宋_GB2312" w:eastAsia="仿宋_GB2312" w:cs="仿宋_GB2312"/>
          <w:kern w:val="0"/>
          <w:sz w:val="32"/>
          <w:szCs w:val="32"/>
          <w:shd w:val="clear" w:color="auto" w:fill="FFFFFF"/>
          <w:lang w:val="zh-CN"/>
        </w:rPr>
        <w:t>人，</w:t>
      </w:r>
      <w:r>
        <w:rPr>
          <w:rFonts w:hint="eastAsia" w:ascii="仿宋_GB2312" w:hAnsi="仿宋_GB2312" w:eastAsia="仿宋_GB2312" w:cs="仿宋_GB2312"/>
          <w:kern w:val="0"/>
          <w:sz w:val="32"/>
          <w:szCs w:val="32"/>
          <w:shd w:val="clear" w:color="auto" w:fill="FFFFFF"/>
          <w:lang w:val="en-US" w:eastAsia="zh-CN"/>
        </w:rPr>
        <w:t>完成92.40%，开展技术培训400人，完成101.50%</w:t>
      </w:r>
      <w:r>
        <w:rPr>
          <w:rFonts w:hint="eastAsia" w:ascii="仿宋_GB2312" w:hAnsi="仿宋_GB2312" w:eastAsia="仿宋_GB2312" w:cs="仿宋_GB2312"/>
          <w:kern w:val="0"/>
          <w:sz w:val="32"/>
          <w:szCs w:val="32"/>
          <w:shd w:val="clear" w:color="auto" w:fill="FFFFFF"/>
          <w:lang w:val="zh-CN"/>
        </w:rPr>
        <w:t>。</w:t>
      </w:r>
    </w:p>
    <w:p>
      <w:pPr>
        <w:adjustRightInd w:val="0"/>
        <w:snapToGrid w:val="0"/>
        <w:spacing w:line="578" w:lineRule="exact"/>
        <w:ind w:firstLine="640" w:firstLineChars="200"/>
        <w:rPr>
          <w:rFonts w:hint="eastAsia"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（2）</w:t>
      </w:r>
      <w:r>
        <w:rPr>
          <w:rFonts w:hint="eastAsia" w:ascii="仿宋_GB2312" w:hAnsi="仿宋_GB2312" w:eastAsia="仿宋_GB2312" w:cs="仿宋_GB2312"/>
          <w:kern w:val="0"/>
          <w:sz w:val="32"/>
          <w:szCs w:val="32"/>
          <w:shd w:val="clear" w:color="auto" w:fill="FFFFFF"/>
          <w:lang w:val="en-US" w:eastAsia="zh-CN"/>
        </w:rPr>
        <w:t>时效</w:t>
      </w:r>
      <w:r>
        <w:rPr>
          <w:rFonts w:hint="eastAsia" w:ascii="仿宋_GB2312" w:hAnsi="仿宋_GB2312" w:eastAsia="仿宋_GB2312" w:cs="仿宋_GB2312"/>
          <w:kern w:val="0"/>
          <w:sz w:val="32"/>
          <w:szCs w:val="32"/>
          <w:shd w:val="clear" w:color="auto" w:fill="FFFFFF"/>
          <w:lang w:val="zh-CN"/>
        </w:rPr>
        <w:t>指标：项目资金在202</w:t>
      </w:r>
      <w:r>
        <w:rPr>
          <w:rFonts w:hint="eastAsia" w:ascii="仿宋_GB2312" w:hAnsi="仿宋_GB2312" w:eastAsia="仿宋_GB2312" w:cs="仿宋_GB2312"/>
          <w:kern w:val="0"/>
          <w:sz w:val="32"/>
          <w:szCs w:val="32"/>
          <w:shd w:val="clear" w:color="auto" w:fill="FFFFFF"/>
          <w:lang w:val="en-US" w:eastAsia="zh-CN"/>
        </w:rPr>
        <w:t>4</w:t>
      </w:r>
      <w:r>
        <w:rPr>
          <w:rFonts w:hint="eastAsia" w:ascii="仿宋_GB2312" w:hAnsi="仿宋_GB2312" w:eastAsia="仿宋_GB2312" w:cs="仿宋_GB2312"/>
          <w:kern w:val="0"/>
          <w:sz w:val="32"/>
          <w:szCs w:val="32"/>
          <w:shd w:val="clear" w:color="auto" w:fill="FFFFFF"/>
          <w:lang w:val="zh-CN"/>
        </w:rPr>
        <w:t>年12月完成</w:t>
      </w:r>
      <w:r>
        <w:rPr>
          <w:rFonts w:hint="eastAsia" w:ascii="仿宋_GB2312" w:hAnsi="仿宋_GB2312" w:eastAsia="仿宋_GB2312" w:cs="仿宋_GB2312"/>
          <w:kern w:val="0"/>
          <w:sz w:val="32"/>
          <w:szCs w:val="32"/>
          <w:shd w:val="clear" w:color="auto" w:fill="FFFFFF"/>
          <w:lang w:val="en-US" w:eastAsia="zh-CN"/>
        </w:rPr>
        <w:t>率100%</w:t>
      </w:r>
      <w:r>
        <w:rPr>
          <w:rFonts w:hint="eastAsia" w:ascii="仿宋_GB2312" w:hAnsi="仿宋_GB2312" w:eastAsia="仿宋_GB2312" w:cs="仿宋_GB2312"/>
          <w:kern w:val="0"/>
          <w:sz w:val="32"/>
          <w:szCs w:val="32"/>
          <w:shd w:val="clear" w:color="auto" w:fill="FFFFFF"/>
          <w:lang w:val="zh-CN"/>
        </w:rPr>
        <w:t>。</w:t>
      </w:r>
    </w:p>
    <w:p>
      <w:pPr>
        <w:adjustRightInd w:val="0"/>
        <w:snapToGrid w:val="0"/>
        <w:spacing w:line="578" w:lineRule="exact"/>
        <w:ind w:firstLine="640" w:firstLineChars="200"/>
        <w:rPr>
          <w:rFonts w:hint="eastAsia"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（3）</w:t>
      </w:r>
      <w:r>
        <w:rPr>
          <w:rFonts w:hint="eastAsia" w:ascii="仿宋_GB2312" w:hAnsi="仿宋_GB2312" w:eastAsia="仿宋_GB2312" w:cs="仿宋_GB2312"/>
          <w:kern w:val="0"/>
          <w:sz w:val="32"/>
          <w:szCs w:val="32"/>
          <w:shd w:val="clear" w:color="auto" w:fill="FFFFFF"/>
          <w:lang w:val="en-US" w:eastAsia="zh-CN"/>
        </w:rPr>
        <w:t>社会效益</w:t>
      </w:r>
      <w:r>
        <w:rPr>
          <w:rFonts w:hint="eastAsia" w:ascii="仿宋_GB2312" w:hAnsi="仿宋_GB2312" w:eastAsia="仿宋_GB2312" w:cs="仿宋_GB2312"/>
          <w:kern w:val="0"/>
          <w:sz w:val="32"/>
          <w:szCs w:val="32"/>
          <w:shd w:val="clear" w:color="auto" w:fill="FFFFFF"/>
          <w:lang w:val="zh-CN"/>
        </w:rPr>
        <w:t>指标：</w:t>
      </w:r>
      <w:r>
        <w:rPr>
          <w:rFonts w:hint="eastAsia" w:ascii="仿宋_GB2312" w:hAnsi="仿宋_GB2312" w:eastAsia="仿宋_GB2312" w:cs="仿宋_GB2312"/>
          <w:kern w:val="0"/>
          <w:sz w:val="32"/>
          <w:szCs w:val="32"/>
          <w:shd w:val="clear" w:color="auto" w:fill="FFFFFF"/>
          <w:lang w:val="en-US" w:eastAsia="zh-CN"/>
        </w:rPr>
        <w:t>提高外出务工人员收入不少于1500元，完成100%。</w:t>
      </w:r>
      <w:r>
        <w:rPr>
          <w:rFonts w:hint="eastAsia" w:ascii="仿宋_GB2312" w:hAnsi="仿宋_GB2312" w:eastAsia="仿宋_GB2312" w:cs="仿宋_GB2312"/>
          <w:kern w:val="0"/>
          <w:sz w:val="32"/>
          <w:szCs w:val="32"/>
          <w:shd w:val="clear" w:color="auto" w:fill="FFFFFF"/>
          <w:lang w:val="zh-CN"/>
        </w:rPr>
        <w:t>。</w:t>
      </w:r>
    </w:p>
    <w:p>
      <w:pPr>
        <w:adjustRightInd w:val="0"/>
        <w:snapToGrid w:val="0"/>
        <w:spacing w:line="578" w:lineRule="exact"/>
        <w:ind w:firstLine="640" w:firstLineChars="200"/>
        <w:rPr>
          <w:rFonts w:hint="eastAsia"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（4）</w:t>
      </w:r>
      <w:r>
        <w:rPr>
          <w:rFonts w:hint="eastAsia" w:ascii="仿宋_GB2312" w:hAnsi="仿宋_GB2312" w:eastAsia="仿宋_GB2312" w:cs="仿宋_GB2312"/>
          <w:kern w:val="0"/>
          <w:sz w:val="32"/>
          <w:szCs w:val="32"/>
          <w:shd w:val="clear" w:color="auto" w:fill="FFFFFF"/>
          <w:lang w:val="en-US" w:eastAsia="zh-CN"/>
        </w:rPr>
        <w:t>服务对象满意度</w:t>
      </w:r>
      <w:r>
        <w:rPr>
          <w:rFonts w:hint="eastAsia" w:ascii="仿宋_GB2312" w:hAnsi="仿宋_GB2312" w:eastAsia="仿宋_GB2312" w:cs="仿宋_GB2312"/>
          <w:kern w:val="0"/>
          <w:sz w:val="32"/>
          <w:szCs w:val="32"/>
          <w:shd w:val="clear" w:color="auto" w:fill="FFFFFF"/>
          <w:lang w:val="zh-CN"/>
        </w:rPr>
        <w:t>指标：服务对象满意度</w:t>
      </w:r>
      <w:r>
        <w:rPr>
          <w:rFonts w:hint="eastAsia" w:ascii="仿宋_GB2312" w:hAnsi="仿宋_GB2312" w:eastAsia="仿宋_GB2312" w:cs="仿宋_GB2312"/>
          <w:kern w:val="0"/>
          <w:sz w:val="32"/>
          <w:szCs w:val="32"/>
          <w:shd w:val="clear" w:color="auto" w:fill="FFFFFF"/>
          <w:lang w:val="en-US" w:eastAsia="zh-CN"/>
        </w:rPr>
        <w:t>90</w:t>
      </w:r>
      <w:r>
        <w:rPr>
          <w:rFonts w:hint="eastAsia" w:ascii="仿宋_GB2312" w:hAnsi="仿宋_GB2312" w:eastAsia="仿宋_GB2312" w:cs="仿宋_GB2312"/>
          <w:kern w:val="0"/>
          <w:sz w:val="32"/>
          <w:szCs w:val="32"/>
          <w:shd w:val="clear" w:color="auto" w:fill="FFFFFF"/>
        </w:rPr>
        <w:t>%</w:t>
      </w:r>
      <w:r>
        <w:rPr>
          <w:rFonts w:hint="eastAsia" w:ascii="仿宋_GB2312" w:hAnsi="仿宋_GB2312" w:eastAsia="仿宋_GB2312" w:cs="仿宋_GB2312"/>
          <w:kern w:val="0"/>
          <w:sz w:val="32"/>
          <w:szCs w:val="32"/>
          <w:shd w:val="clear" w:color="auto" w:fill="FFFFFF"/>
          <w:lang w:eastAsia="zh-CN"/>
        </w:rPr>
        <w:t>，完成</w:t>
      </w:r>
      <w:r>
        <w:rPr>
          <w:rFonts w:hint="eastAsia" w:ascii="仿宋_GB2312" w:hAnsi="仿宋_GB2312" w:eastAsia="仿宋_GB2312" w:cs="仿宋_GB2312"/>
          <w:kern w:val="0"/>
          <w:sz w:val="32"/>
          <w:szCs w:val="32"/>
          <w:shd w:val="clear" w:color="auto" w:fill="FFFFFF"/>
          <w:lang w:val="en-US" w:eastAsia="zh-CN"/>
        </w:rPr>
        <w:t>100%</w:t>
      </w:r>
      <w:r>
        <w:rPr>
          <w:rFonts w:hint="eastAsia" w:ascii="仿宋_GB2312" w:hAnsi="仿宋_GB2312" w:eastAsia="仿宋_GB2312" w:cs="仿宋_GB2312"/>
          <w:kern w:val="0"/>
          <w:sz w:val="32"/>
          <w:szCs w:val="32"/>
          <w:shd w:val="clear" w:color="auto" w:fill="FFFFFF"/>
          <w:lang w:val="zh-CN"/>
        </w:rPr>
        <w:t>。</w:t>
      </w:r>
    </w:p>
    <w:p>
      <w:pPr>
        <w:pStyle w:val="40"/>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kern w:val="0"/>
          <w:sz w:val="32"/>
          <w:szCs w:val="32"/>
          <w:shd w:val="clear" w:color="auto" w:fill="FFFFFF"/>
          <w:lang w:val="zh-CN"/>
        </w:rPr>
        <w:t>（</w:t>
      </w:r>
      <w:r>
        <w:rPr>
          <w:rFonts w:hint="eastAsia" w:ascii="仿宋_GB2312" w:hAnsi="仿宋_GB2312" w:eastAsia="仿宋_GB2312" w:cs="仿宋_GB2312"/>
          <w:kern w:val="0"/>
          <w:sz w:val="32"/>
          <w:szCs w:val="32"/>
          <w:shd w:val="clear" w:color="auto" w:fill="FFFFFF"/>
          <w:lang w:val="en-US" w:eastAsia="zh-CN"/>
        </w:rPr>
        <w:t>5</w:t>
      </w:r>
      <w:r>
        <w:rPr>
          <w:rFonts w:hint="eastAsia" w:ascii="仿宋_GB2312" w:hAnsi="仿宋_GB2312" w:eastAsia="仿宋_GB2312" w:cs="仿宋_GB2312"/>
          <w:kern w:val="0"/>
          <w:sz w:val="32"/>
          <w:szCs w:val="32"/>
          <w:shd w:val="clear" w:color="auto" w:fill="FFFFFF"/>
          <w:lang w:val="zh-CN"/>
        </w:rPr>
        <w:t>）经济成本指标：支付金额</w:t>
      </w:r>
      <w:r>
        <w:rPr>
          <w:rFonts w:hint="eastAsia" w:ascii="仿宋_GB2312" w:hAnsi="仿宋_GB2312" w:eastAsia="仿宋_GB2312" w:cs="仿宋_GB2312"/>
          <w:kern w:val="0"/>
          <w:sz w:val="32"/>
          <w:szCs w:val="32"/>
          <w:shd w:val="clear" w:color="auto" w:fill="FFFFFF"/>
          <w:lang w:val="en-US" w:eastAsia="zh-CN"/>
        </w:rPr>
        <w:t>220.00万元，完成100%。</w:t>
      </w:r>
    </w:p>
    <w:p>
      <w:pPr>
        <w:spacing w:line="578" w:lineRule="exact"/>
        <w:ind w:firstLine="64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lang w:val="zh-CN"/>
        </w:rPr>
        <w:t>（一）</w:t>
      </w:r>
      <w:r>
        <w:rPr>
          <w:rFonts w:hint="eastAsia" w:ascii="仿宋_GB2312" w:hAnsi="仿宋_GB2312" w:eastAsia="仿宋_GB2312" w:cs="仿宋_GB2312"/>
          <w:b/>
          <w:sz w:val="32"/>
          <w:szCs w:val="32"/>
        </w:rPr>
        <w:t>通用指标</w:t>
      </w:r>
      <w:r>
        <w:rPr>
          <w:rFonts w:hint="eastAsia" w:ascii="仿宋_GB2312" w:hAnsi="仿宋_GB2312" w:eastAsia="仿宋_GB2312" w:cs="仿宋_GB2312"/>
          <w:b/>
          <w:bCs/>
          <w:color w:val="000000"/>
          <w:kern w:val="0"/>
          <w:sz w:val="32"/>
          <w:szCs w:val="32"/>
          <w:shd w:val="clear" w:color="auto" w:fill="FFFFFF"/>
          <w:lang w:val="zh-CN"/>
        </w:rPr>
        <w:t>绩效分析</w:t>
      </w:r>
    </w:p>
    <w:p>
      <w:pPr>
        <w:spacing w:line="578"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1.项目决策</w:t>
      </w:r>
    </w:p>
    <w:p>
      <w:pPr>
        <w:spacing w:line="578"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该项目决策程序严密，项目规划论证符合相关要求，项目绩效目标设置科学合理。项目资金与项目总体规划、相关行业事业发展相匹配，聚焦重大任务、重点领域、重点环节和重点项目。项目制度办法体系健全、要素完备。</w:t>
      </w:r>
    </w:p>
    <w:p>
      <w:pPr>
        <w:spacing w:line="578"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2.项目管理</w:t>
      </w:r>
    </w:p>
    <w:p>
      <w:pPr>
        <w:widowControl/>
        <w:adjustRightInd w:val="0"/>
        <w:snapToGrid w:val="0"/>
        <w:spacing w:line="578" w:lineRule="exact"/>
        <w:ind w:firstLine="640" w:firstLineChars="200"/>
        <w:contextualSpacing/>
        <w:jc w:val="left"/>
        <w:rPr>
          <w:rFonts w:hint="eastAsia"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rPr>
        <w:t>为</w:t>
      </w:r>
      <w:r>
        <w:rPr>
          <w:rFonts w:hint="eastAsia" w:ascii="仿宋_GB2312" w:hAnsi="仿宋_GB2312" w:eastAsia="仿宋_GB2312" w:cs="仿宋_GB2312"/>
          <w:sz w:val="32"/>
          <w:szCs w:val="32"/>
        </w:rPr>
        <w:t>更好</w:t>
      </w:r>
      <w:r>
        <w:rPr>
          <w:rFonts w:hint="eastAsia" w:ascii="仿宋_GB2312" w:hAnsi="仿宋_GB2312" w:eastAsia="仿宋_GB2312" w:cs="仿宋_GB2312"/>
          <w:sz w:val="32"/>
          <w:szCs w:val="32"/>
          <w:lang w:val="en-US" w:eastAsia="zh-CN"/>
        </w:rPr>
        <w:t>提升城乡劳动者的产业技能，提升就业创业意识，</w:t>
      </w:r>
      <w:r>
        <w:rPr>
          <w:rFonts w:hint="eastAsia" w:ascii="仿宋_GB2312" w:hAnsi="仿宋_GB2312" w:eastAsia="仿宋_GB2312" w:cs="仿宋_GB2312"/>
          <w:sz w:val="32"/>
          <w:szCs w:val="32"/>
        </w:rPr>
        <w:t>有序引导和组织劳动力创业创新，持续推进劳务精准输出</w:t>
      </w:r>
      <w:r>
        <w:rPr>
          <w:rFonts w:hint="eastAsia" w:ascii="仿宋_GB2312" w:hAnsi="仿宋_GB2312" w:eastAsia="仿宋_GB2312" w:cs="仿宋_GB2312"/>
          <w:kern w:val="0"/>
          <w:sz w:val="32"/>
          <w:szCs w:val="32"/>
          <w:shd w:val="clear" w:color="auto" w:fill="FFFFFF"/>
          <w:lang w:val="zh-CN"/>
        </w:rPr>
        <w:t>，</w:t>
      </w:r>
      <w:r>
        <w:rPr>
          <w:rFonts w:hint="eastAsia" w:ascii="仿宋_GB2312" w:hAnsi="仿宋_GB2312" w:eastAsia="仿宋_GB2312" w:cs="仿宋_GB2312"/>
          <w:kern w:val="0"/>
          <w:sz w:val="32"/>
          <w:szCs w:val="32"/>
          <w:shd w:val="clear" w:color="auto" w:fill="FFFFFF"/>
        </w:rPr>
        <w:t>我单位</w:t>
      </w:r>
      <w:r>
        <w:rPr>
          <w:rFonts w:hint="eastAsia" w:ascii="仿宋_GB2312" w:hAnsi="仿宋_GB2312" w:eastAsia="仿宋_GB2312" w:cs="仿宋_GB2312"/>
          <w:kern w:val="0"/>
          <w:sz w:val="32"/>
          <w:szCs w:val="32"/>
          <w:shd w:val="clear" w:color="auto" w:fill="FFFFFF"/>
          <w:lang w:val="zh-CN"/>
        </w:rPr>
        <w:t>对</w:t>
      </w:r>
      <w:r>
        <w:rPr>
          <w:rFonts w:hint="eastAsia" w:ascii="仿宋_GB2312" w:hAnsi="仿宋_GB2312" w:eastAsia="仿宋_GB2312" w:cs="仿宋_GB2312"/>
          <w:sz w:val="32"/>
          <w:szCs w:val="32"/>
          <w:lang w:eastAsia="zh-CN"/>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年浙江省对口支援茂县创业能力提升培训项目</w:t>
      </w:r>
      <w:r>
        <w:rPr>
          <w:rFonts w:hint="eastAsia" w:ascii="仿宋_GB2312" w:hAnsi="仿宋_GB2312" w:eastAsia="仿宋_GB2312" w:cs="仿宋_GB2312"/>
          <w:kern w:val="0"/>
          <w:sz w:val="32"/>
          <w:szCs w:val="32"/>
          <w:shd w:val="clear" w:color="auto" w:fill="FFFFFF"/>
          <w:lang w:val="zh-CN"/>
        </w:rPr>
        <w:t>资金实行专项管理，专款专用。项目资金分配因素选取、权重设置、区域分布，项目管理、审批符合管理要求，管资金、项目、政策、管绩效，项目绩效监管按要求开展，对下指导有力有效。</w:t>
      </w:r>
    </w:p>
    <w:p>
      <w:pPr>
        <w:spacing w:line="578"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3.项目实施</w:t>
      </w:r>
    </w:p>
    <w:p>
      <w:pPr>
        <w:spacing w:line="578"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年浙江省对口支援茂县创业能力提升培训项目</w:t>
      </w:r>
      <w:r>
        <w:rPr>
          <w:rFonts w:hint="eastAsia" w:ascii="仿宋_GB2312" w:hAnsi="仿宋_GB2312" w:eastAsia="仿宋_GB2312" w:cs="仿宋_GB2312"/>
          <w:sz w:val="32"/>
          <w:szCs w:val="32"/>
        </w:rPr>
        <w:t>完成预期目标，实施结果与绩效目标相匹配。</w:t>
      </w:r>
    </w:p>
    <w:p>
      <w:pPr>
        <w:spacing w:line="578"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4.项目结果</w:t>
      </w:r>
    </w:p>
    <w:p>
      <w:pPr>
        <w:spacing w:line="578"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sz w:val="32"/>
          <w:szCs w:val="32"/>
          <w:lang w:eastAsia="zh-CN"/>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年浙江省对口支援茂县创业能力提升培训项目</w:t>
      </w:r>
      <w:r>
        <w:rPr>
          <w:rFonts w:hint="eastAsia" w:ascii="仿宋_GB2312" w:hAnsi="仿宋_GB2312" w:eastAsia="仿宋_GB2312" w:cs="仿宋_GB2312"/>
          <w:sz w:val="32"/>
          <w:szCs w:val="32"/>
        </w:rPr>
        <w:t>资金在规定时间内下达率</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%，补贴资金在规定时间内支付到位率</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w:t>
      </w:r>
    </w:p>
    <w:p>
      <w:pPr>
        <w:pStyle w:val="6"/>
        <w:tabs>
          <w:tab w:val="left" w:pos="2160"/>
        </w:tabs>
        <w:spacing w:line="600" w:lineRule="exact"/>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lang w:eastAsia="zh-CN"/>
        </w:rPr>
        <w:t>四</w:t>
      </w:r>
      <w:r>
        <w:rPr>
          <w:rFonts w:hint="eastAsia" w:ascii="黑体" w:hAnsi="黑体" w:eastAsia="黑体" w:cs="黑体"/>
          <w:sz w:val="32"/>
          <w:szCs w:val="32"/>
        </w:rPr>
        <w:t>、评价结论</w:t>
      </w:r>
    </w:p>
    <w:p>
      <w:pPr>
        <w:widowControl/>
        <w:adjustRightInd w:val="0"/>
        <w:snapToGrid w:val="0"/>
        <w:spacing w:line="578" w:lineRule="exact"/>
        <w:ind w:firstLine="640" w:firstLineChars="200"/>
        <w:contextualSpacing/>
        <w:jc w:val="left"/>
        <w:rPr>
          <w:rFonts w:hint="eastAsia" w:ascii="仿宋_GB2312" w:hAnsi="仿宋_GB2312" w:eastAsia="仿宋_GB2312" w:cs="仿宋_GB2312"/>
          <w:kern w:val="0"/>
          <w:sz w:val="32"/>
          <w:szCs w:val="32"/>
        </w:rPr>
      </w:pPr>
      <w:r>
        <w:rPr>
          <w:rFonts w:hint="eastAsia" w:ascii="仿宋_GB2312" w:hAnsi="仿宋_GB2312" w:eastAsia="仿宋_GB2312" w:cs="仿宋_GB2312"/>
          <w:sz w:val="32"/>
          <w:szCs w:val="32"/>
          <w:lang w:eastAsia="zh-CN"/>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年浙江省对口支援茂县创业能力提升培训项目</w:t>
      </w:r>
      <w:r>
        <w:rPr>
          <w:rFonts w:hint="eastAsia" w:ascii="仿宋_GB2312" w:hAnsi="仿宋_GB2312" w:eastAsia="仿宋_GB2312" w:cs="仿宋_GB2312"/>
          <w:kern w:val="0"/>
          <w:sz w:val="32"/>
          <w:szCs w:val="32"/>
        </w:rPr>
        <w:t>制定的目标任务，本年度资金按规定用于</w:t>
      </w:r>
      <w:r>
        <w:rPr>
          <w:rFonts w:hint="eastAsia" w:ascii="仿宋_GB2312" w:hAnsi="仿宋_GB2312" w:eastAsia="仿宋_GB2312" w:cs="仿宋_GB2312"/>
          <w:sz w:val="32"/>
          <w:szCs w:val="32"/>
        </w:rPr>
        <w:t>就业创业政策宣传、实用技术培训、招聘活动、劳务输出、稳定就业补助、创业大赛</w:t>
      </w:r>
      <w:r>
        <w:rPr>
          <w:rFonts w:hint="eastAsia" w:ascii="仿宋_GB2312" w:hAnsi="仿宋_GB2312" w:eastAsia="仿宋_GB2312" w:cs="仿宋_GB2312"/>
          <w:sz w:val="32"/>
          <w:szCs w:val="32"/>
          <w:lang w:eastAsia="zh-CN"/>
        </w:rPr>
        <w:t>、美食大赛</w:t>
      </w:r>
      <w:r>
        <w:rPr>
          <w:rFonts w:hint="eastAsia" w:ascii="仿宋_GB2312" w:hAnsi="仿宋_GB2312" w:eastAsia="仿宋_GB2312" w:cs="仿宋_GB2312"/>
          <w:sz w:val="32"/>
          <w:szCs w:val="32"/>
        </w:rPr>
        <w:t>等支出项目</w:t>
      </w:r>
      <w:r>
        <w:rPr>
          <w:rFonts w:hint="eastAsia" w:ascii="仿宋_GB2312" w:hAnsi="仿宋_GB2312" w:eastAsia="仿宋_GB2312" w:cs="仿宋_GB2312"/>
          <w:kern w:val="0"/>
          <w:sz w:val="32"/>
          <w:szCs w:val="32"/>
        </w:rPr>
        <w:t>。本年度完成年度</w:t>
      </w:r>
      <w:r>
        <w:rPr>
          <w:rFonts w:hint="eastAsia" w:ascii="仿宋_GB2312" w:hAnsi="仿宋_GB2312" w:eastAsia="仿宋_GB2312" w:cs="仿宋_GB2312"/>
          <w:kern w:val="0"/>
          <w:sz w:val="32"/>
          <w:szCs w:val="32"/>
          <w:shd w:val="clear" w:color="auto" w:fill="FFFFFF"/>
          <w:lang w:val="en-US" w:eastAsia="zh-CN"/>
        </w:rPr>
        <w:t>劳务输出</w:t>
      </w:r>
      <w:r>
        <w:rPr>
          <w:rFonts w:hint="eastAsia" w:ascii="仿宋_GB2312" w:hAnsi="仿宋_GB2312" w:eastAsia="仿宋_GB2312" w:cs="仿宋_GB2312"/>
          <w:kern w:val="0"/>
          <w:sz w:val="32"/>
          <w:szCs w:val="32"/>
          <w:shd w:val="clear" w:color="auto" w:fill="FFFFFF"/>
        </w:rPr>
        <w:t>目标任务</w:t>
      </w:r>
      <w:r>
        <w:rPr>
          <w:rFonts w:hint="eastAsia" w:ascii="仿宋_GB2312" w:hAnsi="仿宋_GB2312" w:eastAsia="仿宋_GB2312" w:cs="仿宋_GB2312"/>
          <w:kern w:val="0"/>
          <w:sz w:val="32"/>
          <w:szCs w:val="32"/>
        </w:rPr>
        <w:t>目标任务。但存在预算安排准确性有待提高、需加强单位制度建设及做好成本控制等问题。经评价，</w:t>
      </w:r>
      <w:r>
        <w:rPr>
          <w:rFonts w:hint="eastAsia" w:ascii="仿宋_GB2312" w:hAnsi="仿宋_GB2312" w:eastAsia="仿宋_GB2312" w:cs="仿宋_GB2312"/>
          <w:sz w:val="32"/>
          <w:szCs w:val="32"/>
          <w:lang w:eastAsia="zh-CN"/>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年浙江省对口支援茂县创业能力提升培训项目</w:t>
      </w:r>
      <w:r>
        <w:rPr>
          <w:rFonts w:hint="eastAsia" w:ascii="仿宋_GB2312" w:hAnsi="仿宋_GB2312" w:eastAsia="仿宋_GB2312" w:cs="仿宋_GB2312"/>
          <w:kern w:val="0"/>
          <w:sz w:val="32"/>
          <w:szCs w:val="32"/>
        </w:rPr>
        <w:t>绩效评价为优秀。</w:t>
      </w:r>
    </w:p>
    <w:p>
      <w:pPr>
        <w:pStyle w:val="6"/>
        <w:tabs>
          <w:tab w:val="left" w:pos="2160"/>
        </w:tabs>
        <w:spacing w:line="600" w:lineRule="exact"/>
        <w:ind w:firstLine="640" w:firstLineChars="200"/>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五、存在主要问题</w:t>
      </w:r>
    </w:p>
    <w:p>
      <w:pPr>
        <w:widowControl/>
        <w:adjustRightInd w:val="0"/>
        <w:snapToGrid w:val="0"/>
        <w:spacing w:line="578" w:lineRule="exact"/>
        <w:ind w:firstLine="640" w:firstLineChars="200"/>
        <w:contextualSpacing/>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kern w:val="0"/>
          <w:sz w:val="32"/>
          <w:szCs w:val="32"/>
        </w:rPr>
        <w:t>该项目</w:t>
      </w:r>
      <w:r>
        <w:rPr>
          <w:rFonts w:hint="eastAsia" w:ascii="仿宋_GB2312" w:hAnsi="仿宋_GB2312" w:eastAsia="仿宋_GB2312" w:cs="仿宋_GB2312"/>
          <w:kern w:val="0"/>
          <w:sz w:val="32"/>
          <w:szCs w:val="32"/>
          <w:lang w:val="en-US" w:eastAsia="zh-CN"/>
        </w:rPr>
        <w:t>按照项目资金管理办法严格执行，暂未发现问题</w:t>
      </w:r>
      <w:r>
        <w:rPr>
          <w:rFonts w:hint="eastAsia" w:ascii="仿宋_GB2312" w:hAnsi="仿宋_GB2312" w:eastAsia="仿宋_GB2312" w:cs="仿宋_GB2312"/>
          <w:kern w:val="0"/>
          <w:sz w:val="32"/>
          <w:szCs w:val="32"/>
        </w:rPr>
        <w:t>。</w:t>
      </w:r>
    </w:p>
    <w:p>
      <w:pPr>
        <w:snapToGrid w:val="0"/>
        <w:spacing w:line="578" w:lineRule="exact"/>
        <w:ind w:firstLine="420" w:firstLineChars="200"/>
        <w:rPr>
          <w:color w:val="000000"/>
          <w:kern w:val="0"/>
          <w:shd w:val="clear" w:color="auto" w:fill="FFFFFF"/>
          <w:lang w:val="zh-CN"/>
        </w:rPr>
      </w:pPr>
      <w:r>
        <w:rPr>
          <w:rFonts w:hint="eastAsia"/>
          <w:color w:val="000000"/>
          <w:kern w:val="0"/>
          <w:shd w:val="clear" w:color="auto" w:fill="FFFFFF"/>
          <w:lang w:val="zh-CN"/>
        </w:rPr>
        <w:br w:type="page"/>
      </w:r>
    </w:p>
    <w:p>
      <w:pPr>
        <w:widowControl/>
        <w:adjustRightInd w:val="0"/>
        <w:snapToGrid w:val="0"/>
        <w:spacing w:line="578" w:lineRule="exact"/>
        <w:contextualSpacing/>
        <w:jc w:val="left"/>
        <w:rPr>
          <w:rFonts w:ascii="黑体" w:hAnsi="黑体" w:eastAsia="黑体" w:cs="黑体"/>
          <w:kern w:val="0"/>
          <w:shd w:val="clear" w:color="auto" w:fill="FFFFFF"/>
          <w:lang w:val="zh-CN"/>
        </w:rPr>
      </w:pPr>
      <w:r>
        <w:rPr>
          <w:rFonts w:hint="eastAsia" w:ascii="黑体" w:hAnsi="黑体" w:eastAsia="黑体" w:cs="黑体"/>
          <w:kern w:val="0"/>
          <w:shd w:val="clear" w:color="auto" w:fill="FFFFFF"/>
          <w:lang w:val="zh-CN"/>
        </w:rPr>
        <w:t>附表</w:t>
      </w:r>
      <w:r>
        <w:rPr>
          <w:rFonts w:hint="eastAsia" w:ascii="黑体" w:hAnsi="黑体" w:eastAsia="黑体" w:cs="黑体"/>
          <w:kern w:val="0"/>
          <w:shd w:val="clear" w:color="auto" w:fill="FFFFFF"/>
        </w:rPr>
        <w:t>1</w:t>
      </w:r>
    </w:p>
    <w:p>
      <w:pPr>
        <w:spacing w:line="578" w:lineRule="exact"/>
        <w:jc w:val="center"/>
        <w:rPr>
          <w:rFonts w:ascii="方正小标宋_GBK" w:hAnsi="方正小标宋_GBK" w:eastAsia="方正小标宋_GBK" w:cs="方正小标宋_GBK"/>
          <w:sz w:val="40"/>
          <w:szCs w:val="40"/>
        </w:rPr>
      </w:pPr>
      <w:r>
        <w:rPr>
          <w:rFonts w:hint="eastAsia" w:ascii="方正小标宋_GBK" w:hAnsi="方正小标宋_GBK" w:eastAsia="方正小标宋_GBK" w:cs="方正小标宋_GBK"/>
          <w:sz w:val="40"/>
          <w:szCs w:val="40"/>
        </w:rPr>
        <w:t>项目资金分配涉及所有点位自评得分情况表</w:t>
      </w:r>
    </w:p>
    <w:tbl>
      <w:tblPr>
        <w:tblStyle w:val="17"/>
        <w:tblW w:w="88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3"/>
        <w:gridCol w:w="3843"/>
        <w:gridCol w:w="2861"/>
        <w:gridCol w:w="9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1123" w:type="dxa"/>
          </w:tcPr>
          <w:p>
            <w:pPr>
              <w:spacing w:line="300" w:lineRule="exact"/>
              <w:jc w:val="center"/>
              <w:rPr>
                <w:rFonts w:ascii="黑体" w:hAnsi="黑体" w:eastAsia="黑体" w:cs="黑体"/>
                <w:sz w:val="24"/>
                <w:szCs w:val="24"/>
              </w:rPr>
            </w:pPr>
            <w:r>
              <w:rPr>
                <w:rFonts w:hint="eastAsia" w:ascii="黑体" w:hAnsi="黑体" w:eastAsia="黑体" w:cs="黑体"/>
                <w:sz w:val="24"/>
                <w:szCs w:val="24"/>
              </w:rPr>
              <w:t>序号</w:t>
            </w:r>
          </w:p>
        </w:tc>
        <w:tc>
          <w:tcPr>
            <w:tcW w:w="3843" w:type="dxa"/>
          </w:tcPr>
          <w:p>
            <w:pPr>
              <w:spacing w:line="300" w:lineRule="exact"/>
              <w:jc w:val="center"/>
              <w:rPr>
                <w:rFonts w:ascii="黑体" w:hAnsi="黑体" w:eastAsia="黑体" w:cs="黑体"/>
                <w:sz w:val="24"/>
                <w:szCs w:val="24"/>
              </w:rPr>
            </w:pPr>
            <w:r>
              <w:rPr>
                <w:rFonts w:hint="eastAsia" w:ascii="黑体" w:hAnsi="黑体" w:eastAsia="黑体" w:cs="黑体"/>
                <w:sz w:val="24"/>
                <w:szCs w:val="24"/>
              </w:rPr>
              <w:t>项目资金末端分配点位</w:t>
            </w:r>
          </w:p>
        </w:tc>
        <w:tc>
          <w:tcPr>
            <w:tcW w:w="2861" w:type="dxa"/>
          </w:tcPr>
          <w:p>
            <w:pPr>
              <w:spacing w:line="300" w:lineRule="exact"/>
              <w:jc w:val="center"/>
              <w:rPr>
                <w:rFonts w:ascii="黑体" w:hAnsi="黑体" w:eastAsia="黑体" w:cs="黑体"/>
                <w:sz w:val="24"/>
                <w:szCs w:val="24"/>
              </w:rPr>
            </w:pPr>
            <w:r>
              <w:rPr>
                <w:rFonts w:hint="eastAsia" w:ascii="黑体" w:hAnsi="黑体" w:eastAsia="黑体" w:cs="黑体"/>
                <w:sz w:val="24"/>
                <w:szCs w:val="24"/>
              </w:rPr>
              <w:t>自评得分（百分制）</w:t>
            </w:r>
          </w:p>
        </w:tc>
        <w:tc>
          <w:tcPr>
            <w:tcW w:w="993" w:type="dxa"/>
          </w:tcPr>
          <w:p>
            <w:pPr>
              <w:spacing w:line="300" w:lineRule="exact"/>
              <w:jc w:val="center"/>
              <w:rPr>
                <w:rFonts w:ascii="黑体" w:hAnsi="黑体" w:eastAsia="黑体" w:cs="黑体"/>
                <w:sz w:val="24"/>
                <w:szCs w:val="24"/>
              </w:rPr>
            </w:pPr>
            <w:r>
              <w:rPr>
                <w:rFonts w:hint="eastAsia" w:ascii="黑体" w:hAnsi="黑体" w:eastAsia="黑体" w:cs="黑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703" w:hRule="exact"/>
          <w:jc w:val="center"/>
        </w:trPr>
        <w:tc>
          <w:tcPr>
            <w:tcW w:w="1123" w:type="dxa"/>
          </w:tcPr>
          <w:p>
            <w:pPr>
              <w:spacing w:line="300" w:lineRule="exact"/>
              <w:jc w:val="center"/>
              <w:rPr>
                <w:rFonts w:ascii="宋体" w:hAnsi="宋体" w:eastAsia="宋体" w:cs="宋体"/>
                <w:sz w:val="24"/>
                <w:szCs w:val="24"/>
              </w:rPr>
            </w:pPr>
            <w:r>
              <w:rPr>
                <w:rFonts w:hint="eastAsia" w:ascii="宋体" w:hAnsi="宋体" w:eastAsia="宋体" w:cs="宋体"/>
                <w:sz w:val="24"/>
                <w:szCs w:val="24"/>
              </w:rPr>
              <w:t>1</w:t>
            </w:r>
          </w:p>
        </w:tc>
        <w:tc>
          <w:tcPr>
            <w:tcW w:w="3843" w:type="dxa"/>
          </w:tcPr>
          <w:p>
            <w:pPr>
              <w:adjustRightInd w:val="0"/>
              <w:snapToGrid w:val="0"/>
              <w:spacing w:line="600" w:lineRule="exact"/>
              <w:ind w:firstLine="260" w:firstLineChars="200"/>
              <w:rPr>
                <w:rFonts w:ascii="仿宋_GB2312"/>
              </w:rPr>
            </w:pPr>
            <w:r>
              <w:rPr>
                <w:rFonts w:hint="eastAsia" w:ascii="仿宋_GB2312"/>
                <w:sz w:val="13"/>
                <w:szCs w:val="13"/>
              </w:rPr>
              <w:t>对采集的</w:t>
            </w:r>
            <w:r>
              <w:rPr>
                <w:rFonts w:hint="eastAsia" w:ascii="仿宋_GB2312" w:hAnsi="仿宋_GB2312" w:eastAsia="仿宋_GB2312" w:cs="仿宋_GB2312"/>
                <w:sz w:val="13"/>
                <w:szCs w:val="13"/>
                <w:lang w:eastAsia="zh-CN"/>
              </w:rPr>
              <w:t>202</w:t>
            </w:r>
            <w:r>
              <w:rPr>
                <w:rFonts w:hint="eastAsia" w:ascii="仿宋_GB2312" w:hAnsi="仿宋_GB2312" w:cs="仿宋_GB2312"/>
                <w:sz w:val="13"/>
                <w:szCs w:val="13"/>
                <w:lang w:val="en-US" w:eastAsia="zh-CN"/>
              </w:rPr>
              <w:t>4</w:t>
            </w:r>
            <w:r>
              <w:rPr>
                <w:rFonts w:hint="eastAsia" w:ascii="仿宋_GB2312" w:hAnsi="仿宋_GB2312" w:eastAsia="仿宋_GB2312" w:cs="仿宋_GB2312"/>
                <w:sz w:val="13"/>
                <w:szCs w:val="13"/>
                <w:lang w:eastAsia="zh-CN"/>
              </w:rPr>
              <w:t>年浙江省对口支援茂县创业能力提升培训项目</w:t>
            </w:r>
            <w:r>
              <w:rPr>
                <w:rFonts w:hint="eastAsia" w:ascii="仿宋_GB2312"/>
                <w:sz w:val="13"/>
                <w:szCs w:val="13"/>
              </w:rPr>
              <w:t>数据信息，根据简单随机抽样的方法，按照</w:t>
            </w:r>
            <w:r>
              <w:rPr>
                <w:rFonts w:hint="eastAsia" w:ascii="仿宋_GB2312"/>
                <w:sz w:val="13"/>
                <w:szCs w:val="13"/>
                <w:lang w:val="en-US" w:eastAsia="zh-CN"/>
              </w:rPr>
              <w:t>稳定就业人员</w:t>
            </w:r>
            <w:r>
              <w:rPr>
                <w:rFonts w:hint="eastAsia" w:ascii="仿宋_GB2312"/>
                <w:sz w:val="13"/>
                <w:szCs w:val="13"/>
              </w:rPr>
              <w:t>不低于</w:t>
            </w:r>
            <w:r>
              <w:rPr>
                <w:rFonts w:hint="eastAsia" w:ascii="仿宋_GB2312"/>
                <w:sz w:val="13"/>
                <w:szCs w:val="13"/>
                <w:lang w:val="en-US" w:eastAsia="zh-CN"/>
              </w:rPr>
              <w:t>20</w:t>
            </w:r>
            <w:r>
              <w:rPr>
                <w:rFonts w:hint="eastAsia" w:ascii="仿宋_GB2312"/>
                <w:sz w:val="13"/>
                <w:szCs w:val="13"/>
              </w:rPr>
              <w:t>%的比例进行抽样复核。</w:t>
            </w:r>
          </w:p>
          <w:p>
            <w:pPr>
              <w:spacing w:line="300" w:lineRule="exact"/>
              <w:rPr>
                <w:rFonts w:ascii="宋体" w:hAnsi="宋体" w:cs="宋体"/>
                <w:sz w:val="24"/>
                <w:szCs w:val="24"/>
              </w:rPr>
            </w:pPr>
          </w:p>
        </w:tc>
        <w:tc>
          <w:tcPr>
            <w:tcW w:w="2861" w:type="dxa"/>
            <w:vAlign w:val="center"/>
          </w:tcPr>
          <w:p>
            <w:pPr>
              <w:spacing w:line="300" w:lineRule="exact"/>
              <w:jc w:val="center"/>
              <w:rPr>
                <w:rFonts w:hint="eastAsia" w:ascii="宋体" w:hAnsi="宋体" w:eastAsia="仿宋_GB2312" w:cs="宋体"/>
                <w:sz w:val="24"/>
                <w:szCs w:val="24"/>
                <w:lang w:val="en-US" w:eastAsia="zh-CN"/>
              </w:rPr>
            </w:pPr>
            <w:r>
              <w:rPr>
                <w:rFonts w:hint="eastAsia" w:ascii="宋体" w:hAnsi="宋体" w:cs="宋体"/>
                <w:sz w:val="24"/>
                <w:szCs w:val="24"/>
                <w:lang w:val="en-US" w:eastAsia="zh-CN"/>
              </w:rPr>
              <w:t>优</w:t>
            </w:r>
          </w:p>
        </w:tc>
        <w:tc>
          <w:tcPr>
            <w:tcW w:w="993" w:type="dxa"/>
          </w:tcPr>
          <w:p>
            <w:pPr>
              <w:spacing w:line="300" w:lineRule="exact"/>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1123" w:type="dxa"/>
          </w:tcPr>
          <w:p>
            <w:pPr>
              <w:spacing w:line="300" w:lineRule="exact"/>
              <w:jc w:val="center"/>
              <w:rPr>
                <w:rFonts w:ascii="宋体" w:hAnsi="宋体" w:eastAsia="宋体" w:cs="宋体"/>
                <w:sz w:val="24"/>
                <w:szCs w:val="24"/>
              </w:rPr>
            </w:pPr>
            <w:r>
              <w:rPr>
                <w:rFonts w:hint="eastAsia" w:ascii="宋体" w:hAnsi="宋体" w:eastAsia="宋体" w:cs="宋体"/>
                <w:sz w:val="24"/>
                <w:szCs w:val="24"/>
              </w:rPr>
              <w:t>2</w:t>
            </w:r>
          </w:p>
        </w:tc>
        <w:tc>
          <w:tcPr>
            <w:tcW w:w="3843" w:type="dxa"/>
          </w:tcPr>
          <w:p>
            <w:pPr>
              <w:spacing w:line="300" w:lineRule="exact"/>
              <w:rPr>
                <w:rFonts w:ascii="宋体" w:hAnsi="宋体" w:cs="宋体"/>
                <w:sz w:val="24"/>
                <w:szCs w:val="24"/>
              </w:rPr>
            </w:pPr>
          </w:p>
        </w:tc>
        <w:tc>
          <w:tcPr>
            <w:tcW w:w="2861" w:type="dxa"/>
          </w:tcPr>
          <w:p>
            <w:pPr>
              <w:spacing w:line="300" w:lineRule="exact"/>
              <w:rPr>
                <w:rFonts w:ascii="宋体" w:hAnsi="宋体" w:cs="宋体"/>
                <w:sz w:val="24"/>
                <w:szCs w:val="24"/>
              </w:rPr>
            </w:pPr>
          </w:p>
        </w:tc>
        <w:tc>
          <w:tcPr>
            <w:tcW w:w="993" w:type="dxa"/>
          </w:tcPr>
          <w:p>
            <w:pPr>
              <w:spacing w:line="300" w:lineRule="exact"/>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exact"/>
          <w:jc w:val="center"/>
        </w:trPr>
        <w:tc>
          <w:tcPr>
            <w:tcW w:w="1123" w:type="dxa"/>
          </w:tcPr>
          <w:p>
            <w:pPr>
              <w:spacing w:line="300" w:lineRule="exact"/>
              <w:jc w:val="center"/>
              <w:rPr>
                <w:rFonts w:ascii="宋体" w:hAnsi="宋体" w:eastAsia="宋体" w:cs="宋体"/>
                <w:sz w:val="24"/>
                <w:szCs w:val="24"/>
              </w:rPr>
            </w:pPr>
            <w:r>
              <w:rPr>
                <w:rFonts w:hint="eastAsia" w:ascii="宋体" w:hAnsi="宋体" w:eastAsia="宋体" w:cs="宋体"/>
                <w:sz w:val="24"/>
                <w:szCs w:val="24"/>
              </w:rPr>
              <w:t>3</w:t>
            </w:r>
          </w:p>
        </w:tc>
        <w:tc>
          <w:tcPr>
            <w:tcW w:w="3843" w:type="dxa"/>
          </w:tcPr>
          <w:p>
            <w:pPr>
              <w:spacing w:line="300" w:lineRule="exact"/>
              <w:rPr>
                <w:rFonts w:ascii="宋体" w:hAnsi="宋体" w:cs="宋体"/>
                <w:sz w:val="24"/>
                <w:szCs w:val="24"/>
              </w:rPr>
            </w:pPr>
          </w:p>
        </w:tc>
        <w:tc>
          <w:tcPr>
            <w:tcW w:w="2861" w:type="dxa"/>
          </w:tcPr>
          <w:p>
            <w:pPr>
              <w:spacing w:line="300" w:lineRule="exact"/>
              <w:rPr>
                <w:rFonts w:ascii="宋体" w:hAnsi="宋体" w:cs="宋体"/>
                <w:sz w:val="24"/>
                <w:szCs w:val="24"/>
              </w:rPr>
            </w:pPr>
          </w:p>
        </w:tc>
        <w:tc>
          <w:tcPr>
            <w:tcW w:w="993" w:type="dxa"/>
          </w:tcPr>
          <w:p>
            <w:pPr>
              <w:spacing w:line="300" w:lineRule="exact"/>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1123" w:type="dxa"/>
          </w:tcPr>
          <w:p>
            <w:pPr>
              <w:spacing w:line="300" w:lineRule="exact"/>
              <w:jc w:val="center"/>
              <w:rPr>
                <w:rFonts w:ascii="宋体" w:hAnsi="宋体" w:eastAsia="宋体" w:cs="宋体"/>
                <w:sz w:val="24"/>
                <w:szCs w:val="24"/>
              </w:rPr>
            </w:pPr>
            <w:r>
              <w:rPr>
                <w:rFonts w:hint="eastAsia" w:ascii="宋体" w:hAnsi="宋体" w:eastAsia="宋体" w:cs="宋体"/>
                <w:sz w:val="24"/>
                <w:szCs w:val="24"/>
              </w:rPr>
              <w:t>4</w:t>
            </w:r>
          </w:p>
        </w:tc>
        <w:tc>
          <w:tcPr>
            <w:tcW w:w="3843" w:type="dxa"/>
          </w:tcPr>
          <w:p>
            <w:pPr>
              <w:spacing w:line="300" w:lineRule="exact"/>
              <w:rPr>
                <w:rFonts w:ascii="宋体" w:hAnsi="宋体" w:cs="宋体"/>
                <w:sz w:val="24"/>
                <w:szCs w:val="24"/>
              </w:rPr>
            </w:pPr>
          </w:p>
        </w:tc>
        <w:tc>
          <w:tcPr>
            <w:tcW w:w="2861" w:type="dxa"/>
          </w:tcPr>
          <w:p>
            <w:pPr>
              <w:spacing w:line="300" w:lineRule="exact"/>
              <w:rPr>
                <w:rFonts w:ascii="宋体" w:hAnsi="宋体" w:cs="宋体"/>
                <w:sz w:val="24"/>
                <w:szCs w:val="24"/>
              </w:rPr>
            </w:pPr>
          </w:p>
        </w:tc>
        <w:tc>
          <w:tcPr>
            <w:tcW w:w="993" w:type="dxa"/>
          </w:tcPr>
          <w:p>
            <w:pPr>
              <w:spacing w:line="300" w:lineRule="exact"/>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exact"/>
          <w:jc w:val="center"/>
        </w:trPr>
        <w:tc>
          <w:tcPr>
            <w:tcW w:w="1123" w:type="dxa"/>
          </w:tcPr>
          <w:p>
            <w:pPr>
              <w:spacing w:line="300" w:lineRule="exact"/>
              <w:jc w:val="center"/>
              <w:rPr>
                <w:rFonts w:ascii="宋体" w:hAnsi="宋体" w:eastAsia="宋体" w:cs="宋体"/>
                <w:sz w:val="24"/>
                <w:szCs w:val="24"/>
              </w:rPr>
            </w:pPr>
            <w:r>
              <w:rPr>
                <w:rFonts w:hint="eastAsia" w:ascii="宋体" w:hAnsi="宋体" w:eastAsia="宋体" w:cs="宋体"/>
                <w:sz w:val="24"/>
                <w:szCs w:val="24"/>
              </w:rPr>
              <w:t>5</w:t>
            </w:r>
          </w:p>
        </w:tc>
        <w:tc>
          <w:tcPr>
            <w:tcW w:w="3843" w:type="dxa"/>
          </w:tcPr>
          <w:p>
            <w:pPr>
              <w:spacing w:line="300" w:lineRule="exact"/>
              <w:rPr>
                <w:rFonts w:ascii="宋体" w:hAnsi="宋体" w:cs="宋体"/>
                <w:sz w:val="24"/>
                <w:szCs w:val="24"/>
              </w:rPr>
            </w:pPr>
          </w:p>
        </w:tc>
        <w:tc>
          <w:tcPr>
            <w:tcW w:w="2861" w:type="dxa"/>
          </w:tcPr>
          <w:p>
            <w:pPr>
              <w:spacing w:line="300" w:lineRule="exact"/>
              <w:rPr>
                <w:rFonts w:ascii="宋体" w:hAnsi="宋体" w:cs="宋体"/>
                <w:sz w:val="24"/>
                <w:szCs w:val="24"/>
              </w:rPr>
            </w:pPr>
          </w:p>
        </w:tc>
        <w:tc>
          <w:tcPr>
            <w:tcW w:w="993" w:type="dxa"/>
          </w:tcPr>
          <w:p>
            <w:pPr>
              <w:spacing w:line="300" w:lineRule="exact"/>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1123" w:type="dxa"/>
          </w:tcPr>
          <w:p>
            <w:pPr>
              <w:spacing w:line="300" w:lineRule="exact"/>
              <w:jc w:val="center"/>
              <w:rPr>
                <w:rFonts w:ascii="宋体" w:hAnsi="宋体" w:eastAsia="宋体" w:cs="宋体"/>
                <w:sz w:val="24"/>
                <w:szCs w:val="24"/>
              </w:rPr>
            </w:pPr>
            <w:r>
              <w:rPr>
                <w:rFonts w:hint="eastAsia" w:ascii="宋体" w:hAnsi="宋体" w:eastAsia="宋体" w:cs="宋体"/>
                <w:sz w:val="24"/>
                <w:szCs w:val="24"/>
              </w:rPr>
              <w:t>6</w:t>
            </w:r>
          </w:p>
        </w:tc>
        <w:tc>
          <w:tcPr>
            <w:tcW w:w="3843" w:type="dxa"/>
          </w:tcPr>
          <w:p>
            <w:pPr>
              <w:spacing w:line="300" w:lineRule="exact"/>
              <w:rPr>
                <w:rFonts w:ascii="宋体" w:hAnsi="宋体" w:cs="宋体"/>
                <w:sz w:val="24"/>
                <w:szCs w:val="24"/>
              </w:rPr>
            </w:pPr>
          </w:p>
        </w:tc>
        <w:tc>
          <w:tcPr>
            <w:tcW w:w="2861" w:type="dxa"/>
          </w:tcPr>
          <w:p>
            <w:pPr>
              <w:spacing w:line="300" w:lineRule="exact"/>
              <w:rPr>
                <w:rFonts w:ascii="宋体" w:hAnsi="宋体" w:cs="宋体"/>
                <w:sz w:val="24"/>
                <w:szCs w:val="24"/>
              </w:rPr>
            </w:pPr>
          </w:p>
        </w:tc>
        <w:tc>
          <w:tcPr>
            <w:tcW w:w="993" w:type="dxa"/>
          </w:tcPr>
          <w:p>
            <w:pPr>
              <w:spacing w:line="300" w:lineRule="exact"/>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exact"/>
          <w:jc w:val="center"/>
        </w:trPr>
        <w:tc>
          <w:tcPr>
            <w:tcW w:w="1123" w:type="dxa"/>
          </w:tcPr>
          <w:p>
            <w:pPr>
              <w:spacing w:line="300" w:lineRule="exact"/>
              <w:jc w:val="center"/>
              <w:rPr>
                <w:rFonts w:ascii="宋体" w:hAnsi="宋体" w:eastAsia="宋体" w:cs="宋体"/>
                <w:sz w:val="24"/>
                <w:szCs w:val="24"/>
              </w:rPr>
            </w:pPr>
            <w:r>
              <w:rPr>
                <w:rFonts w:hint="eastAsia" w:ascii="宋体" w:hAnsi="宋体" w:eastAsia="宋体" w:cs="宋体"/>
                <w:sz w:val="24"/>
                <w:szCs w:val="24"/>
              </w:rPr>
              <w:t>7</w:t>
            </w:r>
          </w:p>
        </w:tc>
        <w:tc>
          <w:tcPr>
            <w:tcW w:w="3843" w:type="dxa"/>
          </w:tcPr>
          <w:p>
            <w:pPr>
              <w:spacing w:line="300" w:lineRule="exact"/>
              <w:rPr>
                <w:rFonts w:ascii="宋体" w:hAnsi="宋体" w:cs="宋体"/>
                <w:sz w:val="24"/>
                <w:szCs w:val="24"/>
              </w:rPr>
            </w:pPr>
          </w:p>
        </w:tc>
        <w:tc>
          <w:tcPr>
            <w:tcW w:w="2861" w:type="dxa"/>
          </w:tcPr>
          <w:p>
            <w:pPr>
              <w:spacing w:line="300" w:lineRule="exact"/>
              <w:rPr>
                <w:rFonts w:ascii="宋体" w:hAnsi="宋体" w:cs="宋体"/>
                <w:sz w:val="24"/>
                <w:szCs w:val="24"/>
              </w:rPr>
            </w:pPr>
          </w:p>
        </w:tc>
        <w:tc>
          <w:tcPr>
            <w:tcW w:w="993" w:type="dxa"/>
          </w:tcPr>
          <w:p>
            <w:pPr>
              <w:spacing w:line="300" w:lineRule="exact"/>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exact"/>
          <w:jc w:val="center"/>
        </w:trPr>
        <w:tc>
          <w:tcPr>
            <w:tcW w:w="1123" w:type="dxa"/>
          </w:tcPr>
          <w:p>
            <w:pPr>
              <w:spacing w:line="300" w:lineRule="exact"/>
              <w:jc w:val="center"/>
              <w:rPr>
                <w:rFonts w:ascii="宋体" w:hAnsi="宋体" w:eastAsia="宋体" w:cs="宋体"/>
                <w:sz w:val="24"/>
                <w:szCs w:val="24"/>
              </w:rPr>
            </w:pPr>
            <w:r>
              <w:rPr>
                <w:rFonts w:hint="eastAsia" w:ascii="宋体" w:hAnsi="宋体" w:eastAsia="宋体" w:cs="宋体"/>
                <w:sz w:val="24"/>
                <w:szCs w:val="24"/>
              </w:rPr>
              <w:t>8</w:t>
            </w:r>
          </w:p>
        </w:tc>
        <w:tc>
          <w:tcPr>
            <w:tcW w:w="3843" w:type="dxa"/>
          </w:tcPr>
          <w:p>
            <w:pPr>
              <w:spacing w:line="300" w:lineRule="exact"/>
              <w:rPr>
                <w:rFonts w:ascii="宋体" w:hAnsi="宋体" w:cs="宋体"/>
                <w:sz w:val="24"/>
                <w:szCs w:val="24"/>
              </w:rPr>
            </w:pPr>
          </w:p>
        </w:tc>
        <w:tc>
          <w:tcPr>
            <w:tcW w:w="2861" w:type="dxa"/>
          </w:tcPr>
          <w:p>
            <w:pPr>
              <w:spacing w:line="300" w:lineRule="exact"/>
              <w:rPr>
                <w:rFonts w:ascii="宋体" w:hAnsi="宋体" w:cs="宋体"/>
                <w:sz w:val="24"/>
                <w:szCs w:val="24"/>
              </w:rPr>
            </w:pPr>
          </w:p>
        </w:tc>
        <w:tc>
          <w:tcPr>
            <w:tcW w:w="993" w:type="dxa"/>
          </w:tcPr>
          <w:p>
            <w:pPr>
              <w:spacing w:line="300" w:lineRule="exact"/>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exact"/>
          <w:jc w:val="center"/>
        </w:trPr>
        <w:tc>
          <w:tcPr>
            <w:tcW w:w="1123" w:type="dxa"/>
          </w:tcPr>
          <w:p>
            <w:pPr>
              <w:spacing w:line="300" w:lineRule="exact"/>
              <w:jc w:val="center"/>
              <w:rPr>
                <w:rFonts w:ascii="宋体" w:hAnsi="宋体" w:eastAsia="宋体" w:cs="宋体"/>
                <w:sz w:val="24"/>
                <w:szCs w:val="24"/>
              </w:rPr>
            </w:pPr>
            <w:r>
              <w:rPr>
                <w:rFonts w:hint="eastAsia" w:ascii="宋体" w:hAnsi="宋体" w:eastAsia="宋体" w:cs="宋体"/>
                <w:sz w:val="24"/>
                <w:szCs w:val="24"/>
              </w:rPr>
              <w:t>……</w:t>
            </w:r>
          </w:p>
        </w:tc>
        <w:tc>
          <w:tcPr>
            <w:tcW w:w="3843" w:type="dxa"/>
          </w:tcPr>
          <w:p>
            <w:pPr>
              <w:spacing w:line="300" w:lineRule="exact"/>
              <w:rPr>
                <w:rFonts w:ascii="宋体" w:hAnsi="宋体" w:cs="宋体"/>
                <w:sz w:val="24"/>
                <w:szCs w:val="24"/>
              </w:rPr>
            </w:pPr>
          </w:p>
        </w:tc>
        <w:tc>
          <w:tcPr>
            <w:tcW w:w="2861" w:type="dxa"/>
          </w:tcPr>
          <w:p>
            <w:pPr>
              <w:spacing w:line="300" w:lineRule="exact"/>
              <w:rPr>
                <w:rFonts w:ascii="宋体" w:hAnsi="宋体" w:cs="宋体"/>
                <w:sz w:val="24"/>
                <w:szCs w:val="24"/>
              </w:rPr>
            </w:pPr>
          </w:p>
        </w:tc>
        <w:tc>
          <w:tcPr>
            <w:tcW w:w="993" w:type="dxa"/>
          </w:tcPr>
          <w:p>
            <w:pPr>
              <w:spacing w:line="300" w:lineRule="exact"/>
              <w:rPr>
                <w:rFonts w:ascii="宋体" w:hAnsi="宋体" w:cs="宋体"/>
                <w:sz w:val="24"/>
                <w:szCs w:val="24"/>
              </w:rPr>
            </w:pPr>
          </w:p>
        </w:tc>
      </w:tr>
    </w:tbl>
    <w:p>
      <w:pPr>
        <w:spacing w:line="400" w:lineRule="exact"/>
        <w:jc w:val="left"/>
        <w:rPr>
          <w:rFonts w:ascii="宋体" w:hAnsi="宋体" w:eastAsia="宋体" w:cs="宋体"/>
          <w:sz w:val="21"/>
          <w:szCs w:val="21"/>
        </w:rPr>
      </w:pPr>
      <w:r>
        <w:rPr>
          <w:rFonts w:hint="eastAsia" w:ascii="宋体" w:hAnsi="宋体" w:eastAsia="宋体" w:cs="宋体"/>
          <w:sz w:val="21"/>
          <w:szCs w:val="21"/>
        </w:rPr>
        <w:t>备注：1.项目资金末端分配点位包括州本级、县（市）、州级部门下属单位及一次性单位等。</w:t>
      </w:r>
    </w:p>
    <w:p>
      <w:pPr>
        <w:spacing w:line="400" w:lineRule="exact"/>
        <w:ind w:firstLine="630" w:firstLineChars="300"/>
        <w:jc w:val="left"/>
        <w:rPr>
          <w:rFonts w:ascii="宋体" w:hAnsi="宋体" w:eastAsia="宋体" w:cs="宋体"/>
          <w:sz w:val="21"/>
          <w:szCs w:val="21"/>
        </w:rPr>
      </w:pPr>
      <w:r>
        <w:rPr>
          <w:rFonts w:hint="eastAsia" w:ascii="宋体" w:hAnsi="宋体" w:eastAsia="宋体" w:cs="宋体"/>
          <w:sz w:val="21"/>
          <w:szCs w:val="21"/>
        </w:rPr>
        <w:t>2.自评得分（百分制）从高到低划分为优、良、中、差四个档次，各个档次数量占比分别为20%、20%、55%、5%，且不同档次间得分分值应体现差异化，同档次得分分值相同的比例不超过该档次总数量的10%。</w:t>
      </w:r>
    </w:p>
    <w:p>
      <w:pPr>
        <w:rPr>
          <w:szCs w:val="24"/>
        </w:rPr>
      </w:pPr>
      <w:r>
        <w:rPr>
          <w:rFonts w:hint="eastAsia"/>
          <w:szCs w:val="24"/>
        </w:rPr>
        <w:br w:type="page"/>
      </w:r>
    </w:p>
    <w:p>
      <w:pPr>
        <w:pStyle w:val="14"/>
        <w:spacing w:after="0" w:line="578" w:lineRule="exact"/>
        <w:ind w:left="0" w:leftChars="0" w:firstLine="0" w:firstLineChars="0"/>
        <w:rPr>
          <w:rFonts w:ascii="Times New Roman" w:eastAsia="黑体"/>
          <w:szCs w:val="24"/>
        </w:rPr>
      </w:pPr>
      <w:r>
        <w:rPr>
          <w:rFonts w:ascii="Times New Roman" w:eastAsia="黑体"/>
          <w:szCs w:val="24"/>
        </w:rPr>
        <w:t>附表2</w:t>
      </w:r>
    </w:p>
    <w:tbl>
      <w:tblPr>
        <w:tblStyle w:val="16"/>
        <w:tblW w:w="10233" w:type="dxa"/>
        <w:jc w:val="center"/>
        <w:tblLayout w:type="fixed"/>
        <w:tblCellMar>
          <w:top w:w="15" w:type="dxa"/>
          <w:left w:w="15" w:type="dxa"/>
          <w:bottom w:w="15" w:type="dxa"/>
          <w:right w:w="15" w:type="dxa"/>
        </w:tblCellMar>
      </w:tblPr>
      <w:tblGrid>
        <w:gridCol w:w="785"/>
        <w:gridCol w:w="785"/>
        <w:gridCol w:w="1097"/>
        <w:gridCol w:w="2400"/>
        <w:gridCol w:w="1023"/>
        <w:gridCol w:w="786"/>
        <w:gridCol w:w="786"/>
        <w:gridCol w:w="1162"/>
        <w:gridCol w:w="1409"/>
      </w:tblGrid>
      <w:tr>
        <w:tblPrEx>
          <w:tblCellMar>
            <w:top w:w="15" w:type="dxa"/>
            <w:left w:w="15" w:type="dxa"/>
            <w:bottom w:w="15" w:type="dxa"/>
            <w:right w:w="15" w:type="dxa"/>
          </w:tblCellMar>
        </w:tblPrEx>
        <w:trPr>
          <w:trHeight w:val="576" w:hRule="atLeast"/>
          <w:jc w:val="center"/>
        </w:trPr>
        <w:tc>
          <w:tcPr>
            <w:tcW w:w="10233" w:type="dxa"/>
            <w:gridSpan w:val="9"/>
            <w:shd w:val="clear" w:color="auto" w:fill="auto"/>
            <w:vAlign w:val="center"/>
          </w:tcPr>
          <w:p>
            <w:pPr>
              <w:widowControl/>
              <w:jc w:val="center"/>
              <w:textAlignment w:val="center"/>
              <w:rPr>
                <w:rFonts w:ascii="黑体" w:hAnsi="宋体" w:eastAsia="黑体" w:cs="黑体"/>
                <w:color w:val="000000"/>
                <w:sz w:val="30"/>
                <w:szCs w:val="30"/>
              </w:rPr>
            </w:pPr>
            <w:r>
              <w:rPr>
                <w:rFonts w:ascii="方正小标宋简体" w:hAnsi="方正小标宋简体" w:eastAsia="方正小标宋简体" w:cs="方正小标宋简体"/>
                <w:color w:val="000000"/>
                <w:kern w:val="0"/>
                <w:sz w:val="40"/>
                <w:szCs w:val="40"/>
              </w:rPr>
              <w:t>专项预算项目绩效目标完成情况自评表</w:t>
            </w:r>
          </w:p>
        </w:tc>
      </w:tr>
      <w:tr>
        <w:tblPrEx>
          <w:tblCellMar>
            <w:top w:w="15" w:type="dxa"/>
            <w:left w:w="15" w:type="dxa"/>
            <w:bottom w:w="15" w:type="dxa"/>
            <w:right w:w="15" w:type="dxa"/>
          </w:tblCellMar>
        </w:tblPrEx>
        <w:trPr>
          <w:trHeight w:val="23" w:hRule="atLeast"/>
          <w:jc w:val="center"/>
        </w:trPr>
        <w:tc>
          <w:tcPr>
            <w:tcW w:w="506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项目名称</w:t>
            </w:r>
          </w:p>
        </w:tc>
        <w:tc>
          <w:tcPr>
            <w:tcW w:w="5166" w:type="dxa"/>
            <w:gridSpan w:val="5"/>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textAlignment w:val="bottom"/>
              <w:rPr>
                <w:rFonts w:ascii="宋体" w:hAnsi="宋体" w:eastAsia="宋体" w:cs="宋体"/>
                <w:color w:val="000000"/>
                <w:sz w:val="24"/>
                <w:szCs w:val="24"/>
              </w:rPr>
            </w:pPr>
            <w:r>
              <w:rPr>
                <w:rFonts w:hint="eastAsia" w:ascii="宋体" w:hAnsi="宋体" w:eastAsia="宋体" w:cs="宋体"/>
                <w:color w:val="000000"/>
                <w:kern w:val="0"/>
                <w:sz w:val="24"/>
                <w:szCs w:val="24"/>
              </w:rPr>
              <w:t>202</w:t>
            </w:r>
            <w:r>
              <w:rPr>
                <w:rFonts w:hint="eastAsia" w:ascii="宋体" w:hAnsi="宋体" w:eastAsia="宋体" w:cs="宋体"/>
                <w:color w:val="000000"/>
                <w:kern w:val="0"/>
                <w:sz w:val="24"/>
                <w:szCs w:val="24"/>
                <w:lang w:val="en-US" w:eastAsia="zh-CN"/>
              </w:rPr>
              <w:t>4</w:t>
            </w:r>
            <w:r>
              <w:rPr>
                <w:rFonts w:hint="eastAsia" w:ascii="宋体" w:hAnsi="宋体" w:eastAsia="宋体" w:cs="宋体"/>
                <w:color w:val="000000"/>
                <w:kern w:val="0"/>
                <w:sz w:val="24"/>
                <w:szCs w:val="24"/>
              </w:rPr>
              <w:t>年浙江省对口支援茂县创业能力提升培训项目</w:t>
            </w:r>
          </w:p>
        </w:tc>
      </w:tr>
      <w:tr>
        <w:tblPrEx>
          <w:tblCellMar>
            <w:top w:w="15" w:type="dxa"/>
            <w:left w:w="15" w:type="dxa"/>
            <w:bottom w:w="15" w:type="dxa"/>
            <w:right w:w="15" w:type="dxa"/>
          </w:tblCellMar>
        </w:tblPrEx>
        <w:trPr>
          <w:trHeight w:val="23" w:hRule="atLeast"/>
          <w:jc w:val="center"/>
        </w:trPr>
        <w:tc>
          <w:tcPr>
            <w:tcW w:w="506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预算单位</w:t>
            </w:r>
          </w:p>
        </w:tc>
        <w:tc>
          <w:tcPr>
            <w:tcW w:w="5166" w:type="dxa"/>
            <w:gridSpan w:val="5"/>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textAlignment w:val="bottom"/>
              <w:rPr>
                <w:rFonts w:hint="eastAsia" w:ascii="宋体" w:hAnsi="宋体" w:eastAsia="宋体" w:cs="宋体"/>
                <w:color w:val="000000"/>
                <w:sz w:val="24"/>
                <w:szCs w:val="24"/>
                <w:lang w:eastAsia="zh-CN"/>
              </w:rPr>
            </w:pPr>
            <w:r>
              <w:rPr>
                <w:rFonts w:hint="eastAsia" w:ascii="宋体" w:hAnsi="宋体" w:cs="宋体"/>
                <w:color w:val="000000"/>
                <w:kern w:val="0"/>
                <w:sz w:val="24"/>
                <w:szCs w:val="24"/>
                <w:lang w:eastAsia="zh-CN"/>
              </w:rPr>
              <w:t>茂县就业服务中心</w:t>
            </w:r>
          </w:p>
        </w:tc>
      </w:tr>
      <w:tr>
        <w:tblPrEx>
          <w:tblCellMar>
            <w:top w:w="15" w:type="dxa"/>
            <w:left w:w="15" w:type="dxa"/>
            <w:bottom w:w="15" w:type="dxa"/>
            <w:right w:w="15" w:type="dxa"/>
          </w:tblCellMar>
        </w:tblPrEx>
        <w:trPr>
          <w:trHeight w:val="23" w:hRule="atLeast"/>
          <w:jc w:val="center"/>
        </w:trPr>
        <w:tc>
          <w:tcPr>
            <w:tcW w:w="506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项目类型</w:t>
            </w:r>
          </w:p>
        </w:tc>
        <w:tc>
          <w:tcPr>
            <w:tcW w:w="5166" w:type="dxa"/>
            <w:gridSpan w:val="5"/>
            <w:tcBorders>
              <w:top w:val="single" w:color="000000" w:sz="4" w:space="0"/>
              <w:left w:val="single" w:color="000000" w:sz="4" w:space="0"/>
              <w:bottom w:val="single" w:color="000000" w:sz="4" w:space="0"/>
              <w:right w:val="single" w:color="000000" w:sz="4" w:space="0"/>
            </w:tcBorders>
            <w:shd w:val="clear" w:color="auto" w:fill="auto"/>
            <w:vAlign w:val="bottom"/>
          </w:tcPr>
          <w:p>
            <w:pPr>
              <w:jc w:val="left"/>
              <w:rPr>
                <w:rFonts w:ascii="宋体" w:hAnsi="宋体" w:eastAsia="宋体" w:cs="宋体"/>
                <w:color w:val="000000"/>
                <w:sz w:val="24"/>
                <w:szCs w:val="24"/>
              </w:rPr>
            </w:pPr>
          </w:p>
        </w:tc>
      </w:tr>
      <w:tr>
        <w:tblPrEx>
          <w:tblCellMar>
            <w:top w:w="15" w:type="dxa"/>
            <w:left w:w="15" w:type="dxa"/>
            <w:bottom w:w="15" w:type="dxa"/>
            <w:right w:w="15" w:type="dxa"/>
          </w:tblCellMar>
        </w:tblPrEx>
        <w:trPr>
          <w:trHeight w:val="23" w:hRule="atLeast"/>
          <w:jc w:val="center"/>
        </w:trPr>
        <w:tc>
          <w:tcPr>
            <w:tcW w:w="7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项目 概况</w:t>
            </w:r>
          </w:p>
        </w:tc>
        <w:tc>
          <w:tcPr>
            <w:tcW w:w="428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中长期规划（名称、文号，仅指</w:t>
            </w:r>
          </w:p>
        </w:tc>
        <w:tc>
          <w:tcPr>
            <w:tcW w:w="5166"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eastAsia="宋体" w:cs="宋体"/>
                <w:color w:val="000000"/>
                <w:sz w:val="24"/>
                <w:szCs w:val="24"/>
              </w:rPr>
            </w:pPr>
          </w:p>
        </w:tc>
      </w:tr>
      <w:tr>
        <w:tblPrEx>
          <w:tblCellMar>
            <w:top w:w="15" w:type="dxa"/>
            <w:left w:w="15" w:type="dxa"/>
            <w:bottom w:w="15" w:type="dxa"/>
            <w:right w:w="15" w:type="dxa"/>
          </w:tblCellMar>
        </w:tblPrEx>
        <w:trPr>
          <w:trHeight w:val="23" w:hRule="atLeast"/>
          <w:jc w:val="center"/>
        </w:trPr>
        <w:tc>
          <w:tcPr>
            <w:tcW w:w="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szCs w:val="24"/>
              </w:rPr>
            </w:pPr>
          </w:p>
        </w:tc>
        <w:tc>
          <w:tcPr>
            <w:tcW w:w="428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常年项目）</w:t>
            </w:r>
          </w:p>
        </w:tc>
        <w:tc>
          <w:tcPr>
            <w:tcW w:w="5166"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jc w:val="left"/>
              <w:rPr>
                <w:rFonts w:ascii="宋体" w:hAnsi="宋体" w:eastAsia="宋体" w:cs="宋体"/>
                <w:color w:val="000000"/>
                <w:sz w:val="24"/>
                <w:szCs w:val="24"/>
              </w:rPr>
            </w:pPr>
          </w:p>
        </w:tc>
      </w:tr>
      <w:tr>
        <w:tblPrEx>
          <w:tblCellMar>
            <w:top w:w="15" w:type="dxa"/>
            <w:left w:w="15" w:type="dxa"/>
            <w:bottom w:w="15" w:type="dxa"/>
            <w:right w:w="15" w:type="dxa"/>
          </w:tblCellMar>
        </w:tblPrEx>
        <w:trPr>
          <w:trHeight w:val="23" w:hRule="atLeast"/>
          <w:jc w:val="center"/>
        </w:trPr>
        <w:tc>
          <w:tcPr>
            <w:tcW w:w="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szCs w:val="24"/>
              </w:rPr>
            </w:pPr>
          </w:p>
        </w:tc>
        <w:tc>
          <w:tcPr>
            <w:tcW w:w="428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资金管理办法（名称、文号）</w:t>
            </w:r>
          </w:p>
        </w:tc>
        <w:tc>
          <w:tcPr>
            <w:tcW w:w="5166" w:type="dxa"/>
            <w:gridSpan w:val="5"/>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对口援建（2024）00003号</w:t>
            </w:r>
          </w:p>
        </w:tc>
      </w:tr>
      <w:tr>
        <w:tblPrEx>
          <w:tblCellMar>
            <w:top w:w="15" w:type="dxa"/>
            <w:left w:w="15" w:type="dxa"/>
            <w:bottom w:w="15" w:type="dxa"/>
            <w:right w:w="15" w:type="dxa"/>
          </w:tblCellMar>
        </w:tblPrEx>
        <w:trPr>
          <w:trHeight w:val="23" w:hRule="atLeast"/>
          <w:jc w:val="center"/>
        </w:trPr>
        <w:tc>
          <w:tcPr>
            <w:tcW w:w="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szCs w:val="24"/>
              </w:rPr>
            </w:pPr>
          </w:p>
        </w:tc>
        <w:tc>
          <w:tcPr>
            <w:tcW w:w="428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绩效分配方式</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4"/>
                <w:szCs w:val="24"/>
              </w:rPr>
            </w:pPr>
            <w:r>
              <w:rPr>
                <w:rFonts w:ascii="Wingdings 2" w:hAnsi="Wingdings 2" w:eastAsia="Wingdings 2" w:cs="Wingdings 2"/>
                <w:color w:val="000000"/>
                <w:kern w:val="0"/>
                <w:sz w:val="24"/>
                <w:szCs w:val="24"/>
              </w:rPr>
              <w:t>£</w:t>
            </w:r>
            <w:r>
              <w:rPr>
                <w:rStyle w:val="39"/>
                <w:rFonts w:hint="default"/>
              </w:rPr>
              <w:t>因素法</w:t>
            </w:r>
          </w:p>
        </w:tc>
        <w:tc>
          <w:tcPr>
            <w:tcW w:w="15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ascii="Wingdings 2" w:hAnsi="Wingdings 2" w:eastAsia="Wingdings 2" w:cs="Wingdings 2"/>
                <w:color w:val="000000"/>
                <w:kern w:val="0"/>
                <w:sz w:val="24"/>
                <w:szCs w:val="24"/>
              </w:rPr>
              <w:t>£项目法</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ascii="Wingdings 2" w:hAnsi="Wingdings 2" w:eastAsia="Wingdings 2" w:cs="Wingdings 2"/>
                <w:color w:val="000000"/>
                <w:kern w:val="0"/>
                <w:sz w:val="24"/>
                <w:szCs w:val="24"/>
              </w:rPr>
              <w:t>£</w:t>
            </w:r>
            <w:r>
              <w:rPr>
                <w:rStyle w:val="39"/>
                <w:rFonts w:hint="default"/>
              </w:rPr>
              <w:t>据实据效</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ascii="Wingdings 2" w:hAnsi="Wingdings 2" w:eastAsia="Wingdings 2" w:cs="Wingdings 2"/>
                <w:color w:val="000000"/>
                <w:kern w:val="0"/>
                <w:sz w:val="24"/>
                <w:szCs w:val="24"/>
              </w:rPr>
              <w:t>£</w:t>
            </w:r>
            <w:r>
              <w:rPr>
                <w:rStyle w:val="39"/>
                <w:rFonts w:hint="default"/>
              </w:rPr>
              <w:t>因素法与项目法相结合</w:t>
            </w:r>
          </w:p>
        </w:tc>
      </w:tr>
      <w:tr>
        <w:tblPrEx>
          <w:tblCellMar>
            <w:top w:w="15" w:type="dxa"/>
            <w:left w:w="15" w:type="dxa"/>
            <w:bottom w:w="15" w:type="dxa"/>
            <w:right w:w="15" w:type="dxa"/>
          </w:tblCellMar>
        </w:tblPrEx>
        <w:trPr>
          <w:trHeight w:val="23" w:hRule="atLeast"/>
          <w:jc w:val="center"/>
        </w:trPr>
        <w:tc>
          <w:tcPr>
            <w:tcW w:w="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szCs w:val="24"/>
              </w:rPr>
            </w:pPr>
          </w:p>
        </w:tc>
        <w:tc>
          <w:tcPr>
            <w:tcW w:w="428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立项依据</w:t>
            </w:r>
          </w:p>
        </w:tc>
        <w:tc>
          <w:tcPr>
            <w:tcW w:w="5166" w:type="dxa"/>
            <w:gridSpan w:val="5"/>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eastAsia="宋体" w:cs="宋体"/>
                <w:color w:val="000000"/>
                <w:sz w:val="24"/>
                <w:szCs w:val="24"/>
              </w:rPr>
            </w:pPr>
          </w:p>
        </w:tc>
      </w:tr>
      <w:tr>
        <w:tblPrEx>
          <w:tblCellMar>
            <w:top w:w="15" w:type="dxa"/>
            <w:left w:w="15" w:type="dxa"/>
            <w:bottom w:w="15" w:type="dxa"/>
            <w:right w:w="15" w:type="dxa"/>
          </w:tblCellMar>
        </w:tblPrEx>
        <w:trPr>
          <w:trHeight w:val="23" w:hRule="atLeast"/>
          <w:jc w:val="center"/>
        </w:trPr>
        <w:tc>
          <w:tcPr>
            <w:tcW w:w="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szCs w:val="24"/>
              </w:rPr>
            </w:pPr>
          </w:p>
        </w:tc>
        <w:tc>
          <w:tcPr>
            <w:tcW w:w="428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使用范围</w:t>
            </w:r>
          </w:p>
        </w:tc>
        <w:tc>
          <w:tcPr>
            <w:tcW w:w="5166" w:type="dxa"/>
            <w:gridSpan w:val="5"/>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eastAsia="宋体" w:cs="宋体"/>
                <w:color w:val="000000"/>
                <w:sz w:val="24"/>
                <w:szCs w:val="24"/>
              </w:rPr>
            </w:pPr>
            <w:r>
              <w:rPr>
                <w:rFonts w:hint="eastAsia" w:ascii="宋体" w:hAnsi="宋体" w:eastAsia="宋体" w:cs="宋体"/>
                <w:color w:val="000000"/>
                <w:kern w:val="0"/>
                <w:sz w:val="24"/>
                <w:szCs w:val="24"/>
              </w:rPr>
              <w:t>用于就业创业政策宣传、实用技术培训、招聘活动、劳务输出、稳定就业补助、创业大赛</w:t>
            </w:r>
            <w:r>
              <w:rPr>
                <w:rFonts w:hint="eastAsia" w:ascii="宋体" w:hAnsi="宋体" w:eastAsia="宋体" w:cs="宋体"/>
                <w:color w:val="000000"/>
                <w:kern w:val="0"/>
                <w:sz w:val="24"/>
                <w:szCs w:val="24"/>
                <w:lang w:eastAsia="zh-CN"/>
              </w:rPr>
              <w:t>、美食大赛</w:t>
            </w:r>
            <w:r>
              <w:rPr>
                <w:rFonts w:hint="eastAsia" w:ascii="宋体" w:hAnsi="宋体" w:eastAsia="宋体" w:cs="宋体"/>
                <w:color w:val="000000"/>
                <w:kern w:val="0"/>
                <w:sz w:val="24"/>
                <w:szCs w:val="24"/>
              </w:rPr>
              <w:t>等支出项目。</w:t>
            </w:r>
          </w:p>
        </w:tc>
      </w:tr>
      <w:tr>
        <w:tblPrEx>
          <w:tblCellMar>
            <w:top w:w="15" w:type="dxa"/>
            <w:left w:w="15" w:type="dxa"/>
            <w:bottom w:w="15" w:type="dxa"/>
            <w:right w:w="15" w:type="dxa"/>
          </w:tblCellMar>
        </w:tblPrEx>
        <w:trPr>
          <w:trHeight w:val="23" w:hRule="atLeast"/>
          <w:jc w:val="center"/>
        </w:trPr>
        <w:tc>
          <w:tcPr>
            <w:tcW w:w="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szCs w:val="24"/>
              </w:rPr>
            </w:pPr>
          </w:p>
        </w:tc>
        <w:tc>
          <w:tcPr>
            <w:tcW w:w="428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申报（补助）条件</w:t>
            </w:r>
          </w:p>
        </w:tc>
        <w:tc>
          <w:tcPr>
            <w:tcW w:w="5166" w:type="dxa"/>
            <w:gridSpan w:val="5"/>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eastAsia="宋体" w:cs="宋体"/>
                <w:color w:val="000000"/>
                <w:sz w:val="24"/>
                <w:szCs w:val="24"/>
              </w:rPr>
            </w:pPr>
            <w:r>
              <w:rPr>
                <w:rFonts w:hint="eastAsia" w:ascii="宋体" w:hAnsi="宋体" w:eastAsia="宋体" w:cs="宋体"/>
                <w:color w:val="000000"/>
                <w:kern w:val="0"/>
                <w:sz w:val="24"/>
                <w:szCs w:val="24"/>
              </w:rPr>
              <w:t>按照浙江对口支援工作计划，为进一步深化对口支援工作，巩固扩大城乡劳动力转移就业，促进更多城乡劳动力外出就业，提高就业收入，持续深化对口支援促进就业增收工作，根据《茂县人力资源和社会保障局202</w:t>
            </w:r>
            <w:r>
              <w:rPr>
                <w:rFonts w:hint="eastAsia" w:ascii="宋体" w:hAnsi="宋体" w:eastAsia="宋体" w:cs="宋体"/>
                <w:color w:val="000000"/>
                <w:kern w:val="0"/>
                <w:sz w:val="24"/>
                <w:szCs w:val="24"/>
                <w:lang w:val="en-US" w:eastAsia="zh-CN"/>
              </w:rPr>
              <w:t>4</w:t>
            </w:r>
            <w:r>
              <w:rPr>
                <w:rFonts w:hint="eastAsia" w:ascii="宋体" w:hAnsi="宋体" w:eastAsia="宋体" w:cs="宋体"/>
                <w:color w:val="000000"/>
                <w:kern w:val="0"/>
                <w:sz w:val="24"/>
                <w:szCs w:val="24"/>
              </w:rPr>
              <w:t>年浙江省对口支援茂县创业能力提升培训项目实施方案》，项目资金主要用于就业创业政策宣传、实用技术培训、招聘活动、劳务输出、稳定就业补助、创业大赛</w:t>
            </w:r>
            <w:r>
              <w:rPr>
                <w:rFonts w:hint="eastAsia" w:ascii="宋体" w:hAnsi="宋体" w:eastAsia="宋体" w:cs="宋体"/>
                <w:color w:val="000000"/>
                <w:kern w:val="0"/>
                <w:sz w:val="24"/>
                <w:szCs w:val="24"/>
                <w:lang w:eastAsia="zh-CN"/>
              </w:rPr>
              <w:t>、美食大赛</w:t>
            </w:r>
            <w:r>
              <w:rPr>
                <w:rFonts w:hint="eastAsia" w:ascii="宋体" w:hAnsi="宋体" w:eastAsia="宋体" w:cs="宋体"/>
                <w:color w:val="000000"/>
                <w:kern w:val="0"/>
                <w:sz w:val="24"/>
                <w:szCs w:val="24"/>
              </w:rPr>
              <w:t>等支出项目。更好提升城乡劳动者的产业技能，提升就业创业意识，有序引导和组织劳动力创业创新，持续推进劳务精准输出。</w:t>
            </w:r>
          </w:p>
        </w:tc>
      </w:tr>
      <w:tr>
        <w:tblPrEx>
          <w:tblCellMar>
            <w:top w:w="15" w:type="dxa"/>
            <w:left w:w="15" w:type="dxa"/>
            <w:bottom w:w="15" w:type="dxa"/>
            <w:right w:w="15" w:type="dxa"/>
          </w:tblCellMar>
        </w:tblPrEx>
        <w:trPr>
          <w:trHeight w:val="23" w:hRule="atLeast"/>
          <w:jc w:val="center"/>
        </w:trPr>
        <w:tc>
          <w:tcPr>
            <w:tcW w:w="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szCs w:val="24"/>
              </w:rPr>
            </w:pPr>
          </w:p>
        </w:tc>
        <w:tc>
          <w:tcPr>
            <w:tcW w:w="428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项目起止年限</w:t>
            </w:r>
          </w:p>
        </w:tc>
        <w:tc>
          <w:tcPr>
            <w:tcW w:w="5166" w:type="dxa"/>
            <w:gridSpan w:val="5"/>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textAlignment w:val="bottom"/>
              <w:rPr>
                <w:rFonts w:ascii="宋体" w:hAnsi="宋体" w:eastAsia="宋体" w:cs="宋体"/>
                <w:color w:val="000000"/>
                <w:sz w:val="24"/>
                <w:szCs w:val="24"/>
              </w:rPr>
            </w:pPr>
            <w:r>
              <w:rPr>
                <w:rFonts w:hint="eastAsia" w:ascii="宋体" w:hAnsi="宋体" w:eastAsia="宋体" w:cs="宋体"/>
                <w:color w:val="000000"/>
                <w:kern w:val="0"/>
                <w:sz w:val="24"/>
                <w:szCs w:val="24"/>
              </w:rPr>
              <w:t>202</w:t>
            </w:r>
            <w:r>
              <w:rPr>
                <w:rFonts w:hint="eastAsia" w:ascii="宋体" w:hAnsi="宋体" w:eastAsia="宋体" w:cs="宋体"/>
                <w:color w:val="000000"/>
                <w:kern w:val="0"/>
                <w:sz w:val="24"/>
                <w:szCs w:val="24"/>
                <w:lang w:val="en-US" w:eastAsia="zh-CN"/>
              </w:rPr>
              <w:t>4</w:t>
            </w:r>
            <w:r>
              <w:rPr>
                <w:rFonts w:hint="eastAsia" w:ascii="宋体" w:hAnsi="宋体" w:eastAsia="宋体" w:cs="宋体"/>
                <w:color w:val="000000"/>
                <w:kern w:val="0"/>
                <w:sz w:val="24"/>
                <w:szCs w:val="24"/>
              </w:rPr>
              <w:t>年1月1日-202</w:t>
            </w:r>
            <w:r>
              <w:rPr>
                <w:rFonts w:hint="eastAsia" w:ascii="宋体" w:hAnsi="宋体" w:eastAsia="宋体" w:cs="宋体"/>
                <w:color w:val="000000"/>
                <w:kern w:val="0"/>
                <w:sz w:val="24"/>
                <w:szCs w:val="24"/>
                <w:lang w:val="en-US" w:eastAsia="zh-CN"/>
              </w:rPr>
              <w:t>4</w:t>
            </w:r>
            <w:r>
              <w:rPr>
                <w:rFonts w:hint="eastAsia" w:ascii="宋体" w:hAnsi="宋体" w:eastAsia="宋体" w:cs="宋体"/>
                <w:color w:val="000000"/>
                <w:kern w:val="0"/>
                <w:sz w:val="24"/>
                <w:szCs w:val="24"/>
              </w:rPr>
              <w:t>年1</w:t>
            </w:r>
            <w:r>
              <w:rPr>
                <w:rFonts w:hint="eastAsia" w:ascii="宋体" w:hAnsi="宋体" w:eastAsia="宋体" w:cs="宋体"/>
                <w:color w:val="000000"/>
                <w:kern w:val="0"/>
                <w:sz w:val="24"/>
                <w:szCs w:val="24"/>
                <w:lang w:val="en-US" w:eastAsia="zh-CN"/>
              </w:rPr>
              <w:t>2</w:t>
            </w:r>
            <w:r>
              <w:rPr>
                <w:rFonts w:hint="eastAsia" w:ascii="宋体" w:hAnsi="宋体" w:eastAsia="宋体" w:cs="宋体"/>
                <w:color w:val="000000"/>
                <w:kern w:val="0"/>
                <w:sz w:val="24"/>
                <w:szCs w:val="24"/>
              </w:rPr>
              <w:t>月31日</w:t>
            </w:r>
          </w:p>
        </w:tc>
      </w:tr>
      <w:tr>
        <w:tblPrEx>
          <w:tblCellMar>
            <w:top w:w="15" w:type="dxa"/>
            <w:left w:w="15" w:type="dxa"/>
            <w:bottom w:w="15" w:type="dxa"/>
            <w:right w:w="15" w:type="dxa"/>
          </w:tblCellMar>
        </w:tblPrEx>
        <w:trPr>
          <w:trHeight w:val="23" w:hRule="atLeast"/>
          <w:jc w:val="center"/>
        </w:trPr>
        <w:tc>
          <w:tcPr>
            <w:tcW w:w="15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项目资金</w:t>
            </w:r>
          </w:p>
        </w:tc>
        <w:tc>
          <w:tcPr>
            <w:tcW w:w="34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 xml:space="preserve">  </w:t>
            </w:r>
            <w:r>
              <w:rPr>
                <w:rStyle w:val="39"/>
                <w:rFonts w:hint="default"/>
              </w:rPr>
              <w:t>年度资金总额：</w:t>
            </w:r>
          </w:p>
        </w:tc>
        <w:tc>
          <w:tcPr>
            <w:tcW w:w="5166" w:type="dxa"/>
            <w:gridSpan w:val="5"/>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hint="default" w:ascii="宋体" w:hAnsi="宋体" w:eastAsia="宋体" w:cs="宋体"/>
                <w:color w:val="000000"/>
                <w:sz w:val="24"/>
                <w:szCs w:val="24"/>
                <w:lang w:val="en-US" w:eastAsia="zh-CN"/>
              </w:rPr>
            </w:pPr>
            <w:r>
              <w:rPr>
                <w:rFonts w:hint="eastAsia" w:ascii="宋体" w:hAnsi="宋体" w:eastAsia="宋体" w:cs="宋体"/>
                <w:color w:val="000000"/>
                <w:kern w:val="0"/>
                <w:sz w:val="24"/>
                <w:szCs w:val="24"/>
                <w:lang w:val="en-US" w:eastAsia="zh-CN"/>
              </w:rPr>
              <w:t>220</w:t>
            </w:r>
          </w:p>
        </w:tc>
      </w:tr>
      <w:tr>
        <w:tblPrEx>
          <w:tblCellMar>
            <w:top w:w="15" w:type="dxa"/>
            <w:left w:w="15" w:type="dxa"/>
            <w:bottom w:w="15" w:type="dxa"/>
            <w:right w:w="15" w:type="dxa"/>
          </w:tblCellMar>
        </w:tblPrEx>
        <w:trPr>
          <w:trHeight w:val="23" w:hRule="atLeast"/>
          <w:jc w:val="center"/>
        </w:trPr>
        <w:tc>
          <w:tcPr>
            <w:tcW w:w="15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（万元）</w:t>
            </w:r>
          </w:p>
        </w:tc>
        <w:tc>
          <w:tcPr>
            <w:tcW w:w="34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 xml:space="preserve">      </w:t>
            </w:r>
            <w:r>
              <w:rPr>
                <w:rStyle w:val="39"/>
                <w:rFonts w:hint="default"/>
              </w:rPr>
              <w:t>其中：财政拨款</w:t>
            </w:r>
          </w:p>
        </w:tc>
        <w:tc>
          <w:tcPr>
            <w:tcW w:w="5166" w:type="dxa"/>
            <w:gridSpan w:val="5"/>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hint="default" w:ascii="宋体" w:hAnsi="宋体" w:eastAsia="宋体" w:cs="宋体"/>
                <w:color w:val="000000"/>
                <w:sz w:val="24"/>
                <w:szCs w:val="24"/>
                <w:lang w:val="en-US" w:eastAsia="zh-CN"/>
              </w:rPr>
            </w:pPr>
            <w:r>
              <w:rPr>
                <w:rFonts w:hint="eastAsia" w:ascii="宋体" w:hAnsi="宋体" w:eastAsia="宋体" w:cs="宋体"/>
                <w:color w:val="000000"/>
                <w:kern w:val="0"/>
                <w:sz w:val="24"/>
                <w:szCs w:val="24"/>
                <w:lang w:val="en-US" w:eastAsia="zh-CN"/>
              </w:rPr>
              <w:t>220</w:t>
            </w:r>
          </w:p>
        </w:tc>
      </w:tr>
      <w:tr>
        <w:tblPrEx>
          <w:tblCellMar>
            <w:top w:w="15" w:type="dxa"/>
            <w:left w:w="15" w:type="dxa"/>
            <w:bottom w:w="15" w:type="dxa"/>
            <w:right w:w="15" w:type="dxa"/>
          </w:tblCellMar>
        </w:tblPrEx>
        <w:trPr>
          <w:trHeight w:val="23" w:hRule="atLeast"/>
          <w:jc w:val="center"/>
        </w:trPr>
        <w:tc>
          <w:tcPr>
            <w:tcW w:w="1570"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eastAsia="宋体" w:cs="宋体"/>
                <w:color w:val="000000"/>
                <w:sz w:val="24"/>
                <w:szCs w:val="24"/>
              </w:rPr>
            </w:pPr>
          </w:p>
        </w:tc>
        <w:tc>
          <w:tcPr>
            <w:tcW w:w="34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 xml:space="preserve">            </w:t>
            </w:r>
            <w:r>
              <w:rPr>
                <w:rStyle w:val="39"/>
                <w:rFonts w:hint="default"/>
              </w:rPr>
              <w:t>其他资金</w:t>
            </w:r>
          </w:p>
        </w:tc>
        <w:tc>
          <w:tcPr>
            <w:tcW w:w="5166" w:type="dxa"/>
            <w:gridSpan w:val="5"/>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pPr>
          </w:p>
        </w:tc>
      </w:tr>
      <w:tr>
        <w:tblPrEx>
          <w:tblCellMar>
            <w:top w:w="15" w:type="dxa"/>
            <w:left w:w="15" w:type="dxa"/>
            <w:bottom w:w="15" w:type="dxa"/>
            <w:right w:w="15" w:type="dxa"/>
          </w:tblCellMar>
        </w:tblPrEx>
        <w:trPr>
          <w:trHeight w:val="23" w:hRule="atLeast"/>
          <w:jc w:val="center"/>
        </w:trPr>
        <w:tc>
          <w:tcPr>
            <w:tcW w:w="7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总体 目标</w:t>
            </w:r>
          </w:p>
        </w:tc>
        <w:tc>
          <w:tcPr>
            <w:tcW w:w="944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年度目标</w:t>
            </w:r>
          </w:p>
        </w:tc>
      </w:tr>
      <w:tr>
        <w:tblPrEx>
          <w:tblCellMar>
            <w:top w:w="15" w:type="dxa"/>
            <w:left w:w="15" w:type="dxa"/>
            <w:bottom w:w="15" w:type="dxa"/>
            <w:right w:w="15" w:type="dxa"/>
          </w:tblCellMar>
        </w:tblPrEx>
        <w:trPr>
          <w:trHeight w:val="23" w:hRule="atLeast"/>
          <w:jc w:val="center"/>
        </w:trPr>
        <w:tc>
          <w:tcPr>
            <w:tcW w:w="785"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ascii="宋体" w:hAnsi="宋体" w:eastAsia="宋体" w:cs="宋体"/>
                <w:color w:val="000000"/>
                <w:sz w:val="24"/>
                <w:szCs w:val="24"/>
              </w:rPr>
            </w:pPr>
          </w:p>
        </w:tc>
        <w:tc>
          <w:tcPr>
            <w:tcW w:w="9448" w:type="dxa"/>
            <w:gridSpan w:val="8"/>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eastAsia="宋体" w:cs="宋体"/>
                <w:color w:val="000000"/>
                <w:sz w:val="24"/>
                <w:szCs w:val="24"/>
              </w:rPr>
            </w:pPr>
          </w:p>
        </w:tc>
      </w:tr>
      <w:tr>
        <w:tblPrEx>
          <w:tblCellMar>
            <w:top w:w="15" w:type="dxa"/>
            <w:left w:w="15" w:type="dxa"/>
            <w:bottom w:w="15" w:type="dxa"/>
            <w:right w:w="15" w:type="dxa"/>
          </w:tblCellMar>
        </w:tblPrEx>
        <w:trPr>
          <w:trHeight w:val="2009" w:hRule="atLeast"/>
          <w:jc w:val="center"/>
        </w:trPr>
        <w:tc>
          <w:tcPr>
            <w:tcW w:w="785" w:type="dxa"/>
            <w:vMerge w:val="restart"/>
            <w:tcBorders>
              <w:top w:val="single" w:color="000000" w:sz="4" w:space="0"/>
              <w:lef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绩效 指标</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一级指标</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二级指标</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三级指标</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指标性质</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指标值</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度量单位</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权重</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实际完成指标值</w:t>
            </w:r>
          </w:p>
        </w:tc>
      </w:tr>
      <w:tr>
        <w:tblPrEx>
          <w:tblCellMar>
            <w:top w:w="15" w:type="dxa"/>
            <w:left w:w="15" w:type="dxa"/>
            <w:bottom w:w="15" w:type="dxa"/>
            <w:right w:w="15" w:type="dxa"/>
          </w:tblCellMar>
        </w:tblPrEx>
        <w:trPr>
          <w:trHeight w:val="23" w:hRule="atLeast"/>
          <w:jc w:val="center"/>
        </w:trPr>
        <w:tc>
          <w:tcPr>
            <w:tcW w:w="785" w:type="dxa"/>
            <w:vMerge w:val="continue"/>
            <w:tcBorders>
              <w:left w:val="single" w:color="000000" w:sz="4" w:space="0"/>
            </w:tcBorders>
            <w:shd w:val="clear" w:color="auto" w:fill="auto"/>
            <w:vAlign w:val="center"/>
          </w:tcPr>
          <w:p>
            <w:pPr>
              <w:jc w:val="center"/>
              <w:rPr>
                <w:rFonts w:ascii="宋体" w:hAnsi="宋体" w:eastAsia="宋体" w:cs="宋体"/>
                <w:color w:val="000000"/>
                <w:sz w:val="24"/>
                <w:szCs w:val="24"/>
              </w:rPr>
            </w:pPr>
          </w:p>
        </w:tc>
        <w:tc>
          <w:tcPr>
            <w:tcW w:w="785" w:type="dxa"/>
            <w:vMerge w:val="restart"/>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产出指标</w:t>
            </w:r>
          </w:p>
        </w:tc>
        <w:tc>
          <w:tcPr>
            <w:tcW w:w="10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数量指标</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ascii="宋体" w:hAnsi="宋体" w:eastAsia="宋体" w:cs="宋体"/>
                <w:i w:val="0"/>
                <w:iCs w:val="0"/>
                <w:color w:val="000000"/>
                <w:kern w:val="0"/>
                <w:sz w:val="18"/>
                <w:szCs w:val="18"/>
                <w:u w:val="none"/>
                <w:lang w:val="en-US" w:eastAsia="zh-CN" w:bidi="ar"/>
              </w:rPr>
              <w:t>脱贫（公益性岗位）人员购买保险</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ascii="宋体" w:hAnsi="宋体" w:eastAsia="宋体" w:cs="宋体"/>
                <w:i w:val="0"/>
                <w:iCs w:val="0"/>
                <w:color w:val="000000"/>
                <w:kern w:val="0"/>
                <w:sz w:val="18"/>
                <w:szCs w:val="18"/>
                <w:u w:val="none"/>
                <w:lang w:val="en-US" w:eastAsia="zh-CN" w:bidi="ar"/>
              </w:rPr>
              <w:t>≥</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color w:val="000000"/>
                <w:sz w:val="24"/>
                <w:szCs w:val="24"/>
                <w:lang w:val="en-US" w:eastAsia="zh-CN"/>
              </w:rPr>
            </w:pPr>
            <w:r>
              <w:rPr>
                <w:rFonts w:ascii="宋体" w:hAnsi="宋体" w:eastAsia="宋体" w:cs="宋体"/>
                <w:i w:val="0"/>
                <w:iCs w:val="0"/>
                <w:color w:val="000000"/>
                <w:kern w:val="0"/>
                <w:sz w:val="18"/>
                <w:szCs w:val="18"/>
                <w:u w:val="none"/>
                <w:lang w:val="en-US" w:eastAsia="zh-CN" w:bidi="ar"/>
              </w:rPr>
              <w:t>500</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sz w:val="24"/>
                <w:szCs w:val="24"/>
                <w:lang w:eastAsia="zh-CN"/>
              </w:rPr>
            </w:pPr>
            <w:r>
              <w:rPr>
                <w:rFonts w:ascii="宋体" w:hAnsi="宋体" w:eastAsia="宋体" w:cs="宋体"/>
                <w:i w:val="0"/>
                <w:iCs w:val="0"/>
                <w:color w:val="000000"/>
                <w:kern w:val="0"/>
                <w:sz w:val="18"/>
                <w:szCs w:val="18"/>
                <w:u w:val="none"/>
                <w:lang w:val="en-US" w:eastAsia="zh-CN" w:bidi="ar"/>
              </w:rPr>
              <w:t>人</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color w:val="000000"/>
                <w:sz w:val="24"/>
                <w:szCs w:val="24"/>
                <w:lang w:val="en-US" w:eastAsia="zh-CN"/>
              </w:rPr>
            </w:pPr>
            <w:r>
              <w:rPr>
                <w:rFonts w:ascii="宋体" w:hAnsi="宋体" w:eastAsia="宋体" w:cs="宋体"/>
                <w:i w:val="0"/>
                <w:iCs w:val="0"/>
                <w:color w:val="000000"/>
                <w:kern w:val="0"/>
                <w:sz w:val="18"/>
                <w:szCs w:val="18"/>
                <w:u w:val="none"/>
                <w:lang w:val="en-US" w:eastAsia="zh-CN" w:bidi="ar"/>
              </w:rPr>
              <w:t>15</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color w:val="000000"/>
                <w:sz w:val="24"/>
                <w:szCs w:val="24"/>
                <w:lang w:val="en-US" w:eastAsia="zh-CN"/>
              </w:rPr>
            </w:pPr>
            <w:r>
              <w:rPr>
                <w:rFonts w:hint="eastAsia" w:ascii="宋体" w:hAnsi="宋体" w:eastAsia="宋体" w:cs="宋体"/>
                <w:i w:val="0"/>
                <w:iCs w:val="0"/>
                <w:color w:val="000000"/>
                <w:kern w:val="0"/>
                <w:sz w:val="18"/>
                <w:szCs w:val="18"/>
                <w:u w:val="none"/>
                <w:lang w:val="en-US" w:eastAsia="zh-CN" w:bidi="ar"/>
              </w:rPr>
              <w:t>462</w:t>
            </w:r>
          </w:p>
        </w:tc>
      </w:tr>
      <w:tr>
        <w:tblPrEx>
          <w:tblCellMar>
            <w:top w:w="15" w:type="dxa"/>
            <w:left w:w="15" w:type="dxa"/>
            <w:bottom w:w="15" w:type="dxa"/>
            <w:right w:w="15" w:type="dxa"/>
          </w:tblCellMar>
        </w:tblPrEx>
        <w:trPr>
          <w:trHeight w:val="23" w:hRule="atLeast"/>
          <w:jc w:val="center"/>
        </w:trPr>
        <w:tc>
          <w:tcPr>
            <w:tcW w:w="785" w:type="dxa"/>
            <w:vMerge w:val="continue"/>
            <w:tcBorders>
              <w:left w:val="single" w:color="000000" w:sz="4" w:space="0"/>
            </w:tcBorders>
            <w:shd w:val="clear" w:color="auto" w:fill="auto"/>
            <w:vAlign w:val="center"/>
          </w:tcPr>
          <w:p>
            <w:pPr>
              <w:jc w:val="center"/>
              <w:rPr>
                <w:rFonts w:ascii="宋体" w:hAnsi="宋体" w:eastAsia="宋体" w:cs="宋体"/>
                <w:color w:val="000000"/>
                <w:sz w:val="24"/>
                <w:szCs w:val="24"/>
              </w:rPr>
            </w:pPr>
          </w:p>
        </w:tc>
        <w:tc>
          <w:tcPr>
            <w:tcW w:w="785" w:type="dxa"/>
            <w:vMerge w:val="continue"/>
            <w:tcBorders>
              <w:left w:val="single" w:color="000000" w:sz="4" w:space="0"/>
              <w:right w:val="single" w:color="000000" w:sz="4" w:space="0"/>
            </w:tcBorders>
            <w:shd w:val="clear" w:color="auto" w:fill="auto"/>
            <w:vAlign w:val="center"/>
          </w:tcPr>
          <w:p>
            <w:pPr>
              <w:jc w:val="center"/>
              <w:rPr>
                <w:rFonts w:ascii="宋体" w:hAnsi="宋体" w:eastAsia="宋体" w:cs="宋体"/>
                <w:color w:val="000000"/>
                <w:sz w:val="24"/>
                <w:szCs w:val="24"/>
              </w:rPr>
            </w:pPr>
          </w:p>
        </w:tc>
        <w:tc>
          <w:tcPr>
            <w:tcW w:w="10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szCs w:val="24"/>
              </w:rPr>
            </w:pP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ascii="宋体" w:hAnsi="宋体" w:eastAsia="宋体" w:cs="宋体"/>
                <w:i w:val="0"/>
                <w:iCs w:val="0"/>
                <w:color w:val="000000"/>
                <w:kern w:val="0"/>
                <w:sz w:val="18"/>
                <w:szCs w:val="18"/>
                <w:u w:val="none"/>
                <w:lang w:val="en-US" w:eastAsia="zh-CN" w:bidi="ar"/>
              </w:rPr>
              <w:t>开展培训人数</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ascii="宋体" w:hAnsi="宋体" w:eastAsia="宋体" w:cs="宋体"/>
                <w:i w:val="0"/>
                <w:iCs w:val="0"/>
                <w:color w:val="000000"/>
                <w:kern w:val="0"/>
                <w:sz w:val="18"/>
                <w:szCs w:val="18"/>
                <w:u w:val="none"/>
                <w:lang w:val="en-US" w:eastAsia="zh-CN" w:bidi="ar"/>
              </w:rPr>
              <w:t>≥</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ascii="宋体" w:hAnsi="宋体" w:eastAsia="宋体" w:cs="宋体"/>
                <w:i w:val="0"/>
                <w:iCs w:val="0"/>
                <w:color w:val="000000"/>
                <w:kern w:val="0"/>
                <w:sz w:val="18"/>
                <w:szCs w:val="18"/>
                <w:u w:val="none"/>
                <w:lang w:val="en-US" w:eastAsia="zh-CN" w:bidi="ar"/>
              </w:rPr>
              <w:t>400</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ascii="宋体" w:hAnsi="宋体" w:eastAsia="宋体" w:cs="宋体"/>
                <w:i w:val="0"/>
                <w:iCs w:val="0"/>
                <w:color w:val="000000"/>
                <w:kern w:val="0"/>
                <w:sz w:val="18"/>
                <w:szCs w:val="18"/>
                <w:u w:val="none"/>
                <w:lang w:val="en-US" w:eastAsia="zh-CN" w:bidi="ar"/>
              </w:rPr>
              <w:t>人</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color w:val="000000"/>
                <w:sz w:val="24"/>
                <w:szCs w:val="24"/>
                <w:lang w:val="en-US" w:eastAsia="zh-CN"/>
              </w:rPr>
            </w:pPr>
            <w:r>
              <w:rPr>
                <w:rFonts w:ascii="宋体" w:hAnsi="宋体" w:eastAsia="宋体" w:cs="宋体"/>
                <w:i w:val="0"/>
                <w:iCs w:val="0"/>
                <w:color w:val="000000"/>
                <w:kern w:val="0"/>
                <w:sz w:val="18"/>
                <w:szCs w:val="18"/>
                <w:u w:val="none"/>
                <w:lang w:val="en-US" w:eastAsia="zh-CN" w:bidi="ar"/>
              </w:rPr>
              <w:t>15</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color w:val="000000"/>
                <w:sz w:val="24"/>
                <w:szCs w:val="24"/>
                <w:lang w:val="en-US" w:eastAsia="zh-CN"/>
              </w:rPr>
            </w:pPr>
            <w:r>
              <w:rPr>
                <w:rFonts w:hint="eastAsia" w:ascii="宋体" w:hAnsi="宋体" w:eastAsia="宋体" w:cs="宋体"/>
                <w:i w:val="0"/>
                <w:iCs w:val="0"/>
                <w:color w:val="000000"/>
                <w:kern w:val="0"/>
                <w:sz w:val="18"/>
                <w:szCs w:val="18"/>
                <w:u w:val="none"/>
                <w:lang w:val="en-US" w:eastAsia="zh-CN" w:bidi="ar"/>
              </w:rPr>
              <w:t>406</w:t>
            </w:r>
          </w:p>
        </w:tc>
      </w:tr>
      <w:tr>
        <w:tblPrEx>
          <w:tblCellMar>
            <w:top w:w="15" w:type="dxa"/>
            <w:left w:w="15" w:type="dxa"/>
            <w:bottom w:w="15" w:type="dxa"/>
            <w:right w:w="15" w:type="dxa"/>
          </w:tblCellMar>
        </w:tblPrEx>
        <w:trPr>
          <w:trHeight w:val="23" w:hRule="atLeast"/>
          <w:jc w:val="center"/>
        </w:trPr>
        <w:tc>
          <w:tcPr>
            <w:tcW w:w="785" w:type="dxa"/>
            <w:vMerge w:val="continue"/>
            <w:tcBorders>
              <w:left w:val="single" w:color="000000" w:sz="4" w:space="0"/>
            </w:tcBorders>
            <w:shd w:val="clear" w:color="auto" w:fill="auto"/>
            <w:vAlign w:val="center"/>
          </w:tcPr>
          <w:p>
            <w:pPr>
              <w:jc w:val="center"/>
              <w:rPr>
                <w:rFonts w:ascii="宋体" w:hAnsi="宋体" w:eastAsia="宋体" w:cs="宋体"/>
                <w:color w:val="000000"/>
                <w:sz w:val="24"/>
                <w:szCs w:val="24"/>
              </w:rPr>
            </w:pPr>
          </w:p>
        </w:tc>
        <w:tc>
          <w:tcPr>
            <w:tcW w:w="785" w:type="dxa"/>
            <w:vMerge w:val="continue"/>
            <w:tcBorders>
              <w:left w:val="single" w:color="000000" w:sz="4" w:space="0"/>
              <w:right w:val="single" w:color="000000" w:sz="4" w:space="0"/>
            </w:tcBorders>
            <w:shd w:val="clear" w:color="auto" w:fill="auto"/>
            <w:vAlign w:val="center"/>
          </w:tcPr>
          <w:p>
            <w:pPr>
              <w:jc w:val="center"/>
              <w:rPr>
                <w:rFonts w:ascii="宋体" w:hAnsi="宋体" w:eastAsia="宋体" w:cs="宋体"/>
                <w:color w:val="000000"/>
                <w:sz w:val="24"/>
                <w:szCs w:val="24"/>
              </w:rPr>
            </w:pPr>
          </w:p>
        </w:tc>
        <w:tc>
          <w:tcPr>
            <w:tcW w:w="1097" w:type="dxa"/>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时效指标</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ascii="宋体" w:hAnsi="宋体" w:eastAsia="宋体" w:cs="宋体"/>
                <w:i w:val="0"/>
                <w:iCs w:val="0"/>
                <w:color w:val="000000"/>
                <w:kern w:val="0"/>
                <w:sz w:val="18"/>
                <w:szCs w:val="18"/>
                <w:u w:val="none"/>
                <w:lang w:val="en-US" w:eastAsia="zh-CN" w:bidi="ar"/>
              </w:rPr>
              <w:t>资金在12月前支付完成</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ascii="宋体" w:hAnsi="宋体" w:eastAsia="宋体" w:cs="宋体"/>
                <w:i w:val="0"/>
                <w:iCs w:val="0"/>
                <w:color w:val="000000"/>
                <w:kern w:val="0"/>
                <w:sz w:val="18"/>
                <w:szCs w:val="18"/>
                <w:u w:val="none"/>
                <w:lang w:val="en-US" w:eastAsia="zh-CN" w:bidi="ar"/>
              </w:rPr>
              <w:t>＝</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color w:val="000000"/>
                <w:sz w:val="24"/>
                <w:szCs w:val="24"/>
                <w:lang w:val="en-US" w:eastAsia="zh-CN"/>
              </w:rPr>
            </w:pPr>
            <w:r>
              <w:rPr>
                <w:rFonts w:ascii="宋体" w:hAnsi="宋体" w:eastAsia="宋体" w:cs="宋体"/>
                <w:i w:val="0"/>
                <w:iCs w:val="0"/>
                <w:color w:val="000000"/>
                <w:kern w:val="0"/>
                <w:sz w:val="18"/>
                <w:szCs w:val="18"/>
                <w:u w:val="none"/>
                <w:lang w:val="en-US" w:eastAsia="zh-CN" w:bidi="ar"/>
              </w:rPr>
              <w:t>100</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ascii="宋体" w:hAnsi="宋体" w:eastAsia="宋体" w:cs="宋体"/>
                <w:i w:val="0"/>
                <w:iCs w:val="0"/>
                <w:color w:val="000000"/>
                <w:kern w:val="0"/>
                <w:sz w:val="18"/>
                <w:szCs w:val="18"/>
                <w:u w:val="none"/>
                <w:lang w:val="en-US" w:eastAsia="zh-CN" w:bidi="ar"/>
              </w:rPr>
              <w:t>%</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color w:val="000000"/>
                <w:sz w:val="24"/>
                <w:szCs w:val="24"/>
                <w:lang w:val="en-US" w:eastAsia="zh-CN"/>
              </w:rPr>
            </w:pPr>
            <w:r>
              <w:rPr>
                <w:rFonts w:ascii="宋体" w:hAnsi="宋体" w:eastAsia="宋体" w:cs="宋体"/>
                <w:i w:val="0"/>
                <w:iCs w:val="0"/>
                <w:color w:val="000000"/>
                <w:kern w:val="0"/>
                <w:sz w:val="18"/>
                <w:szCs w:val="18"/>
                <w:u w:val="none"/>
                <w:lang w:val="en-US" w:eastAsia="zh-CN" w:bidi="ar"/>
              </w:rPr>
              <w:t>20</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color w:val="000000"/>
                <w:sz w:val="24"/>
                <w:szCs w:val="24"/>
                <w:lang w:val="en-US" w:eastAsia="zh-CN"/>
              </w:rPr>
            </w:pPr>
            <w:r>
              <w:rPr>
                <w:rFonts w:hint="eastAsia" w:ascii="宋体" w:hAnsi="宋体" w:eastAsia="宋体" w:cs="宋体"/>
                <w:i w:val="0"/>
                <w:iCs w:val="0"/>
                <w:color w:val="000000"/>
                <w:kern w:val="0"/>
                <w:sz w:val="18"/>
                <w:szCs w:val="18"/>
                <w:u w:val="none"/>
                <w:lang w:val="en-US" w:eastAsia="zh-CN" w:bidi="ar"/>
              </w:rPr>
              <w:t>100</w:t>
            </w:r>
          </w:p>
        </w:tc>
      </w:tr>
      <w:tr>
        <w:tblPrEx>
          <w:tblCellMar>
            <w:top w:w="15" w:type="dxa"/>
            <w:left w:w="15" w:type="dxa"/>
            <w:bottom w:w="15" w:type="dxa"/>
            <w:right w:w="15" w:type="dxa"/>
          </w:tblCellMar>
        </w:tblPrEx>
        <w:trPr>
          <w:trHeight w:val="23" w:hRule="atLeast"/>
          <w:jc w:val="center"/>
        </w:trPr>
        <w:tc>
          <w:tcPr>
            <w:tcW w:w="785" w:type="dxa"/>
            <w:vMerge w:val="continue"/>
            <w:tcBorders>
              <w:left w:val="single" w:color="000000" w:sz="4" w:space="0"/>
            </w:tcBorders>
            <w:shd w:val="clear" w:color="auto" w:fill="auto"/>
            <w:vAlign w:val="center"/>
          </w:tcPr>
          <w:p>
            <w:pPr>
              <w:jc w:val="center"/>
              <w:rPr>
                <w:rFonts w:ascii="宋体" w:hAnsi="宋体" w:eastAsia="宋体" w:cs="宋体"/>
                <w:color w:val="000000"/>
                <w:sz w:val="24"/>
                <w:szCs w:val="24"/>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效益指标</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社会效益指标</w:t>
            </w:r>
          </w:p>
        </w:tc>
        <w:tc>
          <w:tcPr>
            <w:tcW w:w="2400"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ascii="宋体" w:hAnsi="宋体" w:eastAsia="宋体" w:cs="宋体"/>
                <w:i w:val="0"/>
                <w:iCs w:val="0"/>
                <w:color w:val="000000"/>
                <w:kern w:val="0"/>
                <w:sz w:val="18"/>
                <w:szCs w:val="18"/>
                <w:u w:val="none"/>
                <w:lang w:val="en-US" w:eastAsia="zh-CN" w:bidi="ar"/>
              </w:rPr>
              <w:t>提高外出务工人员收入</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ascii="宋体" w:hAnsi="宋体" w:eastAsia="宋体" w:cs="宋体"/>
                <w:i w:val="0"/>
                <w:iCs w:val="0"/>
                <w:color w:val="000000"/>
                <w:kern w:val="0"/>
                <w:sz w:val="18"/>
                <w:szCs w:val="18"/>
                <w:u w:val="none"/>
                <w:lang w:val="en-US" w:eastAsia="zh-CN" w:bidi="ar"/>
              </w:rPr>
              <w:t>≥</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color w:val="000000"/>
                <w:sz w:val="24"/>
                <w:szCs w:val="24"/>
                <w:lang w:val="en-US" w:eastAsia="zh-CN"/>
              </w:rPr>
            </w:pPr>
            <w:r>
              <w:rPr>
                <w:rFonts w:ascii="宋体" w:hAnsi="宋体" w:eastAsia="宋体" w:cs="宋体"/>
                <w:i w:val="0"/>
                <w:iCs w:val="0"/>
                <w:color w:val="000000"/>
                <w:kern w:val="0"/>
                <w:sz w:val="18"/>
                <w:szCs w:val="18"/>
                <w:u w:val="none"/>
                <w:lang w:val="en-US" w:eastAsia="zh-CN" w:bidi="ar"/>
              </w:rPr>
              <w:t>1500</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ascii="宋体" w:hAnsi="宋体" w:eastAsia="宋体" w:cs="宋体"/>
                <w:i w:val="0"/>
                <w:iCs w:val="0"/>
                <w:color w:val="000000"/>
                <w:kern w:val="0"/>
                <w:sz w:val="18"/>
                <w:szCs w:val="18"/>
                <w:u w:val="none"/>
                <w:lang w:val="en-US" w:eastAsia="zh-CN" w:bidi="ar"/>
              </w:rPr>
              <w:t xml:space="preserve">元/人 </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sz w:val="24"/>
                <w:szCs w:val="24"/>
                <w:lang w:val="en-US" w:eastAsia="zh-CN"/>
              </w:rPr>
            </w:pPr>
            <w:r>
              <w:rPr>
                <w:rFonts w:ascii="宋体" w:hAnsi="宋体" w:eastAsia="宋体" w:cs="宋体"/>
                <w:i w:val="0"/>
                <w:iCs w:val="0"/>
                <w:color w:val="000000"/>
                <w:kern w:val="0"/>
                <w:sz w:val="18"/>
                <w:szCs w:val="18"/>
                <w:u w:val="none"/>
                <w:lang w:val="en-US" w:eastAsia="zh-CN" w:bidi="ar"/>
              </w:rPr>
              <w:t>10</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color w:val="000000"/>
                <w:sz w:val="24"/>
                <w:szCs w:val="24"/>
                <w:lang w:val="en-US"/>
              </w:rPr>
            </w:pPr>
            <w:r>
              <w:rPr>
                <w:rFonts w:hint="eastAsia" w:ascii="宋体" w:hAnsi="宋体" w:eastAsia="宋体" w:cs="宋体"/>
                <w:i w:val="0"/>
                <w:iCs w:val="0"/>
                <w:color w:val="000000"/>
                <w:kern w:val="0"/>
                <w:sz w:val="18"/>
                <w:szCs w:val="18"/>
                <w:u w:val="none"/>
                <w:lang w:val="en-US" w:eastAsia="zh-CN" w:bidi="ar"/>
              </w:rPr>
              <w:t>1500</w:t>
            </w:r>
          </w:p>
        </w:tc>
      </w:tr>
      <w:tr>
        <w:tblPrEx>
          <w:tblCellMar>
            <w:top w:w="15" w:type="dxa"/>
            <w:left w:w="15" w:type="dxa"/>
            <w:bottom w:w="15" w:type="dxa"/>
            <w:right w:w="15" w:type="dxa"/>
          </w:tblCellMar>
        </w:tblPrEx>
        <w:trPr>
          <w:trHeight w:val="23" w:hRule="atLeast"/>
          <w:jc w:val="center"/>
        </w:trPr>
        <w:tc>
          <w:tcPr>
            <w:tcW w:w="785" w:type="dxa"/>
            <w:vMerge w:val="continue"/>
            <w:tcBorders>
              <w:left w:val="single" w:color="000000" w:sz="4" w:space="0"/>
            </w:tcBorders>
            <w:shd w:val="clear" w:color="auto" w:fill="auto"/>
            <w:vAlign w:val="center"/>
          </w:tcPr>
          <w:p>
            <w:pPr>
              <w:jc w:val="center"/>
              <w:rPr>
                <w:rFonts w:ascii="宋体" w:hAnsi="宋体" w:eastAsia="宋体" w:cs="宋体"/>
                <w:color w:val="000000"/>
                <w:sz w:val="24"/>
                <w:szCs w:val="24"/>
              </w:rPr>
            </w:pPr>
          </w:p>
        </w:tc>
        <w:tc>
          <w:tcPr>
            <w:tcW w:w="785" w:type="dxa"/>
            <w:vMerge w:val="restart"/>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满意度指标</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服务对象满意度</w:t>
            </w:r>
          </w:p>
        </w:tc>
        <w:tc>
          <w:tcPr>
            <w:tcW w:w="2400"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ascii="宋体" w:hAnsi="宋体" w:eastAsia="宋体" w:cs="宋体"/>
                <w:i w:val="0"/>
                <w:iCs w:val="0"/>
                <w:color w:val="000000"/>
                <w:kern w:val="0"/>
                <w:sz w:val="18"/>
                <w:szCs w:val="18"/>
                <w:u w:val="none"/>
                <w:lang w:val="en-US" w:eastAsia="zh-CN" w:bidi="ar"/>
              </w:rPr>
              <w:t>服务对象满意度</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ascii="宋体" w:hAnsi="宋体" w:eastAsia="宋体" w:cs="宋体"/>
                <w:i w:val="0"/>
                <w:iCs w:val="0"/>
                <w:color w:val="000000"/>
                <w:kern w:val="0"/>
                <w:sz w:val="18"/>
                <w:szCs w:val="18"/>
                <w:u w:val="none"/>
                <w:lang w:val="en-US" w:eastAsia="zh-CN" w:bidi="ar"/>
              </w:rPr>
              <w:t>≥</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color w:val="000000"/>
                <w:sz w:val="24"/>
                <w:szCs w:val="24"/>
                <w:lang w:val="en-US" w:eastAsia="zh-CN"/>
              </w:rPr>
            </w:pPr>
            <w:r>
              <w:rPr>
                <w:rFonts w:ascii="宋体" w:hAnsi="宋体" w:eastAsia="宋体" w:cs="宋体"/>
                <w:i w:val="0"/>
                <w:iCs w:val="0"/>
                <w:color w:val="000000"/>
                <w:kern w:val="0"/>
                <w:sz w:val="18"/>
                <w:szCs w:val="18"/>
                <w:u w:val="none"/>
                <w:lang w:val="en-US" w:eastAsia="zh-CN" w:bidi="ar"/>
              </w:rPr>
              <w:t>95</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sz w:val="24"/>
                <w:szCs w:val="24"/>
              </w:rPr>
            </w:pPr>
            <w:r>
              <w:rPr>
                <w:rFonts w:ascii="宋体" w:hAnsi="宋体" w:eastAsia="宋体" w:cs="宋体"/>
                <w:i w:val="0"/>
                <w:iCs w:val="0"/>
                <w:color w:val="000000"/>
                <w:kern w:val="0"/>
                <w:sz w:val="18"/>
                <w:szCs w:val="18"/>
                <w:u w:val="none"/>
                <w:lang w:val="en-US" w:eastAsia="zh-CN" w:bidi="ar"/>
              </w:rPr>
              <w:t>%</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color w:val="000000"/>
                <w:sz w:val="24"/>
                <w:szCs w:val="24"/>
                <w:lang w:val="en-US" w:eastAsia="zh-CN"/>
              </w:rPr>
            </w:pPr>
            <w:r>
              <w:rPr>
                <w:rFonts w:ascii="宋体" w:hAnsi="宋体" w:eastAsia="宋体" w:cs="宋体"/>
                <w:i w:val="0"/>
                <w:iCs w:val="0"/>
                <w:color w:val="000000"/>
                <w:kern w:val="0"/>
                <w:sz w:val="18"/>
                <w:szCs w:val="18"/>
                <w:u w:val="none"/>
                <w:lang w:val="en-US" w:eastAsia="zh-CN" w:bidi="ar"/>
              </w:rPr>
              <w:t>10</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color w:val="000000"/>
                <w:sz w:val="24"/>
                <w:szCs w:val="24"/>
                <w:lang w:val="en-US" w:eastAsia="zh-CN"/>
              </w:rPr>
            </w:pPr>
            <w:r>
              <w:rPr>
                <w:rFonts w:hint="eastAsia" w:ascii="宋体" w:hAnsi="宋体" w:eastAsia="宋体" w:cs="宋体"/>
                <w:i w:val="0"/>
                <w:iCs w:val="0"/>
                <w:color w:val="000000"/>
                <w:kern w:val="0"/>
                <w:sz w:val="18"/>
                <w:szCs w:val="18"/>
                <w:u w:val="none"/>
                <w:lang w:val="en-US" w:eastAsia="zh-CN" w:bidi="ar"/>
              </w:rPr>
              <w:t>95</w:t>
            </w:r>
          </w:p>
        </w:tc>
      </w:tr>
      <w:tr>
        <w:tblPrEx>
          <w:tblCellMar>
            <w:top w:w="15" w:type="dxa"/>
            <w:left w:w="15" w:type="dxa"/>
            <w:bottom w:w="15" w:type="dxa"/>
            <w:right w:w="15" w:type="dxa"/>
          </w:tblCellMar>
        </w:tblPrEx>
        <w:trPr>
          <w:trHeight w:val="23" w:hRule="atLeast"/>
          <w:jc w:val="center"/>
        </w:trPr>
        <w:tc>
          <w:tcPr>
            <w:tcW w:w="785" w:type="dxa"/>
            <w:vMerge w:val="continue"/>
            <w:tcBorders>
              <w:left w:val="single" w:color="000000" w:sz="4" w:space="0"/>
            </w:tcBorders>
            <w:shd w:val="clear" w:color="auto" w:fill="auto"/>
            <w:vAlign w:val="center"/>
          </w:tcPr>
          <w:p>
            <w:pPr>
              <w:jc w:val="center"/>
              <w:rPr>
                <w:rFonts w:ascii="宋体" w:hAnsi="宋体" w:eastAsia="宋体" w:cs="宋体"/>
                <w:color w:val="000000"/>
                <w:sz w:val="24"/>
                <w:szCs w:val="24"/>
              </w:rPr>
            </w:pPr>
          </w:p>
        </w:tc>
        <w:tc>
          <w:tcPr>
            <w:tcW w:w="785" w:type="dxa"/>
            <w:vMerge w:val="continue"/>
            <w:tcBorders>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4"/>
                <w:szCs w:val="24"/>
              </w:rPr>
            </w:pP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4"/>
                <w:szCs w:val="24"/>
              </w:rPr>
            </w:pPr>
            <w:r>
              <w:rPr>
                <w:rFonts w:ascii="宋体" w:hAnsi="宋体" w:eastAsia="宋体" w:cs="宋体"/>
                <w:i w:val="0"/>
                <w:iCs w:val="0"/>
                <w:color w:val="000000"/>
                <w:kern w:val="0"/>
                <w:sz w:val="18"/>
                <w:szCs w:val="18"/>
                <w:u w:val="none"/>
                <w:lang w:val="en-US" w:eastAsia="zh-CN" w:bidi="ar"/>
              </w:rPr>
              <w:t>帮扶对象满意度</w:t>
            </w:r>
            <w:r>
              <w:rPr>
                <w:rFonts w:hint="eastAsia" w:ascii="宋体" w:hAnsi="宋体" w:eastAsia="宋体" w:cs="宋体"/>
                <w:i w:val="0"/>
                <w:iCs w:val="0"/>
                <w:color w:val="000000"/>
                <w:kern w:val="0"/>
                <w:sz w:val="18"/>
                <w:szCs w:val="18"/>
                <w:u w:val="none"/>
                <w:lang w:val="en-US" w:eastAsia="zh-CN" w:bidi="ar"/>
              </w:rPr>
              <w:t>指标</w:t>
            </w:r>
          </w:p>
        </w:tc>
        <w:tc>
          <w:tcPr>
            <w:tcW w:w="2400"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ascii="宋体" w:hAnsi="宋体" w:eastAsia="宋体" w:cs="宋体"/>
                <w:i w:val="0"/>
                <w:iCs w:val="0"/>
                <w:color w:val="000000"/>
                <w:kern w:val="0"/>
                <w:sz w:val="18"/>
                <w:szCs w:val="18"/>
                <w:u w:val="none"/>
                <w:lang w:val="en-US" w:eastAsia="zh-CN" w:bidi="ar"/>
              </w:rPr>
              <w:t>帮扶对象满意度</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ascii="宋体" w:hAnsi="宋体" w:eastAsia="宋体" w:cs="宋体"/>
                <w:i w:val="0"/>
                <w:iCs w:val="0"/>
                <w:color w:val="000000"/>
                <w:kern w:val="0"/>
                <w:sz w:val="18"/>
                <w:szCs w:val="18"/>
                <w:u w:val="none"/>
                <w:lang w:val="en-US" w:eastAsia="zh-CN" w:bidi="ar"/>
              </w:rPr>
              <w:t>≥</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kern w:val="0"/>
                <w:sz w:val="24"/>
                <w:szCs w:val="24"/>
                <w:lang w:val="en-US" w:eastAsia="zh-CN"/>
              </w:rPr>
            </w:pPr>
            <w:r>
              <w:rPr>
                <w:rFonts w:ascii="宋体" w:hAnsi="宋体" w:eastAsia="宋体" w:cs="宋体"/>
                <w:i w:val="0"/>
                <w:iCs w:val="0"/>
                <w:color w:val="000000"/>
                <w:kern w:val="0"/>
                <w:sz w:val="18"/>
                <w:szCs w:val="18"/>
                <w:u w:val="none"/>
                <w:lang w:val="en-US" w:eastAsia="zh-CN" w:bidi="ar"/>
              </w:rPr>
              <w:t>90</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kern w:val="0"/>
                <w:sz w:val="24"/>
                <w:szCs w:val="24"/>
              </w:rPr>
            </w:pPr>
            <w:r>
              <w:rPr>
                <w:rFonts w:ascii="宋体" w:hAnsi="宋体" w:eastAsia="宋体" w:cs="宋体"/>
                <w:i w:val="0"/>
                <w:iCs w:val="0"/>
                <w:color w:val="000000"/>
                <w:kern w:val="0"/>
                <w:sz w:val="18"/>
                <w:szCs w:val="18"/>
                <w:u w:val="none"/>
                <w:lang w:val="en-US" w:eastAsia="zh-CN" w:bidi="ar"/>
              </w:rPr>
              <w:t>%</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sz w:val="24"/>
                <w:szCs w:val="24"/>
                <w:lang w:val="en-US" w:eastAsia="zh-CN"/>
              </w:rPr>
            </w:pPr>
            <w:r>
              <w:rPr>
                <w:rFonts w:ascii="宋体" w:hAnsi="宋体" w:eastAsia="宋体" w:cs="宋体"/>
                <w:i w:val="0"/>
                <w:iCs w:val="0"/>
                <w:color w:val="000000"/>
                <w:kern w:val="0"/>
                <w:sz w:val="18"/>
                <w:szCs w:val="18"/>
                <w:u w:val="none"/>
                <w:lang w:val="en-US" w:eastAsia="zh-CN" w:bidi="ar"/>
              </w:rPr>
              <w:t>10</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color w:val="000000"/>
                <w:kern w:val="0"/>
                <w:sz w:val="20"/>
                <w:szCs w:val="20"/>
                <w:lang w:val="en-US" w:eastAsia="zh-CN"/>
              </w:rPr>
            </w:pPr>
            <w:r>
              <w:rPr>
                <w:rFonts w:hint="eastAsia" w:ascii="宋体" w:hAnsi="宋体" w:eastAsia="宋体" w:cs="宋体"/>
                <w:i w:val="0"/>
                <w:iCs w:val="0"/>
                <w:color w:val="000000"/>
                <w:kern w:val="0"/>
                <w:sz w:val="18"/>
                <w:szCs w:val="18"/>
                <w:u w:val="none"/>
                <w:lang w:val="en-US" w:eastAsia="zh-CN" w:bidi="ar"/>
              </w:rPr>
              <w:t>90</w:t>
            </w:r>
          </w:p>
        </w:tc>
      </w:tr>
      <w:tr>
        <w:tblPrEx>
          <w:tblCellMar>
            <w:top w:w="15" w:type="dxa"/>
            <w:left w:w="15" w:type="dxa"/>
            <w:bottom w:w="15" w:type="dxa"/>
            <w:right w:w="15" w:type="dxa"/>
          </w:tblCellMar>
        </w:tblPrEx>
        <w:trPr>
          <w:trHeight w:val="23" w:hRule="atLeast"/>
          <w:jc w:val="center"/>
        </w:trPr>
        <w:tc>
          <w:tcPr>
            <w:tcW w:w="785" w:type="dxa"/>
            <w:vMerge w:val="continue"/>
            <w:tcBorders>
              <w:left w:val="single" w:color="000000" w:sz="4" w:space="0"/>
              <w:bottom w:val="single" w:color="000000" w:sz="4" w:space="0"/>
            </w:tcBorders>
            <w:shd w:val="clear" w:color="auto" w:fill="auto"/>
            <w:vAlign w:val="center"/>
          </w:tcPr>
          <w:p>
            <w:pPr>
              <w:jc w:val="center"/>
              <w:rPr>
                <w:rFonts w:ascii="宋体" w:hAnsi="宋体" w:eastAsia="宋体" w:cs="宋体"/>
                <w:color w:val="000000"/>
                <w:sz w:val="24"/>
                <w:szCs w:val="24"/>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eastAsia="zh-CN"/>
              </w:rPr>
              <w:t>成本指标</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eastAsia="zh-CN"/>
              </w:rPr>
              <w:t>经济成本指标</w:t>
            </w:r>
          </w:p>
        </w:tc>
        <w:tc>
          <w:tcPr>
            <w:tcW w:w="2400"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ascii="宋体" w:hAnsi="宋体" w:eastAsia="宋体" w:cs="宋体"/>
                <w:i w:val="0"/>
                <w:iCs w:val="0"/>
                <w:color w:val="000000"/>
                <w:kern w:val="0"/>
                <w:sz w:val="18"/>
                <w:szCs w:val="18"/>
                <w:u w:val="none"/>
                <w:lang w:val="en-US" w:eastAsia="zh-CN" w:bidi="ar"/>
              </w:rPr>
              <w:t>支付金额</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ascii="宋体" w:hAnsi="宋体" w:eastAsia="宋体" w:cs="宋体"/>
                <w:i w:val="0"/>
                <w:iCs w:val="0"/>
                <w:color w:val="000000"/>
                <w:kern w:val="0"/>
                <w:sz w:val="18"/>
                <w:szCs w:val="18"/>
                <w:u w:val="none"/>
                <w:lang w:val="en-US" w:eastAsia="zh-CN" w:bidi="ar"/>
              </w:rPr>
              <w:t>＝</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kern w:val="0"/>
                <w:sz w:val="24"/>
                <w:szCs w:val="24"/>
                <w:lang w:val="en-US" w:eastAsia="zh-CN"/>
              </w:rPr>
            </w:pPr>
            <w:r>
              <w:rPr>
                <w:rFonts w:ascii="宋体" w:hAnsi="宋体" w:eastAsia="宋体" w:cs="宋体"/>
                <w:i w:val="0"/>
                <w:iCs w:val="0"/>
                <w:color w:val="000000"/>
                <w:kern w:val="0"/>
                <w:sz w:val="18"/>
                <w:szCs w:val="18"/>
                <w:u w:val="none"/>
                <w:lang w:val="en-US" w:eastAsia="zh-CN" w:bidi="ar"/>
              </w:rPr>
              <w:t>220</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000000"/>
                <w:kern w:val="0"/>
                <w:sz w:val="24"/>
                <w:szCs w:val="24"/>
              </w:rPr>
            </w:pPr>
            <w:r>
              <w:rPr>
                <w:rFonts w:ascii="宋体" w:hAnsi="宋体" w:eastAsia="宋体" w:cs="宋体"/>
                <w:i w:val="0"/>
                <w:iCs w:val="0"/>
                <w:color w:val="000000"/>
                <w:kern w:val="0"/>
                <w:sz w:val="18"/>
                <w:szCs w:val="18"/>
                <w:u w:val="none"/>
                <w:lang w:val="en-US" w:eastAsia="zh-CN" w:bidi="ar"/>
              </w:rPr>
              <w:t>万</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color w:val="000000"/>
                <w:sz w:val="24"/>
                <w:szCs w:val="24"/>
                <w:lang w:val="en-US" w:eastAsia="zh-CN"/>
              </w:rPr>
            </w:pPr>
            <w:r>
              <w:rPr>
                <w:rFonts w:hint="eastAsia" w:ascii="宋体" w:hAnsi="宋体" w:eastAsia="宋体" w:cs="宋体"/>
                <w:i w:val="0"/>
                <w:iCs w:val="0"/>
                <w:color w:val="000000"/>
                <w:kern w:val="0"/>
                <w:sz w:val="18"/>
                <w:szCs w:val="18"/>
                <w:u w:val="none"/>
                <w:lang w:val="en-US" w:eastAsia="zh-CN" w:bidi="ar"/>
              </w:rPr>
              <w:t>20</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color w:val="000000"/>
                <w:kern w:val="0"/>
                <w:sz w:val="20"/>
                <w:szCs w:val="20"/>
                <w:lang w:val="en-US" w:eastAsia="zh-CN"/>
              </w:rPr>
            </w:pPr>
            <w:r>
              <w:rPr>
                <w:rFonts w:hint="eastAsia" w:ascii="宋体" w:hAnsi="宋体" w:eastAsia="宋体" w:cs="宋体"/>
                <w:i w:val="0"/>
                <w:iCs w:val="0"/>
                <w:color w:val="000000"/>
                <w:kern w:val="0"/>
                <w:sz w:val="18"/>
                <w:szCs w:val="18"/>
                <w:u w:val="none"/>
                <w:lang w:val="en-US" w:eastAsia="zh-CN" w:bidi="ar"/>
              </w:rPr>
              <w:t>220</w:t>
            </w:r>
          </w:p>
        </w:tc>
      </w:tr>
    </w:tbl>
    <w:p>
      <w:pPr>
        <w:rPr>
          <w:szCs w:val="24"/>
        </w:rPr>
      </w:pPr>
      <w:r>
        <w:rPr>
          <w:rFonts w:hint="eastAsia"/>
          <w:szCs w:val="24"/>
        </w:rPr>
        <w:br w:type="page"/>
      </w:r>
    </w:p>
    <w:p>
      <w:pPr>
        <w:widowControl/>
        <w:jc w:val="center"/>
        <w:rPr>
          <w:rFonts w:hint="eastAsia" w:ascii="Times New Roman" w:hAnsi="Times New Roman" w:eastAsia="黑体"/>
          <w:color w:val="auto"/>
          <w:sz w:val="44"/>
          <w:szCs w:val="44"/>
          <w:highlight w:val="none"/>
        </w:rPr>
      </w:pPr>
    </w:p>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就业创业补助资金项目绩效评价报告</w:t>
      </w:r>
    </w:p>
    <w:p>
      <w:pPr>
        <w:pStyle w:val="36"/>
        <w:spacing w:line="560" w:lineRule="exact"/>
        <w:ind w:firstLine="640"/>
        <w:jc w:val="center"/>
        <w:rPr>
          <w:rFonts w:ascii="宋体" w:hAnsi="宋体"/>
          <w:color w:val="auto"/>
          <w:kern w:val="2"/>
          <w:sz w:val="32"/>
          <w:szCs w:val="32"/>
        </w:rPr>
      </w:pPr>
    </w:p>
    <w:p>
      <w:pPr>
        <w:adjustRightInd w:val="0"/>
        <w:snapToGrid w:val="0"/>
        <w:spacing w:line="578" w:lineRule="exact"/>
        <w:ind w:firstLine="640" w:firstLineChars="200"/>
        <w:rPr>
          <w:rFonts w:hint="eastAsia" w:ascii="黑体" w:hAnsi="黑体" w:eastAsia="黑体" w:cs="黑体"/>
          <w:sz w:val="32"/>
          <w:szCs w:val="32"/>
          <w:lang w:val="zh-CN"/>
        </w:rPr>
      </w:pPr>
      <w:r>
        <w:rPr>
          <w:rFonts w:hint="eastAsia" w:ascii="黑体" w:hAnsi="黑体" w:eastAsia="黑体" w:cs="黑体"/>
          <w:sz w:val="32"/>
          <w:szCs w:val="32"/>
        </w:rPr>
        <w:t>一、</w:t>
      </w:r>
      <w:r>
        <w:rPr>
          <w:rFonts w:hint="eastAsia" w:ascii="黑体" w:hAnsi="黑体" w:eastAsia="黑体" w:cs="黑体"/>
          <w:sz w:val="32"/>
          <w:szCs w:val="32"/>
          <w:lang w:val="zh-CN"/>
        </w:rPr>
        <w:t>项目概况</w:t>
      </w:r>
    </w:p>
    <w:p>
      <w:pPr>
        <w:widowControl/>
        <w:adjustRightInd w:val="0"/>
        <w:snapToGrid w:val="0"/>
        <w:spacing w:line="578" w:lineRule="exact"/>
        <w:ind w:firstLine="642" w:firstLineChars="200"/>
        <w:contextualSpacing/>
        <w:jc w:val="left"/>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（一）设立背景及基本情况</w:t>
      </w:r>
    </w:p>
    <w:p>
      <w:pPr>
        <w:widowControl/>
        <w:adjustRightInd w:val="0"/>
        <w:snapToGrid w:val="0"/>
        <w:spacing w:line="578" w:lineRule="exact"/>
        <w:ind w:firstLine="640" w:firstLineChars="200"/>
        <w:contextualSpacing/>
        <w:jc w:val="left"/>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为贯彻落实好各项就业创业政策,规范中央和省级就业创业补助资金管理，提高资金使用绩效，根据</w:t>
      </w:r>
      <w:r>
        <w:rPr>
          <w:rFonts w:hint="eastAsia" w:ascii="仿宋_GB2312" w:hAnsi="仿宋_GB2312" w:eastAsia="仿宋_GB2312" w:cs="仿宋_GB2312"/>
          <w:kern w:val="0"/>
          <w:sz w:val="32"/>
          <w:szCs w:val="32"/>
          <w:shd w:val="clear" w:color="auto" w:fill="FFFFFF"/>
          <w:lang w:eastAsia="zh-CN"/>
        </w:rPr>
        <w:t>（</w:t>
      </w:r>
      <w:r>
        <w:rPr>
          <w:rFonts w:hint="eastAsia" w:ascii="仿宋_GB2312" w:hAnsi="仿宋_GB2312" w:eastAsia="仿宋_GB2312" w:cs="仿宋_GB2312"/>
          <w:kern w:val="0"/>
          <w:sz w:val="32"/>
          <w:szCs w:val="32"/>
          <w:shd w:val="clear" w:color="auto" w:fill="FFFFFF"/>
        </w:rPr>
        <w:t>川财社</w:t>
      </w:r>
      <w:r>
        <w:rPr>
          <w:rFonts w:hint="eastAsia" w:ascii="仿宋_GB2312" w:hAnsi="仿宋_GB2312" w:eastAsia="仿宋_GB2312" w:cs="仿宋_GB2312"/>
          <w:kern w:val="0"/>
          <w:sz w:val="32"/>
          <w:szCs w:val="32"/>
          <w:shd w:val="clear" w:color="auto" w:fill="FFFFFF"/>
          <w:lang w:eastAsia="zh-CN"/>
        </w:rPr>
        <w:t>【</w:t>
      </w:r>
      <w:r>
        <w:rPr>
          <w:rFonts w:hint="eastAsia" w:ascii="仿宋_GB2312" w:hAnsi="仿宋_GB2312" w:eastAsia="仿宋_GB2312" w:cs="仿宋_GB2312"/>
          <w:kern w:val="0"/>
          <w:sz w:val="32"/>
          <w:szCs w:val="32"/>
          <w:shd w:val="clear" w:color="auto" w:fill="FFFFFF"/>
        </w:rPr>
        <w:t>2019</w:t>
      </w:r>
      <w:r>
        <w:rPr>
          <w:rFonts w:hint="eastAsia" w:ascii="仿宋_GB2312" w:hAnsi="仿宋_GB2312" w:eastAsia="仿宋_GB2312" w:cs="仿宋_GB2312"/>
          <w:kern w:val="0"/>
          <w:sz w:val="32"/>
          <w:szCs w:val="32"/>
          <w:shd w:val="clear" w:color="auto" w:fill="FFFFFF"/>
          <w:lang w:eastAsia="zh-CN"/>
        </w:rPr>
        <w:t>】</w:t>
      </w:r>
      <w:r>
        <w:rPr>
          <w:rFonts w:hint="eastAsia" w:ascii="仿宋_GB2312" w:hAnsi="仿宋_GB2312" w:eastAsia="仿宋_GB2312" w:cs="仿宋_GB2312"/>
          <w:kern w:val="0"/>
          <w:sz w:val="32"/>
          <w:szCs w:val="32"/>
          <w:shd w:val="clear" w:color="auto" w:fill="FFFFFF"/>
        </w:rPr>
        <w:t>38号</w:t>
      </w:r>
      <w:r>
        <w:rPr>
          <w:rFonts w:hint="eastAsia" w:ascii="仿宋_GB2312" w:hAnsi="仿宋_GB2312" w:eastAsia="仿宋_GB2312" w:cs="仿宋_GB2312"/>
          <w:kern w:val="0"/>
          <w:sz w:val="32"/>
          <w:szCs w:val="32"/>
          <w:shd w:val="clear" w:color="auto" w:fill="FFFFFF"/>
          <w:lang w:eastAsia="zh-CN"/>
        </w:rPr>
        <w:t>）</w:t>
      </w:r>
      <w:r>
        <w:rPr>
          <w:rFonts w:hint="eastAsia" w:ascii="仿宋_GB2312" w:hAnsi="仿宋_GB2312" w:eastAsia="仿宋_GB2312" w:cs="仿宋_GB2312"/>
          <w:kern w:val="0"/>
          <w:sz w:val="32"/>
          <w:szCs w:val="32"/>
          <w:shd w:val="clear" w:color="auto" w:fill="FFFFFF"/>
          <w:lang w:val="en-US" w:eastAsia="zh-CN"/>
        </w:rPr>
        <w:t>文件要求</w:t>
      </w:r>
      <w:r>
        <w:rPr>
          <w:rFonts w:hint="eastAsia" w:ascii="仿宋_GB2312" w:hAnsi="仿宋_GB2312" w:eastAsia="仿宋_GB2312" w:cs="仿宋_GB2312"/>
          <w:kern w:val="0"/>
          <w:sz w:val="32"/>
          <w:szCs w:val="32"/>
          <w:shd w:val="clear" w:color="auto" w:fill="FFFFFF"/>
        </w:rPr>
        <w:t>，就业创业专项补助资金按规定用于职业技能培训补贴、职业技能鉴定补贴、社会保险补贴、公益性岗位补贴、创业补贴、就业见习补贴等支出以及经省人民政府批准的其他支出项目。推动城镇新增就业，城镇失业人员和就业困难人员再就业计划的实施，重点支持大学生、就业困难人员、贫困家庭人员、返乡农民工等群体就业创业。</w:t>
      </w:r>
    </w:p>
    <w:p>
      <w:pPr>
        <w:widowControl/>
        <w:adjustRightInd w:val="0"/>
        <w:snapToGrid w:val="0"/>
        <w:spacing w:line="578" w:lineRule="exact"/>
        <w:ind w:firstLine="640" w:firstLineChars="200"/>
        <w:contextualSpacing/>
        <w:jc w:val="left"/>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lang w:val="zh-CN"/>
        </w:rPr>
        <w:t>就业创业补助资金项目</w:t>
      </w:r>
      <w:r>
        <w:rPr>
          <w:rFonts w:hint="eastAsia" w:ascii="仿宋_GB2312" w:hAnsi="仿宋_GB2312" w:eastAsia="仿宋_GB2312" w:cs="仿宋_GB2312"/>
          <w:kern w:val="0"/>
          <w:sz w:val="32"/>
          <w:szCs w:val="32"/>
          <w:shd w:val="clear" w:color="auto" w:fill="FFFFFF"/>
        </w:rPr>
        <w:t>资金，预算数1332</w:t>
      </w:r>
      <w:r>
        <w:rPr>
          <w:rFonts w:hint="eastAsia" w:ascii="仿宋_GB2312" w:hAnsi="仿宋_GB2312" w:eastAsia="仿宋_GB2312" w:cs="仿宋_GB2312"/>
          <w:kern w:val="0"/>
          <w:sz w:val="32"/>
          <w:szCs w:val="32"/>
          <w:shd w:val="clear" w:color="auto" w:fill="FFFFFF"/>
          <w:lang w:val="en-US" w:eastAsia="zh-CN"/>
        </w:rPr>
        <w:t>.00</w:t>
      </w:r>
      <w:r>
        <w:rPr>
          <w:rFonts w:hint="eastAsia" w:ascii="仿宋_GB2312" w:hAnsi="仿宋_GB2312" w:eastAsia="仿宋_GB2312" w:cs="仿宋_GB2312"/>
          <w:kern w:val="0"/>
          <w:sz w:val="32"/>
          <w:szCs w:val="32"/>
          <w:shd w:val="clear" w:color="auto" w:fill="FFFFFF"/>
        </w:rPr>
        <w:t>万元，预算执行数1286.72万元，预算执行率96.6</w:t>
      </w:r>
      <w:r>
        <w:rPr>
          <w:rFonts w:hint="eastAsia" w:ascii="仿宋_GB2312" w:hAnsi="仿宋_GB2312" w:eastAsia="仿宋_GB2312" w:cs="仿宋_GB2312"/>
          <w:kern w:val="0"/>
          <w:sz w:val="32"/>
          <w:szCs w:val="32"/>
          <w:shd w:val="clear" w:color="auto" w:fill="FFFFFF"/>
          <w:lang w:val="en-US" w:eastAsia="zh-CN"/>
        </w:rPr>
        <w:t>0</w:t>
      </w:r>
      <w:r>
        <w:rPr>
          <w:rFonts w:hint="eastAsia" w:ascii="仿宋_GB2312" w:hAnsi="仿宋_GB2312" w:eastAsia="仿宋_GB2312" w:cs="仿宋_GB2312"/>
          <w:kern w:val="0"/>
          <w:sz w:val="32"/>
          <w:szCs w:val="32"/>
          <w:shd w:val="clear" w:color="auto" w:fill="FFFFFF"/>
        </w:rPr>
        <w:t>%。</w:t>
      </w:r>
    </w:p>
    <w:p>
      <w:pPr>
        <w:widowControl/>
        <w:adjustRightInd w:val="0"/>
        <w:snapToGrid w:val="0"/>
        <w:spacing w:line="578" w:lineRule="exact"/>
        <w:ind w:firstLine="640" w:firstLineChars="200"/>
        <w:contextualSpacing/>
        <w:jc w:val="left"/>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lang w:val="zh-CN"/>
        </w:rPr>
        <w:t>就业创业补助资金项目</w:t>
      </w:r>
      <w:r>
        <w:rPr>
          <w:rFonts w:hint="eastAsia" w:ascii="仿宋_GB2312" w:hAnsi="仿宋_GB2312" w:eastAsia="仿宋_GB2312" w:cs="仿宋_GB2312"/>
          <w:kern w:val="0"/>
          <w:sz w:val="32"/>
          <w:szCs w:val="32"/>
          <w:shd w:val="clear" w:color="auto" w:fill="FFFFFF"/>
        </w:rPr>
        <w:t>资金主要遵循原则：</w:t>
      </w:r>
    </w:p>
    <w:p>
      <w:pPr>
        <w:widowControl/>
        <w:adjustRightInd w:val="0"/>
        <w:snapToGrid w:val="0"/>
        <w:spacing w:line="578" w:lineRule="exact"/>
        <w:ind w:firstLine="640" w:firstLineChars="200"/>
        <w:contextualSpacing/>
        <w:jc w:val="left"/>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（1）注重普惠、重点倾斜。落实各项就业创业政策，重点支持就业困难人员、建档立卡贫困劳动力、大学生、退役军人、农民工等群体就业创业，同时兼顾其他各类群体，促进城乡劳动者平等就业。</w:t>
      </w:r>
    </w:p>
    <w:p>
      <w:pPr>
        <w:widowControl/>
        <w:adjustRightInd w:val="0"/>
        <w:snapToGrid w:val="0"/>
        <w:spacing w:line="578" w:lineRule="exact"/>
        <w:ind w:firstLine="640" w:firstLineChars="200"/>
        <w:contextualSpacing/>
        <w:jc w:val="left"/>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lang w:eastAsia="zh-CN"/>
        </w:rPr>
        <w:t>（</w:t>
      </w:r>
      <w:r>
        <w:rPr>
          <w:rFonts w:hint="eastAsia" w:ascii="仿宋_GB2312" w:hAnsi="仿宋_GB2312" w:eastAsia="仿宋_GB2312" w:cs="仿宋_GB2312"/>
          <w:kern w:val="0"/>
          <w:sz w:val="32"/>
          <w:szCs w:val="32"/>
          <w:shd w:val="clear" w:color="auto" w:fill="FFFFFF"/>
          <w:lang w:val="en-US" w:eastAsia="zh-CN"/>
        </w:rPr>
        <w:t>2</w:t>
      </w:r>
      <w:r>
        <w:rPr>
          <w:rFonts w:hint="eastAsia" w:ascii="仿宋_GB2312" w:hAnsi="仿宋_GB2312" w:eastAsia="仿宋_GB2312" w:cs="仿宋_GB2312"/>
          <w:kern w:val="0"/>
          <w:sz w:val="32"/>
          <w:szCs w:val="32"/>
          <w:shd w:val="clear" w:color="auto" w:fill="FFFFFF"/>
          <w:lang w:eastAsia="zh-CN"/>
        </w:rPr>
        <w:t>）</w:t>
      </w:r>
      <w:r>
        <w:rPr>
          <w:rFonts w:hint="eastAsia" w:ascii="仿宋_GB2312" w:hAnsi="仿宋_GB2312" w:eastAsia="仿宋_GB2312" w:cs="仿宋_GB2312"/>
          <w:kern w:val="0"/>
          <w:sz w:val="32"/>
          <w:szCs w:val="32"/>
          <w:shd w:val="clear" w:color="auto" w:fill="FFFFFF"/>
        </w:rPr>
        <w:t>健全机制、激励约束。优化制度设计，奖补结合，强化激励与约束并重的机制效应，发挥政策执行部门、用人单位促进就业、稳定就业的主动性，调动城乡劳动者提升能力、主动就业、积极创业的积极性。</w:t>
      </w:r>
    </w:p>
    <w:p>
      <w:pPr>
        <w:widowControl/>
        <w:adjustRightInd w:val="0"/>
        <w:snapToGrid w:val="0"/>
        <w:spacing w:line="578" w:lineRule="exact"/>
        <w:ind w:firstLine="640" w:firstLineChars="200"/>
        <w:contextualSpacing/>
        <w:jc w:val="left"/>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lang w:eastAsia="zh-CN"/>
        </w:rPr>
        <w:t>（</w:t>
      </w:r>
      <w:r>
        <w:rPr>
          <w:rFonts w:hint="eastAsia" w:ascii="仿宋_GB2312" w:hAnsi="仿宋_GB2312" w:eastAsia="仿宋_GB2312" w:cs="仿宋_GB2312"/>
          <w:kern w:val="0"/>
          <w:sz w:val="32"/>
          <w:szCs w:val="32"/>
          <w:shd w:val="clear" w:color="auto" w:fill="FFFFFF"/>
          <w:lang w:val="en-US" w:eastAsia="zh-CN"/>
        </w:rPr>
        <w:t>3</w:t>
      </w:r>
      <w:r>
        <w:rPr>
          <w:rFonts w:hint="eastAsia" w:ascii="仿宋_GB2312" w:hAnsi="仿宋_GB2312" w:eastAsia="仿宋_GB2312" w:cs="仿宋_GB2312"/>
          <w:kern w:val="0"/>
          <w:sz w:val="32"/>
          <w:szCs w:val="32"/>
          <w:shd w:val="clear" w:color="auto" w:fill="FFFFFF"/>
          <w:lang w:eastAsia="zh-CN"/>
        </w:rPr>
        <w:t>）</w:t>
      </w:r>
      <w:r>
        <w:rPr>
          <w:rFonts w:hint="eastAsia" w:ascii="仿宋_GB2312" w:hAnsi="仿宋_GB2312" w:eastAsia="仿宋_GB2312" w:cs="仿宋_GB2312"/>
          <w:kern w:val="0"/>
          <w:sz w:val="32"/>
          <w:szCs w:val="32"/>
          <w:shd w:val="clear" w:color="auto" w:fill="FFFFFF"/>
        </w:rPr>
        <w:t>统筹使用、补缺补短。补助资金主要按照定向转移支付模式进行分配管理，根据本地实际统筹安排使用，重点用于就业创业领域最急需、最迫切的项目。</w:t>
      </w:r>
    </w:p>
    <w:p>
      <w:pPr>
        <w:widowControl/>
        <w:adjustRightInd w:val="0"/>
        <w:snapToGrid w:val="0"/>
        <w:spacing w:line="578" w:lineRule="exact"/>
        <w:ind w:firstLine="640" w:firstLineChars="200"/>
        <w:contextualSpacing/>
        <w:jc w:val="left"/>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lang w:eastAsia="zh-CN"/>
        </w:rPr>
        <w:t>（</w:t>
      </w:r>
      <w:r>
        <w:rPr>
          <w:rFonts w:hint="eastAsia" w:ascii="仿宋_GB2312" w:hAnsi="仿宋_GB2312" w:eastAsia="仿宋_GB2312" w:cs="仿宋_GB2312"/>
          <w:kern w:val="0"/>
          <w:sz w:val="32"/>
          <w:szCs w:val="32"/>
          <w:shd w:val="clear" w:color="auto" w:fill="FFFFFF"/>
          <w:lang w:val="en-US" w:eastAsia="zh-CN"/>
        </w:rPr>
        <w:t>4</w:t>
      </w:r>
      <w:r>
        <w:rPr>
          <w:rFonts w:hint="eastAsia" w:ascii="仿宋_GB2312" w:hAnsi="仿宋_GB2312" w:eastAsia="仿宋_GB2312" w:cs="仿宋_GB2312"/>
          <w:kern w:val="0"/>
          <w:sz w:val="32"/>
          <w:szCs w:val="32"/>
          <w:shd w:val="clear" w:color="auto" w:fill="FFFFFF"/>
          <w:lang w:eastAsia="zh-CN"/>
        </w:rPr>
        <w:t>）</w:t>
      </w:r>
      <w:r>
        <w:rPr>
          <w:rFonts w:hint="eastAsia" w:ascii="仿宋_GB2312" w:hAnsi="仿宋_GB2312" w:eastAsia="仿宋_GB2312" w:cs="仿宋_GB2312"/>
          <w:kern w:val="0"/>
          <w:sz w:val="32"/>
          <w:szCs w:val="32"/>
          <w:shd w:val="clear" w:color="auto" w:fill="FFFFFF"/>
        </w:rPr>
        <w:t>严格管理、强化绩效。健全管理制度，规范管理监督强化跟踪问效。对该补助资金使用情况实行绩效管理。</w:t>
      </w:r>
    </w:p>
    <w:p>
      <w:pPr>
        <w:adjustRightInd w:val="0"/>
        <w:snapToGrid w:val="0"/>
        <w:spacing w:line="578" w:lineRule="exact"/>
        <w:ind w:firstLine="642" w:firstLine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lang w:val="zh-CN"/>
        </w:rPr>
        <w:t>（二）</w:t>
      </w:r>
      <w:r>
        <w:rPr>
          <w:rFonts w:hint="eastAsia" w:ascii="仿宋_GB2312" w:hAnsi="仿宋_GB2312" w:eastAsia="仿宋_GB2312" w:cs="仿宋_GB2312"/>
          <w:b/>
          <w:sz w:val="32"/>
          <w:szCs w:val="32"/>
        </w:rPr>
        <w:t>实施目的及支持方向</w:t>
      </w:r>
    </w:p>
    <w:p>
      <w:pPr>
        <w:adjustRightInd w:val="0"/>
        <w:snapToGrid w:val="0"/>
        <w:spacing w:line="578" w:lineRule="exact"/>
        <w:ind w:firstLine="640" w:firstLineChars="200"/>
        <w:rPr>
          <w:rFonts w:hint="eastAsia"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rPr>
        <w:t>为贯彻落实好各项就业创业政策,</w:t>
      </w:r>
      <w:r>
        <w:rPr>
          <w:rFonts w:hint="eastAsia" w:ascii="仿宋_GB2312" w:hAnsi="仿宋_GB2312" w:eastAsia="仿宋_GB2312" w:cs="仿宋_GB2312"/>
          <w:kern w:val="0"/>
          <w:sz w:val="32"/>
          <w:szCs w:val="32"/>
          <w:shd w:val="clear" w:color="auto" w:fill="FFFFFF"/>
          <w:lang w:val="zh-CN"/>
        </w:rPr>
        <w:t>我单位严格按照</w:t>
      </w:r>
      <w:r>
        <w:rPr>
          <w:rFonts w:hint="eastAsia" w:ascii="仿宋_GB2312" w:hAnsi="仿宋_GB2312" w:eastAsia="仿宋_GB2312" w:cs="仿宋_GB2312"/>
          <w:kern w:val="0"/>
          <w:sz w:val="32"/>
          <w:szCs w:val="32"/>
          <w:shd w:val="clear" w:color="auto" w:fill="FFFFFF"/>
        </w:rPr>
        <w:t>四川省</w:t>
      </w:r>
      <w:r>
        <w:rPr>
          <w:rFonts w:hint="eastAsia" w:ascii="仿宋_GB2312" w:hAnsi="仿宋_GB2312" w:eastAsia="仿宋_GB2312" w:cs="仿宋_GB2312"/>
          <w:kern w:val="0"/>
          <w:sz w:val="32"/>
          <w:szCs w:val="32"/>
          <w:shd w:val="clear" w:color="auto" w:fill="FFFFFF"/>
          <w:lang w:val="zh-CN"/>
        </w:rPr>
        <w:t>财政厅、</w:t>
      </w:r>
      <w:r>
        <w:rPr>
          <w:rFonts w:hint="eastAsia" w:ascii="仿宋_GB2312" w:hAnsi="仿宋_GB2312" w:eastAsia="仿宋_GB2312" w:cs="仿宋_GB2312"/>
          <w:kern w:val="0"/>
          <w:sz w:val="32"/>
          <w:szCs w:val="32"/>
          <w:shd w:val="clear" w:color="auto" w:fill="FFFFFF"/>
        </w:rPr>
        <w:t>四川省</w:t>
      </w:r>
      <w:r>
        <w:rPr>
          <w:rFonts w:hint="eastAsia" w:ascii="仿宋_GB2312" w:hAnsi="仿宋_GB2312" w:eastAsia="仿宋_GB2312" w:cs="仿宋_GB2312"/>
          <w:kern w:val="0"/>
          <w:sz w:val="32"/>
          <w:szCs w:val="32"/>
          <w:shd w:val="clear" w:color="auto" w:fill="FFFFFF"/>
          <w:lang w:val="zh-CN"/>
        </w:rPr>
        <w:t>人力资源社会保障厅关于印发《中央和省级就业创业补助资金管理办法》的通知执行，对就业创业补助资金实行专项管理，专款专用。</w:t>
      </w:r>
    </w:p>
    <w:p>
      <w:pPr>
        <w:widowControl/>
        <w:adjustRightInd w:val="0"/>
        <w:snapToGrid w:val="0"/>
        <w:spacing w:line="578" w:lineRule="exact"/>
        <w:ind w:firstLine="640" w:firstLineChars="200"/>
        <w:contextualSpacing/>
        <w:jc w:val="left"/>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就业创业专项补助资金主要用于职业技能培训补贴、职业技能鉴定补贴、社会保险补贴、公益性岗位补贴、创业补贴、就业见习补贴等支出以及经省人民政府批准的其他支出项目。推动城镇新增就业，城镇失业人员和就业困难人员再就业计划的实施，重点支持大学生、就业困难人员、贫困家庭人员、返乡农民工等群体就业创业。</w:t>
      </w:r>
    </w:p>
    <w:p>
      <w:pPr>
        <w:widowControl/>
        <w:adjustRightInd w:val="0"/>
        <w:snapToGrid w:val="0"/>
        <w:spacing w:line="578" w:lineRule="exact"/>
        <w:ind w:firstLine="642" w:firstLineChars="200"/>
        <w:contextualSpacing/>
        <w:jc w:val="left"/>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（三）</w:t>
      </w:r>
      <w:r>
        <w:rPr>
          <w:rFonts w:hint="eastAsia" w:ascii="仿宋_GB2312" w:hAnsi="仿宋_GB2312" w:eastAsia="仿宋_GB2312" w:cs="仿宋_GB2312"/>
          <w:b/>
          <w:sz w:val="32"/>
          <w:szCs w:val="32"/>
        </w:rPr>
        <w:t>预算安排及分配管理</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shd w:val="clear" w:color="auto" w:fill="FFFFFF"/>
          <w:lang w:val="zh-CN"/>
        </w:rPr>
        <w:t>就业创业补助资金项目</w:t>
      </w:r>
      <w:r>
        <w:rPr>
          <w:rFonts w:hint="eastAsia" w:ascii="仿宋_GB2312" w:hAnsi="仿宋_GB2312" w:eastAsia="仿宋_GB2312" w:cs="仿宋_GB2312"/>
          <w:kern w:val="0"/>
          <w:sz w:val="32"/>
          <w:szCs w:val="32"/>
          <w:shd w:val="clear" w:color="auto" w:fill="FFFFFF"/>
        </w:rPr>
        <w:t>资金，</w:t>
      </w:r>
      <w:r>
        <w:rPr>
          <w:rFonts w:hint="eastAsia" w:ascii="仿宋_GB2312" w:hAnsi="仿宋_GB2312" w:eastAsia="仿宋_GB2312" w:cs="仿宋_GB2312"/>
          <w:sz w:val="32"/>
          <w:szCs w:val="32"/>
        </w:rPr>
        <w:t>本项目全年下达资金1332万元，全年支付</w:t>
      </w:r>
      <w:r>
        <w:rPr>
          <w:rFonts w:hint="eastAsia" w:ascii="仿宋_GB2312" w:hAnsi="仿宋_GB2312" w:eastAsia="仿宋_GB2312" w:cs="仿宋_GB2312"/>
          <w:kern w:val="0"/>
          <w:sz w:val="32"/>
          <w:szCs w:val="32"/>
          <w:shd w:val="clear" w:color="auto" w:fill="FFFFFF"/>
        </w:rPr>
        <w:t>1286.72</w:t>
      </w:r>
      <w:r>
        <w:rPr>
          <w:rFonts w:hint="eastAsia" w:ascii="仿宋_GB2312" w:hAnsi="仿宋_GB2312" w:eastAsia="仿宋_GB2312" w:cs="仿宋_GB2312"/>
          <w:sz w:val="32"/>
          <w:szCs w:val="32"/>
        </w:rPr>
        <w:t>万元，</w:t>
      </w:r>
      <w:r>
        <w:rPr>
          <w:rFonts w:hint="eastAsia" w:ascii="仿宋_GB2312" w:hAnsi="仿宋_GB2312" w:eastAsia="仿宋_GB2312" w:cs="仿宋_GB2312"/>
          <w:kern w:val="0"/>
          <w:sz w:val="32"/>
          <w:szCs w:val="32"/>
          <w:shd w:val="clear" w:color="auto" w:fill="FFFFFF"/>
        </w:rPr>
        <w:t>预算执行率96.6%，</w:t>
      </w:r>
      <w:r>
        <w:rPr>
          <w:rFonts w:hint="eastAsia" w:ascii="仿宋_GB2312" w:hAnsi="仿宋_GB2312" w:eastAsia="仿宋_GB2312" w:cs="仿宋_GB2312"/>
          <w:sz w:val="32"/>
          <w:szCs w:val="32"/>
        </w:rPr>
        <w:t>预算及使用过程符合资金管理办法等相关规定。</w:t>
      </w:r>
    </w:p>
    <w:p>
      <w:pPr>
        <w:adjustRightInd w:val="0"/>
        <w:snapToGrid w:val="0"/>
        <w:spacing w:line="578" w:lineRule="exact"/>
        <w:ind w:firstLine="640" w:firstLineChars="200"/>
        <w:contextualSpacing/>
        <w:jc w:val="left"/>
        <w:rPr>
          <w:rFonts w:hint="eastAsia"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为加强</w:t>
      </w:r>
      <w:r>
        <w:rPr>
          <w:rFonts w:hint="eastAsia" w:ascii="仿宋_GB2312" w:hAnsi="仿宋_GB2312" w:eastAsia="仿宋_GB2312" w:cs="仿宋_GB2312"/>
          <w:kern w:val="0"/>
          <w:sz w:val="32"/>
          <w:szCs w:val="32"/>
          <w:shd w:val="clear" w:color="auto" w:fill="FFFFFF"/>
          <w:lang w:val="zh-CN"/>
        </w:rPr>
        <w:t>就业创业补助资金项目</w:t>
      </w:r>
      <w:r>
        <w:rPr>
          <w:rFonts w:hint="eastAsia" w:ascii="仿宋_GB2312" w:hAnsi="仿宋_GB2312" w:eastAsia="仿宋_GB2312" w:cs="仿宋_GB2312"/>
          <w:kern w:val="0"/>
          <w:sz w:val="32"/>
          <w:szCs w:val="32"/>
          <w:shd w:val="clear" w:color="auto" w:fill="FFFFFF"/>
        </w:rPr>
        <w:t>资金</w:t>
      </w:r>
      <w:r>
        <w:rPr>
          <w:rFonts w:hint="eastAsia" w:ascii="仿宋_GB2312" w:hAnsi="仿宋_GB2312" w:eastAsia="仿宋_GB2312" w:cs="仿宋_GB2312"/>
          <w:color w:val="000000"/>
          <w:kern w:val="0"/>
          <w:sz w:val="32"/>
          <w:szCs w:val="32"/>
          <w:shd w:val="clear" w:color="auto" w:fill="FFFFFF"/>
        </w:rPr>
        <w:t>预算管理，推进厉行节约、规范财务行为，</w:t>
      </w:r>
      <w:r>
        <w:rPr>
          <w:rFonts w:hint="eastAsia" w:ascii="仿宋_GB2312" w:hAnsi="仿宋_GB2312" w:eastAsia="仿宋_GB2312" w:cs="仿宋_GB2312"/>
          <w:color w:val="000000"/>
          <w:kern w:val="0"/>
          <w:sz w:val="32"/>
          <w:szCs w:val="32"/>
          <w:shd w:val="clear" w:color="auto" w:fill="FFFFFF"/>
          <w:lang w:eastAsia="zh-CN"/>
        </w:rPr>
        <w:t>茂县就业服务中心</w:t>
      </w:r>
      <w:r>
        <w:rPr>
          <w:rFonts w:hint="eastAsia" w:ascii="仿宋_GB2312" w:hAnsi="仿宋_GB2312" w:eastAsia="仿宋_GB2312" w:cs="仿宋_GB2312"/>
          <w:color w:val="000000"/>
          <w:kern w:val="0"/>
          <w:sz w:val="32"/>
          <w:szCs w:val="32"/>
          <w:shd w:val="clear" w:color="auto" w:fill="FFFFFF"/>
        </w:rPr>
        <w:t>在编制</w:t>
      </w:r>
      <w:r>
        <w:rPr>
          <w:rFonts w:hint="eastAsia" w:ascii="仿宋_GB2312" w:hAnsi="仿宋_GB2312" w:eastAsia="仿宋_GB2312" w:cs="仿宋_GB2312"/>
          <w:kern w:val="0"/>
          <w:sz w:val="32"/>
          <w:szCs w:val="32"/>
          <w:shd w:val="clear" w:color="auto" w:fill="FFFFFF"/>
          <w:lang w:val="zh-CN"/>
        </w:rPr>
        <w:t>就业创业补助资金</w:t>
      </w:r>
      <w:r>
        <w:rPr>
          <w:rFonts w:hint="eastAsia" w:ascii="仿宋_GB2312" w:hAnsi="仿宋_GB2312" w:eastAsia="仿宋_GB2312" w:cs="仿宋_GB2312"/>
          <w:kern w:val="0"/>
          <w:sz w:val="32"/>
          <w:szCs w:val="32"/>
          <w:shd w:val="clear" w:color="auto" w:fill="FFFFFF"/>
        </w:rPr>
        <w:t>预算</w:t>
      </w:r>
      <w:r>
        <w:rPr>
          <w:rFonts w:hint="eastAsia" w:ascii="仿宋_GB2312" w:hAnsi="仿宋_GB2312" w:eastAsia="仿宋_GB2312" w:cs="仿宋_GB2312"/>
          <w:color w:val="000000"/>
          <w:kern w:val="0"/>
          <w:sz w:val="32"/>
          <w:szCs w:val="32"/>
          <w:shd w:val="clear" w:color="auto" w:fill="FFFFFF"/>
        </w:rPr>
        <w:t>时基本按照相关预算编制文件要求编制，落实了相关经费的控制要求，亦编制了</w:t>
      </w:r>
      <w:r>
        <w:rPr>
          <w:rFonts w:hint="eastAsia" w:ascii="仿宋_GB2312" w:hAnsi="仿宋_GB2312" w:eastAsia="仿宋_GB2312" w:cs="仿宋_GB2312"/>
          <w:kern w:val="0"/>
          <w:sz w:val="32"/>
          <w:szCs w:val="32"/>
          <w:shd w:val="clear" w:color="auto" w:fill="FFFFFF"/>
          <w:lang w:val="zh-CN"/>
        </w:rPr>
        <w:t>就业创业补助资金</w:t>
      </w:r>
      <w:r>
        <w:rPr>
          <w:rFonts w:hint="eastAsia" w:ascii="仿宋_GB2312" w:hAnsi="仿宋_GB2312" w:eastAsia="仿宋_GB2312" w:cs="仿宋_GB2312"/>
          <w:color w:val="000000"/>
          <w:kern w:val="0"/>
          <w:sz w:val="32"/>
          <w:szCs w:val="32"/>
          <w:shd w:val="clear" w:color="auto" w:fill="FFFFFF"/>
        </w:rPr>
        <w:t>项目绩效目标。</w:t>
      </w:r>
    </w:p>
    <w:p>
      <w:pPr>
        <w:adjustRightInd w:val="0"/>
        <w:snapToGrid w:val="0"/>
        <w:spacing w:line="578" w:lineRule="exact"/>
        <w:ind w:firstLine="640" w:firstLineChars="200"/>
        <w:contextualSpacing/>
        <w:jc w:val="left"/>
        <w:rPr>
          <w:rFonts w:hint="eastAsia"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经查阅预算编制相关资料，</w:t>
      </w:r>
      <w:r>
        <w:rPr>
          <w:rFonts w:hint="eastAsia" w:ascii="仿宋_GB2312" w:hAnsi="仿宋_GB2312" w:eastAsia="仿宋_GB2312" w:cs="仿宋_GB2312"/>
          <w:kern w:val="0"/>
          <w:sz w:val="32"/>
          <w:szCs w:val="32"/>
          <w:shd w:val="clear" w:color="auto" w:fill="FFFFFF"/>
          <w:lang w:val="zh-CN"/>
        </w:rPr>
        <w:t>就业创业补助资金根据全年工作目标任务，</w:t>
      </w:r>
      <w:r>
        <w:rPr>
          <w:rFonts w:hint="eastAsia" w:ascii="仿宋_GB2312" w:hAnsi="仿宋_GB2312" w:eastAsia="仿宋_GB2312" w:cs="仿宋_GB2312"/>
          <w:color w:val="000000"/>
          <w:kern w:val="0"/>
          <w:sz w:val="32"/>
          <w:szCs w:val="32"/>
          <w:shd w:val="clear" w:color="auto" w:fill="FFFFFF"/>
        </w:rPr>
        <w:t>测算到明细内容，在预算执行方面，预算执行监控到位，该项目年度预算执行进度较好。总体来看</w:t>
      </w:r>
      <w:r>
        <w:rPr>
          <w:rFonts w:hint="eastAsia" w:ascii="仿宋_GB2312" w:hAnsi="仿宋_GB2312" w:eastAsia="仿宋_GB2312" w:cs="仿宋_GB2312"/>
          <w:color w:val="000000"/>
          <w:kern w:val="0"/>
          <w:sz w:val="32"/>
          <w:szCs w:val="32"/>
          <w:shd w:val="clear" w:color="auto" w:fill="FFFFFF"/>
          <w:lang w:eastAsia="zh-CN"/>
        </w:rPr>
        <w:t>茂县就业服务中心</w:t>
      </w:r>
      <w:r>
        <w:rPr>
          <w:rFonts w:hint="eastAsia" w:ascii="仿宋_GB2312" w:hAnsi="仿宋_GB2312" w:eastAsia="仿宋_GB2312" w:cs="仿宋_GB2312"/>
          <w:color w:val="000000"/>
          <w:kern w:val="0"/>
          <w:sz w:val="32"/>
          <w:szCs w:val="32"/>
          <w:shd w:val="clear" w:color="auto" w:fill="FFFFFF"/>
        </w:rPr>
        <w:t>在</w:t>
      </w:r>
      <w:r>
        <w:rPr>
          <w:rFonts w:hint="eastAsia" w:ascii="仿宋_GB2312" w:hAnsi="仿宋_GB2312" w:eastAsia="仿宋_GB2312" w:cs="仿宋_GB2312"/>
          <w:kern w:val="0"/>
          <w:sz w:val="32"/>
          <w:szCs w:val="32"/>
          <w:shd w:val="clear" w:color="auto" w:fill="FFFFFF"/>
          <w:lang w:val="zh-CN"/>
        </w:rPr>
        <w:t>就业创业补助资金</w:t>
      </w:r>
      <w:r>
        <w:rPr>
          <w:rFonts w:hint="eastAsia" w:ascii="仿宋_GB2312" w:hAnsi="仿宋_GB2312" w:eastAsia="仿宋_GB2312" w:cs="仿宋_GB2312"/>
          <w:kern w:val="0"/>
          <w:sz w:val="32"/>
          <w:szCs w:val="32"/>
          <w:shd w:val="clear" w:color="auto" w:fill="FFFFFF"/>
        </w:rPr>
        <w:t>项目</w:t>
      </w:r>
      <w:r>
        <w:rPr>
          <w:rFonts w:hint="eastAsia" w:ascii="仿宋_GB2312" w:hAnsi="仿宋_GB2312" w:eastAsia="仿宋_GB2312" w:cs="仿宋_GB2312"/>
          <w:color w:val="000000"/>
          <w:kern w:val="0"/>
          <w:sz w:val="32"/>
          <w:szCs w:val="32"/>
          <w:shd w:val="clear" w:color="auto" w:fill="FFFFFF"/>
        </w:rPr>
        <w:t>预算编制、预算执行、项目库管理等方面比较规范。</w:t>
      </w:r>
    </w:p>
    <w:p>
      <w:pPr>
        <w:adjustRightInd w:val="0"/>
        <w:snapToGrid w:val="0"/>
        <w:spacing w:line="578" w:lineRule="exact"/>
        <w:ind w:firstLine="642" w:firstLineChars="200"/>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（四）项目绩效目标设置</w:t>
      </w:r>
    </w:p>
    <w:p>
      <w:pPr>
        <w:adjustRightInd w:val="0"/>
        <w:snapToGrid w:val="0"/>
        <w:spacing w:line="578" w:lineRule="exact"/>
        <w:ind w:firstLine="640" w:firstLineChars="200"/>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lang w:val="zh-CN"/>
        </w:rPr>
        <w:t>就业创业补助资金</w:t>
      </w:r>
      <w:r>
        <w:rPr>
          <w:rFonts w:hint="eastAsia" w:ascii="仿宋_GB2312" w:hAnsi="仿宋_GB2312" w:eastAsia="仿宋_GB2312" w:cs="仿宋_GB2312"/>
          <w:kern w:val="0"/>
          <w:sz w:val="32"/>
          <w:szCs w:val="32"/>
          <w:shd w:val="clear" w:color="auto" w:fill="FFFFFF"/>
        </w:rPr>
        <w:t>年度总体目标是资金按规定用于职业培训补贴、职业技能鉴定补贴、社会保险补贴、公益性岗位补贴、创业补贴、就业见习补贴、求职创业补贴、就业创业服务补助、高技能人才培养补助等支出以及经省级人民政府批准的其他支出项目，以及确保完成年度就业目标任务。</w:t>
      </w:r>
    </w:p>
    <w:p>
      <w:pPr>
        <w:adjustRightInd w:val="0"/>
        <w:snapToGrid w:val="0"/>
        <w:spacing w:line="578" w:lineRule="exact"/>
        <w:ind w:firstLine="640" w:firstLineChars="200"/>
        <w:rPr>
          <w:rFonts w:hint="eastAsia"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我</w:t>
      </w:r>
      <w:r>
        <w:rPr>
          <w:rFonts w:hint="eastAsia" w:ascii="仿宋_GB2312" w:hAnsi="仿宋_GB2312" w:eastAsia="仿宋_GB2312" w:cs="仿宋_GB2312"/>
          <w:kern w:val="0"/>
          <w:sz w:val="32"/>
          <w:szCs w:val="32"/>
          <w:shd w:val="clear" w:color="auto" w:fill="FFFFFF"/>
        </w:rPr>
        <w:t>单位</w:t>
      </w:r>
      <w:r>
        <w:rPr>
          <w:rFonts w:hint="eastAsia" w:ascii="仿宋_GB2312" w:hAnsi="仿宋_GB2312" w:eastAsia="仿宋_GB2312" w:cs="仿宋_GB2312"/>
          <w:kern w:val="0"/>
          <w:sz w:val="32"/>
          <w:szCs w:val="32"/>
          <w:shd w:val="clear" w:color="auto" w:fill="FFFFFF"/>
          <w:lang w:val="zh-CN"/>
        </w:rPr>
        <w:t>产出的数量、质量普遍超过了预期，完成情况均达到年初制定的绩效目标，</w:t>
      </w:r>
      <w:r>
        <w:rPr>
          <w:rFonts w:hint="eastAsia" w:ascii="仿宋_GB2312" w:hAnsi="仿宋_GB2312" w:eastAsia="仿宋_GB2312" w:cs="仿宋_GB2312"/>
          <w:kern w:val="0"/>
          <w:sz w:val="32"/>
          <w:szCs w:val="32"/>
          <w:shd w:val="clear" w:color="auto" w:fill="FFFFFF"/>
        </w:rPr>
        <w:t>本年度资金按规定用于职业培训补贴、社会保险补贴、公益性岗位补贴、创业补贴、就业见习补贴、求职创业补贴、就业创业服务补助、高技能人才培养补助等支出以及经省级人民政府批准的其他支出项目。在预算执行年度内，无超经费文件设定范围使用经费的情况发生。</w:t>
      </w:r>
    </w:p>
    <w:p>
      <w:pPr>
        <w:adjustRightInd w:val="0"/>
        <w:snapToGrid w:val="0"/>
        <w:spacing w:line="578" w:lineRule="exact"/>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二、评价实施</w:t>
      </w:r>
    </w:p>
    <w:p>
      <w:pPr>
        <w:spacing w:line="578" w:lineRule="exact"/>
        <w:ind w:firstLine="640"/>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（一）评价目的</w:t>
      </w:r>
    </w:p>
    <w:p>
      <w:pPr>
        <w:adjustRightInd w:val="0"/>
        <w:snapToGrid w:val="0"/>
        <w:spacing w:line="578" w:lineRule="exact"/>
        <w:ind w:firstLine="640" w:firstLineChars="200"/>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通过对就业创业专项补助资金项目绩效自评，对该项目的资金分配、资金使用、资金监督有明确的了解，更加有利于贯彻落实好各项就业创业政策，规范中央和省级就业创业补助资金的申领、审核及拨付程序。</w:t>
      </w:r>
    </w:p>
    <w:p>
      <w:pPr>
        <w:adjustRightInd w:val="0"/>
        <w:snapToGrid w:val="0"/>
        <w:spacing w:line="578" w:lineRule="exact"/>
        <w:ind w:firstLine="642" w:firstLineChars="200"/>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（二）预设问题及评价重点</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shd w:val="clear" w:color="auto" w:fill="FFFFFF"/>
          <w:lang w:val="zh-CN"/>
        </w:rPr>
        <w:t>就业创业补助资金项目</w:t>
      </w:r>
      <w:r>
        <w:rPr>
          <w:rFonts w:hint="eastAsia" w:ascii="仿宋_GB2312" w:hAnsi="仿宋_GB2312" w:eastAsia="仿宋_GB2312" w:cs="仿宋_GB2312"/>
          <w:kern w:val="0"/>
          <w:sz w:val="32"/>
          <w:szCs w:val="32"/>
          <w:shd w:val="clear" w:color="auto" w:fill="FFFFFF"/>
        </w:rPr>
        <w:t>资金自评的重点主要是全年资金使用情况是否符合《中央和省级就业创业补助资金申领使用管理细则》。</w:t>
      </w:r>
      <w:r>
        <w:rPr>
          <w:rFonts w:hint="eastAsia" w:ascii="仿宋_GB2312" w:hAnsi="仿宋_GB2312" w:eastAsia="仿宋_GB2312" w:cs="仿宋_GB2312"/>
          <w:sz w:val="32"/>
          <w:szCs w:val="32"/>
        </w:rPr>
        <w:t>本项目本年度年初下达资金1332</w:t>
      </w:r>
      <w:r>
        <w:rPr>
          <w:rFonts w:hint="eastAsia" w:ascii="仿宋_GB2312" w:hAnsi="仿宋_GB2312" w:eastAsia="仿宋_GB2312" w:cs="仿宋_GB2312"/>
          <w:sz w:val="32"/>
          <w:szCs w:val="32"/>
          <w:lang w:val="en-US" w:eastAsia="zh-CN"/>
        </w:rPr>
        <w:t>.00</w:t>
      </w:r>
      <w:r>
        <w:rPr>
          <w:rFonts w:hint="eastAsia" w:ascii="仿宋_GB2312" w:hAnsi="仿宋_GB2312" w:eastAsia="仿宋_GB2312" w:cs="仿宋_GB2312"/>
          <w:sz w:val="32"/>
          <w:szCs w:val="32"/>
        </w:rPr>
        <w:t>万元，全年支付</w:t>
      </w:r>
      <w:r>
        <w:rPr>
          <w:rFonts w:hint="eastAsia" w:ascii="仿宋_GB2312" w:hAnsi="仿宋_GB2312" w:eastAsia="仿宋_GB2312" w:cs="仿宋_GB2312"/>
          <w:kern w:val="0"/>
          <w:sz w:val="32"/>
          <w:szCs w:val="32"/>
          <w:shd w:val="clear" w:color="auto" w:fill="FFFFFF"/>
        </w:rPr>
        <w:t>1286.72</w:t>
      </w:r>
      <w:r>
        <w:rPr>
          <w:rFonts w:hint="eastAsia" w:ascii="仿宋_GB2312" w:hAnsi="仿宋_GB2312" w:eastAsia="仿宋_GB2312" w:cs="仿宋_GB2312"/>
          <w:sz w:val="32"/>
          <w:szCs w:val="32"/>
        </w:rPr>
        <w:t>万元，</w:t>
      </w:r>
      <w:r>
        <w:rPr>
          <w:rFonts w:hint="eastAsia" w:ascii="仿宋_GB2312" w:hAnsi="仿宋_GB2312" w:eastAsia="仿宋_GB2312" w:cs="仿宋_GB2312"/>
          <w:kern w:val="0"/>
          <w:sz w:val="32"/>
          <w:szCs w:val="32"/>
          <w:shd w:val="clear" w:color="auto" w:fill="FFFFFF"/>
        </w:rPr>
        <w:t>预算执行率96.6</w:t>
      </w:r>
      <w:r>
        <w:rPr>
          <w:rFonts w:hint="eastAsia" w:ascii="仿宋_GB2312" w:hAnsi="仿宋_GB2312" w:eastAsia="仿宋_GB2312" w:cs="仿宋_GB2312"/>
          <w:kern w:val="0"/>
          <w:sz w:val="32"/>
          <w:szCs w:val="32"/>
          <w:shd w:val="clear" w:color="auto" w:fill="FFFFFF"/>
          <w:lang w:val="en-US" w:eastAsia="zh-CN"/>
        </w:rPr>
        <w:t>0</w:t>
      </w:r>
      <w:r>
        <w:rPr>
          <w:rFonts w:hint="eastAsia" w:ascii="仿宋_GB2312" w:hAnsi="仿宋_GB2312" w:eastAsia="仿宋_GB2312" w:cs="仿宋_GB2312"/>
          <w:kern w:val="0"/>
          <w:sz w:val="32"/>
          <w:szCs w:val="32"/>
          <w:shd w:val="clear" w:color="auto" w:fill="FFFFFF"/>
        </w:rPr>
        <w:t>%，</w:t>
      </w:r>
      <w:r>
        <w:rPr>
          <w:rFonts w:hint="eastAsia" w:ascii="仿宋_GB2312" w:hAnsi="仿宋_GB2312" w:eastAsia="仿宋_GB2312" w:cs="仿宋_GB2312"/>
          <w:sz w:val="32"/>
          <w:szCs w:val="32"/>
        </w:rPr>
        <w:t>预算及使用过程符合资金管理办法等相关规定。</w:t>
      </w:r>
    </w:p>
    <w:p>
      <w:pPr>
        <w:adjustRightInd w:val="0"/>
        <w:snapToGrid w:val="0"/>
        <w:spacing w:line="578" w:lineRule="exact"/>
        <w:ind w:firstLine="642" w:firstLineChars="200"/>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（三）评价选点</w:t>
      </w:r>
    </w:p>
    <w:p>
      <w:pPr>
        <w:adjustRightInd w:val="0"/>
        <w:snapToGrid w:val="0"/>
        <w:spacing w:line="600" w:lineRule="exact"/>
        <w:ind w:firstLine="640" w:firstLineChars="200"/>
        <w:rPr>
          <w:rFonts w:hint="eastAsia" w:ascii="仿宋_GB2312" w:hAnsi="仿宋_GB2312" w:eastAsia="仿宋_GB2312" w:cs="仿宋_GB2312"/>
          <w:color w:val="C00000"/>
          <w:sz w:val="32"/>
          <w:szCs w:val="32"/>
        </w:rPr>
      </w:pPr>
      <w:r>
        <w:rPr>
          <w:rFonts w:hint="eastAsia" w:ascii="仿宋_GB2312" w:hAnsi="仿宋_GB2312" w:eastAsia="仿宋_GB2312" w:cs="仿宋_GB2312"/>
          <w:sz w:val="32"/>
          <w:szCs w:val="32"/>
        </w:rPr>
        <w:t>对采集的</w:t>
      </w:r>
      <w:r>
        <w:rPr>
          <w:rFonts w:hint="eastAsia" w:ascii="仿宋_GB2312" w:hAnsi="仿宋_GB2312" w:eastAsia="仿宋_GB2312" w:cs="仿宋_GB2312"/>
          <w:kern w:val="0"/>
          <w:sz w:val="32"/>
          <w:szCs w:val="32"/>
          <w:shd w:val="clear" w:color="auto" w:fill="FFFFFF"/>
          <w:lang w:val="zh-CN"/>
        </w:rPr>
        <w:t>就业创业补助资金项目</w:t>
      </w:r>
      <w:r>
        <w:rPr>
          <w:rFonts w:hint="eastAsia" w:ascii="仿宋_GB2312" w:hAnsi="仿宋_GB2312" w:eastAsia="仿宋_GB2312" w:cs="仿宋_GB2312"/>
          <w:sz w:val="32"/>
          <w:szCs w:val="32"/>
        </w:rPr>
        <w:t>数据信息，根据简单随机抽样的方法，按照职业技能培训不低于20%的比例进行抽样复核。</w:t>
      </w:r>
    </w:p>
    <w:p>
      <w:pPr>
        <w:spacing w:line="578" w:lineRule="exact"/>
        <w:ind w:firstLine="640"/>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（四）评价方法。</w:t>
      </w:r>
    </w:p>
    <w:p>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本次项目绩效自评的方案包括采用成本效益分析法、标杆管理法、案卷研究法、单位自评法、实地勘察法、问卷调查法、座谈调研法等。</w:t>
      </w:r>
    </w:p>
    <w:p>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一是通过研究、解读相关文献，获取项目概况、绩效指标等有用信息；</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二是采用成本效益分析法、实地勘察法、问卷调查法、座谈调研法对项目的实施内容安排、目标设定等进行分析判断；</w:t>
      </w:r>
    </w:p>
    <w:p>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三是对采集的数据信息，根据简单随机抽样的方法，按照职业技能培训不低于20%的比例进行抽样复核；</w:t>
      </w:r>
    </w:p>
    <w:p>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四是从项目工作及预算安排以及预算执行工作中提炼项目实施中的经验和不足。</w:t>
      </w:r>
    </w:p>
    <w:p>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综合分析相关情况后，对项目进行绩效自评。</w:t>
      </w:r>
    </w:p>
    <w:p>
      <w:pPr>
        <w:spacing w:line="578" w:lineRule="exact"/>
        <w:ind w:firstLine="640"/>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（五）评价组织</w:t>
      </w:r>
    </w:p>
    <w:p>
      <w:pPr>
        <w:adjustRightInd w:val="0"/>
        <w:snapToGrid w:val="0"/>
        <w:spacing w:line="578"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1.成立专项预算项目自评工作组。</w:t>
      </w:r>
      <w:r>
        <w:rPr>
          <w:rFonts w:hint="eastAsia" w:ascii="仿宋_GB2312" w:hAnsi="仿宋_GB2312" w:eastAsia="仿宋_GB2312" w:cs="仿宋_GB2312"/>
          <w:sz w:val="32"/>
          <w:szCs w:val="32"/>
          <w:lang w:eastAsia="zh-CN"/>
        </w:rPr>
        <w:t>茂县就业服务中心</w:t>
      </w:r>
      <w:r>
        <w:rPr>
          <w:rFonts w:hint="eastAsia" w:ascii="仿宋_GB2312" w:hAnsi="仿宋_GB2312" w:eastAsia="仿宋_GB2312" w:cs="仿宋_GB2312"/>
          <w:sz w:val="32"/>
          <w:szCs w:val="32"/>
        </w:rPr>
        <w:t>成立绩效自评工作组，组织开展绩效自评各项工作。</w:t>
      </w:r>
    </w:p>
    <w:p>
      <w:pPr>
        <w:adjustRightInd w:val="0"/>
        <w:snapToGrid w:val="0"/>
        <w:spacing w:line="578"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2.拟定工作方案。自评工作组按要求拟定具体的绩效自评工作方案。</w:t>
      </w:r>
    </w:p>
    <w:p>
      <w:pPr>
        <w:adjustRightInd w:val="0"/>
        <w:snapToGrid w:val="0"/>
        <w:spacing w:line="578"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3.电话回访。自评工作组通过电话回访，了解项目情况，收集准备资料。</w:t>
      </w:r>
    </w:p>
    <w:p>
      <w:pPr>
        <w:adjustRightInd w:val="0"/>
        <w:snapToGrid w:val="0"/>
        <w:spacing w:line="578"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4.收集审核资料。自评工作组收集审核项目资料，通过咨询专业人士、查阅资料、集中座谈等方式，多渠道获取项目信息。</w:t>
      </w:r>
    </w:p>
    <w:p>
      <w:pPr>
        <w:adjustRightInd w:val="0"/>
        <w:snapToGrid w:val="0"/>
        <w:spacing w:line="578"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5.进行绩效自评。自评工作组通过查阅专项项目资料和听取项目汇报，对项目内容进行自评，形成自评报告。</w:t>
      </w:r>
    </w:p>
    <w:p>
      <w:pPr>
        <w:adjustRightInd w:val="0"/>
        <w:snapToGrid w:val="0"/>
        <w:spacing w:line="578"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6.撰写报告。自评工作组根据自评意见，按照规定的文本格式和要求，撰写绩效自评报告，整理绩效自评资料。</w:t>
      </w:r>
    </w:p>
    <w:p>
      <w:pPr>
        <w:adjustRightInd w:val="0"/>
        <w:snapToGrid w:val="0"/>
        <w:spacing w:line="578"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7.提交报告。自评工作组在规定时间内，向茂县财政投资评审中心提交绩效自评报告。</w:t>
      </w:r>
    </w:p>
    <w:p>
      <w:pPr>
        <w:adjustRightInd w:val="0"/>
        <w:snapToGrid w:val="0"/>
        <w:spacing w:line="578" w:lineRule="exact"/>
        <w:ind w:firstLine="640" w:firstLineChars="200"/>
        <w:rPr>
          <w:rFonts w:hint="eastAsia" w:ascii="仿宋_GB2312" w:hAnsi="仿宋_GB2312" w:eastAsia="仿宋_GB2312" w:cs="仿宋_GB2312"/>
          <w:sz w:val="32"/>
          <w:szCs w:val="32"/>
          <w:lang w:val="zh-CN"/>
        </w:rPr>
      </w:pPr>
      <w:r>
        <w:rPr>
          <w:rFonts w:hint="eastAsia" w:ascii="黑体" w:hAnsi="黑体" w:eastAsia="黑体" w:cs="黑体"/>
          <w:sz w:val="32"/>
          <w:szCs w:val="32"/>
        </w:rPr>
        <w:t>三、绩效分析</w:t>
      </w:r>
      <w:r>
        <w:rPr>
          <w:rFonts w:hint="eastAsia" w:ascii="仿宋_GB2312" w:hAnsi="仿宋_GB2312" w:eastAsia="仿宋_GB2312" w:cs="仿宋_GB2312"/>
          <w:sz w:val="32"/>
          <w:szCs w:val="32"/>
          <w:lang w:val="zh-CN"/>
        </w:rPr>
        <w:tab/>
      </w:r>
    </w:p>
    <w:p>
      <w:pPr>
        <w:adjustRightInd w:val="0"/>
        <w:snapToGrid w:val="0"/>
        <w:spacing w:line="578" w:lineRule="exact"/>
        <w:ind w:firstLine="640" w:firstLineChars="200"/>
        <w:rPr>
          <w:rFonts w:hint="eastAsia"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rPr>
        <w:t>2024年就业创业补助资金完成了年度就业工作目标任务，本项目评分为：99.66分，</w:t>
      </w:r>
      <w:r>
        <w:rPr>
          <w:rFonts w:hint="eastAsia" w:ascii="仿宋_GB2312" w:hAnsi="仿宋_GB2312" w:eastAsia="仿宋_GB2312" w:cs="仿宋_GB2312"/>
          <w:kern w:val="0"/>
          <w:sz w:val="32"/>
          <w:szCs w:val="32"/>
          <w:shd w:val="clear" w:color="auto" w:fill="FFFFFF"/>
          <w:lang w:val="zh-CN"/>
        </w:rPr>
        <w:t>总体评价为优秀。</w:t>
      </w:r>
    </w:p>
    <w:p>
      <w:pPr>
        <w:adjustRightInd w:val="0"/>
        <w:snapToGrid w:val="0"/>
        <w:spacing w:line="578" w:lineRule="exact"/>
        <w:ind w:firstLine="640" w:firstLineChars="200"/>
        <w:rPr>
          <w:rFonts w:hint="eastAsia"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rPr>
        <w:t>1.</w:t>
      </w:r>
      <w:r>
        <w:rPr>
          <w:rFonts w:hint="eastAsia" w:ascii="仿宋_GB2312" w:hAnsi="仿宋_GB2312" w:eastAsia="仿宋_GB2312" w:cs="仿宋_GB2312"/>
          <w:kern w:val="0"/>
          <w:sz w:val="32"/>
          <w:szCs w:val="32"/>
          <w:shd w:val="clear" w:color="auto" w:fill="FFFFFF"/>
          <w:lang w:val="zh-CN"/>
        </w:rPr>
        <w:t>具体指标完成如下（</w:t>
      </w:r>
      <w:r>
        <w:rPr>
          <w:rFonts w:hint="eastAsia" w:ascii="仿宋_GB2312" w:hAnsi="仿宋_GB2312" w:eastAsia="仿宋_GB2312" w:cs="仿宋_GB2312"/>
          <w:kern w:val="0"/>
          <w:sz w:val="32"/>
          <w:szCs w:val="32"/>
          <w:shd w:val="clear" w:color="auto" w:fill="FFFFFF"/>
        </w:rPr>
        <w:t>评分表见附表</w:t>
      </w:r>
      <w:r>
        <w:rPr>
          <w:rFonts w:hint="eastAsia" w:ascii="仿宋_GB2312" w:hAnsi="仿宋_GB2312" w:eastAsia="仿宋_GB2312" w:cs="仿宋_GB2312"/>
          <w:kern w:val="0"/>
          <w:sz w:val="32"/>
          <w:szCs w:val="32"/>
          <w:shd w:val="clear" w:color="auto" w:fill="FFFFFF"/>
          <w:lang w:val="zh-CN"/>
        </w:rPr>
        <w:t>）：</w:t>
      </w:r>
    </w:p>
    <w:p>
      <w:pPr>
        <w:numPr>
          <w:ilvl w:val="0"/>
          <w:numId w:val="6"/>
        </w:numPr>
        <w:adjustRightInd w:val="0"/>
        <w:snapToGrid w:val="0"/>
        <w:spacing w:line="578" w:lineRule="exact"/>
        <w:ind w:firstLine="640" w:firstLineChars="200"/>
        <w:rPr>
          <w:rFonts w:hint="eastAsia"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数量指标：求职补贴人次不低于</w:t>
      </w:r>
      <w:r>
        <w:rPr>
          <w:rFonts w:hint="eastAsia" w:ascii="仿宋_GB2312" w:hAnsi="仿宋_GB2312" w:eastAsia="仿宋_GB2312" w:cs="仿宋_GB2312"/>
          <w:kern w:val="0"/>
          <w:sz w:val="32"/>
          <w:szCs w:val="32"/>
          <w:shd w:val="clear" w:color="auto" w:fill="FFFFFF"/>
        </w:rPr>
        <w:t>700人，完成求职补贴补贴815人；公益性岗位安置人数不低于500人，完成公益性岗位安置601人；</w:t>
      </w:r>
    </w:p>
    <w:p>
      <w:pPr>
        <w:adjustRightInd w:val="0"/>
        <w:snapToGrid w:val="0"/>
        <w:spacing w:line="578" w:lineRule="exact"/>
        <w:ind w:firstLine="640" w:firstLineChars="200"/>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lang w:val="zh-CN"/>
        </w:rPr>
        <w:t>（</w:t>
      </w:r>
      <w:r>
        <w:rPr>
          <w:rFonts w:hint="eastAsia" w:ascii="仿宋_GB2312" w:hAnsi="仿宋_GB2312" w:eastAsia="仿宋_GB2312" w:cs="仿宋_GB2312"/>
          <w:kern w:val="0"/>
          <w:sz w:val="32"/>
          <w:szCs w:val="32"/>
          <w:shd w:val="clear" w:color="auto" w:fill="FFFFFF"/>
        </w:rPr>
        <w:t>2</w:t>
      </w:r>
      <w:r>
        <w:rPr>
          <w:rFonts w:hint="eastAsia" w:ascii="仿宋_GB2312" w:hAnsi="仿宋_GB2312" w:eastAsia="仿宋_GB2312" w:cs="仿宋_GB2312"/>
          <w:kern w:val="0"/>
          <w:sz w:val="32"/>
          <w:szCs w:val="32"/>
          <w:shd w:val="clear" w:color="auto" w:fill="FFFFFF"/>
          <w:lang w:val="zh-CN"/>
        </w:rPr>
        <w:t>）社会效益指标：</w:t>
      </w:r>
      <w:r>
        <w:rPr>
          <w:rFonts w:hint="eastAsia" w:ascii="仿宋_GB2312" w:hAnsi="仿宋_GB2312" w:eastAsia="仿宋_GB2312" w:cs="仿宋_GB2312"/>
          <w:kern w:val="0"/>
          <w:sz w:val="32"/>
          <w:szCs w:val="32"/>
          <w:shd w:val="clear" w:color="auto" w:fill="FFFFFF"/>
        </w:rPr>
        <w:t>城镇新增就业人数不低于760人，完成城镇新增就业769人。</w:t>
      </w:r>
    </w:p>
    <w:p>
      <w:pPr>
        <w:adjustRightInd w:val="0"/>
        <w:snapToGrid w:val="0"/>
        <w:spacing w:line="578" w:lineRule="exact"/>
        <w:ind w:firstLine="640" w:firstLineChars="200"/>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lang w:val="zh-CN"/>
        </w:rPr>
        <w:t>（</w:t>
      </w:r>
      <w:r>
        <w:rPr>
          <w:rFonts w:hint="eastAsia" w:ascii="仿宋_GB2312" w:hAnsi="仿宋_GB2312" w:eastAsia="仿宋_GB2312" w:cs="仿宋_GB2312"/>
          <w:kern w:val="0"/>
          <w:sz w:val="32"/>
          <w:szCs w:val="32"/>
          <w:shd w:val="clear" w:color="auto" w:fill="FFFFFF"/>
        </w:rPr>
        <w:t>3</w:t>
      </w:r>
      <w:r>
        <w:rPr>
          <w:rFonts w:hint="eastAsia" w:ascii="仿宋_GB2312" w:hAnsi="仿宋_GB2312" w:eastAsia="仿宋_GB2312" w:cs="仿宋_GB2312"/>
          <w:kern w:val="0"/>
          <w:sz w:val="32"/>
          <w:szCs w:val="32"/>
          <w:shd w:val="clear" w:color="auto" w:fill="FFFFFF"/>
          <w:lang w:val="zh-CN"/>
        </w:rPr>
        <w:t>）服务对象满意度目标：服务对象满意度不低于</w:t>
      </w:r>
      <w:r>
        <w:rPr>
          <w:rFonts w:hint="eastAsia" w:ascii="仿宋_GB2312" w:hAnsi="仿宋_GB2312" w:eastAsia="仿宋_GB2312" w:cs="仿宋_GB2312"/>
          <w:kern w:val="0"/>
          <w:sz w:val="32"/>
          <w:szCs w:val="32"/>
          <w:shd w:val="clear" w:color="auto" w:fill="FFFFFF"/>
        </w:rPr>
        <w:t>95%，完成</w:t>
      </w:r>
      <w:r>
        <w:rPr>
          <w:rFonts w:hint="eastAsia" w:ascii="仿宋_GB2312" w:hAnsi="仿宋_GB2312" w:eastAsia="仿宋_GB2312" w:cs="仿宋_GB2312"/>
          <w:kern w:val="0"/>
          <w:sz w:val="32"/>
          <w:szCs w:val="32"/>
          <w:shd w:val="clear" w:color="auto" w:fill="FFFFFF"/>
          <w:lang w:val="zh-CN"/>
        </w:rPr>
        <w:t>服务对象满意度</w:t>
      </w:r>
      <w:r>
        <w:rPr>
          <w:rFonts w:hint="eastAsia" w:ascii="仿宋_GB2312" w:hAnsi="仿宋_GB2312" w:eastAsia="仿宋_GB2312" w:cs="仿宋_GB2312"/>
          <w:kern w:val="0"/>
          <w:sz w:val="32"/>
          <w:szCs w:val="32"/>
          <w:shd w:val="clear" w:color="auto" w:fill="FFFFFF"/>
        </w:rPr>
        <w:t>95%；培训意向满意度不低于95%，完成培训对象满意度95%。</w:t>
      </w:r>
    </w:p>
    <w:p>
      <w:pPr>
        <w:adjustRightInd w:val="0"/>
        <w:snapToGrid w:val="0"/>
        <w:spacing w:line="578" w:lineRule="exact"/>
        <w:ind w:firstLine="640" w:firstLineChars="200"/>
        <w:rPr>
          <w:rFonts w:hint="eastAsia"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w:t>
      </w:r>
      <w:r>
        <w:rPr>
          <w:rFonts w:hint="eastAsia" w:ascii="仿宋_GB2312" w:hAnsi="仿宋_GB2312" w:eastAsia="仿宋_GB2312" w:cs="仿宋_GB2312"/>
          <w:kern w:val="0"/>
          <w:sz w:val="32"/>
          <w:szCs w:val="32"/>
          <w:shd w:val="clear" w:color="auto" w:fill="FFFFFF"/>
        </w:rPr>
        <w:t>4</w:t>
      </w:r>
      <w:r>
        <w:rPr>
          <w:rFonts w:hint="eastAsia" w:ascii="仿宋_GB2312" w:hAnsi="仿宋_GB2312" w:eastAsia="仿宋_GB2312" w:cs="仿宋_GB2312"/>
          <w:kern w:val="0"/>
          <w:sz w:val="32"/>
          <w:szCs w:val="32"/>
          <w:shd w:val="clear" w:color="auto" w:fill="FFFFFF"/>
          <w:lang w:val="zh-CN"/>
        </w:rPr>
        <w:t>）时效指标：资金在</w:t>
      </w:r>
      <w:r>
        <w:rPr>
          <w:rFonts w:hint="eastAsia" w:ascii="仿宋_GB2312" w:hAnsi="仿宋_GB2312" w:eastAsia="仿宋_GB2312" w:cs="仿宋_GB2312"/>
          <w:kern w:val="0"/>
          <w:sz w:val="32"/>
          <w:szCs w:val="32"/>
          <w:shd w:val="clear" w:color="auto" w:fill="FFFFFF"/>
          <w:lang w:val="en-US" w:eastAsia="zh-CN"/>
        </w:rPr>
        <w:t>2024年</w:t>
      </w:r>
      <w:r>
        <w:rPr>
          <w:rFonts w:hint="eastAsia" w:ascii="仿宋_GB2312" w:hAnsi="仿宋_GB2312" w:eastAsia="仿宋_GB2312" w:cs="仿宋_GB2312"/>
          <w:kern w:val="0"/>
          <w:sz w:val="32"/>
          <w:szCs w:val="32"/>
          <w:shd w:val="clear" w:color="auto" w:fill="FFFFFF"/>
          <w:lang w:val="zh-CN"/>
        </w:rPr>
        <w:t>12月31日前支付完成不低于</w:t>
      </w:r>
      <w:r>
        <w:rPr>
          <w:rFonts w:hint="eastAsia" w:ascii="仿宋_GB2312" w:hAnsi="仿宋_GB2312" w:eastAsia="仿宋_GB2312" w:cs="仿宋_GB2312"/>
          <w:kern w:val="0"/>
          <w:sz w:val="32"/>
          <w:szCs w:val="32"/>
          <w:shd w:val="clear" w:color="auto" w:fill="FFFFFF"/>
        </w:rPr>
        <w:t>80%，补贴资金在规定时间内支付到位率96.6</w:t>
      </w:r>
      <w:r>
        <w:rPr>
          <w:rFonts w:hint="eastAsia" w:ascii="仿宋_GB2312" w:hAnsi="仿宋_GB2312" w:eastAsia="仿宋_GB2312" w:cs="仿宋_GB2312"/>
          <w:kern w:val="0"/>
          <w:sz w:val="32"/>
          <w:szCs w:val="32"/>
          <w:shd w:val="clear" w:color="auto" w:fill="FFFFFF"/>
          <w:lang w:val="en-US" w:eastAsia="zh-CN"/>
        </w:rPr>
        <w:t>0</w:t>
      </w:r>
      <w:r>
        <w:rPr>
          <w:rFonts w:hint="eastAsia" w:ascii="仿宋_GB2312" w:hAnsi="仿宋_GB2312" w:eastAsia="仿宋_GB2312" w:cs="仿宋_GB2312"/>
          <w:kern w:val="0"/>
          <w:sz w:val="32"/>
          <w:szCs w:val="32"/>
          <w:shd w:val="clear" w:color="auto" w:fill="FFFFFF"/>
        </w:rPr>
        <w:t>%</w:t>
      </w:r>
      <w:r>
        <w:rPr>
          <w:rFonts w:hint="eastAsia" w:ascii="仿宋_GB2312" w:hAnsi="仿宋_GB2312" w:eastAsia="仿宋_GB2312" w:cs="仿宋_GB2312"/>
          <w:kern w:val="0"/>
          <w:sz w:val="32"/>
          <w:szCs w:val="32"/>
          <w:shd w:val="clear" w:color="auto" w:fill="FFFFFF"/>
          <w:lang w:val="zh-CN"/>
        </w:rPr>
        <w:t>。</w:t>
      </w:r>
    </w:p>
    <w:p>
      <w:pPr>
        <w:adjustRightInd w:val="0"/>
        <w:snapToGrid w:val="0"/>
        <w:spacing w:line="578" w:lineRule="exact"/>
        <w:ind w:firstLine="640" w:firstLineChars="200"/>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lang w:val="zh-CN"/>
        </w:rPr>
        <w:t>（</w:t>
      </w:r>
      <w:r>
        <w:rPr>
          <w:rFonts w:hint="eastAsia" w:ascii="仿宋_GB2312" w:hAnsi="仿宋_GB2312" w:eastAsia="仿宋_GB2312" w:cs="仿宋_GB2312"/>
          <w:kern w:val="0"/>
          <w:sz w:val="32"/>
          <w:szCs w:val="32"/>
          <w:shd w:val="clear" w:color="auto" w:fill="FFFFFF"/>
        </w:rPr>
        <w:t>5</w:t>
      </w:r>
      <w:r>
        <w:rPr>
          <w:rFonts w:hint="eastAsia" w:ascii="仿宋_GB2312" w:hAnsi="仿宋_GB2312" w:eastAsia="仿宋_GB2312" w:cs="仿宋_GB2312"/>
          <w:kern w:val="0"/>
          <w:sz w:val="32"/>
          <w:szCs w:val="32"/>
          <w:shd w:val="clear" w:color="auto" w:fill="FFFFFF"/>
          <w:lang w:val="zh-CN"/>
        </w:rPr>
        <w:t>）成本指标：</w:t>
      </w:r>
      <w:r>
        <w:rPr>
          <w:rFonts w:hint="eastAsia" w:ascii="仿宋_GB2312" w:hAnsi="仿宋_GB2312" w:eastAsia="仿宋_GB2312" w:cs="仿宋_GB2312"/>
          <w:kern w:val="0"/>
          <w:sz w:val="32"/>
          <w:szCs w:val="32"/>
          <w:shd w:val="clear" w:color="auto" w:fill="FFFFFF"/>
        </w:rPr>
        <w:t>经济成本指标支付1227</w:t>
      </w:r>
      <w:r>
        <w:rPr>
          <w:rFonts w:hint="eastAsia" w:ascii="仿宋_GB2312" w:hAnsi="仿宋_GB2312" w:eastAsia="仿宋_GB2312" w:cs="仿宋_GB2312"/>
          <w:kern w:val="0"/>
          <w:sz w:val="32"/>
          <w:szCs w:val="32"/>
          <w:shd w:val="clear" w:color="auto" w:fill="FFFFFF"/>
          <w:lang w:val="en-US" w:eastAsia="zh-CN"/>
        </w:rPr>
        <w:t>.00</w:t>
      </w:r>
      <w:r>
        <w:rPr>
          <w:rFonts w:hint="eastAsia" w:ascii="仿宋_GB2312" w:hAnsi="仿宋_GB2312" w:eastAsia="仿宋_GB2312" w:cs="仿宋_GB2312"/>
          <w:kern w:val="0"/>
          <w:sz w:val="32"/>
          <w:szCs w:val="32"/>
          <w:shd w:val="clear" w:color="auto" w:fill="FFFFFF"/>
        </w:rPr>
        <w:t>万元，实际支付1286.72</w:t>
      </w:r>
      <w:r>
        <w:rPr>
          <w:rFonts w:hint="eastAsia" w:ascii="仿宋_GB2312" w:hAnsi="仿宋_GB2312" w:eastAsia="仿宋_GB2312" w:cs="仿宋_GB2312"/>
          <w:sz w:val="32"/>
          <w:szCs w:val="32"/>
        </w:rPr>
        <w:t>万元。</w:t>
      </w:r>
    </w:p>
    <w:p>
      <w:pPr>
        <w:adjustRightInd w:val="0"/>
        <w:snapToGrid w:val="0"/>
        <w:spacing w:line="578" w:lineRule="exact"/>
        <w:ind w:firstLine="640" w:firstLineChars="200"/>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2.效果指标分析</w:t>
      </w:r>
    </w:p>
    <w:p>
      <w:pPr>
        <w:spacing w:line="578" w:lineRule="exact"/>
        <w:ind w:firstLine="64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lang w:val="zh-CN"/>
        </w:rPr>
        <w:t>（一）</w:t>
      </w:r>
      <w:r>
        <w:rPr>
          <w:rFonts w:hint="eastAsia" w:ascii="仿宋_GB2312" w:hAnsi="仿宋_GB2312" w:eastAsia="仿宋_GB2312" w:cs="仿宋_GB2312"/>
          <w:b/>
          <w:sz w:val="32"/>
          <w:szCs w:val="32"/>
        </w:rPr>
        <w:t>通用指标</w:t>
      </w:r>
      <w:r>
        <w:rPr>
          <w:rFonts w:hint="eastAsia" w:ascii="仿宋_GB2312" w:hAnsi="仿宋_GB2312" w:eastAsia="仿宋_GB2312" w:cs="仿宋_GB2312"/>
          <w:b/>
          <w:bCs/>
          <w:color w:val="000000"/>
          <w:kern w:val="0"/>
          <w:sz w:val="32"/>
          <w:szCs w:val="32"/>
          <w:shd w:val="clear" w:color="auto" w:fill="FFFFFF"/>
          <w:lang w:val="zh-CN"/>
        </w:rPr>
        <w:t>绩效分析</w:t>
      </w:r>
    </w:p>
    <w:p>
      <w:pPr>
        <w:spacing w:line="578"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1.项目决策</w:t>
      </w:r>
    </w:p>
    <w:p>
      <w:pPr>
        <w:spacing w:line="578"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该项目决策程序严密，项目规划论证符合相关要求，项目绩效目标设置科学合理。项目资金与项目总体规划、相关行业事业发展相匹配，聚焦重大任务、重点领域、重点环节和重点项目。项目制度办法体系健全、要素完备。</w:t>
      </w:r>
    </w:p>
    <w:p>
      <w:pPr>
        <w:spacing w:line="578"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2.项目管理</w:t>
      </w:r>
    </w:p>
    <w:p>
      <w:pPr>
        <w:widowControl/>
        <w:adjustRightInd w:val="0"/>
        <w:snapToGrid w:val="0"/>
        <w:spacing w:line="578" w:lineRule="exact"/>
        <w:ind w:firstLine="640" w:firstLineChars="200"/>
        <w:contextualSpacing/>
        <w:jc w:val="left"/>
        <w:rPr>
          <w:rFonts w:hint="eastAsia"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rPr>
        <w:t>为贯彻落实好各项就业创业政策,</w:t>
      </w:r>
      <w:r>
        <w:rPr>
          <w:rFonts w:hint="eastAsia" w:ascii="仿宋_GB2312" w:hAnsi="仿宋_GB2312" w:eastAsia="仿宋_GB2312" w:cs="仿宋_GB2312"/>
          <w:kern w:val="0"/>
          <w:sz w:val="32"/>
          <w:szCs w:val="32"/>
          <w:shd w:val="clear" w:color="auto" w:fill="FFFFFF"/>
          <w:lang w:val="zh-CN"/>
        </w:rPr>
        <w:t>根据</w:t>
      </w:r>
      <w:r>
        <w:rPr>
          <w:rFonts w:hint="eastAsia" w:ascii="仿宋_GB2312" w:hAnsi="仿宋_GB2312" w:eastAsia="仿宋_GB2312" w:cs="仿宋_GB2312"/>
          <w:kern w:val="0"/>
          <w:sz w:val="32"/>
          <w:szCs w:val="32"/>
          <w:shd w:val="clear" w:color="auto" w:fill="FFFFFF"/>
        </w:rPr>
        <w:t>四川省</w:t>
      </w:r>
      <w:r>
        <w:rPr>
          <w:rFonts w:hint="eastAsia" w:ascii="仿宋_GB2312" w:hAnsi="仿宋_GB2312" w:eastAsia="仿宋_GB2312" w:cs="仿宋_GB2312"/>
          <w:kern w:val="0"/>
          <w:sz w:val="32"/>
          <w:szCs w:val="32"/>
          <w:shd w:val="clear" w:color="auto" w:fill="FFFFFF"/>
          <w:lang w:val="zh-CN"/>
        </w:rPr>
        <w:t>财政厅、</w:t>
      </w:r>
      <w:r>
        <w:rPr>
          <w:rFonts w:hint="eastAsia" w:ascii="仿宋_GB2312" w:hAnsi="仿宋_GB2312" w:eastAsia="仿宋_GB2312" w:cs="仿宋_GB2312"/>
          <w:kern w:val="0"/>
          <w:sz w:val="32"/>
          <w:szCs w:val="32"/>
          <w:shd w:val="clear" w:color="auto" w:fill="FFFFFF"/>
        </w:rPr>
        <w:t>四川省</w:t>
      </w:r>
      <w:r>
        <w:rPr>
          <w:rFonts w:hint="eastAsia" w:ascii="仿宋_GB2312" w:hAnsi="仿宋_GB2312" w:eastAsia="仿宋_GB2312" w:cs="仿宋_GB2312"/>
          <w:kern w:val="0"/>
          <w:sz w:val="32"/>
          <w:szCs w:val="32"/>
          <w:shd w:val="clear" w:color="auto" w:fill="FFFFFF"/>
          <w:lang w:val="zh-CN"/>
        </w:rPr>
        <w:t>人力资源</w:t>
      </w:r>
      <w:r>
        <w:rPr>
          <w:rFonts w:hint="eastAsia" w:ascii="仿宋_GB2312" w:hAnsi="仿宋_GB2312" w:eastAsia="仿宋_GB2312" w:cs="仿宋_GB2312"/>
          <w:kern w:val="0"/>
          <w:sz w:val="32"/>
          <w:szCs w:val="32"/>
          <w:shd w:val="clear" w:color="auto" w:fill="FFFFFF"/>
          <w:lang w:val="en-US" w:eastAsia="zh-CN"/>
        </w:rPr>
        <w:t>和</w:t>
      </w:r>
      <w:r>
        <w:rPr>
          <w:rFonts w:hint="eastAsia" w:ascii="仿宋_GB2312" w:hAnsi="仿宋_GB2312" w:eastAsia="仿宋_GB2312" w:cs="仿宋_GB2312"/>
          <w:kern w:val="0"/>
          <w:sz w:val="32"/>
          <w:szCs w:val="32"/>
          <w:shd w:val="clear" w:color="auto" w:fill="FFFFFF"/>
          <w:lang w:val="zh-CN"/>
        </w:rPr>
        <w:t>社会保障厅关于印发《中央和省级就业创业补助资金管理办法》的通知，</w:t>
      </w:r>
      <w:r>
        <w:rPr>
          <w:rFonts w:hint="eastAsia" w:ascii="仿宋_GB2312" w:hAnsi="仿宋_GB2312" w:eastAsia="仿宋_GB2312" w:cs="仿宋_GB2312"/>
          <w:kern w:val="0"/>
          <w:sz w:val="32"/>
          <w:szCs w:val="32"/>
          <w:shd w:val="clear" w:color="auto" w:fill="FFFFFF"/>
        </w:rPr>
        <w:t>我单位</w:t>
      </w:r>
      <w:r>
        <w:rPr>
          <w:rFonts w:hint="eastAsia" w:ascii="仿宋_GB2312" w:hAnsi="仿宋_GB2312" w:eastAsia="仿宋_GB2312" w:cs="仿宋_GB2312"/>
          <w:kern w:val="0"/>
          <w:sz w:val="32"/>
          <w:szCs w:val="32"/>
          <w:shd w:val="clear" w:color="auto" w:fill="FFFFFF"/>
          <w:lang w:val="zh-CN"/>
        </w:rPr>
        <w:t>对就业创业补助资金实行专项管理，专款专用。项目资金分配因素选取、权重设置、区域分布，项目管理、审批符合管理要求，管资金、项目、政策、管绩效，项目绩效监管按要求开展，对下指导有力有效。</w:t>
      </w:r>
    </w:p>
    <w:p>
      <w:pPr>
        <w:spacing w:line="578"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3.项目实施</w:t>
      </w:r>
    </w:p>
    <w:p>
      <w:pPr>
        <w:spacing w:line="578"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就业创业补助资金项目完成预期目标，实施结果与绩效目标相匹配。</w:t>
      </w:r>
    </w:p>
    <w:p>
      <w:pPr>
        <w:spacing w:line="578"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4.项目结果</w:t>
      </w:r>
    </w:p>
    <w:p>
      <w:pPr>
        <w:spacing w:line="578"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就业创业补助资金在规定时间内下达率100%，补贴资金在规定时间内支付到位率96.6%。</w:t>
      </w:r>
    </w:p>
    <w:p>
      <w:pPr>
        <w:spacing w:line="578" w:lineRule="exact"/>
        <w:ind w:firstLine="640"/>
        <w:rPr>
          <w:rFonts w:hint="eastAsia" w:ascii="仿宋_GB2312" w:hAnsi="仿宋_GB2312" w:eastAsia="仿宋_GB2312" w:cs="仿宋_GB2312"/>
          <w:b/>
          <w:bCs/>
          <w:color w:val="000000"/>
          <w:kern w:val="0"/>
          <w:sz w:val="32"/>
          <w:szCs w:val="32"/>
          <w:shd w:val="clear" w:color="auto" w:fill="FFFFFF"/>
          <w:lang w:val="zh-CN"/>
        </w:rPr>
      </w:pPr>
      <w:r>
        <w:rPr>
          <w:rFonts w:hint="eastAsia" w:ascii="仿宋_GB2312" w:hAnsi="仿宋_GB2312" w:eastAsia="仿宋_GB2312" w:cs="仿宋_GB2312"/>
          <w:b/>
          <w:sz w:val="32"/>
          <w:szCs w:val="32"/>
          <w:lang w:val="zh-CN"/>
        </w:rPr>
        <w:t>（二）</w:t>
      </w:r>
      <w:r>
        <w:rPr>
          <w:rFonts w:hint="eastAsia" w:ascii="仿宋_GB2312" w:hAnsi="仿宋_GB2312" w:eastAsia="仿宋_GB2312" w:cs="仿宋_GB2312"/>
          <w:b/>
          <w:sz w:val="32"/>
          <w:szCs w:val="32"/>
        </w:rPr>
        <w:t>专用指标</w:t>
      </w:r>
      <w:r>
        <w:rPr>
          <w:rFonts w:hint="eastAsia" w:ascii="仿宋_GB2312" w:hAnsi="仿宋_GB2312" w:eastAsia="仿宋_GB2312" w:cs="仿宋_GB2312"/>
          <w:b/>
          <w:bCs/>
          <w:color w:val="000000"/>
          <w:kern w:val="0"/>
          <w:sz w:val="32"/>
          <w:szCs w:val="32"/>
          <w:shd w:val="clear" w:color="auto" w:fill="FFFFFF"/>
          <w:lang w:val="zh-CN"/>
        </w:rPr>
        <w:t>绩效分析</w:t>
      </w:r>
    </w:p>
    <w:p>
      <w:pPr>
        <w:widowControl/>
        <w:adjustRightInd w:val="0"/>
        <w:snapToGrid w:val="0"/>
        <w:spacing w:line="578" w:lineRule="exact"/>
        <w:ind w:firstLine="640" w:firstLineChars="200"/>
        <w:contextualSpacing/>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本项目设置个性指标享受求职创业补贴700人，享受求职创业补贴815人，安置公益性岗位不少于500人，安置公益性岗位补贴人员数量601人。</w:t>
      </w:r>
    </w:p>
    <w:p>
      <w:pPr>
        <w:pStyle w:val="6"/>
        <w:tabs>
          <w:tab w:val="left" w:pos="2160"/>
        </w:tabs>
        <w:spacing w:line="600" w:lineRule="exact"/>
        <w:ind w:firstLine="640" w:firstLineChars="200"/>
        <w:rPr>
          <w:rFonts w:hint="eastAsia" w:ascii="黑体" w:hAnsi="黑体" w:eastAsia="黑体" w:cs="黑体"/>
          <w:sz w:val="32"/>
          <w:szCs w:val="32"/>
        </w:rPr>
      </w:pPr>
      <w:r>
        <w:rPr>
          <w:rFonts w:hint="eastAsia" w:ascii="黑体" w:hAnsi="黑体" w:eastAsia="黑体" w:cs="黑体"/>
          <w:sz w:val="32"/>
          <w:szCs w:val="32"/>
          <w:lang w:eastAsia="zh-CN"/>
        </w:rPr>
        <w:t>四</w:t>
      </w:r>
      <w:r>
        <w:rPr>
          <w:rFonts w:hint="eastAsia" w:ascii="黑体" w:hAnsi="黑体" w:eastAsia="黑体" w:cs="黑体"/>
          <w:sz w:val="32"/>
          <w:szCs w:val="32"/>
        </w:rPr>
        <w:t>、评价结论</w:t>
      </w:r>
    </w:p>
    <w:p>
      <w:pPr>
        <w:widowControl/>
        <w:adjustRightInd w:val="0"/>
        <w:snapToGrid w:val="0"/>
        <w:spacing w:line="578" w:lineRule="exact"/>
        <w:ind w:firstLine="640" w:firstLineChars="200"/>
        <w:contextualSpacing/>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我单位</w:t>
      </w:r>
      <w:r>
        <w:rPr>
          <w:rFonts w:hint="eastAsia" w:ascii="仿宋_GB2312" w:hAnsi="仿宋_GB2312" w:eastAsia="仿宋_GB2312" w:cs="仿宋_GB2312"/>
          <w:kern w:val="0"/>
          <w:sz w:val="32"/>
          <w:szCs w:val="32"/>
        </w:rPr>
        <w:t>2024年完成了就业创业补助资金项目制定的目标任务，本年度资金按规定用于职业培训补贴、社会保险补贴、公益性岗位补贴、创业补贴、就业见习补贴、求职创业补贴、就业创业服务补助、高技能人才培养补助等支出以及经省级人民政府批准的其他支出项目。本年度完成年度就业工作目标任务。但存在预算安排准确性有待提高、需加强单位制度建设及做好成本控制等问题。经评价，</w:t>
      </w:r>
      <w:r>
        <w:rPr>
          <w:rFonts w:hint="eastAsia" w:ascii="仿宋_GB2312" w:hAnsi="仿宋_GB2312" w:eastAsia="仿宋_GB2312" w:cs="仿宋_GB2312"/>
          <w:kern w:val="0"/>
          <w:sz w:val="32"/>
          <w:szCs w:val="32"/>
          <w:lang w:eastAsia="zh-CN"/>
        </w:rPr>
        <w:t>茂县就业服务中心</w:t>
      </w:r>
      <w:r>
        <w:rPr>
          <w:rFonts w:hint="eastAsia" w:ascii="仿宋_GB2312" w:hAnsi="仿宋_GB2312" w:eastAsia="仿宋_GB2312" w:cs="仿宋_GB2312"/>
          <w:kern w:val="0"/>
          <w:sz w:val="32"/>
          <w:szCs w:val="32"/>
        </w:rPr>
        <w:t>2024年就业创业补助资金项目绩效评价为优秀。</w:t>
      </w:r>
    </w:p>
    <w:p>
      <w:pPr>
        <w:pStyle w:val="6"/>
        <w:tabs>
          <w:tab w:val="left" w:pos="2160"/>
        </w:tabs>
        <w:spacing w:line="560" w:lineRule="exact"/>
        <w:ind w:firstLine="640" w:firstLineChars="200"/>
        <w:rPr>
          <w:rFonts w:hint="eastAsia" w:ascii="黑体" w:hAnsi="黑体" w:eastAsia="黑体" w:cs="黑体"/>
          <w:sz w:val="32"/>
          <w:szCs w:val="32"/>
          <w:lang w:eastAsia="zh-CN"/>
        </w:rPr>
      </w:pPr>
      <w:r>
        <w:rPr>
          <w:rFonts w:hint="eastAsia" w:ascii="黑体" w:hAnsi="黑体" w:eastAsia="黑体" w:cs="黑体"/>
          <w:sz w:val="32"/>
          <w:szCs w:val="32"/>
          <w:lang w:eastAsia="zh-CN"/>
        </w:rPr>
        <w:t>五、存在主要问题</w:t>
      </w:r>
    </w:p>
    <w:p>
      <w:pPr>
        <w:snapToGrid w:val="0"/>
        <w:spacing w:line="560" w:lineRule="exact"/>
        <w:ind w:firstLine="640" w:firstLineChars="200"/>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kern w:val="0"/>
          <w:sz w:val="32"/>
          <w:szCs w:val="32"/>
        </w:rPr>
        <w:t>该项目按照项目资金管理办法严格执行</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无其他问题。</w:t>
      </w:r>
    </w:p>
    <w:p>
      <w:pPr>
        <w:pStyle w:val="6"/>
        <w:tabs>
          <w:tab w:val="left" w:pos="2160"/>
        </w:tabs>
        <w:spacing w:line="600" w:lineRule="exact"/>
        <w:ind w:firstLine="640" w:firstLineChars="200"/>
        <w:rPr>
          <w:rFonts w:hint="eastAsia" w:ascii="黑体" w:hAnsi="黑体" w:eastAsia="黑体" w:cs="黑体"/>
          <w:sz w:val="32"/>
          <w:szCs w:val="32"/>
          <w:lang w:val="zh-CN" w:eastAsia="zh-CN"/>
        </w:rPr>
      </w:pPr>
      <w:r>
        <w:rPr>
          <w:rFonts w:hint="eastAsia" w:ascii="黑体" w:hAnsi="黑体" w:eastAsia="黑体" w:cs="黑体"/>
          <w:sz w:val="32"/>
          <w:szCs w:val="32"/>
          <w:lang w:val="zh-CN" w:eastAsia="zh-CN"/>
        </w:rPr>
        <w:t>六、改进建议</w:t>
      </w:r>
    </w:p>
    <w:p>
      <w:pPr>
        <w:widowControl/>
        <w:adjustRightInd w:val="0"/>
        <w:snapToGrid w:val="0"/>
        <w:spacing w:line="578" w:lineRule="exact"/>
        <w:ind w:firstLine="640" w:firstLineChars="200"/>
        <w:contextualSpacing/>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1、加强公益性岗位日常管理和监督，通过系统比对，强化业务资料审核，提高资金使用效率。</w:t>
      </w:r>
    </w:p>
    <w:p>
      <w:pPr>
        <w:widowControl/>
        <w:adjustRightInd w:val="0"/>
        <w:snapToGrid w:val="0"/>
        <w:spacing w:line="578" w:lineRule="exact"/>
        <w:ind w:firstLine="640" w:firstLineChars="200"/>
        <w:contextualSpacing/>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2、进一步加快预算资金的执行进度，努力提升资金使用效益。</w:t>
      </w:r>
    </w:p>
    <w:p>
      <w:pPr>
        <w:widowControl/>
        <w:adjustRightInd w:val="0"/>
        <w:snapToGrid w:val="0"/>
        <w:spacing w:line="578" w:lineRule="exact"/>
        <w:ind w:firstLine="640" w:firstLineChars="200"/>
        <w:contextualSpacing/>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3、进一步完善内控管理制度，建立完善项目资金管理办法，有助于进一步加强对预算资金使用的管控，提高财政资金的使用效率，促进财政支出绩效不断提升。</w:t>
      </w:r>
    </w:p>
    <w:p>
      <w:pPr>
        <w:snapToGrid w:val="0"/>
        <w:spacing w:line="578" w:lineRule="exact"/>
        <w:ind w:firstLine="640" w:firstLineChars="200"/>
        <w:rPr>
          <w:rFonts w:hint="eastAsia" w:ascii="仿宋_GB2312" w:hAnsi="仿宋_GB2312" w:eastAsia="仿宋_GB2312" w:cs="仿宋_GB2312"/>
          <w:color w:val="000000"/>
          <w:kern w:val="0"/>
          <w:sz w:val="32"/>
          <w:szCs w:val="32"/>
          <w:shd w:val="clear" w:color="auto" w:fill="FFFFFF"/>
          <w:lang w:val="zh-CN"/>
        </w:rPr>
      </w:pPr>
    </w:p>
    <w:p>
      <w:pPr>
        <w:snapToGrid w:val="0"/>
        <w:spacing w:line="578" w:lineRule="exact"/>
        <w:ind w:firstLine="640" w:firstLineChars="200"/>
        <w:rPr>
          <w:rFonts w:hint="eastAsia" w:ascii="仿宋_GB2312" w:hAnsi="仿宋_GB2312" w:eastAsia="仿宋_GB2312" w:cs="仿宋_GB2312"/>
          <w:color w:val="000000"/>
          <w:kern w:val="0"/>
          <w:sz w:val="32"/>
          <w:szCs w:val="32"/>
          <w:shd w:val="clear" w:color="auto" w:fill="FFFFFF"/>
          <w:lang w:val="zh-CN"/>
        </w:rPr>
      </w:pPr>
    </w:p>
    <w:p>
      <w:pPr>
        <w:snapToGrid w:val="0"/>
        <w:spacing w:line="578" w:lineRule="exact"/>
        <w:ind w:firstLine="640" w:firstLineChars="200"/>
        <w:rPr>
          <w:rFonts w:hint="eastAsia" w:ascii="仿宋_GB2312" w:hAnsi="仿宋_GB2312" w:eastAsia="仿宋_GB2312" w:cs="仿宋_GB2312"/>
          <w:color w:val="000000"/>
          <w:kern w:val="0"/>
          <w:sz w:val="32"/>
          <w:szCs w:val="32"/>
          <w:shd w:val="clear" w:color="auto" w:fill="FFFFFF"/>
          <w:lang w:val="zh-CN"/>
        </w:rPr>
      </w:pPr>
    </w:p>
    <w:p>
      <w:pPr>
        <w:snapToGrid w:val="0"/>
        <w:spacing w:line="578" w:lineRule="exact"/>
        <w:ind w:firstLine="420" w:firstLineChars="200"/>
        <w:rPr>
          <w:color w:val="000000"/>
          <w:kern w:val="0"/>
          <w:shd w:val="clear" w:color="auto" w:fill="FFFFFF"/>
          <w:lang w:val="zh-CN"/>
        </w:rPr>
      </w:pPr>
      <w:r>
        <w:rPr>
          <w:rFonts w:hint="eastAsia"/>
          <w:color w:val="000000"/>
          <w:kern w:val="0"/>
          <w:shd w:val="clear" w:color="auto" w:fill="FFFFFF"/>
          <w:lang w:val="zh-CN"/>
        </w:rPr>
        <w:br w:type="page"/>
      </w:r>
    </w:p>
    <w:p>
      <w:pPr>
        <w:widowControl/>
        <w:adjustRightInd w:val="0"/>
        <w:snapToGrid w:val="0"/>
        <w:spacing w:line="578" w:lineRule="exact"/>
        <w:contextualSpacing/>
        <w:jc w:val="left"/>
        <w:rPr>
          <w:rFonts w:ascii="黑体" w:hAnsi="黑体" w:eastAsia="黑体" w:cs="黑体"/>
          <w:kern w:val="0"/>
          <w:shd w:val="clear" w:color="auto" w:fill="FFFFFF"/>
          <w:lang w:val="zh-CN"/>
        </w:rPr>
      </w:pPr>
      <w:r>
        <w:rPr>
          <w:rFonts w:hint="eastAsia" w:ascii="黑体" w:hAnsi="黑体" w:eastAsia="黑体" w:cs="黑体"/>
          <w:kern w:val="0"/>
          <w:shd w:val="clear" w:color="auto" w:fill="FFFFFF"/>
          <w:lang w:val="zh-CN"/>
        </w:rPr>
        <w:t>附表</w:t>
      </w:r>
      <w:r>
        <w:rPr>
          <w:rFonts w:hint="eastAsia" w:ascii="黑体" w:hAnsi="黑体" w:eastAsia="黑体" w:cs="黑体"/>
          <w:kern w:val="0"/>
          <w:shd w:val="clear" w:color="auto" w:fill="FFFFFF"/>
        </w:rPr>
        <w:t>1</w:t>
      </w:r>
    </w:p>
    <w:p>
      <w:pPr>
        <w:spacing w:line="578" w:lineRule="exact"/>
        <w:jc w:val="center"/>
        <w:rPr>
          <w:rFonts w:ascii="方正小标宋_GBK" w:hAnsi="方正小标宋_GBK" w:eastAsia="方正小标宋_GBK" w:cs="方正小标宋_GBK"/>
          <w:sz w:val="40"/>
          <w:szCs w:val="40"/>
          <w:highlight w:val="none"/>
        </w:rPr>
      </w:pPr>
      <w:r>
        <w:rPr>
          <w:rFonts w:hint="eastAsia" w:ascii="方正小标宋_GBK" w:hAnsi="方正小标宋_GBK" w:eastAsia="方正小标宋_GBK" w:cs="方正小标宋_GBK"/>
          <w:sz w:val="40"/>
          <w:szCs w:val="40"/>
          <w:highlight w:val="none"/>
        </w:rPr>
        <w:t>项目资金分配涉及所有点位自评得分情况表</w:t>
      </w:r>
    </w:p>
    <w:tbl>
      <w:tblPr>
        <w:tblStyle w:val="17"/>
        <w:tblW w:w="88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3"/>
        <w:gridCol w:w="3843"/>
        <w:gridCol w:w="2861"/>
        <w:gridCol w:w="9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exact"/>
          <w:jc w:val="center"/>
        </w:trPr>
        <w:tc>
          <w:tcPr>
            <w:tcW w:w="1123" w:type="dxa"/>
          </w:tcPr>
          <w:p>
            <w:pPr>
              <w:spacing w:line="300" w:lineRule="exact"/>
              <w:jc w:val="center"/>
              <w:rPr>
                <w:rFonts w:ascii="黑体" w:hAnsi="黑体" w:eastAsia="黑体" w:cs="黑体"/>
                <w:sz w:val="24"/>
                <w:szCs w:val="24"/>
              </w:rPr>
            </w:pPr>
            <w:r>
              <w:rPr>
                <w:rFonts w:hint="eastAsia" w:ascii="黑体" w:hAnsi="黑体" w:eastAsia="黑体" w:cs="黑体"/>
                <w:sz w:val="24"/>
                <w:szCs w:val="24"/>
              </w:rPr>
              <w:t>序号</w:t>
            </w:r>
          </w:p>
        </w:tc>
        <w:tc>
          <w:tcPr>
            <w:tcW w:w="3843" w:type="dxa"/>
          </w:tcPr>
          <w:p>
            <w:pPr>
              <w:spacing w:line="300" w:lineRule="exact"/>
              <w:jc w:val="center"/>
              <w:rPr>
                <w:rFonts w:ascii="黑体" w:hAnsi="黑体" w:eastAsia="黑体" w:cs="黑体"/>
                <w:sz w:val="24"/>
                <w:szCs w:val="24"/>
              </w:rPr>
            </w:pPr>
            <w:r>
              <w:rPr>
                <w:rFonts w:hint="eastAsia" w:ascii="黑体" w:hAnsi="黑体" w:eastAsia="黑体" w:cs="黑体"/>
                <w:sz w:val="24"/>
                <w:szCs w:val="24"/>
              </w:rPr>
              <w:t>项目资金末端分配点位</w:t>
            </w:r>
          </w:p>
        </w:tc>
        <w:tc>
          <w:tcPr>
            <w:tcW w:w="2861" w:type="dxa"/>
          </w:tcPr>
          <w:p>
            <w:pPr>
              <w:spacing w:line="300" w:lineRule="exact"/>
              <w:jc w:val="center"/>
              <w:rPr>
                <w:rFonts w:ascii="黑体" w:hAnsi="黑体" w:eastAsia="黑体" w:cs="黑体"/>
                <w:sz w:val="24"/>
                <w:szCs w:val="24"/>
              </w:rPr>
            </w:pPr>
            <w:r>
              <w:rPr>
                <w:rFonts w:hint="eastAsia" w:ascii="黑体" w:hAnsi="黑体" w:eastAsia="黑体" w:cs="黑体"/>
                <w:sz w:val="24"/>
                <w:szCs w:val="24"/>
              </w:rPr>
              <w:t>自评得分（百分制）</w:t>
            </w:r>
          </w:p>
        </w:tc>
        <w:tc>
          <w:tcPr>
            <w:tcW w:w="993" w:type="dxa"/>
          </w:tcPr>
          <w:p>
            <w:pPr>
              <w:spacing w:line="300" w:lineRule="exact"/>
              <w:jc w:val="center"/>
              <w:rPr>
                <w:rFonts w:ascii="黑体" w:hAnsi="黑体" w:eastAsia="黑体" w:cs="黑体"/>
                <w:sz w:val="24"/>
                <w:szCs w:val="24"/>
              </w:rPr>
            </w:pPr>
            <w:r>
              <w:rPr>
                <w:rFonts w:hint="eastAsia" w:ascii="黑体" w:hAnsi="黑体" w:eastAsia="黑体" w:cs="黑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exact"/>
          <w:jc w:val="center"/>
        </w:trPr>
        <w:tc>
          <w:tcPr>
            <w:tcW w:w="1123" w:type="dxa"/>
          </w:tcPr>
          <w:p>
            <w:pPr>
              <w:spacing w:line="300" w:lineRule="exact"/>
              <w:jc w:val="center"/>
              <w:rPr>
                <w:rFonts w:ascii="宋体" w:hAnsi="宋体" w:eastAsia="宋体" w:cs="宋体"/>
                <w:sz w:val="24"/>
                <w:szCs w:val="24"/>
              </w:rPr>
            </w:pPr>
            <w:r>
              <w:rPr>
                <w:rFonts w:hint="eastAsia" w:ascii="宋体" w:hAnsi="宋体" w:eastAsia="宋体" w:cs="宋体"/>
                <w:sz w:val="24"/>
                <w:szCs w:val="24"/>
              </w:rPr>
              <w:t>1</w:t>
            </w:r>
          </w:p>
        </w:tc>
        <w:tc>
          <w:tcPr>
            <w:tcW w:w="3843" w:type="dxa"/>
          </w:tcPr>
          <w:p>
            <w:pPr>
              <w:spacing w:line="300" w:lineRule="exact"/>
              <w:rPr>
                <w:rFonts w:ascii="宋体" w:hAnsi="宋体" w:cs="宋体"/>
                <w:sz w:val="24"/>
                <w:szCs w:val="24"/>
              </w:rPr>
            </w:pPr>
          </w:p>
        </w:tc>
        <w:tc>
          <w:tcPr>
            <w:tcW w:w="2861" w:type="dxa"/>
          </w:tcPr>
          <w:p>
            <w:pPr>
              <w:spacing w:line="300" w:lineRule="exact"/>
              <w:rPr>
                <w:rFonts w:ascii="宋体" w:hAnsi="宋体" w:cs="宋体"/>
                <w:sz w:val="24"/>
                <w:szCs w:val="24"/>
              </w:rPr>
            </w:pPr>
          </w:p>
        </w:tc>
        <w:tc>
          <w:tcPr>
            <w:tcW w:w="993" w:type="dxa"/>
          </w:tcPr>
          <w:p>
            <w:pPr>
              <w:spacing w:line="300" w:lineRule="exact"/>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exact"/>
          <w:jc w:val="center"/>
        </w:trPr>
        <w:tc>
          <w:tcPr>
            <w:tcW w:w="1123" w:type="dxa"/>
          </w:tcPr>
          <w:p>
            <w:pPr>
              <w:spacing w:line="300" w:lineRule="exact"/>
              <w:jc w:val="center"/>
              <w:rPr>
                <w:rFonts w:ascii="宋体" w:hAnsi="宋体" w:eastAsia="宋体" w:cs="宋体"/>
                <w:sz w:val="24"/>
                <w:szCs w:val="24"/>
              </w:rPr>
            </w:pPr>
            <w:r>
              <w:rPr>
                <w:rFonts w:hint="eastAsia" w:ascii="宋体" w:hAnsi="宋体" w:eastAsia="宋体" w:cs="宋体"/>
                <w:sz w:val="24"/>
                <w:szCs w:val="24"/>
              </w:rPr>
              <w:t>2</w:t>
            </w:r>
          </w:p>
        </w:tc>
        <w:tc>
          <w:tcPr>
            <w:tcW w:w="3843" w:type="dxa"/>
          </w:tcPr>
          <w:p>
            <w:pPr>
              <w:spacing w:line="300" w:lineRule="exact"/>
              <w:rPr>
                <w:rFonts w:ascii="宋体" w:hAnsi="宋体" w:cs="宋体"/>
                <w:sz w:val="24"/>
                <w:szCs w:val="24"/>
              </w:rPr>
            </w:pPr>
          </w:p>
        </w:tc>
        <w:tc>
          <w:tcPr>
            <w:tcW w:w="2861" w:type="dxa"/>
          </w:tcPr>
          <w:p>
            <w:pPr>
              <w:spacing w:line="300" w:lineRule="exact"/>
              <w:rPr>
                <w:rFonts w:ascii="宋体" w:hAnsi="宋体" w:cs="宋体"/>
                <w:sz w:val="24"/>
                <w:szCs w:val="24"/>
              </w:rPr>
            </w:pPr>
          </w:p>
        </w:tc>
        <w:tc>
          <w:tcPr>
            <w:tcW w:w="993" w:type="dxa"/>
          </w:tcPr>
          <w:p>
            <w:pPr>
              <w:spacing w:line="300" w:lineRule="exact"/>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exact"/>
          <w:jc w:val="center"/>
        </w:trPr>
        <w:tc>
          <w:tcPr>
            <w:tcW w:w="1123" w:type="dxa"/>
          </w:tcPr>
          <w:p>
            <w:pPr>
              <w:spacing w:line="300" w:lineRule="exact"/>
              <w:jc w:val="center"/>
              <w:rPr>
                <w:rFonts w:ascii="宋体" w:hAnsi="宋体" w:eastAsia="宋体" w:cs="宋体"/>
                <w:sz w:val="24"/>
                <w:szCs w:val="24"/>
              </w:rPr>
            </w:pPr>
            <w:r>
              <w:rPr>
                <w:rFonts w:hint="eastAsia" w:ascii="宋体" w:hAnsi="宋体" w:eastAsia="宋体" w:cs="宋体"/>
                <w:sz w:val="24"/>
                <w:szCs w:val="24"/>
              </w:rPr>
              <w:t>3</w:t>
            </w:r>
          </w:p>
        </w:tc>
        <w:tc>
          <w:tcPr>
            <w:tcW w:w="3843" w:type="dxa"/>
          </w:tcPr>
          <w:p>
            <w:pPr>
              <w:spacing w:line="300" w:lineRule="exact"/>
              <w:rPr>
                <w:rFonts w:ascii="宋体" w:hAnsi="宋体" w:cs="宋体"/>
                <w:sz w:val="24"/>
                <w:szCs w:val="24"/>
              </w:rPr>
            </w:pPr>
          </w:p>
        </w:tc>
        <w:tc>
          <w:tcPr>
            <w:tcW w:w="2861" w:type="dxa"/>
          </w:tcPr>
          <w:p>
            <w:pPr>
              <w:spacing w:line="300" w:lineRule="exact"/>
              <w:rPr>
                <w:rFonts w:ascii="宋体" w:hAnsi="宋体" w:cs="宋体"/>
                <w:sz w:val="24"/>
                <w:szCs w:val="24"/>
              </w:rPr>
            </w:pPr>
          </w:p>
        </w:tc>
        <w:tc>
          <w:tcPr>
            <w:tcW w:w="993" w:type="dxa"/>
          </w:tcPr>
          <w:p>
            <w:pPr>
              <w:spacing w:line="300" w:lineRule="exact"/>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exact"/>
          <w:jc w:val="center"/>
        </w:trPr>
        <w:tc>
          <w:tcPr>
            <w:tcW w:w="1123" w:type="dxa"/>
          </w:tcPr>
          <w:p>
            <w:pPr>
              <w:spacing w:line="300" w:lineRule="exact"/>
              <w:jc w:val="center"/>
              <w:rPr>
                <w:rFonts w:ascii="宋体" w:hAnsi="宋体" w:eastAsia="宋体" w:cs="宋体"/>
                <w:sz w:val="24"/>
                <w:szCs w:val="24"/>
              </w:rPr>
            </w:pPr>
            <w:r>
              <w:rPr>
                <w:rFonts w:hint="eastAsia" w:ascii="宋体" w:hAnsi="宋体" w:eastAsia="宋体" w:cs="宋体"/>
                <w:sz w:val="24"/>
                <w:szCs w:val="24"/>
              </w:rPr>
              <w:t>4</w:t>
            </w:r>
          </w:p>
        </w:tc>
        <w:tc>
          <w:tcPr>
            <w:tcW w:w="3843" w:type="dxa"/>
          </w:tcPr>
          <w:p>
            <w:pPr>
              <w:spacing w:line="300" w:lineRule="exact"/>
              <w:rPr>
                <w:rFonts w:ascii="宋体" w:hAnsi="宋体" w:cs="宋体"/>
                <w:sz w:val="24"/>
                <w:szCs w:val="24"/>
              </w:rPr>
            </w:pPr>
          </w:p>
        </w:tc>
        <w:tc>
          <w:tcPr>
            <w:tcW w:w="2861" w:type="dxa"/>
          </w:tcPr>
          <w:p>
            <w:pPr>
              <w:spacing w:line="300" w:lineRule="exact"/>
              <w:rPr>
                <w:rFonts w:ascii="宋体" w:hAnsi="宋体" w:cs="宋体"/>
                <w:sz w:val="24"/>
                <w:szCs w:val="24"/>
              </w:rPr>
            </w:pPr>
          </w:p>
        </w:tc>
        <w:tc>
          <w:tcPr>
            <w:tcW w:w="993" w:type="dxa"/>
          </w:tcPr>
          <w:p>
            <w:pPr>
              <w:spacing w:line="300" w:lineRule="exact"/>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exact"/>
          <w:jc w:val="center"/>
        </w:trPr>
        <w:tc>
          <w:tcPr>
            <w:tcW w:w="1123" w:type="dxa"/>
          </w:tcPr>
          <w:p>
            <w:pPr>
              <w:spacing w:line="300" w:lineRule="exact"/>
              <w:jc w:val="center"/>
              <w:rPr>
                <w:rFonts w:ascii="宋体" w:hAnsi="宋体" w:eastAsia="宋体" w:cs="宋体"/>
                <w:sz w:val="24"/>
                <w:szCs w:val="24"/>
              </w:rPr>
            </w:pPr>
            <w:r>
              <w:rPr>
                <w:rFonts w:hint="eastAsia" w:ascii="宋体" w:hAnsi="宋体" w:eastAsia="宋体" w:cs="宋体"/>
                <w:sz w:val="24"/>
                <w:szCs w:val="24"/>
              </w:rPr>
              <w:t>5</w:t>
            </w:r>
          </w:p>
        </w:tc>
        <w:tc>
          <w:tcPr>
            <w:tcW w:w="3843" w:type="dxa"/>
          </w:tcPr>
          <w:p>
            <w:pPr>
              <w:spacing w:line="300" w:lineRule="exact"/>
              <w:rPr>
                <w:rFonts w:ascii="宋体" w:hAnsi="宋体" w:cs="宋体"/>
                <w:sz w:val="24"/>
                <w:szCs w:val="24"/>
              </w:rPr>
            </w:pPr>
          </w:p>
        </w:tc>
        <w:tc>
          <w:tcPr>
            <w:tcW w:w="2861" w:type="dxa"/>
          </w:tcPr>
          <w:p>
            <w:pPr>
              <w:spacing w:line="300" w:lineRule="exact"/>
              <w:rPr>
                <w:rFonts w:ascii="宋体" w:hAnsi="宋体" w:cs="宋体"/>
                <w:sz w:val="24"/>
                <w:szCs w:val="24"/>
              </w:rPr>
            </w:pPr>
          </w:p>
        </w:tc>
        <w:tc>
          <w:tcPr>
            <w:tcW w:w="993" w:type="dxa"/>
          </w:tcPr>
          <w:p>
            <w:pPr>
              <w:spacing w:line="300" w:lineRule="exact"/>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exact"/>
          <w:jc w:val="center"/>
        </w:trPr>
        <w:tc>
          <w:tcPr>
            <w:tcW w:w="1123" w:type="dxa"/>
          </w:tcPr>
          <w:p>
            <w:pPr>
              <w:spacing w:line="300" w:lineRule="exact"/>
              <w:jc w:val="center"/>
              <w:rPr>
                <w:rFonts w:ascii="宋体" w:hAnsi="宋体" w:eastAsia="宋体" w:cs="宋体"/>
                <w:sz w:val="24"/>
                <w:szCs w:val="24"/>
              </w:rPr>
            </w:pPr>
            <w:r>
              <w:rPr>
                <w:rFonts w:hint="eastAsia" w:ascii="宋体" w:hAnsi="宋体" w:eastAsia="宋体" w:cs="宋体"/>
                <w:sz w:val="24"/>
                <w:szCs w:val="24"/>
              </w:rPr>
              <w:t>6</w:t>
            </w:r>
          </w:p>
        </w:tc>
        <w:tc>
          <w:tcPr>
            <w:tcW w:w="3843" w:type="dxa"/>
          </w:tcPr>
          <w:p>
            <w:pPr>
              <w:spacing w:line="300" w:lineRule="exact"/>
              <w:rPr>
                <w:rFonts w:ascii="宋体" w:hAnsi="宋体" w:cs="宋体"/>
                <w:sz w:val="24"/>
                <w:szCs w:val="24"/>
              </w:rPr>
            </w:pPr>
          </w:p>
        </w:tc>
        <w:tc>
          <w:tcPr>
            <w:tcW w:w="2861" w:type="dxa"/>
          </w:tcPr>
          <w:p>
            <w:pPr>
              <w:spacing w:line="300" w:lineRule="exact"/>
              <w:rPr>
                <w:rFonts w:ascii="宋体" w:hAnsi="宋体" w:cs="宋体"/>
                <w:sz w:val="24"/>
                <w:szCs w:val="24"/>
              </w:rPr>
            </w:pPr>
          </w:p>
        </w:tc>
        <w:tc>
          <w:tcPr>
            <w:tcW w:w="993" w:type="dxa"/>
          </w:tcPr>
          <w:p>
            <w:pPr>
              <w:spacing w:line="300" w:lineRule="exact"/>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exact"/>
          <w:jc w:val="center"/>
        </w:trPr>
        <w:tc>
          <w:tcPr>
            <w:tcW w:w="1123" w:type="dxa"/>
          </w:tcPr>
          <w:p>
            <w:pPr>
              <w:spacing w:line="300" w:lineRule="exact"/>
              <w:jc w:val="center"/>
              <w:rPr>
                <w:rFonts w:ascii="宋体" w:hAnsi="宋体" w:eastAsia="宋体" w:cs="宋体"/>
                <w:sz w:val="24"/>
                <w:szCs w:val="24"/>
              </w:rPr>
            </w:pPr>
            <w:r>
              <w:rPr>
                <w:rFonts w:hint="eastAsia" w:ascii="宋体" w:hAnsi="宋体" w:eastAsia="宋体" w:cs="宋体"/>
                <w:sz w:val="24"/>
                <w:szCs w:val="24"/>
              </w:rPr>
              <w:t>7</w:t>
            </w:r>
          </w:p>
        </w:tc>
        <w:tc>
          <w:tcPr>
            <w:tcW w:w="3843" w:type="dxa"/>
          </w:tcPr>
          <w:p>
            <w:pPr>
              <w:spacing w:line="300" w:lineRule="exact"/>
              <w:rPr>
                <w:rFonts w:ascii="宋体" w:hAnsi="宋体" w:cs="宋体"/>
                <w:sz w:val="24"/>
                <w:szCs w:val="24"/>
              </w:rPr>
            </w:pPr>
          </w:p>
        </w:tc>
        <w:tc>
          <w:tcPr>
            <w:tcW w:w="2861" w:type="dxa"/>
          </w:tcPr>
          <w:p>
            <w:pPr>
              <w:spacing w:line="300" w:lineRule="exact"/>
              <w:rPr>
                <w:rFonts w:ascii="宋体" w:hAnsi="宋体" w:cs="宋体"/>
                <w:sz w:val="24"/>
                <w:szCs w:val="24"/>
              </w:rPr>
            </w:pPr>
          </w:p>
        </w:tc>
        <w:tc>
          <w:tcPr>
            <w:tcW w:w="993" w:type="dxa"/>
          </w:tcPr>
          <w:p>
            <w:pPr>
              <w:spacing w:line="300" w:lineRule="exact"/>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exact"/>
          <w:jc w:val="center"/>
        </w:trPr>
        <w:tc>
          <w:tcPr>
            <w:tcW w:w="1123" w:type="dxa"/>
          </w:tcPr>
          <w:p>
            <w:pPr>
              <w:spacing w:line="300" w:lineRule="exact"/>
              <w:jc w:val="center"/>
              <w:rPr>
                <w:rFonts w:ascii="宋体" w:hAnsi="宋体" w:eastAsia="宋体" w:cs="宋体"/>
                <w:sz w:val="24"/>
                <w:szCs w:val="24"/>
              </w:rPr>
            </w:pPr>
            <w:r>
              <w:rPr>
                <w:rFonts w:hint="eastAsia" w:ascii="宋体" w:hAnsi="宋体" w:eastAsia="宋体" w:cs="宋体"/>
                <w:sz w:val="24"/>
                <w:szCs w:val="24"/>
              </w:rPr>
              <w:t>8</w:t>
            </w:r>
          </w:p>
        </w:tc>
        <w:tc>
          <w:tcPr>
            <w:tcW w:w="3843" w:type="dxa"/>
          </w:tcPr>
          <w:p>
            <w:pPr>
              <w:spacing w:line="300" w:lineRule="exact"/>
              <w:rPr>
                <w:rFonts w:ascii="宋体" w:hAnsi="宋体" w:cs="宋体"/>
                <w:sz w:val="24"/>
                <w:szCs w:val="24"/>
              </w:rPr>
            </w:pPr>
          </w:p>
        </w:tc>
        <w:tc>
          <w:tcPr>
            <w:tcW w:w="2861" w:type="dxa"/>
          </w:tcPr>
          <w:p>
            <w:pPr>
              <w:spacing w:line="300" w:lineRule="exact"/>
              <w:rPr>
                <w:rFonts w:ascii="宋体" w:hAnsi="宋体" w:cs="宋体"/>
                <w:sz w:val="24"/>
                <w:szCs w:val="24"/>
              </w:rPr>
            </w:pPr>
          </w:p>
        </w:tc>
        <w:tc>
          <w:tcPr>
            <w:tcW w:w="993" w:type="dxa"/>
          </w:tcPr>
          <w:p>
            <w:pPr>
              <w:spacing w:line="300" w:lineRule="exact"/>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exact"/>
          <w:jc w:val="center"/>
        </w:trPr>
        <w:tc>
          <w:tcPr>
            <w:tcW w:w="1123" w:type="dxa"/>
          </w:tcPr>
          <w:p>
            <w:pPr>
              <w:spacing w:line="300" w:lineRule="exact"/>
              <w:jc w:val="center"/>
              <w:rPr>
                <w:rFonts w:ascii="宋体" w:hAnsi="宋体" w:eastAsia="宋体" w:cs="宋体"/>
                <w:sz w:val="24"/>
                <w:szCs w:val="24"/>
              </w:rPr>
            </w:pPr>
            <w:r>
              <w:rPr>
                <w:rFonts w:hint="eastAsia" w:ascii="宋体" w:hAnsi="宋体" w:eastAsia="宋体" w:cs="宋体"/>
                <w:sz w:val="24"/>
                <w:szCs w:val="24"/>
              </w:rPr>
              <w:t>……</w:t>
            </w:r>
          </w:p>
        </w:tc>
        <w:tc>
          <w:tcPr>
            <w:tcW w:w="3843" w:type="dxa"/>
          </w:tcPr>
          <w:p>
            <w:pPr>
              <w:spacing w:line="300" w:lineRule="exact"/>
              <w:rPr>
                <w:rFonts w:ascii="宋体" w:hAnsi="宋体" w:cs="宋体"/>
                <w:sz w:val="24"/>
                <w:szCs w:val="24"/>
              </w:rPr>
            </w:pPr>
          </w:p>
        </w:tc>
        <w:tc>
          <w:tcPr>
            <w:tcW w:w="2861" w:type="dxa"/>
          </w:tcPr>
          <w:p>
            <w:pPr>
              <w:spacing w:line="300" w:lineRule="exact"/>
              <w:rPr>
                <w:rFonts w:ascii="宋体" w:hAnsi="宋体" w:cs="宋体"/>
                <w:sz w:val="24"/>
                <w:szCs w:val="24"/>
              </w:rPr>
            </w:pPr>
          </w:p>
        </w:tc>
        <w:tc>
          <w:tcPr>
            <w:tcW w:w="993" w:type="dxa"/>
          </w:tcPr>
          <w:p>
            <w:pPr>
              <w:spacing w:line="300" w:lineRule="exact"/>
              <w:rPr>
                <w:rFonts w:ascii="宋体" w:hAnsi="宋体" w:cs="宋体"/>
                <w:sz w:val="24"/>
                <w:szCs w:val="24"/>
              </w:rPr>
            </w:pPr>
          </w:p>
        </w:tc>
      </w:tr>
    </w:tbl>
    <w:p>
      <w:pPr>
        <w:spacing w:line="400" w:lineRule="exact"/>
        <w:jc w:val="left"/>
        <w:rPr>
          <w:rFonts w:ascii="宋体" w:hAnsi="宋体" w:eastAsia="宋体" w:cs="宋体"/>
          <w:sz w:val="21"/>
          <w:szCs w:val="21"/>
        </w:rPr>
      </w:pPr>
      <w:r>
        <w:rPr>
          <w:rFonts w:hint="eastAsia" w:ascii="宋体" w:hAnsi="宋体" w:eastAsia="宋体" w:cs="宋体"/>
          <w:sz w:val="21"/>
          <w:szCs w:val="21"/>
        </w:rPr>
        <w:t>备注：1.项目资金末端分配点位包括州本级、县（市）、州级部门下属单位及一次性单位等。</w:t>
      </w:r>
    </w:p>
    <w:p>
      <w:pPr>
        <w:spacing w:line="400" w:lineRule="exact"/>
        <w:ind w:firstLine="630" w:firstLineChars="300"/>
        <w:jc w:val="left"/>
        <w:rPr>
          <w:rFonts w:ascii="宋体" w:hAnsi="宋体" w:eastAsia="宋体" w:cs="宋体"/>
          <w:sz w:val="21"/>
          <w:szCs w:val="21"/>
        </w:rPr>
      </w:pPr>
      <w:r>
        <w:rPr>
          <w:rFonts w:hint="eastAsia" w:ascii="宋体" w:hAnsi="宋体" w:eastAsia="宋体" w:cs="宋体"/>
          <w:sz w:val="21"/>
          <w:szCs w:val="21"/>
        </w:rPr>
        <w:t>2.自评得分（百分制）从高到低划分为优、良、中、差四个档次，各个档次数量占比分别为20%、20%、55%、5%，且不同档次间得分分值应体现差异化，同档次得分分值相同的比例不超过该档次总数量的10%。</w:t>
      </w:r>
    </w:p>
    <w:p>
      <w:pPr>
        <w:rPr>
          <w:szCs w:val="24"/>
        </w:rPr>
      </w:pPr>
      <w:r>
        <w:rPr>
          <w:rFonts w:hint="eastAsia"/>
          <w:szCs w:val="24"/>
        </w:rPr>
        <w:br w:type="page"/>
      </w:r>
    </w:p>
    <w:p>
      <w:pPr>
        <w:pStyle w:val="14"/>
        <w:spacing w:after="0" w:line="578" w:lineRule="exact"/>
        <w:ind w:left="0" w:leftChars="0" w:firstLine="0" w:firstLineChars="0"/>
        <w:rPr>
          <w:rFonts w:ascii="Times New Roman" w:eastAsia="黑体"/>
          <w:szCs w:val="24"/>
        </w:rPr>
      </w:pPr>
      <w:r>
        <w:rPr>
          <w:rFonts w:ascii="Times New Roman" w:eastAsia="黑体"/>
          <w:szCs w:val="24"/>
        </w:rPr>
        <w:t>附表2</w:t>
      </w:r>
    </w:p>
    <w:tbl>
      <w:tblPr>
        <w:tblStyle w:val="16"/>
        <w:tblW w:w="10233" w:type="dxa"/>
        <w:jc w:val="center"/>
        <w:tblLayout w:type="fixed"/>
        <w:tblCellMar>
          <w:top w:w="15" w:type="dxa"/>
          <w:left w:w="15" w:type="dxa"/>
          <w:bottom w:w="15" w:type="dxa"/>
          <w:right w:w="15" w:type="dxa"/>
        </w:tblCellMar>
      </w:tblPr>
      <w:tblGrid>
        <w:gridCol w:w="785"/>
        <w:gridCol w:w="785"/>
        <w:gridCol w:w="1097"/>
        <w:gridCol w:w="2400"/>
        <w:gridCol w:w="1023"/>
        <w:gridCol w:w="786"/>
        <w:gridCol w:w="709"/>
        <w:gridCol w:w="1239"/>
        <w:gridCol w:w="1409"/>
      </w:tblGrid>
      <w:tr>
        <w:tblPrEx>
          <w:tblCellMar>
            <w:top w:w="15" w:type="dxa"/>
            <w:left w:w="15" w:type="dxa"/>
            <w:bottom w:w="15" w:type="dxa"/>
            <w:right w:w="15" w:type="dxa"/>
          </w:tblCellMar>
        </w:tblPrEx>
        <w:trPr>
          <w:trHeight w:val="576" w:hRule="atLeast"/>
          <w:jc w:val="center"/>
        </w:trPr>
        <w:tc>
          <w:tcPr>
            <w:tcW w:w="10233" w:type="dxa"/>
            <w:gridSpan w:val="9"/>
            <w:shd w:val="clear" w:color="auto" w:fill="auto"/>
            <w:vAlign w:val="center"/>
          </w:tcPr>
          <w:p>
            <w:pPr>
              <w:widowControl/>
              <w:jc w:val="center"/>
              <w:textAlignment w:val="center"/>
              <w:rPr>
                <w:rFonts w:ascii="黑体" w:hAnsi="宋体" w:eastAsia="黑体" w:cs="黑体"/>
                <w:color w:val="000000"/>
                <w:sz w:val="30"/>
                <w:szCs w:val="30"/>
              </w:rPr>
            </w:pPr>
            <w:r>
              <w:rPr>
                <w:rFonts w:ascii="方正小标宋简体" w:hAnsi="方正小标宋简体" w:eastAsia="方正小标宋简体" w:cs="方正小标宋简体"/>
                <w:color w:val="000000"/>
                <w:kern w:val="0"/>
                <w:sz w:val="40"/>
                <w:szCs w:val="40"/>
              </w:rPr>
              <w:t>专项预算项目绩效目标完成情况自评表</w:t>
            </w:r>
          </w:p>
        </w:tc>
      </w:tr>
      <w:tr>
        <w:trPr>
          <w:trHeight w:val="23" w:hRule="atLeast"/>
          <w:jc w:val="center"/>
        </w:trPr>
        <w:tc>
          <w:tcPr>
            <w:tcW w:w="506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项目名称</w:t>
            </w:r>
          </w:p>
        </w:tc>
        <w:tc>
          <w:tcPr>
            <w:tcW w:w="5166" w:type="dxa"/>
            <w:gridSpan w:val="5"/>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textAlignment w:val="bottom"/>
              <w:rPr>
                <w:rFonts w:ascii="宋体" w:hAnsi="宋体" w:eastAsia="宋体" w:cs="宋体"/>
                <w:color w:val="000000"/>
                <w:sz w:val="24"/>
                <w:szCs w:val="24"/>
              </w:rPr>
            </w:pPr>
            <w:r>
              <w:rPr>
                <w:rFonts w:hint="eastAsia" w:ascii="宋体" w:hAnsi="宋体" w:eastAsia="宋体" w:cs="宋体"/>
                <w:color w:val="000000"/>
                <w:kern w:val="0"/>
                <w:sz w:val="24"/>
                <w:szCs w:val="24"/>
              </w:rPr>
              <w:t>就业创业补助资金</w:t>
            </w:r>
          </w:p>
        </w:tc>
      </w:tr>
      <w:tr>
        <w:tblPrEx>
          <w:tblCellMar>
            <w:top w:w="15" w:type="dxa"/>
            <w:left w:w="15" w:type="dxa"/>
            <w:bottom w:w="15" w:type="dxa"/>
            <w:right w:w="15" w:type="dxa"/>
          </w:tblCellMar>
        </w:tblPrEx>
        <w:trPr>
          <w:trHeight w:val="23" w:hRule="atLeast"/>
          <w:jc w:val="center"/>
        </w:trPr>
        <w:tc>
          <w:tcPr>
            <w:tcW w:w="506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预算单位</w:t>
            </w:r>
          </w:p>
        </w:tc>
        <w:tc>
          <w:tcPr>
            <w:tcW w:w="5166" w:type="dxa"/>
            <w:gridSpan w:val="5"/>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textAlignment w:val="bottom"/>
              <w:rPr>
                <w:rFonts w:hint="eastAsia" w:ascii="宋体" w:hAnsi="宋体" w:eastAsia="宋体" w:cs="宋体"/>
                <w:color w:val="000000"/>
                <w:sz w:val="24"/>
                <w:szCs w:val="24"/>
                <w:highlight w:val="none"/>
                <w:lang w:eastAsia="zh-CN"/>
              </w:rPr>
            </w:pPr>
            <w:r>
              <w:rPr>
                <w:rFonts w:hint="eastAsia" w:ascii="宋体" w:hAnsi="宋体" w:eastAsia="宋体" w:cs="宋体"/>
                <w:color w:val="000000"/>
                <w:kern w:val="0"/>
                <w:sz w:val="24"/>
                <w:szCs w:val="24"/>
                <w:highlight w:val="none"/>
              </w:rPr>
              <w:t>茂县</w:t>
            </w:r>
            <w:r>
              <w:rPr>
                <w:rFonts w:hint="eastAsia" w:ascii="宋体" w:hAnsi="宋体" w:cs="宋体"/>
                <w:color w:val="000000"/>
                <w:kern w:val="0"/>
                <w:sz w:val="24"/>
                <w:szCs w:val="24"/>
                <w:highlight w:val="none"/>
                <w:lang w:val="en-US" w:eastAsia="zh-CN"/>
              </w:rPr>
              <w:t>就业服务中心</w:t>
            </w:r>
          </w:p>
        </w:tc>
      </w:tr>
      <w:tr>
        <w:trPr>
          <w:trHeight w:val="23" w:hRule="atLeast"/>
          <w:jc w:val="center"/>
        </w:trPr>
        <w:tc>
          <w:tcPr>
            <w:tcW w:w="506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项目类型</w:t>
            </w:r>
          </w:p>
        </w:tc>
        <w:tc>
          <w:tcPr>
            <w:tcW w:w="5166" w:type="dxa"/>
            <w:gridSpan w:val="5"/>
            <w:tcBorders>
              <w:top w:val="single" w:color="000000" w:sz="4" w:space="0"/>
              <w:left w:val="single" w:color="000000" w:sz="4" w:space="0"/>
              <w:bottom w:val="single" w:color="000000" w:sz="4" w:space="0"/>
              <w:right w:val="single" w:color="000000" w:sz="4" w:space="0"/>
            </w:tcBorders>
            <w:shd w:val="clear" w:color="auto" w:fill="auto"/>
            <w:vAlign w:val="bottom"/>
          </w:tcPr>
          <w:p>
            <w:pPr>
              <w:jc w:val="left"/>
              <w:rPr>
                <w:rFonts w:ascii="宋体" w:hAnsi="宋体" w:eastAsia="宋体" w:cs="宋体"/>
                <w:color w:val="000000"/>
                <w:sz w:val="24"/>
                <w:szCs w:val="24"/>
              </w:rPr>
            </w:pPr>
          </w:p>
        </w:tc>
      </w:tr>
      <w:tr>
        <w:tblPrEx>
          <w:tblCellMar>
            <w:top w:w="15" w:type="dxa"/>
            <w:left w:w="15" w:type="dxa"/>
            <w:bottom w:w="15" w:type="dxa"/>
            <w:right w:w="15" w:type="dxa"/>
          </w:tblCellMar>
        </w:tblPrEx>
        <w:trPr>
          <w:trHeight w:val="23" w:hRule="atLeast"/>
          <w:jc w:val="center"/>
        </w:trPr>
        <w:tc>
          <w:tcPr>
            <w:tcW w:w="7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项目 概况</w:t>
            </w:r>
          </w:p>
        </w:tc>
        <w:tc>
          <w:tcPr>
            <w:tcW w:w="428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中长期规划（名称、文号，仅指</w:t>
            </w:r>
          </w:p>
        </w:tc>
        <w:tc>
          <w:tcPr>
            <w:tcW w:w="5166"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eastAsia="宋体" w:cs="宋体"/>
                <w:color w:val="000000"/>
                <w:sz w:val="24"/>
                <w:szCs w:val="24"/>
              </w:rPr>
            </w:pPr>
            <w:r>
              <w:rPr>
                <w:rFonts w:hint="eastAsia" w:ascii="宋体" w:hAnsi="宋体" w:eastAsia="宋体" w:cs="宋体"/>
                <w:color w:val="000000"/>
                <w:kern w:val="0"/>
                <w:sz w:val="24"/>
                <w:szCs w:val="24"/>
              </w:rPr>
              <w:t>川财社（2019）38号</w:t>
            </w:r>
          </w:p>
        </w:tc>
      </w:tr>
      <w:tr>
        <w:trPr>
          <w:trHeight w:val="23" w:hRule="atLeast"/>
          <w:jc w:val="center"/>
        </w:trPr>
        <w:tc>
          <w:tcPr>
            <w:tcW w:w="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szCs w:val="24"/>
              </w:rPr>
            </w:pPr>
          </w:p>
        </w:tc>
        <w:tc>
          <w:tcPr>
            <w:tcW w:w="428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常年项目）</w:t>
            </w:r>
          </w:p>
        </w:tc>
        <w:tc>
          <w:tcPr>
            <w:tcW w:w="5166"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jc w:val="left"/>
              <w:rPr>
                <w:rFonts w:ascii="宋体" w:hAnsi="宋体" w:eastAsia="宋体" w:cs="宋体"/>
                <w:color w:val="000000"/>
                <w:sz w:val="24"/>
                <w:szCs w:val="24"/>
              </w:rPr>
            </w:pPr>
          </w:p>
        </w:tc>
      </w:tr>
      <w:tr>
        <w:tblPrEx>
          <w:tblCellMar>
            <w:top w:w="15" w:type="dxa"/>
            <w:left w:w="15" w:type="dxa"/>
            <w:bottom w:w="15" w:type="dxa"/>
            <w:right w:w="15" w:type="dxa"/>
          </w:tblCellMar>
        </w:tblPrEx>
        <w:trPr>
          <w:trHeight w:val="23" w:hRule="atLeast"/>
          <w:jc w:val="center"/>
        </w:trPr>
        <w:tc>
          <w:tcPr>
            <w:tcW w:w="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szCs w:val="24"/>
              </w:rPr>
            </w:pPr>
          </w:p>
        </w:tc>
        <w:tc>
          <w:tcPr>
            <w:tcW w:w="428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资金管理办法（名称、文号）</w:t>
            </w:r>
          </w:p>
        </w:tc>
        <w:tc>
          <w:tcPr>
            <w:tcW w:w="5166" w:type="dxa"/>
            <w:gridSpan w:val="5"/>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Wingdings 2" w:hAnsi="Wingdings 2" w:eastAsia="Wingdings 2" w:cs="Wingdings 2"/>
                <w:color w:val="000000"/>
                <w:sz w:val="24"/>
                <w:szCs w:val="24"/>
              </w:rPr>
            </w:pPr>
            <w:r>
              <w:rPr>
                <w:rFonts w:hint="eastAsia" w:ascii="宋体" w:hAnsi="宋体" w:eastAsia="宋体" w:cs="宋体"/>
                <w:color w:val="000000"/>
                <w:kern w:val="0"/>
                <w:sz w:val="24"/>
                <w:szCs w:val="24"/>
              </w:rPr>
              <w:t>川财社（2019）38号</w:t>
            </w:r>
          </w:p>
        </w:tc>
      </w:tr>
      <w:tr>
        <w:trPr>
          <w:trHeight w:val="23" w:hRule="atLeast"/>
          <w:jc w:val="center"/>
        </w:trPr>
        <w:tc>
          <w:tcPr>
            <w:tcW w:w="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szCs w:val="24"/>
              </w:rPr>
            </w:pPr>
          </w:p>
        </w:tc>
        <w:tc>
          <w:tcPr>
            <w:tcW w:w="428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绩效分配方式</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4"/>
                <w:szCs w:val="24"/>
              </w:rPr>
            </w:pPr>
            <w:r>
              <w:rPr>
                <w:rFonts w:ascii="Wingdings 2" w:hAnsi="Wingdings 2" w:eastAsia="Wingdings 2" w:cs="Wingdings 2"/>
                <w:color w:val="000000"/>
                <w:kern w:val="0"/>
                <w:sz w:val="24"/>
                <w:szCs w:val="24"/>
              </w:rPr>
              <w:t>£</w:t>
            </w:r>
            <w:r>
              <w:rPr>
                <w:rStyle w:val="39"/>
                <w:rFonts w:hint="default"/>
              </w:rPr>
              <w:t>因素法</w:t>
            </w:r>
          </w:p>
        </w:tc>
        <w:tc>
          <w:tcPr>
            <w:tcW w:w="14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ascii="Wingdings 2" w:hAnsi="Wingdings 2" w:eastAsia="Wingdings 2" w:cs="Wingdings 2"/>
                <w:color w:val="000000"/>
                <w:kern w:val="0"/>
                <w:sz w:val="24"/>
                <w:szCs w:val="24"/>
              </w:rPr>
              <w:t>£项目法</w:t>
            </w: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ascii="Wingdings 2" w:hAnsi="Wingdings 2" w:eastAsia="Wingdings 2" w:cs="Wingdings 2"/>
                <w:color w:val="000000"/>
                <w:kern w:val="0"/>
                <w:sz w:val="24"/>
                <w:szCs w:val="24"/>
              </w:rPr>
              <w:t>£</w:t>
            </w:r>
            <w:r>
              <w:rPr>
                <w:rStyle w:val="39"/>
                <w:rFonts w:hint="default"/>
              </w:rPr>
              <w:t>据实据效</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pPr>
            <w:r>
              <w:rPr>
                <w:rFonts w:ascii="Wingdings 2" w:hAnsi="Wingdings 2" w:eastAsia="Wingdings 2" w:cs="Wingdings 2"/>
                <w:color w:val="000000"/>
                <w:kern w:val="0"/>
                <w:sz w:val="24"/>
                <w:szCs w:val="24"/>
              </w:rPr>
              <w:t>£</w:t>
            </w:r>
            <w:r>
              <w:rPr>
                <w:rStyle w:val="39"/>
                <w:rFonts w:hint="default"/>
              </w:rPr>
              <w:t>因素法与项目法相结合</w:t>
            </w:r>
          </w:p>
        </w:tc>
      </w:tr>
      <w:tr>
        <w:tblPrEx>
          <w:tblCellMar>
            <w:top w:w="15" w:type="dxa"/>
            <w:left w:w="15" w:type="dxa"/>
            <w:bottom w:w="15" w:type="dxa"/>
            <w:right w:w="15" w:type="dxa"/>
          </w:tblCellMar>
        </w:tblPrEx>
        <w:trPr>
          <w:trHeight w:val="23" w:hRule="atLeast"/>
          <w:jc w:val="center"/>
        </w:trPr>
        <w:tc>
          <w:tcPr>
            <w:tcW w:w="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szCs w:val="24"/>
              </w:rPr>
            </w:pPr>
          </w:p>
        </w:tc>
        <w:tc>
          <w:tcPr>
            <w:tcW w:w="428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立项依据</w:t>
            </w:r>
          </w:p>
        </w:tc>
        <w:tc>
          <w:tcPr>
            <w:tcW w:w="5166" w:type="dxa"/>
            <w:gridSpan w:val="5"/>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eastAsia="宋体" w:cs="宋体"/>
                <w:color w:val="000000"/>
                <w:sz w:val="24"/>
                <w:szCs w:val="24"/>
              </w:rPr>
            </w:pPr>
            <w:r>
              <w:rPr>
                <w:rFonts w:hint="eastAsia" w:ascii="宋体" w:hAnsi="宋体" w:eastAsia="宋体" w:cs="宋体"/>
                <w:color w:val="000000"/>
                <w:kern w:val="0"/>
                <w:sz w:val="24"/>
                <w:szCs w:val="24"/>
              </w:rPr>
              <w:t>川财社（2019）38号</w:t>
            </w:r>
          </w:p>
        </w:tc>
      </w:tr>
      <w:tr>
        <w:trPr>
          <w:trHeight w:val="23" w:hRule="atLeast"/>
          <w:jc w:val="center"/>
        </w:trPr>
        <w:tc>
          <w:tcPr>
            <w:tcW w:w="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szCs w:val="24"/>
              </w:rPr>
            </w:pPr>
          </w:p>
        </w:tc>
        <w:tc>
          <w:tcPr>
            <w:tcW w:w="428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使用范围</w:t>
            </w:r>
          </w:p>
        </w:tc>
        <w:tc>
          <w:tcPr>
            <w:tcW w:w="5166" w:type="dxa"/>
            <w:gridSpan w:val="5"/>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eastAsia="宋体" w:cs="宋体"/>
                <w:color w:val="000000"/>
                <w:sz w:val="24"/>
                <w:szCs w:val="24"/>
              </w:rPr>
            </w:pPr>
            <w:r>
              <w:rPr>
                <w:rFonts w:hint="eastAsia" w:ascii="宋体" w:hAnsi="宋体" w:eastAsia="宋体" w:cs="宋体"/>
                <w:color w:val="000000"/>
                <w:kern w:val="0"/>
                <w:sz w:val="24"/>
                <w:szCs w:val="24"/>
              </w:rPr>
              <w:t>用于职业培训补贴、职业技能鉴定补贴、社会保险补贴、公益性岗位补贴、创业补贴、就业见习补贴、求职创业补贴、就业创业服务补助、高技能人才培养补助等支出以及经省级人民政府批准的其他支出项目。</w:t>
            </w:r>
          </w:p>
        </w:tc>
      </w:tr>
      <w:tr>
        <w:tblPrEx>
          <w:tblCellMar>
            <w:top w:w="15" w:type="dxa"/>
            <w:left w:w="15" w:type="dxa"/>
            <w:bottom w:w="15" w:type="dxa"/>
            <w:right w:w="15" w:type="dxa"/>
          </w:tblCellMar>
        </w:tblPrEx>
        <w:trPr>
          <w:trHeight w:val="23" w:hRule="atLeast"/>
          <w:jc w:val="center"/>
        </w:trPr>
        <w:tc>
          <w:tcPr>
            <w:tcW w:w="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szCs w:val="24"/>
              </w:rPr>
            </w:pPr>
          </w:p>
        </w:tc>
        <w:tc>
          <w:tcPr>
            <w:tcW w:w="428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申报（补助）条件</w:t>
            </w:r>
          </w:p>
        </w:tc>
        <w:tc>
          <w:tcPr>
            <w:tcW w:w="5166" w:type="dxa"/>
            <w:gridSpan w:val="5"/>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textAlignment w:val="bottom"/>
              <w:rPr>
                <w:rFonts w:ascii="宋体" w:hAnsi="宋体" w:eastAsia="宋体" w:cs="宋体"/>
                <w:color w:val="000000"/>
                <w:sz w:val="24"/>
                <w:szCs w:val="24"/>
              </w:rPr>
            </w:pPr>
            <w:r>
              <w:rPr>
                <w:rFonts w:hint="eastAsia" w:ascii="宋体" w:hAnsi="宋体" w:eastAsia="宋体" w:cs="宋体"/>
                <w:color w:val="000000"/>
                <w:kern w:val="0"/>
                <w:sz w:val="24"/>
                <w:szCs w:val="24"/>
              </w:rPr>
              <w:t>为贯彻落实好各项就业创业政策,规范中央和省级就业创业补助资金管理，提高资金使用绩效，根据川财社（2019）38号，就业创业专项补助资金按规定用于职业技能培训补贴、职业技能鉴定补贴、社会保险补贴、公益性岗位补贴、创业补贴、就业见习补贴等支出以及经省人民政府批准的其他支出项目。推动城镇新增就业，城镇失业人员和就业困难人员再就业计划的实施，重点支持大学生、就业困难人员、贫困家庭人员、返乡农民工等群体就业创业。</w:t>
            </w:r>
          </w:p>
        </w:tc>
      </w:tr>
      <w:tr>
        <w:trPr>
          <w:trHeight w:val="23" w:hRule="atLeast"/>
          <w:jc w:val="center"/>
        </w:trPr>
        <w:tc>
          <w:tcPr>
            <w:tcW w:w="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szCs w:val="24"/>
              </w:rPr>
            </w:pPr>
          </w:p>
        </w:tc>
        <w:tc>
          <w:tcPr>
            <w:tcW w:w="428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项目起止年限</w:t>
            </w:r>
          </w:p>
        </w:tc>
        <w:tc>
          <w:tcPr>
            <w:tcW w:w="5166" w:type="dxa"/>
            <w:gridSpan w:val="5"/>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textAlignment w:val="bottom"/>
              <w:rPr>
                <w:rFonts w:ascii="宋体" w:hAnsi="宋体" w:eastAsia="宋体" w:cs="宋体"/>
                <w:color w:val="000000"/>
                <w:sz w:val="24"/>
                <w:szCs w:val="24"/>
              </w:rPr>
            </w:pPr>
            <w:r>
              <w:rPr>
                <w:rFonts w:hint="eastAsia" w:ascii="宋体" w:hAnsi="宋体" w:eastAsia="宋体" w:cs="宋体"/>
                <w:color w:val="000000"/>
                <w:kern w:val="0"/>
                <w:sz w:val="24"/>
                <w:szCs w:val="24"/>
              </w:rPr>
              <w:t>2024年1月1日-2024年12月31日</w:t>
            </w:r>
          </w:p>
        </w:tc>
      </w:tr>
      <w:tr>
        <w:tblPrEx>
          <w:tblCellMar>
            <w:top w:w="15" w:type="dxa"/>
            <w:left w:w="15" w:type="dxa"/>
            <w:bottom w:w="15" w:type="dxa"/>
            <w:right w:w="15" w:type="dxa"/>
          </w:tblCellMar>
        </w:tblPrEx>
        <w:trPr>
          <w:trHeight w:val="23" w:hRule="atLeast"/>
          <w:jc w:val="center"/>
        </w:trPr>
        <w:tc>
          <w:tcPr>
            <w:tcW w:w="15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项目资金</w:t>
            </w:r>
          </w:p>
        </w:tc>
        <w:tc>
          <w:tcPr>
            <w:tcW w:w="34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 xml:space="preserve">  </w:t>
            </w:r>
            <w:r>
              <w:rPr>
                <w:rStyle w:val="39"/>
                <w:rFonts w:hint="default"/>
              </w:rPr>
              <w:t>年度资金总额：</w:t>
            </w:r>
          </w:p>
        </w:tc>
        <w:tc>
          <w:tcPr>
            <w:tcW w:w="5166" w:type="dxa"/>
            <w:gridSpan w:val="5"/>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宋体" w:hAnsi="宋体" w:eastAsia="宋体" w:cs="宋体"/>
                <w:color w:val="000000"/>
                <w:sz w:val="24"/>
                <w:szCs w:val="24"/>
              </w:rPr>
            </w:pPr>
            <w:r>
              <w:rPr>
                <w:rFonts w:hint="eastAsia" w:ascii="宋体" w:hAnsi="宋体" w:eastAsia="宋体" w:cs="宋体"/>
                <w:color w:val="000000"/>
                <w:kern w:val="0"/>
                <w:sz w:val="24"/>
                <w:szCs w:val="24"/>
              </w:rPr>
              <w:t>1332</w:t>
            </w:r>
          </w:p>
        </w:tc>
      </w:tr>
      <w:tr>
        <w:trPr>
          <w:trHeight w:val="23" w:hRule="atLeast"/>
          <w:jc w:val="center"/>
        </w:trPr>
        <w:tc>
          <w:tcPr>
            <w:tcW w:w="15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（万元）</w:t>
            </w:r>
          </w:p>
        </w:tc>
        <w:tc>
          <w:tcPr>
            <w:tcW w:w="34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 xml:space="preserve">      </w:t>
            </w:r>
            <w:r>
              <w:rPr>
                <w:rStyle w:val="39"/>
                <w:rFonts w:hint="default"/>
              </w:rPr>
              <w:t>其中：财政拨款</w:t>
            </w:r>
          </w:p>
        </w:tc>
        <w:tc>
          <w:tcPr>
            <w:tcW w:w="5166" w:type="dxa"/>
            <w:gridSpan w:val="5"/>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center"/>
              <w:textAlignment w:val="bottom"/>
              <w:rPr>
                <w:rFonts w:ascii="宋体" w:hAnsi="宋体" w:eastAsia="宋体" w:cs="宋体"/>
                <w:color w:val="000000"/>
                <w:sz w:val="24"/>
                <w:szCs w:val="24"/>
              </w:rPr>
            </w:pPr>
            <w:r>
              <w:rPr>
                <w:rFonts w:hint="eastAsia" w:ascii="宋体" w:hAnsi="宋体" w:eastAsia="宋体" w:cs="宋体"/>
                <w:color w:val="000000"/>
                <w:kern w:val="0"/>
                <w:sz w:val="24"/>
                <w:szCs w:val="24"/>
              </w:rPr>
              <w:t>1332</w:t>
            </w:r>
          </w:p>
        </w:tc>
      </w:tr>
      <w:tr>
        <w:tblPrEx>
          <w:tblCellMar>
            <w:top w:w="15" w:type="dxa"/>
            <w:left w:w="15" w:type="dxa"/>
            <w:bottom w:w="15" w:type="dxa"/>
            <w:right w:w="15" w:type="dxa"/>
          </w:tblCellMar>
        </w:tblPrEx>
        <w:trPr>
          <w:trHeight w:val="23" w:hRule="atLeast"/>
          <w:jc w:val="center"/>
        </w:trPr>
        <w:tc>
          <w:tcPr>
            <w:tcW w:w="1570"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eastAsia="宋体" w:cs="宋体"/>
                <w:color w:val="000000"/>
                <w:sz w:val="24"/>
                <w:szCs w:val="24"/>
              </w:rPr>
            </w:pPr>
          </w:p>
        </w:tc>
        <w:tc>
          <w:tcPr>
            <w:tcW w:w="34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 xml:space="preserve">            </w:t>
            </w:r>
            <w:r>
              <w:rPr>
                <w:rStyle w:val="39"/>
                <w:rFonts w:hint="default"/>
              </w:rPr>
              <w:t>其他资金</w:t>
            </w:r>
          </w:p>
        </w:tc>
        <w:tc>
          <w:tcPr>
            <w:tcW w:w="5166" w:type="dxa"/>
            <w:gridSpan w:val="5"/>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pPr>
          </w:p>
        </w:tc>
      </w:tr>
      <w:tr>
        <w:trPr>
          <w:trHeight w:val="23" w:hRule="atLeast"/>
          <w:jc w:val="center"/>
        </w:trPr>
        <w:tc>
          <w:tcPr>
            <w:tcW w:w="7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总体 目标</w:t>
            </w:r>
          </w:p>
        </w:tc>
        <w:tc>
          <w:tcPr>
            <w:tcW w:w="944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年度目标</w:t>
            </w:r>
          </w:p>
        </w:tc>
      </w:tr>
      <w:tr>
        <w:tblPrEx>
          <w:tblCellMar>
            <w:top w:w="15" w:type="dxa"/>
            <w:left w:w="15" w:type="dxa"/>
            <w:bottom w:w="15" w:type="dxa"/>
            <w:right w:w="15" w:type="dxa"/>
          </w:tblCellMar>
        </w:tblPrEx>
        <w:trPr>
          <w:trHeight w:val="787" w:hRule="atLeast"/>
          <w:jc w:val="center"/>
        </w:trPr>
        <w:tc>
          <w:tcPr>
            <w:tcW w:w="785"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ascii="宋体" w:hAnsi="宋体" w:eastAsia="宋体" w:cs="宋体"/>
                <w:color w:val="000000"/>
                <w:sz w:val="24"/>
                <w:szCs w:val="24"/>
              </w:rPr>
            </w:pPr>
          </w:p>
        </w:tc>
        <w:tc>
          <w:tcPr>
            <w:tcW w:w="9448" w:type="dxa"/>
            <w:gridSpan w:val="8"/>
            <w:tcBorders>
              <w:top w:val="single" w:color="000000" w:sz="4" w:space="0"/>
              <w:left w:val="single" w:color="000000" w:sz="4" w:space="0"/>
              <w:bottom w:val="single" w:color="000000" w:sz="4" w:space="0"/>
              <w:right w:val="single" w:color="000000" w:sz="4" w:space="0"/>
            </w:tcBorders>
            <w:shd w:val="clear" w:color="auto" w:fill="auto"/>
            <w:vAlign w:val="bottom"/>
          </w:tcPr>
          <w:p>
            <w:pPr>
              <w:rPr>
                <w:rFonts w:ascii="宋体" w:hAnsi="宋体" w:eastAsia="宋体" w:cs="宋体"/>
                <w:color w:val="000000"/>
                <w:sz w:val="24"/>
                <w:szCs w:val="24"/>
              </w:rPr>
            </w:pPr>
            <w:r>
              <w:rPr>
                <w:rFonts w:hint="eastAsia" w:ascii="宋体" w:hAnsi="宋体" w:eastAsia="宋体" w:cs="宋体"/>
                <w:color w:val="000000"/>
                <w:sz w:val="24"/>
                <w:szCs w:val="24"/>
              </w:rPr>
              <w:t xml:space="preserve"> 全县城镇新增就业760，失业人员再就业70人，就业困难人员再就业10人，脱贫人口就业3468人，离校未就业高校毕业生联系率95%，离校未就业高校毕业生就业帮扶率90%，全县新增青年见习35人，全县劳务转移20530人，劳务收入6.3亿元。</w:t>
            </w:r>
          </w:p>
        </w:tc>
      </w:tr>
      <w:tr>
        <w:trPr>
          <w:trHeight w:val="23" w:hRule="atLeast"/>
          <w:jc w:val="center"/>
        </w:trPr>
        <w:tc>
          <w:tcPr>
            <w:tcW w:w="785" w:type="dxa"/>
            <w:vMerge w:val="restart"/>
            <w:tcBorders>
              <w:top w:val="single" w:color="000000" w:sz="4" w:space="0"/>
              <w:left w:val="single" w:color="000000" w:sz="4" w:space="0"/>
              <w:bottom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绩效 指标</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一级指标</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二级指标</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三级指标</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指标性质</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指标值</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度量单位</w:t>
            </w: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权重</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实际完成指标值</w:t>
            </w:r>
          </w:p>
        </w:tc>
      </w:tr>
      <w:tr>
        <w:tblPrEx>
          <w:tblCellMar>
            <w:top w:w="15" w:type="dxa"/>
            <w:left w:w="15" w:type="dxa"/>
            <w:bottom w:w="15" w:type="dxa"/>
            <w:right w:w="15" w:type="dxa"/>
          </w:tblCellMar>
        </w:tblPrEx>
        <w:trPr>
          <w:trHeight w:val="23" w:hRule="atLeast"/>
          <w:jc w:val="center"/>
        </w:trPr>
        <w:tc>
          <w:tcPr>
            <w:tcW w:w="785"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ascii="宋体" w:hAnsi="宋体" w:eastAsia="宋体" w:cs="宋体"/>
                <w:color w:val="000000"/>
                <w:sz w:val="24"/>
                <w:szCs w:val="24"/>
              </w:rPr>
            </w:pPr>
          </w:p>
        </w:tc>
        <w:tc>
          <w:tcPr>
            <w:tcW w:w="7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产</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出</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指</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标</w:t>
            </w:r>
          </w:p>
        </w:tc>
        <w:tc>
          <w:tcPr>
            <w:tcW w:w="10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数量指标</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享受职业培训补贴人次数</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1300</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szCs w:val="24"/>
              </w:rPr>
            </w:pPr>
            <w:r>
              <w:rPr>
                <w:rFonts w:hint="eastAsia" w:ascii="宋体" w:hAnsi="宋体" w:eastAsia="宋体" w:cs="宋体"/>
                <w:color w:val="000000"/>
                <w:sz w:val="24"/>
                <w:szCs w:val="24"/>
              </w:rPr>
              <w:t>人</w:t>
            </w: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7</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1300</w:t>
            </w:r>
          </w:p>
        </w:tc>
      </w:tr>
      <w:tr>
        <w:trPr>
          <w:trHeight w:val="23" w:hRule="atLeast"/>
          <w:jc w:val="center"/>
        </w:trPr>
        <w:tc>
          <w:tcPr>
            <w:tcW w:w="785"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ascii="宋体" w:hAnsi="宋体" w:eastAsia="宋体" w:cs="宋体"/>
                <w:color w:val="000000"/>
                <w:sz w:val="24"/>
                <w:szCs w:val="24"/>
              </w:rPr>
            </w:pPr>
          </w:p>
        </w:tc>
        <w:tc>
          <w:tcPr>
            <w:tcW w:w="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szCs w:val="24"/>
              </w:rPr>
            </w:pPr>
          </w:p>
        </w:tc>
        <w:tc>
          <w:tcPr>
            <w:tcW w:w="10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szCs w:val="24"/>
              </w:rPr>
            </w:pP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享受社会保险补贴人数</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szCs w:val="24"/>
              </w:rPr>
            </w:pP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 xml:space="preserve"> </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szCs w:val="24"/>
              </w:rPr>
            </w:pPr>
            <w:r>
              <w:rPr>
                <w:rFonts w:hint="eastAsia" w:ascii="宋体" w:hAnsi="宋体" w:eastAsia="宋体" w:cs="宋体"/>
                <w:color w:val="000000"/>
                <w:sz w:val="24"/>
                <w:szCs w:val="24"/>
              </w:rPr>
              <w:t>人</w:t>
            </w: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szCs w:val="24"/>
              </w:rPr>
            </w:pPr>
            <w:r>
              <w:rPr>
                <w:rFonts w:hint="eastAsia" w:ascii="宋体" w:hAnsi="宋体" w:eastAsia="宋体" w:cs="宋体"/>
                <w:color w:val="000000"/>
                <w:sz w:val="24"/>
                <w:szCs w:val="24"/>
              </w:rPr>
              <w:t>5</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szCs w:val="24"/>
              </w:rPr>
            </w:pPr>
            <w:r>
              <w:rPr>
                <w:rFonts w:hint="eastAsia" w:ascii="宋体" w:hAnsi="宋体" w:eastAsia="宋体" w:cs="宋体"/>
                <w:color w:val="000000"/>
                <w:sz w:val="24"/>
                <w:szCs w:val="24"/>
              </w:rPr>
              <w:t>17</w:t>
            </w:r>
          </w:p>
        </w:tc>
      </w:tr>
      <w:tr>
        <w:tblPrEx>
          <w:tblCellMar>
            <w:top w:w="15" w:type="dxa"/>
            <w:left w:w="15" w:type="dxa"/>
            <w:bottom w:w="15" w:type="dxa"/>
            <w:right w:w="15" w:type="dxa"/>
          </w:tblCellMar>
        </w:tblPrEx>
        <w:trPr>
          <w:trHeight w:val="23" w:hRule="atLeast"/>
          <w:jc w:val="center"/>
        </w:trPr>
        <w:tc>
          <w:tcPr>
            <w:tcW w:w="785"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ascii="宋体" w:hAnsi="宋体" w:eastAsia="宋体" w:cs="宋体"/>
                <w:color w:val="000000"/>
                <w:sz w:val="24"/>
                <w:szCs w:val="24"/>
              </w:rPr>
            </w:pPr>
          </w:p>
        </w:tc>
        <w:tc>
          <w:tcPr>
            <w:tcW w:w="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szCs w:val="24"/>
              </w:rPr>
            </w:pPr>
          </w:p>
        </w:tc>
        <w:tc>
          <w:tcPr>
            <w:tcW w:w="10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szCs w:val="24"/>
              </w:rPr>
            </w:pP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享受就业见习补贴人数</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35</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szCs w:val="24"/>
              </w:rPr>
            </w:pPr>
            <w:r>
              <w:rPr>
                <w:rFonts w:hint="eastAsia" w:ascii="宋体" w:hAnsi="宋体" w:eastAsia="宋体" w:cs="宋体"/>
                <w:color w:val="000000"/>
                <w:sz w:val="24"/>
                <w:szCs w:val="24"/>
              </w:rPr>
              <w:t>人</w:t>
            </w: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szCs w:val="24"/>
              </w:rPr>
            </w:pPr>
            <w:r>
              <w:rPr>
                <w:rFonts w:hint="eastAsia" w:ascii="宋体" w:hAnsi="宋体" w:eastAsia="宋体" w:cs="宋体"/>
                <w:color w:val="000000"/>
                <w:sz w:val="24"/>
                <w:szCs w:val="24"/>
              </w:rPr>
              <w:t>7</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szCs w:val="24"/>
              </w:rPr>
            </w:pPr>
            <w:r>
              <w:rPr>
                <w:rFonts w:hint="eastAsia" w:ascii="宋体" w:hAnsi="宋体" w:eastAsia="宋体" w:cs="宋体"/>
                <w:color w:val="000000"/>
                <w:sz w:val="24"/>
                <w:szCs w:val="24"/>
              </w:rPr>
              <w:t>193</w:t>
            </w:r>
          </w:p>
        </w:tc>
      </w:tr>
      <w:tr>
        <w:trPr>
          <w:trHeight w:val="23" w:hRule="atLeast"/>
          <w:jc w:val="center"/>
        </w:trPr>
        <w:tc>
          <w:tcPr>
            <w:tcW w:w="785"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ascii="宋体" w:hAnsi="宋体" w:eastAsia="宋体" w:cs="宋体"/>
                <w:color w:val="000000"/>
                <w:sz w:val="24"/>
                <w:szCs w:val="24"/>
              </w:rPr>
            </w:pPr>
          </w:p>
        </w:tc>
        <w:tc>
          <w:tcPr>
            <w:tcW w:w="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szCs w:val="24"/>
              </w:rPr>
            </w:pPr>
          </w:p>
        </w:tc>
        <w:tc>
          <w:tcPr>
            <w:tcW w:w="10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szCs w:val="24"/>
              </w:rPr>
            </w:pP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国家级高技能人才培训基地建设数量</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按人社厅正式文件规定</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szCs w:val="24"/>
              </w:rPr>
            </w:pP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szCs w:val="24"/>
              </w:rPr>
            </w:pPr>
            <w:r>
              <w:rPr>
                <w:rFonts w:hint="eastAsia" w:ascii="宋体" w:hAnsi="宋体" w:eastAsia="宋体" w:cs="宋体"/>
                <w:color w:val="000000"/>
                <w:sz w:val="24"/>
                <w:szCs w:val="24"/>
              </w:rPr>
              <w:t>2</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szCs w:val="24"/>
              </w:rPr>
            </w:pPr>
          </w:p>
        </w:tc>
      </w:tr>
      <w:tr>
        <w:tblPrEx>
          <w:tblCellMar>
            <w:top w:w="15" w:type="dxa"/>
            <w:left w:w="15" w:type="dxa"/>
            <w:bottom w:w="15" w:type="dxa"/>
            <w:right w:w="15" w:type="dxa"/>
          </w:tblCellMar>
        </w:tblPrEx>
        <w:trPr>
          <w:trHeight w:val="23" w:hRule="atLeast"/>
          <w:jc w:val="center"/>
        </w:trPr>
        <w:tc>
          <w:tcPr>
            <w:tcW w:w="785"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ascii="宋体" w:hAnsi="宋体" w:eastAsia="宋体" w:cs="宋体"/>
                <w:color w:val="000000"/>
                <w:sz w:val="24"/>
                <w:szCs w:val="24"/>
              </w:rPr>
            </w:pPr>
          </w:p>
        </w:tc>
        <w:tc>
          <w:tcPr>
            <w:tcW w:w="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szCs w:val="24"/>
              </w:rPr>
            </w:pPr>
          </w:p>
        </w:tc>
        <w:tc>
          <w:tcPr>
            <w:tcW w:w="10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szCs w:val="24"/>
              </w:rPr>
            </w:pP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国家级技能大师工作室建设数量</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按人社厅正式文件规定</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szCs w:val="24"/>
              </w:rPr>
            </w:pP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szCs w:val="24"/>
              </w:rPr>
            </w:pPr>
            <w:r>
              <w:rPr>
                <w:rFonts w:hint="eastAsia" w:ascii="宋体" w:hAnsi="宋体" w:eastAsia="宋体" w:cs="宋体"/>
                <w:color w:val="000000"/>
                <w:sz w:val="24"/>
                <w:szCs w:val="24"/>
              </w:rPr>
              <w:t>2</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szCs w:val="24"/>
              </w:rPr>
            </w:pPr>
          </w:p>
        </w:tc>
      </w:tr>
      <w:tr>
        <w:trPr>
          <w:trHeight w:val="23" w:hRule="atLeast"/>
          <w:jc w:val="center"/>
        </w:trPr>
        <w:tc>
          <w:tcPr>
            <w:tcW w:w="785"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ascii="宋体" w:hAnsi="宋体" w:eastAsia="宋体" w:cs="宋体"/>
                <w:color w:val="000000"/>
                <w:sz w:val="24"/>
                <w:szCs w:val="24"/>
              </w:rPr>
            </w:pPr>
          </w:p>
        </w:tc>
        <w:tc>
          <w:tcPr>
            <w:tcW w:w="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szCs w:val="24"/>
              </w:rPr>
            </w:pPr>
          </w:p>
        </w:tc>
        <w:tc>
          <w:tcPr>
            <w:tcW w:w="10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szCs w:val="24"/>
              </w:rPr>
            </w:pP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省级高技能人才培训基地建设数量</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按人社厅正式文件规定</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szCs w:val="24"/>
              </w:rPr>
            </w:pP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szCs w:val="24"/>
              </w:rPr>
            </w:pPr>
            <w:r>
              <w:rPr>
                <w:rFonts w:hint="eastAsia" w:ascii="宋体" w:hAnsi="宋体" w:eastAsia="宋体" w:cs="宋体"/>
                <w:color w:val="000000"/>
                <w:sz w:val="24"/>
                <w:szCs w:val="24"/>
              </w:rPr>
              <w:t>2</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szCs w:val="24"/>
              </w:rPr>
            </w:pPr>
          </w:p>
        </w:tc>
      </w:tr>
      <w:tr>
        <w:tblPrEx>
          <w:tblCellMar>
            <w:top w:w="15" w:type="dxa"/>
            <w:left w:w="15" w:type="dxa"/>
            <w:bottom w:w="15" w:type="dxa"/>
            <w:right w:w="15" w:type="dxa"/>
          </w:tblCellMar>
        </w:tblPrEx>
        <w:trPr>
          <w:trHeight w:val="23" w:hRule="atLeast"/>
          <w:jc w:val="center"/>
        </w:trPr>
        <w:tc>
          <w:tcPr>
            <w:tcW w:w="785"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ascii="宋体" w:hAnsi="宋体" w:eastAsia="宋体" w:cs="宋体"/>
                <w:color w:val="000000"/>
                <w:sz w:val="24"/>
                <w:szCs w:val="24"/>
              </w:rPr>
            </w:pPr>
          </w:p>
        </w:tc>
        <w:tc>
          <w:tcPr>
            <w:tcW w:w="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szCs w:val="24"/>
              </w:rPr>
            </w:pPr>
          </w:p>
        </w:tc>
        <w:tc>
          <w:tcPr>
            <w:tcW w:w="10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szCs w:val="24"/>
              </w:rPr>
            </w:pP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省级技能大师工作室建设数量</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按人社厅正式文件规定</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szCs w:val="24"/>
              </w:rPr>
            </w:pP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szCs w:val="24"/>
              </w:rPr>
            </w:pPr>
            <w:r>
              <w:rPr>
                <w:rFonts w:hint="eastAsia" w:ascii="宋体" w:hAnsi="宋体" w:eastAsia="宋体" w:cs="宋体"/>
                <w:color w:val="000000"/>
                <w:sz w:val="24"/>
                <w:szCs w:val="24"/>
              </w:rPr>
              <w:t>2</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szCs w:val="24"/>
              </w:rPr>
            </w:pPr>
          </w:p>
        </w:tc>
      </w:tr>
      <w:tr>
        <w:trPr>
          <w:trHeight w:val="23" w:hRule="atLeast"/>
          <w:jc w:val="center"/>
        </w:trPr>
        <w:tc>
          <w:tcPr>
            <w:tcW w:w="785"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ascii="宋体" w:hAnsi="宋体" w:eastAsia="宋体" w:cs="宋体"/>
                <w:color w:val="000000"/>
                <w:sz w:val="24"/>
                <w:szCs w:val="24"/>
              </w:rPr>
            </w:pPr>
          </w:p>
        </w:tc>
        <w:tc>
          <w:tcPr>
            <w:tcW w:w="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szCs w:val="24"/>
              </w:rPr>
            </w:pPr>
          </w:p>
        </w:tc>
        <w:tc>
          <w:tcPr>
            <w:tcW w:w="10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质量指标</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毕业年度高校毕业生享受一次性求职创业补贴人数</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szCs w:val="24"/>
              </w:rPr>
            </w:pPr>
            <w:r>
              <w:rPr>
                <w:rFonts w:hint="eastAsia" w:ascii="宋体" w:hAnsi="宋体" w:eastAsia="宋体" w:cs="宋体"/>
                <w:color w:val="000000"/>
                <w:kern w:val="0"/>
                <w:sz w:val="24"/>
                <w:szCs w:val="24"/>
              </w:rPr>
              <w:t>≥</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rPr>
              <w:t>700</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szCs w:val="24"/>
              </w:rPr>
            </w:pPr>
            <w:r>
              <w:rPr>
                <w:rFonts w:hint="eastAsia" w:ascii="宋体" w:hAnsi="宋体" w:eastAsia="宋体" w:cs="宋体"/>
                <w:color w:val="000000"/>
                <w:sz w:val="24"/>
                <w:szCs w:val="24"/>
              </w:rPr>
              <w:t>人</w:t>
            </w: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szCs w:val="24"/>
              </w:rPr>
            </w:pPr>
            <w:r>
              <w:rPr>
                <w:rFonts w:hint="eastAsia" w:ascii="宋体" w:hAnsi="宋体" w:eastAsia="宋体" w:cs="宋体"/>
                <w:color w:val="000000"/>
                <w:sz w:val="24"/>
                <w:szCs w:val="24"/>
              </w:rPr>
              <w:t>7</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rPr>
              <w:t>815</w:t>
            </w:r>
          </w:p>
        </w:tc>
      </w:tr>
      <w:tr>
        <w:tblPrEx>
          <w:tblCellMar>
            <w:top w:w="15" w:type="dxa"/>
            <w:left w:w="15" w:type="dxa"/>
            <w:bottom w:w="15" w:type="dxa"/>
            <w:right w:w="15" w:type="dxa"/>
          </w:tblCellMar>
        </w:tblPrEx>
        <w:trPr>
          <w:trHeight w:val="23" w:hRule="atLeast"/>
          <w:jc w:val="center"/>
        </w:trPr>
        <w:tc>
          <w:tcPr>
            <w:tcW w:w="785"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ascii="宋体" w:hAnsi="宋体" w:eastAsia="宋体" w:cs="宋体"/>
                <w:color w:val="000000"/>
                <w:sz w:val="24"/>
                <w:szCs w:val="24"/>
              </w:rPr>
            </w:pPr>
          </w:p>
        </w:tc>
        <w:tc>
          <w:tcPr>
            <w:tcW w:w="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szCs w:val="24"/>
              </w:rPr>
            </w:pPr>
          </w:p>
        </w:tc>
        <w:tc>
          <w:tcPr>
            <w:tcW w:w="1097" w:type="dxa"/>
            <w:vMerge w:val="continue"/>
            <w:tcBorders>
              <w:top w:val="single" w:color="000000" w:sz="4" w:space="0"/>
              <w:left w:val="single" w:color="000000" w:sz="4" w:space="0"/>
              <w:right w:val="single" w:color="000000" w:sz="4" w:space="0"/>
            </w:tcBorders>
            <w:shd w:val="clear" w:color="auto" w:fill="auto"/>
            <w:vAlign w:val="center"/>
          </w:tcPr>
          <w:p>
            <w:pPr>
              <w:jc w:val="center"/>
              <w:rPr>
                <w:rFonts w:ascii="宋体" w:hAnsi="宋体" w:eastAsia="宋体" w:cs="宋体"/>
                <w:color w:val="000000"/>
                <w:sz w:val="24"/>
                <w:szCs w:val="24"/>
              </w:rPr>
            </w:pP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享受公益性岗位补贴人数</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szCs w:val="24"/>
              </w:rPr>
            </w:pPr>
            <w:r>
              <w:rPr>
                <w:rFonts w:hint="eastAsia" w:ascii="宋体" w:hAnsi="宋体" w:eastAsia="宋体" w:cs="宋体"/>
                <w:color w:val="000000"/>
                <w:kern w:val="0"/>
                <w:sz w:val="24"/>
                <w:szCs w:val="24"/>
              </w:rPr>
              <w:t>≥</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rPr>
              <w:t>525</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szCs w:val="24"/>
              </w:rPr>
            </w:pPr>
            <w:r>
              <w:rPr>
                <w:rFonts w:hint="eastAsia" w:ascii="宋体" w:hAnsi="宋体" w:eastAsia="宋体" w:cs="宋体"/>
                <w:color w:val="000000"/>
                <w:sz w:val="24"/>
                <w:szCs w:val="24"/>
              </w:rPr>
              <w:t>人</w:t>
            </w: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szCs w:val="24"/>
              </w:rPr>
            </w:pPr>
            <w:r>
              <w:rPr>
                <w:rFonts w:hint="eastAsia" w:ascii="宋体" w:hAnsi="宋体" w:eastAsia="宋体" w:cs="宋体"/>
                <w:color w:val="000000"/>
                <w:sz w:val="24"/>
                <w:szCs w:val="24"/>
              </w:rPr>
              <w:t>7</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szCs w:val="24"/>
              </w:rPr>
            </w:pPr>
            <w:r>
              <w:rPr>
                <w:rFonts w:hint="eastAsia" w:ascii="宋体" w:hAnsi="宋体" w:eastAsia="宋体" w:cs="宋体"/>
                <w:color w:val="000000"/>
                <w:sz w:val="24"/>
                <w:szCs w:val="24"/>
              </w:rPr>
              <w:t>601</w:t>
            </w:r>
          </w:p>
        </w:tc>
      </w:tr>
      <w:tr>
        <w:trPr>
          <w:trHeight w:val="23" w:hRule="atLeast"/>
          <w:jc w:val="center"/>
        </w:trPr>
        <w:tc>
          <w:tcPr>
            <w:tcW w:w="785"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ascii="宋体" w:hAnsi="宋体" w:eastAsia="宋体" w:cs="宋体"/>
                <w:color w:val="000000"/>
                <w:sz w:val="24"/>
                <w:szCs w:val="24"/>
              </w:rPr>
            </w:pPr>
          </w:p>
        </w:tc>
        <w:tc>
          <w:tcPr>
            <w:tcW w:w="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szCs w:val="24"/>
              </w:rPr>
            </w:pPr>
          </w:p>
        </w:tc>
        <w:tc>
          <w:tcPr>
            <w:tcW w:w="1097" w:type="dxa"/>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时效指标</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资金在规定时间内支付到位率</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98</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szCs w:val="24"/>
              </w:rPr>
            </w:pPr>
            <w:r>
              <w:rPr>
                <w:rFonts w:hint="eastAsia" w:ascii="宋体" w:hAnsi="宋体" w:eastAsia="宋体" w:cs="宋体"/>
                <w:color w:val="000000"/>
                <w:sz w:val="24"/>
                <w:szCs w:val="24"/>
              </w:rPr>
              <w:t>%</w:t>
            </w: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szCs w:val="24"/>
              </w:rPr>
            </w:pPr>
            <w:r>
              <w:rPr>
                <w:rFonts w:hint="eastAsia" w:ascii="宋体" w:hAnsi="宋体" w:eastAsia="宋体" w:cs="宋体"/>
                <w:color w:val="000000"/>
                <w:sz w:val="24"/>
                <w:szCs w:val="24"/>
              </w:rPr>
              <w:t>7</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100</w:t>
            </w:r>
          </w:p>
        </w:tc>
      </w:tr>
      <w:tr>
        <w:tblPrEx>
          <w:tblCellMar>
            <w:top w:w="15" w:type="dxa"/>
            <w:left w:w="15" w:type="dxa"/>
            <w:bottom w:w="15" w:type="dxa"/>
            <w:right w:w="15" w:type="dxa"/>
          </w:tblCellMar>
        </w:tblPrEx>
        <w:trPr>
          <w:trHeight w:val="23" w:hRule="atLeast"/>
          <w:jc w:val="center"/>
        </w:trPr>
        <w:tc>
          <w:tcPr>
            <w:tcW w:w="785"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ascii="宋体" w:hAnsi="宋体" w:eastAsia="宋体" w:cs="宋体"/>
                <w:color w:val="000000"/>
                <w:sz w:val="24"/>
                <w:szCs w:val="24"/>
              </w:rPr>
            </w:pPr>
          </w:p>
        </w:tc>
        <w:tc>
          <w:tcPr>
            <w:tcW w:w="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szCs w:val="24"/>
              </w:rPr>
            </w:pPr>
          </w:p>
        </w:tc>
        <w:tc>
          <w:tcPr>
            <w:tcW w:w="10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成本指标</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职业培训补贴人均标准</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500-3000元；按照（《阿坝州职业技能培训补贴办法（试行）》阿州人社办〔2020〕7号）执行</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rPr>
              <w:t>5</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500-3000元；按照（《阿坝州职业技能培训补贴办法（试行）》阿州人社办〔2020〕7号）执行</w:t>
            </w:r>
          </w:p>
        </w:tc>
      </w:tr>
      <w:tr>
        <w:trPr>
          <w:trHeight w:val="23" w:hRule="atLeast"/>
          <w:jc w:val="center"/>
        </w:trPr>
        <w:tc>
          <w:tcPr>
            <w:tcW w:w="785"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ascii="宋体" w:hAnsi="宋体" w:eastAsia="宋体" w:cs="宋体"/>
                <w:color w:val="000000"/>
                <w:sz w:val="24"/>
                <w:szCs w:val="24"/>
              </w:rPr>
            </w:pPr>
          </w:p>
        </w:tc>
        <w:tc>
          <w:tcPr>
            <w:tcW w:w="785" w:type="dxa"/>
            <w:vMerge w:val="continue"/>
            <w:tcBorders>
              <w:top w:val="single" w:color="000000" w:sz="4" w:space="0"/>
              <w:left w:val="single" w:color="000000" w:sz="4" w:space="0"/>
              <w:right w:val="single" w:color="000000" w:sz="4" w:space="0"/>
            </w:tcBorders>
            <w:shd w:val="clear" w:color="auto" w:fill="auto"/>
            <w:vAlign w:val="center"/>
          </w:tcPr>
          <w:p>
            <w:pPr>
              <w:jc w:val="center"/>
              <w:rPr>
                <w:rFonts w:ascii="宋体" w:hAnsi="宋体" w:eastAsia="宋体" w:cs="宋体"/>
                <w:color w:val="000000"/>
                <w:sz w:val="24"/>
                <w:szCs w:val="24"/>
              </w:rPr>
            </w:pPr>
          </w:p>
        </w:tc>
        <w:tc>
          <w:tcPr>
            <w:tcW w:w="1097" w:type="dxa"/>
            <w:vMerge w:val="continue"/>
            <w:tcBorders>
              <w:top w:val="single" w:color="000000" w:sz="4" w:space="0"/>
              <w:left w:val="single" w:color="000000" w:sz="4" w:space="0"/>
              <w:right w:val="single" w:color="000000" w:sz="4" w:space="0"/>
            </w:tcBorders>
            <w:shd w:val="clear" w:color="auto" w:fill="auto"/>
            <w:vAlign w:val="center"/>
          </w:tcPr>
          <w:p>
            <w:pPr>
              <w:jc w:val="center"/>
              <w:rPr>
                <w:rFonts w:ascii="宋体" w:hAnsi="宋体" w:eastAsia="宋体" w:cs="宋体"/>
                <w:color w:val="000000"/>
                <w:sz w:val="24"/>
                <w:szCs w:val="24"/>
              </w:rPr>
            </w:pP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社会保险补贴人均标准</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原则上灵活就业社保补贴不超过其社会保险费实际缴费金额的三分之二</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rPr>
              <w:t>5</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按灵活就业参保社会保险费实际缴费金额的三分之二执行</w:t>
            </w:r>
          </w:p>
        </w:tc>
      </w:tr>
      <w:tr>
        <w:tblPrEx>
          <w:tblCellMar>
            <w:top w:w="15" w:type="dxa"/>
            <w:left w:w="15" w:type="dxa"/>
            <w:bottom w:w="15" w:type="dxa"/>
            <w:right w:w="15" w:type="dxa"/>
          </w:tblCellMar>
        </w:tblPrEx>
        <w:trPr>
          <w:trHeight w:val="23" w:hRule="atLeast"/>
          <w:jc w:val="center"/>
        </w:trPr>
        <w:tc>
          <w:tcPr>
            <w:tcW w:w="785"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ascii="宋体" w:hAnsi="宋体" w:eastAsia="宋体" w:cs="宋体"/>
                <w:color w:val="000000"/>
                <w:sz w:val="24"/>
                <w:szCs w:val="24"/>
              </w:rPr>
            </w:pPr>
          </w:p>
        </w:tc>
        <w:tc>
          <w:tcPr>
            <w:tcW w:w="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szCs w:val="24"/>
              </w:rPr>
            </w:pPr>
          </w:p>
        </w:tc>
        <w:tc>
          <w:tcPr>
            <w:tcW w:w="10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szCs w:val="24"/>
              </w:rPr>
            </w:pPr>
          </w:p>
        </w:tc>
        <w:tc>
          <w:tcPr>
            <w:tcW w:w="2400" w:type="dxa"/>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公益性岗位补贴人均标准</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原则上不高于当地最低工资标准</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rPr>
              <w:t>5</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1970</w:t>
            </w:r>
          </w:p>
        </w:tc>
      </w:tr>
      <w:tr>
        <w:trPr>
          <w:trHeight w:val="23" w:hRule="atLeast"/>
          <w:jc w:val="center"/>
        </w:trPr>
        <w:tc>
          <w:tcPr>
            <w:tcW w:w="785"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ascii="宋体" w:hAnsi="宋体" w:eastAsia="宋体" w:cs="宋体"/>
                <w:color w:val="000000"/>
                <w:sz w:val="24"/>
                <w:szCs w:val="24"/>
              </w:rPr>
            </w:pPr>
          </w:p>
        </w:tc>
        <w:tc>
          <w:tcPr>
            <w:tcW w:w="7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效</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益</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指</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标</w:t>
            </w:r>
          </w:p>
        </w:tc>
        <w:tc>
          <w:tcPr>
            <w:tcW w:w="10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经济效益</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指标</w:t>
            </w:r>
          </w:p>
        </w:tc>
        <w:tc>
          <w:tcPr>
            <w:tcW w:w="2400" w:type="dxa"/>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城镇新增就业人数</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760</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szCs w:val="24"/>
              </w:rPr>
            </w:pPr>
            <w:r>
              <w:rPr>
                <w:rFonts w:hint="eastAsia" w:ascii="宋体" w:hAnsi="宋体" w:eastAsia="宋体" w:cs="宋体"/>
                <w:color w:val="000000"/>
                <w:sz w:val="24"/>
                <w:szCs w:val="24"/>
              </w:rPr>
              <w:t>人</w:t>
            </w: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rPr>
              <w:t>7</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769</w:t>
            </w:r>
          </w:p>
        </w:tc>
      </w:tr>
      <w:tr>
        <w:tblPrEx>
          <w:tblCellMar>
            <w:top w:w="15" w:type="dxa"/>
            <w:left w:w="15" w:type="dxa"/>
            <w:bottom w:w="15" w:type="dxa"/>
            <w:right w:w="15" w:type="dxa"/>
          </w:tblCellMar>
        </w:tblPrEx>
        <w:trPr>
          <w:trHeight w:val="23" w:hRule="atLeast"/>
          <w:jc w:val="center"/>
        </w:trPr>
        <w:tc>
          <w:tcPr>
            <w:tcW w:w="785"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ascii="宋体" w:hAnsi="宋体" w:eastAsia="宋体" w:cs="宋体"/>
                <w:color w:val="000000"/>
                <w:sz w:val="24"/>
                <w:szCs w:val="24"/>
              </w:rPr>
            </w:pPr>
          </w:p>
        </w:tc>
        <w:tc>
          <w:tcPr>
            <w:tcW w:w="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szCs w:val="24"/>
              </w:rPr>
            </w:pPr>
          </w:p>
        </w:tc>
        <w:tc>
          <w:tcPr>
            <w:tcW w:w="10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kern w:val="0"/>
                <w:sz w:val="24"/>
                <w:szCs w:val="24"/>
              </w:rPr>
            </w:pPr>
          </w:p>
        </w:tc>
        <w:tc>
          <w:tcPr>
            <w:tcW w:w="2400" w:type="dxa"/>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城镇调查失业率</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rPr>
              <w:t>≦</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5.5</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szCs w:val="24"/>
              </w:rPr>
            </w:pPr>
            <w:r>
              <w:rPr>
                <w:rFonts w:hint="eastAsia" w:ascii="宋体" w:hAnsi="宋体" w:eastAsia="宋体" w:cs="宋体"/>
                <w:color w:val="000000"/>
                <w:kern w:val="0"/>
                <w:sz w:val="24"/>
                <w:szCs w:val="24"/>
              </w:rPr>
              <w:t>%</w:t>
            </w: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szCs w:val="24"/>
              </w:rPr>
            </w:pPr>
            <w:r>
              <w:rPr>
                <w:rFonts w:hint="eastAsia" w:ascii="宋体" w:hAnsi="宋体" w:eastAsia="宋体" w:cs="宋体"/>
                <w:color w:val="000000"/>
                <w:sz w:val="24"/>
                <w:szCs w:val="24"/>
              </w:rPr>
              <w:t>6</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5.5</w:t>
            </w:r>
          </w:p>
        </w:tc>
      </w:tr>
      <w:tr>
        <w:trPr>
          <w:trHeight w:val="23" w:hRule="atLeast"/>
          <w:jc w:val="center"/>
        </w:trPr>
        <w:tc>
          <w:tcPr>
            <w:tcW w:w="785"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ascii="宋体" w:hAnsi="宋体" w:eastAsia="宋体" w:cs="宋体"/>
                <w:color w:val="000000"/>
                <w:sz w:val="24"/>
                <w:szCs w:val="24"/>
              </w:rPr>
            </w:pPr>
          </w:p>
        </w:tc>
        <w:tc>
          <w:tcPr>
            <w:tcW w:w="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szCs w:val="24"/>
              </w:rPr>
            </w:pPr>
          </w:p>
        </w:tc>
        <w:tc>
          <w:tcPr>
            <w:tcW w:w="10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kern w:val="0"/>
                <w:sz w:val="24"/>
                <w:szCs w:val="24"/>
              </w:rPr>
            </w:pPr>
          </w:p>
        </w:tc>
        <w:tc>
          <w:tcPr>
            <w:tcW w:w="2400" w:type="dxa"/>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失业人员再就业人数</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70</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szCs w:val="24"/>
              </w:rPr>
            </w:pPr>
            <w:r>
              <w:rPr>
                <w:rFonts w:hint="eastAsia" w:ascii="宋体" w:hAnsi="宋体" w:eastAsia="宋体" w:cs="宋体"/>
                <w:color w:val="000000"/>
                <w:sz w:val="24"/>
                <w:szCs w:val="24"/>
              </w:rPr>
              <w:t>人</w:t>
            </w: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szCs w:val="24"/>
              </w:rPr>
            </w:pPr>
            <w:r>
              <w:rPr>
                <w:rFonts w:hint="eastAsia" w:ascii="宋体" w:hAnsi="宋体" w:eastAsia="宋体" w:cs="宋体"/>
                <w:color w:val="000000"/>
                <w:sz w:val="24"/>
                <w:szCs w:val="24"/>
              </w:rPr>
              <w:t>7</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72</w:t>
            </w:r>
          </w:p>
        </w:tc>
      </w:tr>
      <w:tr>
        <w:tblPrEx>
          <w:tblCellMar>
            <w:top w:w="15" w:type="dxa"/>
            <w:left w:w="15" w:type="dxa"/>
            <w:bottom w:w="15" w:type="dxa"/>
            <w:right w:w="15" w:type="dxa"/>
          </w:tblCellMar>
        </w:tblPrEx>
        <w:trPr>
          <w:trHeight w:val="23" w:hRule="atLeast"/>
          <w:jc w:val="center"/>
        </w:trPr>
        <w:tc>
          <w:tcPr>
            <w:tcW w:w="785"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ascii="宋体" w:hAnsi="宋体" w:eastAsia="宋体" w:cs="宋体"/>
                <w:color w:val="000000"/>
                <w:sz w:val="24"/>
                <w:szCs w:val="24"/>
              </w:rPr>
            </w:pPr>
          </w:p>
        </w:tc>
        <w:tc>
          <w:tcPr>
            <w:tcW w:w="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szCs w:val="24"/>
              </w:rPr>
            </w:pPr>
          </w:p>
        </w:tc>
        <w:tc>
          <w:tcPr>
            <w:tcW w:w="10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kern w:val="0"/>
                <w:sz w:val="24"/>
                <w:szCs w:val="24"/>
              </w:rPr>
            </w:pPr>
          </w:p>
        </w:tc>
        <w:tc>
          <w:tcPr>
            <w:tcW w:w="2400" w:type="dxa"/>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就业困难人员就业人数</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10</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szCs w:val="24"/>
              </w:rPr>
            </w:pPr>
            <w:r>
              <w:rPr>
                <w:rFonts w:hint="eastAsia" w:ascii="宋体" w:hAnsi="宋体" w:eastAsia="宋体" w:cs="宋体"/>
                <w:color w:val="000000"/>
                <w:sz w:val="24"/>
                <w:szCs w:val="24"/>
              </w:rPr>
              <w:t>人</w:t>
            </w: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szCs w:val="24"/>
              </w:rPr>
            </w:pPr>
            <w:r>
              <w:rPr>
                <w:rFonts w:hint="eastAsia" w:ascii="宋体" w:hAnsi="宋体" w:eastAsia="宋体" w:cs="宋体"/>
                <w:color w:val="000000"/>
                <w:sz w:val="24"/>
                <w:szCs w:val="24"/>
              </w:rPr>
              <w:t>7</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10</w:t>
            </w:r>
          </w:p>
        </w:tc>
      </w:tr>
      <w:tr>
        <w:trPr>
          <w:trHeight w:val="23" w:hRule="atLeast"/>
          <w:jc w:val="center"/>
        </w:trPr>
        <w:tc>
          <w:tcPr>
            <w:tcW w:w="785"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ascii="宋体" w:hAnsi="宋体" w:eastAsia="宋体" w:cs="宋体"/>
                <w:color w:val="000000"/>
                <w:sz w:val="24"/>
                <w:szCs w:val="24"/>
              </w:rPr>
            </w:pPr>
          </w:p>
        </w:tc>
        <w:tc>
          <w:tcPr>
            <w:tcW w:w="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szCs w:val="24"/>
              </w:rPr>
            </w:pPr>
          </w:p>
        </w:tc>
        <w:tc>
          <w:tcPr>
            <w:tcW w:w="10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社会效益</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指标</w:t>
            </w:r>
          </w:p>
        </w:tc>
        <w:tc>
          <w:tcPr>
            <w:tcW w:w="2400" w:type="dxa"/>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零就业家庭帮扶率</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98</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szCs w:val="24"/>
              </w:rPr>
            </w:pPr>
            <w:r>
              <w:rPr>
                <w:rFonts w:hint="eastAsia" w:ascii="宋体" w:hAnsi="宋体" w:eastAsia="宋体" w:cs="宋体"/>
                <w:color w:val="000000"/>
                <w:kern w:val="0"/>
                <w:sz w:val="24"/>
                <w:szCs w:val="24"/>
              </w:rPr>
              <w:t>%</w:t>
            </w: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szCs w:val="24"/>
              </w:rPr>
            </w:pPr>
            <w:r>
              <w:rPr>
                <w:rFonts w:hint="eastAsia" w:ascii="宋体" w:hAnsi="宋体" w:eastAsia="宋体" w:cs="宋体"/>
                <w:color w:val="000000"/>
                <w:sz w:val="24"/>
                <w:szCs w:val="24"/>
              </w:rPr>
              <w:t>6</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100%</w:t>
            </w:r>
          </w:p>
        </w:tc>
      </w:tr>
      <w:tr>
        <w:tblPrEx>
          <w:tblCellMar>
            <w:top w:w="15" w:type="dxa"/>
            <w:left w:w="15" w:type="dxa"/>
            <w:bottom w:w="15" w:type="dxa"/>
            <w:right w:w="15" w:type="dxa"/>
          </w:tblCellMar>
        </w:tblPrEx>
        <w:trPr>
          <w:trHeight w:val="23" w:hRule="atLeast"/>
          <w:jc w:val="center"/>
        </w:trPr>
        <w:tc>
          <w:tcPr>
            <w:tcW w:w="785"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ascii="宋体" w:hAnsi="宋体" w:eastAsia="宋体" w:cs="宋体"/>
                <w:color w:val="000000"/>
                <w:sz w:val="24"/>
                <w:szCs w:val="24"/>
              </w:rPr>
            </w:pPr>
          </w:p>
        </w:tc>
        <w:tc>
          <w:tcPr>
            <w:tcW w:w="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szCs w:val="24"/>
              </w:rPr>
            </w:pPr>
          </w:p>
        </w:tc>
        <w:tc>
          <w:tcPr>
            <w:tcW w:w="10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kern w:val="0"/>
                <w:sz w:val="24"/>
                <w:szCs w:val="24"/>
              </w:rPr>
            </w:pPr>
          </w:p>
        </w:tc>
        <w:tc>
          <w:tcPr>
            <w:tcW w:w="2400" w:type="dxa"/>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因就业问题发生重大群体性事件数量</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仿宋_GB2312" w:hAnsi="仿宋_GB2312" w:cs="仿宋_GB2312"/>
                <w:color w:val="000000"/>
                <w:sz w:val="24"/>
                <w:szCs w:val="24"/>
              </w:rPr>
              <w:t>=</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0</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szCs w:val="24"/>
              </w:rPr>
            </w:pPr>
            <w:r>
              <w:rPr>
                <w:rFonts w:hint="eastAsia" w:ascii="宋体" w:hAnsi="宋体" w:eastAsia="宋体" w:cs="宋体"/>
                <w:color w:val="000000"/>
                <w:sz w:val="24"/>
                <w:szCs w:val="24"/>
              </w:rPr>
              <w:t>起</w:t>
            </w: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szCs w:val="24"/>
              </w:rPr>
            </w:pPr>
            <w:r>
              <w:rPr>
                <w:rFonts w:hint="eastAsia" w:ascii="宋体" w:hAnsi="宋体" w:eastAsia="宋体" w:cs="宋体"/>
                <w:color w:val="000000"/>
                <w:sz w:val="28"/>
                <w:szCs w:val="28"/>
              </w:rPr>
              <w:t>6</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0</w:t>
            </w:r>
          </w:p>
        </w:tc>
      </w:tr>
      <w:tr>
        <w:trPr>
          <w:trHeight w:val="23" w:hRule="atLeast"/>
          <w:jc w:val="center"/>
        </w:trPr>
        <w:tc>
          <w:tcPr>
            <w:tcW w:w="785" w:type="dxa"/>
            <w:vMerge w:val="continue"/>
            <w:tcBorders>
              <w:top w:val="single" w:color="000000" w:sz="4" w:space="0"/>
              <w:left w:val="single" w:color="000000" w:sz="4" w:space="0"/>
              <w:bottom w:val="single" w:color="000000" w:sz="4" w:space="0"/>
            </w:tcBorders>
            <w:shd w:val="clear" w:color="auto" w:fill="auto"/>
            <w:vAlign w:val="center"/>
          </w:tcPr>
          <w:p>
            <w:pPr>
              <w:jc w:val="center"/>
              <w:rPr>
                <w:rFonts w:ascii="宋体" w:hAnsi="宋体" w:eastAsia="宋体" w:cs="宋体"/>
                <w:color w:val="000000"/>
                <w:sz w:val="24"/>
                <w:szCs w:val="24"/>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满意度指标</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服务对象满意度指标</w:t>
            </w:r>
          </w:p>
        </w:tc>
        <w:tc>
          <w:tcPr>
            <w:tcW w:w="2400" w:type="dxa"/>
            <w:tcBorders>
              <w:top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就业政策经办满意度</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szCs w:val="24"/>
              </w:rPr>
            </w:pPr>
            <w:r>
              <w:rPr>
                <w:rFonts w:hint="eastAsia" w:ascii="仿宋_GB2312" w:hAnsi="仿宋_GB2312" w:cs="仿宋_GB2312"/>
                <w:color w:val="000000"/>
                <w:sz w:val="24"/>
                <w:szCs w:val="24"/>
              </w:rPr>
              <w:t>=</w:t>
            </w:r>
          </w:p>
        </w:tc>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rPr>
              <w:t>100</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szCs w:val="24"/>
              </w:rPr>
            </w:pPr>
            <w:r>
              <w:rPr>
                <w:rFonts w:hint="eastAsia" w:ascii="宋体" w:hAnsi="宋体" w:eastAsia="宋体" w:cs="宋体"/>
                <w:color w:val="000000"/>
                <w:kern w:val="0"/>
                <w:sz w:val="24"/>
                <w:szCs w:val="24"/>
              </w:rPr>
              <w:t>%</w:t>
            </w:r>
          </w:p>
        </w:tc>
        <w:tc>
          <w:tcPr>
            <w:tcW w:w="12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rPr>
              <w:t>3</w:t>
            </w: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eastAsia="宋体" w:cs="宋体"/>
                <w:color w:val="000000"/>
                <w:sz w:val="24"/>
                <w:szCs w:val="24"/>
              </w:rPr>
            </w:pPr>
            <w:r>
              <w:rPr>
                <w:rFonts w:hint="eastAsia" w:ascii="宋体" w:hAnsi="宋体" w:eastAsia="宋体" w:cs="宋体"/>
                <w:color w:val="000000"/>
                <w:sz w:val="24"/>
                <w:szCs w:val="24"/>
              </w:rPr>
              <w:t>100</w:t>
            </w:r>
          </w:p>
        </w:tc>
      </w:tr>
    </w:tbl>
    <w:p>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p>
    <w:p>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p>
    <w:p>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bookmarkStart w:id="66" w:name="_Toc15396618"/>
      <w:r>
        <w:rPr>
          <w:rFonts w:hint="eastAsia" w:ascii="Times New Roman" w:hAnsi="Times New Roman" w:eastAsia="仿宋_GB2312" w:cs="仿宋_GB2312"/>
          <w:b w:val="0"/>
          <w:bCs w:val="0"/>
          <w:kern w:val="0"/>
          <w:position w:val="0"/>
          <w:sz w:val="32"/>
          <w:szCs w:val="32"/>
          <w:highlight w:val="none"/>
          <w:lang w:val="en-US" w:eastAsia="zh-CN" w:bidi="ar-SA"/>
        </w:rPr>
        <w:br w:type="page"/>
      </w:r>
    </w:p>
    <w:p>
      <w:pPr>
        <w:pStyle w:val="3"/>
        <w:bidi w:val="0"/>
        <w:jc w:val="center"/>
        <w:rPr>
          <w:rFonts w:hint="eastAsia" w:ascii="Times New Roman" w:hAnsi="Times New Roman" w:eastAsia="仿宋"/>
          <w:b w:val="0"/>
          <w:color w:val="auto"/>
          <w:highlight w:val="none"/>
        </w:rPr>
      </w:pPr>
      <w:bookmarkStart w:id="67" w:name="_Toc14672"/>
      <w:r>
        <w:rPr>
          <w:rFonts w:hint="eastAsia" w:ascii="Times New Roman" w:hAnsi="Times New Roman" w:eastAsia="黑体"/>
          <w:color w:val="auto"/>
          <w:sz w:val="44"/>
          <w:szCs w:val="44"/>
          <w:highlight w:val="none"/>
        </w:rPr>
        <w:t>第</w:t>
      </w:r>
      <w:r>
        <w:rPr>
          <w:rStyle w:val="30"/>
          <w:rFonts w:hint="eastAsia" w:ascii="Times New Roman" w:hAnsi="Times New Roman" w:eastAsia="黑体"/>
          <w:b w:val="0"/>
          <w:bCs/>
          <w:color w:val="auto"/>
          <w:highlight w:val="none"/>
        </w:rPr>
        <w:t>五部分 附表</w:t>
      </w:r>
      <w:bookmarkEnd w:id="61"/>
      <w:bookmarkEnd w:id="66"/>
      <w:bookmarkEnd w:id="67"/>
      <w:bookmarkStart w:id="68" w:name="_Toc15396619"/>
    </w:p>
    <w:p>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p>
    <w:p>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一、收入支出决算总表</w:t>
      </w:r>
      <w:bookmarkEnd w:id="68"/>
    </w:p>
    <w:p>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9" w:name="_Toc15396620"/>
      <w:r>
        <w:rPr>
          <w:rFonts w:hint="eastAsia" w:ascii="Times New Roman" w:hAnsi="Times New Roman" w:eastAsia="仿宋_GB2312" w:cs="仿宋_GB2312"/>
          <w:color w:val="auto"/>
          <w:sz w:val="32"/>
          <w:szCs w:val="32"/>
          <w:highlight w:val="none"/>
        </w:rPr>
        <w:t>二、收入决算表</w:t>
      </w:r>
      <w:bookmarkEnd w:id="69"/>
    </w:p>
    <w:p>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70" w:name="_Toc15396621"/>
      <w:r>
        <w:rPr>
          <w:rFonts w:hint="eastAsia" w:ascii="Times New Roman" w:hAnsi="Times New Roman" w:eastAsia="仿宋_GB2312" w:cs="仿宋_GB2312"/>
          <w:color w:val="auto"/>
          <w:sz w:val="32"/>
          <w:szCs w:val="32"/>
          <w:highlight w:val="none"/>
        </w:rPr>
        <w:t>三、支出决算表</w:t>
      </w:r>
      <w:bookmarkEnd w:id="70"/>
    </w:p>
    <w:p>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71" w:name="_Toc15396622"/>
      <w:r>
        <w:rPr>
          <w:rFonts w:hint="eastAsia" w:ascii="Times New Roman" w:hAnsi="Times New Roman" w:eastAsia="仿宋_GB2312" w:cs="仿宋_GB2312"/>
          <w:color w:val="auto"/>
          <w:sz w:val="32"/>
          <w:szCs w:val="32"/>
          <w:highlight w:val="none"/>
        </w:rPr>
        <w:t>四、财政拨款收入支出决算总表</w:t>
      </w:r>
      <w:bookmarkEnd w:id="71"/>
    </w:p>
    <w:p>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72" w:name="_Toc15396623"/>
      <w:r>
        <w:rPr>
          <w:rFonts w:hint="eastAsia" w:ascii="Times New Roman" w:hAnsi="Times New Roman" w:eastAsia="仿宋_GB2312" w:cs="仿宋_GB2312"/>
          <w:color w:val="auto"/>
          <w:sz w:val="32"/>
          <w:szCs w:val="32"/>
          <w:highlight w:val="none"/>
        </w:rPr>
        <w:t>五、财政拨款支出决算明细表</w:t>
      </w:r>
      <w:bookmarkEnd w:id="72"/>
      <w:bookmarkStart w:id="73" w:name="_Toc15396624"/>
    </w:p>
    <w:p>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六、一般公共预算财政拨款支出决算表</w:t>
      </w:r>
      <w:bookmarkEnd w:id="73"/>
    </w:p>
    <w:p>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74" w:name="_Toc15396625"/>
      <w:r>
        <w:rPr>
          <w:rFonts w:hint="eastAsia" w:ascii="Times New Roman" w:hAnsi="Times New Roman" w:eastAsia="仿宋_GB2312" w:cs="仿宋_GB2312"/>
          <w:color w:val="auto"/>
          <w:sz w:val="32"/>
          <w:szCs w:val="32"/>
          <w:highlight w:val="none"/>
        </w:rPr>
        <w:t>七、一般公共预算财政拨款支出决算明细表</w:t>
      </w:r>
      <w:bookmarkEnd w:id="74"/>
    </w:p>
    <w:p>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75" w:name="_Toc15396626"/>
      <w:r>
        <w:rPr>
          <w:rFonts w:hint="eastAsia" w:ascii="Times New Roman" w:hAnsi="Times New Roman" w:eastAsia="仿宋_GB2312" w:cs="仿宋_GB2312"/>
          <w:color w:val="auto"/>
          <w:sz w:val="32"/>
          <w:szCs w:val="32"/>
          <w:highlight w:val="none"/>
        </w:rPr>
        <w:t>八、一般公共预算财政拨款基本支出决算表</w:t>
      </w:r>
      <w:bookmarkEnd w:id="75"/>
    </w:p>
    <w:p>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76" w:name="_Toc15396627"/>
      <w:r>
        <w:rPr>
          <w:rFonts w:hint="eastAsia" w:ascii="Times New Roman" w:hAnsi="Times New Roman" w:eastAsia="仿宋_GB2312" w:cs="仿宋_GB2312"/>
          <w:color w:val="auto"/>
          <w:sz w:val="32"/>
          <w:szCs w:val="32"/>
          <w:highlight w:val="none"/>
        </w:rPr>
        <w:t>九、一般公共预算财政拨款项目支出决算表</w:t>
      </w:r>
      <w:bookmarkEnd w:id="76"/>
    </w:p>
    <w:p>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77" w:name="_Toc15396628"/>
      <w:r>
        <w:rPr>
          <w:rFonts w:hint="eastAsia" w:ascii="Times New Roman" w:hAnsi="Times New Roman" w:eastAsia="仿宋_GB2312" w:cs="仿宋_GB2312"/>
          <w:color w:val="auto"/>
          <w:sz w:val="32"/>
          <w:szCs w:val="32"/>
          <w:highlight w:val="none"/>
        </w:rPr>
        <w:t>十、</w:t>
      </w:r>
      <w:bookmarkEnd w:id="77"/>
      <w:r>
        <w:rPr>
          <w:rFonts w:hint="eastAsia" w:ascii="Times New Roman" w:hAnsi="Times New Roman" w:eastAsia="仿宋_GB2312" w:cs="仿宋_GB2312"/>
          <w:color w:val="auto"/>
          <w:sz w:val="32"/>
          <w:szCs w:val="32"/>
          <w:highlight w:val="none"/>
        </w:rPr>
        <w:t>政府性基金预算财政拨款收入支出决算表</w:t>
      </w:r>
    </w:p>
    <w:p>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78" w:name="_Toc15396629"/>
      <w:r>
        <w:rPr>
          <w:rFonts w:hint="eastAsia" w:ascii="Times New Roman" w:hAnsi="Times New Roman" w:eastAsia="仿宋_GB2312" w:cs="仿宋_GB2312"/>
          <w:color w:val="auto"/>
          <w:sz w:val="32"/>
          <w:szCs w:val="32"/>
          <w:highlight w:val="none"/>
        </w:rPr>
        <w:t>十一、</w:t>
      </w:r>
      <w:bookmarkEnd w:id="78"/>
      <w:r>
        <w:rPr>
          <w:rFonts w:hint="eastAsia" w:ascii="Times New Roman" w:hAnsi="Times New Roman" w:eastAsia="仿宋_GB2312" w:cs="仿宋_GB2312"/>
          <w:color w:val="auto"/>
          <w:sz w:val="32"/>
          <w:szCs w:val="32"/>
          <w:highlight w:val="none"/>
        </w:rPr>
        <w:t>国有资本经营预算</w:t>
      </w:r>
      <w:r>
        <w:rPr>
          <w:rFonts w:hint="eastAsia" w:ascii="Times New Roman" w:hAnsi="Times New Roman" w:eastAsia="仿宋_GB2312" w:cs="仿宋_GB2312"/>
          <w:color w:val="auto"/>
          <w:sz w:val="32"/>
          <w:szCs w:val="32"/>
          <w:highlight w:val="none"/>
          <w:lang w:eastAsia="zh-CN"/>
        </w:rPr>
        <w:t>财政拨款收入</w:t>
      </w:r>
      <w:r>
        <w:rPr>
          <w:rFonts w:hint="eastAsia" w:ascii="Times New Roman" w:hAnsi="Times New Roman" w:eastAsia="仿宋_GB2312" w:cs="仿宋_GB2312"/>
          <w:color w:val="auto"/>
          <w:sz w:val="32"/>
          <w:szCs w:val="32"/>
          <w:highlight w:val="none"/>
        </w:rPr>
        <w:t>支出决算表</w:t>
      </w:r>
    </w:p>
    <w:p>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79" w:name="_Toc15396630"/>
      <w:r>
        <w:rPr>
          <w:rFonts w:hint="eastAsia" w:ascii="Times New Roman" w:hAnsi="Times New Roman" w:eastAsia="仿宋_GB2312" w:cs="仿宋_GB2312"/>
          <w:color w:val="auto"/>
          <w:sz w:val="32"/>
          <w:szCs w:val="32"/>
          <w:highlight w:val="none"/>
        </w:rPr>
        <w:t>十二、</w:t>
      </w:r>
      <w:bookmarkEnd w:id="79"/>
      <w:r>
        <w:rPr>
          <w:rFonts w:hint="eastAsia" w:ascii="Times New Roman" w:hAnsi="Times New Roman" w:eastAsia="仿宋_GB2312" w:cs="仿宋_GB2312"/>
          <w:color w:val="auto"/>
          <w:sz w:val="32"/>
          <w:szCs w:val="32"/>
          <w:highlight w:val="none"/>
          <w:lang w:eastAsia="zh-CN"/>
        </w:rPr>
        <w:t>国有资本经营预算财政拨款支出决算表</w:t>
      </w:r>
    </w:p>
    <w:p>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lang w:eastAsia="zh-CN"/>
        </w:rPr>
      </w:pPr>
      <w:bookmarkStart w:id="80" w:name="_Toc15396631"/>
      <w:r>
        <w:rPr>
          <w:rFonts w:hint="eastAsia" w:ascii="Times New Roman" w:hAnsi="Times New Roman" w:eastAsia="仿宋_GB2312" w:cs="仿宋_GB2312"/>
          <w:color w:val="auto"/>
          <w:sz w:val="32"/>
          <w:szCs w:val="32"/>
          <w:highlight w:val="none"/>
        </w:rPr>
        <w:t>十三、</w:t>
      </w:r>
      <w:bookmarkEnd w:id="80"/>
      <w:r>
        <w:rPr>
          <w:rFonts w:hint="eastAsia" w:ascii="Times New Roman" w:hAnsi="Times New Roman" w:eastAsia="仿宋_GB2312" w:cs="仿宋_GB2312"/>
          <w:color w:val="auto"/>
          <w:sz w:val="32"/>
          <w:szCs w:val="32"/>
          <w:highlight w:val="none"/>
          <w:lang w:eastAsia="zh-CN"/>
        </w:rPr>
        <w:t>财政拨款“三公”经费支出决算表</w:t>
      </w:r>
    </w:p>
    <w:p>
      <w:pPr>
        <w:rPr>
          <w:rFonts w:hint="eastAsia" w:ascii="Times New Roman" w:hAnsi="Times New Roman"/>
          <w:lang w:eastAsia="zh-CN"/>
        </w:rPr>
      </w:pPr>
    </w:p>
    <w:sectPr>
      <w:footerReference r:id="rId6" w:type="first"/>
      <w:footerReference r:id="rId5" w:type="default"/>
      <w:pgSz w:w="11906" w:h="16838"/>
      <w:pgMar w:top="1440" w:right="1800" w:bottom="1440" w:left="1800" w:header="851" w:footer="992" w:gutter="0"/>
      <w:pgNumType w:fmt="numberInDash"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Noto Sans Syriac Eastern"/>
    <w:panose1 w:val="02040503050406030204"/>
    <w:charset w:val="00"/>
    <w:family w:val="roman"/>
    <w:pitch w:val="default"/>
    <w:sig w:usb0="00000000" w:usb1="00000000"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
    <w:altName w:val="仿宋_GB2312"/>
    <w:panose1 w:val="00000000000000000000"/>
    <w:charset w:val="00"/>
    <w:family w:val="roman"/>
    <w:pitch w:val="default"/>
    <w:sig w:usb0="00000000" w:usb1="00000000" w:usb2="00000000" w:usb3="00000000" w:csb0="0000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altName w:val="黑体"/>
    <w:panose1 w:val="020B0503020204020204"/>
    <w:charset w:val="86"/>
    <w:family w:val="auto"/>
    <w:pitch w:val="default"/>
    <w:sig w:usb0="00000000" w:usb1="00000000" w:usb2="00000000" w:usb3="00000000" w:csb0="00000000" w:csb1="00000000"/>
  </w:font>
  <w:font w:name="方正小标宋_GBK">
    <w:panose1 w:val="02000000000000000000"/>
    <w:charset w:val="86"/>
    <w:family w:val="script"/>
    <w:pitch w:val="default"/>
    <w:sig w:usb0="A00002BF" w:usb1="38CF7CFA" w:usb2="00082016" w:usb3="00000000" w:csb0="00040001" w:csb1="00000000"/>
  </w:font>
  <w:font w:name="Wingdings 2">
    <w:panose1 w:val="05020102010507070707"/>
    <w:charset w:val="00"/>
    <w:family w:val="auto"/>
    <w:pitch w:val="default"/>
    <w:sig w:usb0="00000000" w:usb1="00000000" w:usb2="00000000" w:usb3="00000000" w:csb0="80000000" w:csb1="00000000"/>
  </w:font>
  <w:font w:name="方正书宋_GBK">
    <w:panose1 w:val="02000000000000000000"/>
    <w:charset w:val="86"/>
    <w:family w:val="auto"/>
    <w:pitch w:val="default"/>
    <w:sig w:usb0="A00002BF" w:usb1="38CF7CFA" w:usb2="00082016" w:usb3="00000000" w:csb0="00040001"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p>
  <w:p>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p>
  <w:p>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B5FD60C"/>
    <w:multiLevelType w:val="singleLevel"/>
    <w:tmpl w:val="CB5FD60C"/>
    <w:lvl w:ilvl="0" w:tentative="0">
      <w:start w:val="1"/>
      <w:numFmt w:val="decimal"/>
      <w:suff w:val="nothing"/>
      <w:lvlText w:val="（%1）"/>
      <w:lvlJc w:val="left"/>
    </w:lvl>
  </w:abstractNum>
  <w:abstractNum w:abstractNumId="1">
    <w:nsid w:val="F45D2643"/>
    <w:multiLevelType w:val="singleLevel"/>
    <w:tmpl w:val="F45D2643"/>
    <w:lvl w:ilvl="0" w:tentative="0">
      <w:start w:val="1"/>
      <w:numFmt w:val="decimal"/>
      <w:suff w:val="nothing"/>
      <w:lvlText w:val="（%1）"/>
      <w:lvlJc w:val="left"/>
    </w:lvl>
  </w:abstractNum>
  <w:abstractNum w:abstractNumId="2">
    <w:nsid w:val="228E71E4"/>
    <w:multiLevelType w:val="singleLevel"/>
    <w:tmpl w:val="228E71E4"/>
    <w:lvl w:ilvl="0" w:tentative="0">
      <w:start w:val="2"/>
      <w:numFmt w:val="chineseCounting"/>
      <w:suff w:val="nothing"/>
      <w:lvlText w:val="（%1）"/>
      <w:lvlJc w:val="left"/>
      <w:rPr>
        <w:rFonts w:hint="eastAsia"/>
      </w:rPr>
    </w:lvl>
  </w:abstractNum>
  <w:abstractNum w:abstractNumId="3">
    <w:nsid w:val="54FFC1B7"/>
    <w:multiLevelType w:val="singleLevel"/>
    <w:tmpl w:val="54FFC1B7"/>
    <w:lvl w:ilvl="0" w:tentative="0">
      <w:start w:val="2"/>
      <w:numFmt w:val="chineseCounting"/>
      <w:suff w:val="nothing"/>
      <w:lvlText w:val="（%1）"/>
      <w:lvlJc w:val="left"/>
      <w:rPr>
        <w:rFonts w:hint="eastAsia"/>
      </w:rPr>
    </w:lvl>
  </w:abstractNum>
  <w:abstractNum w:abstractNumId="4">
    <w:nsid w:val="723C1AFD"/>
    <w:multiLevelType w:val="singleLevel"/>
    <w:tmpl w:val="723C1AFD"/>
    <w:lvl w:ilvl="0" w:tentative="0">
      <w:start w:val="2"/>
      <w:numFmt w:val="chineseCounting"/>
      <w:suff w:val="nothing"/>
      <w:lvlText w:val="（%1）"/>
      <w:lvlJc w:val="left"/>
      <w:rPr>
        <w:rFonts w:hint="eastAsia"/>
      </w:rPr>
    </w:lvl>
  </w:abstractNum>
  <w:abstractNum w:abstractNumId="5">
    <w:nsid w:val="767EB3A8"/>
    <w:multiLevelType w:val="singleLevel"/>
    <w:tmpl w:val="767EB3A8"/>
    <w:lvl w:ilvl="0" w:tentative="0">
      <w:start w:val="3"/>
      <w:numFmt w:val="chineseCounting"/>
      <w:suff w:val="nothing"/>
      <w:lvlText w:val="（%1）"/>
      <w:lvlJc w:val="left"/>
      <w:rPr>
        <w:rFonts w:hint="eastAsia"/>
      </w:rPr>
    </w:lvl>
  </w:abstractNum>
  <w:num w:numId="1">
    <w:abstractNumId w:val="2"/>
  </w:num>
  <w:num w:numId="2">
    <w:abstractNumId w:val="5"/>
  </w:num>
  <w:num w:numId="3">
    <w:abstractNumId w:val="3"/>
  </w:num>
  <w:num w:numId="4">
    <w:abstractNumId w:val="4"/>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4F7597"/>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2A5EC2"/>
    <w:rsid w:val="015975B8"/>
    <w:rsid w:val="02832A46"/>
    <w:rsid w:val="02FEBE30"/>
    <w:rsid w:val="0330024A"/>
    <w:rsid w:val="0371289F"/>
    <w:rsid w:val="04916F1E"/>
    <w:rsid w:val="061E35DE"/>
    <w:rsid w:val="066E0107"/>
    <w:rsid w:val="070E4D22"/>
    <w:rsid w:val="07996F6E"/>
    <w:rsid w:val="07B45450"/>
    <w:rsid w:val="07DFD8BA"/>
    <w:rsid w:val="09867E8F"/>
    <w:rsid w:val="0A2032A3"/>
    <w:rsid w:val="0B444D3D"/>
    <w:rsid w:val="0C686809"/>
    <w:rsid w:val="0CA8290A"/>
    <w:rsid w:val="0D35B1ED"/>
    <w:rsid w:val="0E254B6B"/>
    <w:rsid w:val="0E4137B5"/>
    <w:rsid w:val="0E5E7EC3"/>
    <w:rsid w:val="0EC71F0D"/>
    <w:rsid w:val="0F096081"/>
    <w:rsid w:val="0F98263C"/>
    <w:rsid w:val="101860EC"/>
    <w:rsid w:val="101F47CC"/>
    <w:rsid w:val="10863702"/>
    <w:rsid w:val="10C055FF"/>
    <w:rsid w:val="11694EBD"/>
    <w:rsid w:val="11772AA4"/>
    <w:rsid w:val="118063A3"/>
    <w:rsid w:val="118107EC"/>
    <w:rsid w:val="1239185F"/>
    <w:rsid w:val="124D44D7"/>
    <w:rsid w:val="12E24EE2"/>
    <w:rsid w:val="131E5E73"/>
    <w:rsid w:val="13D50BC4"/>
    <w:rsid w:val="13E744B7"/>
    <w:rsid w:val="13F35552"/>
    <w:rsid w:val="14504752"/>
    <w:rsid w:val="14B17F78"/>
    <w:rsid w:val="151B08BC"/>
    <w:rsid w:val="165E0673"/>
    <w:rsid w:val="16B831D5"/>
    <w:rsid w:val="16BB723D"/>
    <w:rsid w:val="16D24FDB"/>
    <w:rsid w:val="17E50567"/>
    <w:rsid w:val="186504BB"/>
    <w:rsid w:val="19A445FC"/>
    <w:rsid w:val="1A515E3D"/>
    <w:rsid w:val="1BE8440E"/>
    <w:rsid w:val="1D155CEE"/>
    <w:rsid w:val="1D1638FE"/>
    <w:rsid w:val="1E312DEB"/>
    <w:rsid w:val="1E740ACF"/>
    <w:rsid w:val="1FF35744"/>
    <w:rsid w:val="1FF6BC77"/>
    <w:rsid w:val="211C7E96"/>
    <w:rsid w:val="2186353C"/>
    <w:rsid w:val="23860B96"/>
    <w:rsid w:val="238E494F"/>
    <w:rsid w:val="240371BF"/>
    <w:rsid w:val="244F3473"/>
    <w:rsid w:val="24C97D99"/>
    <w:rsid w:val="25A718F0"/>
    <w:rsid w:val="25BB59F6"/>
    <w:rsid w:val="260F557C"/>
    <w:rsid w:val="26970054"/>
    <w:rsid w:val="26F7281D"/>
    <w:rsid w:val="27545EB0"/>
    <w:rsid w:val="281408E2"/>
    <w:rsid w:val="29FD04D3"/>
    <w:rsid w:val="2BFF7BC6"/>
    <w:rsid w:val="2C8A61B5"/>
    <w:rsid w:val="2DF04E50"/>
    <w:rsid w:val="2E586DFA"/>
    <w:rsid w:val="2EFE6E2D"/>
    <w:rsid w:val="2F040D46"/>
    <w:rsid w:val="2F631386"/>
    <w:rsid w:val="2F6B035B"/>
    <w:rsid w:val="2FAE5751"/>
    <w:rsid w:val="2FB1A395"/>
    <w:rsid w:val="2FD9A7D8"/>
    <w:rsid w:val="2FDBF714"/>
    <w:rsid w:val="30197C97"/>
    <w:rsid w:val="30AB6865"/>
    <w:rsid w:val="319F7F4E"/>
    <w:rsid w:val="32BD1EF1"/>
    <w:rsid w:val="3304709D"/>
    <w:rsid w:val="335222FD"/>
    <w:rsid w:val="33A773CB"/>
    <w:rsid w:val="349D6851"/>
    <w:rsid w:val="34CE1050"/>
    <w:rsid w:val="36AA5135"/>
    <w:rsid w:val="36BE0DA7"/>
    <w:rsid w:val="36C344B8"/>
    <w:rsid w:val="376B6AA6"/>
    <w:rsid w:val="376D39B2"/>
    <w:rsid w:val="37E16F03"/>
    <w:rsid w:val="37F53A3B"/>
    <w:rsid w:val="38763ED8"/>
    <w:rsid w:val="389B6C89"/>
    <w:rsid w:val="38D469F0"/>
    <w:rsid w:val="39627CCD"/>
    <w:rsid w:val="397BAF1F"/>
    <w:rsid w:val="3AB79AF3"/>
    <w:rsid w:val="3AE834C0"/>
    <w:rsid w:val="3B7EF35A"/>
    <w:rsid w:val="3B9FDB6C"/>
    <w:rsid w:val="3BF5BC2F"/>
    <w:rsid w:val="3CEBA265"/>
    <w:rsid w:val="3D98207C"/>
    <w:rsid w:val="3DEE7CF3"/>
    <w:rsid w:val="3E740A63"/>
    <w:rsid w:val="3E78745D"/>
    <w:rsid w:val="3EE17838"/>
    <w:rsid w:val="3F55381A"/>
    <w:rsid w:val="3F7F7599"/>
    <w:rsid w:val="3FF4CAE0"/>
    <w:rsid w:val="3FF7B227"/>
    <w:rsid w:val="444E0EB1"/>
    <w:rsid w:val="44E268DA"/>
    <w:rsid w:val="450D13D7"/>
    <w:rsid w:val="45506656"/>
    <w:rsid w:val="45AE2F45"/>
    <w:rsid w:val="46CF529D"/>
    <w:rsid w:val="46D00C57"/>
    <w:rsid w:val="471A0124"/>
    <w:rsid w:val="484713ED"/>
    <w:rsid w:val="486A6C7A"/>
    <w:rsid w:val="4A627F82"/>
    <w:rsid w:val="4A6A7F5D"/>
    <w:rsid w:val="4AC27530"/>
    <w:rsid w:val="4B0E749A"/>
    <w:rsid w:val="4B2477C4"/>
    <w:rsid w:val="4B4F25DA"/>
    <w:rsid w:val="4BE068DB"/>
    <w:rsid w:val="4D577224"/>
    <w:rsid w:val="4DBF1CEB"/>
    <w:rsid w:val="4DF0007C"/>
    <w:rsid w:val="4E8D38D2"/>
    <w:rsid w:val="4EAB630A"/>
    <w:rsid w:val="4ECE2238"/>
    <w:rsid w:val="4F833267"/>
    <w:rsid w:val="4FE9BD67"/>
    <w:rsid w:val="4FFB052F"/>
    <w:rsid w:val="50246837"/>
    <w:rsid w:val="537E6D0A"/>
    <w:rsid w:val="53F74C96"/>
    <w:rsid w:val="5455279C"/>
    <w:rsid w:val="55170BA8"/>
    <w:rsid w:val="552F1841"/>
    <w:rsid w:val="553218C9"/>
    <w:rsid w:val="56260894"/>
    <w:rsid w:val="5664316A"/>
    <w:rsid w:val="567E1AA5"/>
    <w:rsid w:val="56E47B74"/>
    <w:rsid w:val="57175D52"/>
    <w:rsid w:val="57BD3DD4"/>
    <w:rsid w:val="5A9F6E67"/>
    <w:rsid w:val="5AF92295"/>
    <w:rsid w:val="5B250254"/>
    <w:rsid w:val="5BDD79E6"/>
    <w:rsid w:val="5BF561CA"/>
    <w:rsid w:val="5BFF5DFC"/>
    <w:rsid w:val="5CD71FC4"/>
    <w:rsid w:val="5CE96177"/>
    <w:rsid w:val="5D1F11B5"/>
    <w:rsid w:val="5D695134"/>
    <w:rsid w:val="5D927691"/>
    <w:rsid w:val="5DAE1B18"/>
    <w:rsid w:val="5DE7D9E5"/>
    <w:rsid w:val="5ECEC941"/>
    <w:rsid w:val="5FBF9FF3"/>
    <w:rsid w:val="5FCD4E2C"/>
    <w:rsid w:val="5FEF1CF6"/>
    <w:rsid w:val="5FEF394A"/>
    <w:rsid w:val="5FF67715"/>
    <w:rsid w:val="62436329"/>
    <w:rsid w:val="62BF3928"/>
    <w:rsid w:val="63B3701E"/>
    <w:rsid w:val="640900E7"/>
    <w:rsid w:val="647F5392"/>
    <w:rsid w:val="658E3D60"/>
    <w:rsid w:val="65E66580"/>
    <w:rsid w:val="664B1D71"/>
    <w:rsid w:val="664B4E8E"/>
    <w:rsid w:val="670F6464"/>
    <w:rsid w:val="67277B67"/>
    <w:rsid w:val="673D5A3D"/>
    <w:rsid w:val="67AA3209"/>
    <w:rsid w:val="683C0A1E"/>
    <w:rsid w:val="68AD6BF3"/>
    <w:rsid w:val="698D0931"/>
    <w:rsid w:val="6A7FE5F3"/>
    <w:rsid w:val="6B053271"/>
    <w:rsid w:val="6BDD78B3"/>
    <w:rsid w:val="6C4A05C8"/>
    <w:rsid w:val="6C8742B8"/>
    <w:rsid w:val="6DBF5E93"/>
    <w:rsid w:val="6DFF077E"/>
    <w:rsid w:val="6E714EF0"/>
    <w:rsid w:val="6E7E3605"/>
    <w:rsid w:val="6E7FDCC7"/>
    <w:rsid w:val="6ED6A62E"/>
    <w:rsid w:val="6EE00B15"/>
    <w:rsid w:val="6F6FB3EB"/>
    <w:rsid w:val="6F8731EA"/>
    <w:rsid w:val="6F9957DB"/>
    <w:rsid w:val="6FCE6052"/>
    <w:rsid w:val="6FD57C00"/>
    <w:rsid w:val="6FEFFFD8"/>
    <w:rsid w:val="6FF5CC65"/>
    <w:rsid w:val="6FFB47EC"/>
    <w:rsid w:val="6FFF034A"/>
    <w:rsid w:val="70484440"/>
    <w:rsid w:val="712A28F1"/>
    <w:rsid w:val="715C0E4B"/>
    <w:rsid w:val="71992E7C"/>
    <w:rsid w:val="72233669"/>
    <w:rsid w:val="72734D90"/>
    <w:rsid w:val="72BB1F0C"/>
    <w:rsid w:val="72CA3BE3"/>
    <w:rsid w:val="73160E6D"/>
    <w:rsid w:val="7332FE48"/>
    <w:rsid w:val="73AB61DA"/>
    <w:rsid w:val="73AD73D5"/>
    <w:rsid w:val="73B6EB34"/>
    <w:rsid w:val="73FA497D"/>
    <w:rsid w:val="744731E5"/>
    <w:rsid w:val="74921090"/>
    <w:rsid w:val="74BBD01D"/>
    <w:rsid w:val="74ED5379"/>
    <w:rsid w:val="755BFAFF"/>
    <w:rsid w:val="75DEEEC2"/>
    <w:rsid w:val="75E32345"/>
    <w:rsid w:val="76E3355F"/>
    <w:rsid w:val="76FF5125"/>
    <w:rsid w:val="776F6FFA"/>
    <w:rsid w:val="778769C8"/>
    <w:rsid w:val="77A75DCA"/>
    <w:rsid w:val="77DC22F5"/>
    <w:rsid w:val="77FB0142"/>
    <w:rsid w:val="78395DAD"/>
    <w:rsid w:val="783E271A"/>
    <w:rsid w:val="784D7AAA"/>
    <w:rsid w:val="78616DE9"/>
    <w:rsid w:val="78D930EC"/>
    <w:rsid w:val="78E875D7"/>
    <w:rsid w:val="79086DAD"/>
    <w:rsid w:val="793842B6"/>
    <w:rsid w:val="79D7FD79"/>
    <w:rsid w:val="79EE5BA4"/>
    <w:rsid w:val="7A894339"/>
    <w:rsid w:val="7AD284E8"/>
    <w:rsid w:val="7AFF7572"/>
    <w:rsid w:val="7B6C7DFB"/>
    <w:rsid w:val="7BBFBED0"/>
    <w:rsid w:val="7BC3E394"/>
    <w:rsid w:val="7C1F3737"/>
    <w:rsid w:val="7CA0464C"/>
    <w:rsid w:val="7CBFC87B"/>
    <w:rsid w:val="7CFE0F48"/>
    <w:rsid w:val="7D272ABC"/>
    <w:rsid w:val="7D7EC23E"/>
    <w:rsid w:val="7E8ADEBF"/>
    <w:rsid w:val="7ED20D09"/>
    <w:rsid w:val="7EEF11D3"/>
    <w:rsid w:val="7EFE4840"/>
    <w:rsid w:val="7F0971A6"/>
    <w:rsid w:val="7F1D62E7"/>
    <w:rsid w:val="7F3F679B"/>
    <w:rsid w:val="7F4FC4EF"/>
    <w:rsid w:val="7F5E4D54"/>
    <w:rsid w:val="7F6E0135"/>
    <w:rsid w:val="7F79F205"/>
    <w:rsid w:val="7FA30C79"/>
    <w:rsid w:val="7FA79C44"/>
    <w:rsid w:val="7FAF8ABF"/>
    <w:rsid w:val="7FB7269E"/>
    <w:rsid w:val="7FC96657"/>
    <w:rsid w:val="7FDA9588"/>
    <w:rsid w:val="7FDF220F"/>
    <w:rsid w:val="7FEDC5F7"/>
    <w:rsid w:val="7FEDD9DE"/>
    <w:rsid w:val="7FF5890D"/>
    <w:rsid w:val="7FF93490"/>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BF780E"/>
    <w:rsid w:val="FEDFDDC2"/>
    <w:rsid w:val="FEED32F6"/>
    <w:rsid w:val="FEF781DD"/>
    <w:rsid w:val="FF3F7E3F"/>
    <w:rsid w:val="FFBA12D7"/>
    <w:rsid w:val="FFCBD314"/>
    <w:rsid w:val="FFDFF91C"/>
    <w:rsid w:val="FFDFFAEE"/>
    <w:rsid w:val="FFEF6777"/>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qFormat="1" w:unhideWhenUsed="0" w:uiPriority="0" w:semiHidden="0"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0"/>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4"/>
    <w:unhideWhenUsed/>
    <w:qFormat/>
    <w:uiPriority w:val="9"/>
    <w:pPr>
      <w:keepNext/>
      <w:keepLines/>
      <w:spacing w:before="260" w:after="260" w:line="416" w:lineRule="auto"/>
      <w:outlineLvl w:val="2"/>
    </w:pPr>
    <w:rPr>
      <w:b/>
      <w:bCs/>
      <w:sz w:val="32"/>
      <w:szCs w:val="32"/>
    </w:rPr>
  </w:style>
  <w:style w:type="character" w:default="1" w:styleId="18">
    <w:name w:val="Default Paragraph Font"/>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table of figures"/>
    <w:basedOn w:val="1"/>
    <w:next w:val="1"/>
    <w:qFormat/>
    <w:uiPriority w:val="0"/>
    <w:pPr>
      <w:ind w:left="200" w:leftChars="200" w:hanging="200" w:hangingChars="200"/>
    </w:pPr>
  </w:style>
  <w:style w:type="paragraph" w:styleId="6">
    <w:name w:val="Body Text"/>
    <w:basedOn w:val="1"/>
    <w:link w:val="27"/>
    <w:qFormat/>
    <w:uiPriority w:val="99"/>
    <w:pPr>
      <w:spacing w:beforeLines="30"/>
    </w:pPr>
    <w:rPr>
      <w:rFonts w:ascii="仿宋_GB2312" w:eastAsia="仿宋_GB2312"/>
      <w:kern w:val="0"/>
      <w:sz w:val="30"/>
    </w:rPr>
  </w:style>
  <w:style w:type="paragraph" w:styleId="7">
    <w:name w:val="Body Text Indent"/>
    <w:basedOn w:val="1"/>
    <w:qFormat/>
    <w:uiPriority w:val="0"/>
    <w:pPr>
      <w:spacing w:after="120"/>
      <w:ind w:leftChars="200"/>
    </w:pPr>
    <w:rPr>
      <w:rFonts w:ascii="仿宋_GB2312"/>
      <w:szCs w:val="32"/>
    </w:rPr>
  </w:style>
  <w:style w:type="paragraph" w:styleId="8">
    <w:name w:val="toc 3"/>
    <w:basedOn w:val="1"/>
    <w:next w:val="1"/>
    <w:unhideWhenUsed/>
    <w:qFormat/>
    <w:uiPriority w:val="39"/>
    <w:pPr>
      <w:tabs>
        <w:tab w:val="right" w:leader="dot" w:pos="8296"/>
      </w:tabs>
      <w:ind w:left="840" w:leftChars="400"/>
    </w:pPr>
  </w:style>
  <w:style w:type="paragraph" w:styleId="9">
    <w:name w:val="Balloon Text"/>
    <w:basedOn w:val="1"/>
    <w:link w:val="33"/>
    <w:semiHidden/>
    <w:unhideWhenUsed/>
    <w:qFormat/>
    <w:uiPriority w:val="99"/>
    <w:rPr>
      <w:sz w:val="18"/>
      <w:szCs w:val="18"/>
    </w:rPr>
  </w:style>
  <w:style w:type="paragraph" w:styleId="10">
    <w:name w:val="footer"/>
    <w:basedOn w:val="1"/>
    <w:link w:val="25"/>
    <w:qFormat/>
    <w:uiPriority w:val="99"/>
    <w:pPr>
      <w:tabs>
        <w:tab w:val="center" w:pos="4153"/>
        <w:tab w:val="right" w:pos="8306"/>
      </w:tabs>
      <w:snapToGrid w:val="0"/>
      <w:jc w:val="left"/>
    </w:pPr>
    <w:rPr>
      <w:rFonts w:ascii="Calibri" w:hAnsi="Calibri"/>
      <w:kern w:val="0"/>
      <w:sz w:val="18"/>
      <w:szCs w:val="18"/>
    </w:rPr>
  </w:style>
  <w:style w:type="paragraph" w:styleId="11">
    <w:name w:val="header"/>
    <w:basedOn w:val="1"/>
    <w:link w:val="23"/>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3">
    <w:name w:val="footnote text"/>
    <w:basedOn w:val="1"/>
    <w:next w:val="14"/>
    <w:semiHidden/>
    <w:qFormat/>
    <w:uiPriority w:val="0"/>
    <w:pPr>
      <w:snapToGrid w:val="0"/>
      <w:jc w:val="left"/>
    </w:pPr>
    <w:rPr>
      <w:sz w:val="18"/>
      <w:szCs w:val="18"/>
    </w:rPr>
  </w:style>
  <w:style w:type="paragraph" w:styleId="14">
    <w:name w:val="Body Text First Indent 2"/>
    <w:basedOn w:val="7"/>
    <w:unhideWhenUsed/>
    <w:qFormat/>
    <w:uiPriority w:val="99"/>
    <w:pPr>
      <w:ind w:firstLine="420" w:firstLineChars="200"/>
    </w:pPr>
  </w:style>
  <w:style w:type="paragraph" w:styleId="15">
    <w:name w:val="toc 2"/>
    <w:basedOn w:val="1"/>
    <w:next w:val="1"/>
    <w:unhideWhenUsed/>
    <w:qFormat/>
    <w:uiPriority w:val="39"/>
    <w:pPr>
      <w:tabs>
        <w:tab w:val="right" w:leader="dot" w:pos="8296"/>
      </w:tabs>
      <w:ind w:left="420" w:leftChars="200"/>
    </w:p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Strong"/>
    <w:basedOn w:val="18"/>
    <w:qFormat/>
    <w:uiPriority w:val="99"/>
    <w:rPr>
      <w:b/>
    </w:rPr>
  </w:style>
  <w:style w:type="character" w:styleId="20">
    <w:name w:val="Hyperlink"/>
    <w:basedOn w:val="18"/>
    <w:unhideWhenUsed/>
    <w:qFormat/>
    <w:uiPriority w:val="99"/>
    <w:rPr>
      <w:color w:val="0000FF" w:themeColor="hyperlink"/>
      <w:u w:val="single"/>
      <w14:textFill>
        <w14:solidFill>
          <w14:schemeClr w14:val="hlink"/>
        </w14:solidFill>
      </w14:textFill>
    </w:rPr>
  </w:style>
  <w:style w:type="paragraph" w:customStyle="1" w:styleId="21">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character" w:customStyle="1" w:styleId="22">
    <w:name w:val="Header Char"/>
    <w:basedOn w:val="18"/>
    <w:semiHidden/>
    <w:qFormat/>
    <w:uiPriority w:val="99"/>
    <w:rPr>
      <w:rFonts w:ascii="Times New Roman" w:hAnsi="Times New Roman"/>
      <w:sz w:val="18"/>
      <w:szCs w:val="18"/>
    </w:rPr>
  </w:style>
  <w:style w:type="character" w:customStyle="1" w:styleId="23">
    <w:name w:val="页眉 Char"/>
    <w:link w:val="11"/>
    <w:semiHidden/>
    <w:qFormat/>
    <w:locked/>
    <w:uiPriority w:val="99"/>
    <w:rPr>
      <w:sz w:val="18"/>
    </w:rPr>
  </w:style>
  <w:style w:type="character" w:customStyle="1" w:styleId="24">
    <w:name w:val="Footer Char"/>
    <w:basedOn w:val="18"/>
    <w:semiHidden/>
    <w:qFormat/>
    <w:uiPriority w:val="99"/>
    <w:rPr>
      <w:rFonts w:ascii="Times New Roman" w:hAnsi="Times New Roman"/>
      <w:sz w:val="18"/>
      <w:szCs w:val="18"/>
    </w:rPr>
  </w:style>
  <w:style w:type="character" w:customStyle="1" w:styleId="25">
    <w:name w:val="页脚 Char"/>
    <w:link w:val="10"/>
    <w:qFormat/>
    <w:locked/>
    <w:uiPriority w:val="99"/>
    <w:rPr>
      <w:sz w:val="18"/>
    </w:rPr>
  </w:style>
  <w:style w:type="character" w:customStyle="1" w:styleId="26">
    <w:name w:val="Body Text Char"/>
    <w:basedOn w:val="18"/>
    <w:semiHidden/>
    <w:qFormat/>
    <w:uiPriority w:val="99"/>
    <w:rPr>
      <w:rFonts w:ascii="Times New Roman" w:hAnsi="Times New Roman"/>
      <w:szCs w:val="24"/>
    </w:rPr>
  </w:style>
  <w:style w:type="character" w:customStyle="1" w:styleId="27">
    <w:name w:val="正文文本 Char"/>
    <w:link w:val="6"/>
    <w:qFormat/>
    <w:locked/>
    <w:uiPriority w:val="99"/>
    <w:rPr>
      <w:rFonts w:ascii="仿宋_GB2312" w:hAnsi="Times New Roman" w:eastAsia="仿宋_GB2312"/>
      <w:sz w:val="24"/>
    </w:rPr>
  </w:style>
  <w:style w:type="paragraph" w:customStyle="1" w:styleId="28">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9">
    <w:name w:val="List Paragraph"/>
    <w:basedOn w:val="1"/>
    <w:qFormat/>
    <w:uiPriority w:val="34"/>
    <w:pPr>
      <w:ind w:firstLine="420" w:firstLineChars="200"/>
    </w:pPr>
  </w:style>
  <w:style w:type="character" w:customStyle="1" w:styleId="30">
    <w:name w:val="标题 1 Char"/>
    <w:basedOn w:val="18"/>
    <w:link w:val="3"/>
    <w:qFormat/>
    <w:uiPriority w:val="9"/>
    <w:rPr>
      <w:rFonts w:ascii="Times New Roman" w:hAnsi="Times New Roman"/>
      <w:b/>
      <w:bCs/>
      <w:kern w:val="44"/>
      <w:sz w:val="44"/>
      <w:szCs w:val="44"/>
    </w:rPr>
  </w:style>
  <w:style w:type="character" w:customStyle="1" w:styleId="31">
    <w:name w:val="标题 2 Char"/>
    <w:basedOn w:val="18"/>
    <w:link w:val="4"/>
    <w:qFormat/>
    <w:uiPriority w:val="9"/>
    <w:rPr>
      <w:rFonts w:asciiTheme="majorHAnsi" w:hAnsiTheme="majorHAnsi" w:eastAsiaTheme="majorEastAsia" w:cstheme="majorBidi"/>
      <w:b/>
      <w:bCs/>
      <w:kern w:val="2"/>
      <w:sz w:val="32"/>
      <w:szCs w:val="32"/>
    </w:rPr>
  </w:style>
  <w:style w:type="paragraph" w:customStyle="1" w:styleId="32">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3">
    <w:name w:val="批注框文本 Char"/>
    <w:basedOn w:val="18"/>
    <w:link w:val="9"/>
    <w:semiHidden/>
    <w:qFormat/>
    <w:uiPriority w:val="99"/>
    <w:rPr>
      <w:rFonts w:ascii="Times New Roman" w:hAnsi="Times New Roman"/>
      <w:kern w:val="2"/>
      <w:sz w:val="18"/>
      <w:szCs w:val="18"/>
    </w:rPr>
  </w:style>
  <w:style w:type="character" w:customStyle="1" w:styleId="34">
    <w:name w:val="标题 3 Char"/>
    <w:basedOn w:val="18"/>
    <w:link w:val="5"/>
    <w:qFormat/>
    <w:uiPriority w:val="9"/>
    <w:rPr>
      <w:rFonts w:ascii="Times New Roman" w:hAnsi="Times New Roman"/>
      <w:b/>
      <w:bCs/>
      <w:kern w:val="2"/>
      <w:sz w:val="32"/>
      <w:szCs w:val="32"/>
    </w:rPr>
  </w:style>
  <w:style w:type="paragraph" w:customStyle="1" w:styleId="35">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6">
    <w:name w:val="四号正文"/>
    <w:basedOn w:val="1"/>
    <w:qFormat/>
    <w:uiPriority w:val="0"/>
    <w:pPr>
      <w:spacing w:line="360" w:lineRule="auto"/>
    </w:pPr>
    <w:rPr>
      <w:rFonts w:ascii="??" w:hAnsi="??" w:eastAsia="宋体"/>
      <w:color w:val="000000"/>
      <w:kern w:val="0"/>
      <w:sz w:val="28"/>
      <w:szCs w:val="21"/>
      <w:lang w:val="zh-CN" w:eastAsia="zh-CN"/>
    </w:rPr>
  </w:style>
  <w:style w:type="character" w:customStyle="1" w:styleId="37">
    <w:name w:val="apple-converted-space"/>
    <w:basedOn w:val="18"/>
    <w:qFormat/>
    <w:uiPriority w:val="0"/>
  </w:style>
  <w:style w:type="paragraph" w:styleId="38">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character" w:customStyle="1" w:styleId="39">
    <w:name w:val="font21"/>
    <w:basedOn w:val="18"/>
    <w:qFormat/>
    <w:uiPriority w:val="0"/>
    <w:rPr>
      <w:rFonts w:hint="eastAsia" w:ascii="宋体" w:hAnsi="宋体" w:eastAsia="宋体" w:cs="宋体"/>
      <w:color w:val="000000"/>
      <w:sz w:val="24"/>
      <w:szCs w:val="24"/>
      <w:u w:val="none"/>
    </w:rPr>
  </w:style>
  <w:style w:type="paragraph" w:customStyle="1" w:styleId="40">
    <w:name w:val="文档正文"/>
    <w:basedOn w:val="1"/>
    <w:qFormat/>
    <w:uiPriority w:val="0"/>
    <w:pPr>
      <w:adjustRightInd w:val="0"/>
      <w:spacing w:line="480" w:lineRule="atLeast"/>
      <w:textAlignment w:val="baseline"/>
    </w:pPr>
    <w:rPr>
      <w:rFonts w:ascii="Arial" w:hAnsi="Arial"/>
      <w:kern w:val="0"/>
    </w:rPr>
  </w:style>
  <w:style w:type="character" w:customStyle="1" w:styleId="41">
    <w:name w:val="font11"/>
    <w:basedOn w:val="18"/>
    <w:qFormat/>
    <w:uiPriority w:val="0"/>
    <w:rPr>
      <w:rFonts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chart" Target="charts/chart2.xml"/><Relationship Id="rId8" Type="http://schemas.openxmlformats.org/officeDocument/2006/relationships/chart" Target="charts/chart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1.emf"/><Relationship Id="rId13" Type="http://schemas.openxmlformats.org/officeDocument/2006/relationships/oleObject" Target="embeddings/oleObject1.bin"/><Relationship Id="rId12" Type="http://schemas.openxmlformats.org/officeDocument/2006/relationships/chart" Target="charts/chart5.xml"/><Relationship Id="rId11" Type="http://schemas.openxmlformats.org/officeDocument/2006/relationships/chart" Target="charts/chart4.xml"/><Relationship Id="rId10" Type="http://schemas.openxmlformats.org/officeDocument/2006/relationships/chart" Target="charts/chart3.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3.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4.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_rels/chart5.xml.rels><?xml version="1.0" encoding="UTF-8" standalone="yes"?>
<Relationships xmlns="http://schemas.openxmlformats.org/package/2006/relationships"><Relationship Id="rId4" Type="http://schemas.microsoft.com/office/2011/relationships/chartColorStyle" Target="colors5.xml"/><Relationship Id="rId3" Type="http://schemas.microsoft.com/office/2011/relationships/chartStyle" Target="style5.xml"/><Relationship Id="rId2" Type="http://schemas.openxmlformats.org/officeDocument/2006/relationships/themeOverride" Target="../theme/themeOverride1.xml"/><Relationship Id="rId1" Type="http://schemas.openxmlformats.org/officeDocument/2006/relationships/package" Target="../embeddings/Workbook5.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tx1">
                  <a:lumMod val="75000"/>
                  <a:lumOff val="25000"/>
                </a:schemeClr>
              </a:solidFill>
              <a:latin typeface="+mn-lt"/>
              <a:ea typeface="+mn-ea"/>
              <a:cs typeface="+mn-cs"/>
            </a:defRPr>
          </a:pPr>
        </a:p>
      </c:txPr>
    </c:title>
    <c:autoTitleDeleted val="0"/>
    <c:plotArea>
      <c:layout/>
      <c:barChart>
        <c:barDir val="col"/>
        <c:grouping val="clustered"/>
        <c:varyColors val="0"/>
        <c:ser>
          <c:idx val="0"/>
          <c:order val="0"/>
          <c:tx>
            <c:strRef>
              <c:f>Sheet1!$B$1</c:f>
              <c:strCache>
                <c:ptCount val="1"/>
                <c:pt idx="0">
                  <c:v>收入、支出决算总计变动情况图</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2023年</c:v>
                </c:pt>
                <c:pt idx="1">
                  <c:v>2024年</c:v>
                </c:pt>
              </c:strCache>
            </c:strRef>
          </c:cat>
          <c:val>
            <c:numRef>
              <c:f>Sheet1!$B$2:$B$3</c:f>
              <c:numCache>
                <c:formatCode>General</c:formatCode>
                <c:ptCount val="2"/>
                <c:pt idx="0">
                  <c:v>1928.26</c:v>
                </c:pt>
                <c:pt idx="1">
                  <c:v>2032.73</c:v>
                </c:pt>
              </c:numCache>
            </c:numRef>
          </c:val>
        </c:ser>
        <c:dLbls>
          <c:showLegendKey val="0"/>
          <c:showVal val="1"/>
          <c:showCatName val="0"/>
          <c:showSerName val="0"/>
          <c:showPercent val="0"/>
          <c:showBubbleSize val="0"/>
        </c:dLbls>
        <c:gapWidth val="246"/>
        <c:overlap val="-28"/>
        <c:axId val="463058090"/>
        <c:axId val="295085342"/>
      </c:barChart>
      <c:catAx>
        <c:axId val="463058090"/>
        <c:scaling>
          <c:orientation val="minMax"/>
        </c:scaling>
        <c:delete val="0"/>
        <c:axPos val="b"/>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95085342"/>
        <c:crosses val="autoZero"/>
        <c:auto val="1"/>
        <c:lblAlgn val="ctr"/>
        <c:lblOffset val="100"/>
        <c:noMultiLvlLbl val="0"/>
      </c:catAx>
      <c:valAx>
        <c:axId val="295085342"/>
        <c:scaling>
          <c:orientation val="minMax"/>
        </c:scaling>
        <c:delete val="0"/>
        <c:axPos val="l"/>
        <c:numFmt formatCode="General" sourceLinked="1"/>
        <c:majorTickMark val="out"/>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6305809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4"/>
    </mc:Choice>
    <mc:Fallback>
      <c:style val="4"/>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tx1">
                  <a:lumMod val="75000"/>
                  <a:lumOff val="25000"/>
                </a:schemeClr>
              </a:solidFill>
              <a:latin typeface="+mn-lt"/>
              <a:ea typeface="+mn-ea"/>
              <a:cs typeface="+mn-cs"/>
            </a:defRPr>
          </a:pPr>
        </a:p>
      </c:txPr>
    </c:title>
    <c:autoTitleDeleted val="0"/>
    <c:plotArea>
      <c:layout/>
      <c:pieChart>
        <c:varyColors val="1"/>
        <c:ser>
          <c:idx val="0"/>
          <c:order val="0"/>
          <c:tx>
            <c:strRef>
              <c:f>Sheet1!$B$1</c:f>
              <c:strCache>
                <c:ptCount val="1"/>
                <c:pt idx="0">
                  <c:v>收入决算结构图</c:v>
                </c:pt>
              </c:strCache>
            </c:strRef>
          </c:tx>
          <c:spPr/>
          <c:explosion val="0"/>
          <c:dPt>
            <c:idx val="0"/>
            <c:bubble3D val="0"/>
            <c:spPr>
              <a:solidFill>
                <a:schemeClr val="accent2"/>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inEnd"/>
            <c:showLegendKey val="0"/>
            <c:showVal val="1"/>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一般公共预算财政拨款收入</c:v>
                </c:pt>
              </c:strCache>
            </c:strRef>
          </c:cat>
          <c:val>
            <c:numRef>
              <c:f>Sheet1!$B$2</c:f>
              <c:numCache>
                <c:formatCode>General</c:formatCode>
                <c:ptCount val="1"/>
                <c:pt idx="0">
                  <c:v>2032.73</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tx1">
                  <a:lumMod val="75000"/>
                  <a:lumOff val="25000"/>
                </a:schemeClr>
              </a:solidFill>
              <a:latin typeface="+mn-lt"/>
              <a:ea typeface="+mn-ea"/>
              <a:cs typeface="+mn-cs"/>
            </a:defRPr>
          </a:pPr>
        </a:p>
      </c:txPr>
    </c:title>
    <c:autoTitleDeleted val="0"/>
    <c:plotArea>
      <c:layout/>
      <c:pieChart>
        <c:varyColors val="1"/>
        <c:ser>
          <c:idx val="0"/>
          <c:order val="0"/>
          <c:tx>
            <c:strRef>
              <c:f>Sheet1!$B$1</c:f>
              <c:strCache>
                <c:ptCount val="1"/>
                <c:pt idx="0">
                  <c:v>支出决算结构图</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基本支出</c:v>
                </c:pt>
                <c:pt idx="1">
                  <c:v>项目支出</c:v>
                </c:pt>
              </c:strCache>
            </c:strRef>
          </c:cat>
          <c:val>
            <c:numRef>
              <c:f>Sheet1!$B$2:$B$3</c:f>
              <c:numCache>
                <c:formatCode>General</c:formatCode>
                <c:ptCount val="2"/>
                <c:pt idx="0">
                  <c:v>289.9</c:v>
                </c:pt>
                <c:pt idx="1">
                  <c:v>1742.82</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tx1">
                  <a:lumMod val="75000"/>
                  <a:lumOff val="25000"/>
                </a:schemeClr>
              </a:solidFill>
              <a:latin typeface="+mn-lt"/>
              <a:ea typeface="+mn-ea"/>
              <a:cs typeface="+mn-cs"/>
            </a:defRPr>
          </a:pPr>
        </a:p>
      </c:txPr>
    </c:title>
    <c:autoTitleDeleted val="0"/>
    <c:plotArea>
      <c:layout/>
      <c:barChart>
        <c:barDir val="col"/>
        <c:grouping val="clustered"/>
        <c:varyColors val="0"/>
        <c:ser>
          <c:idx val="0"/>
          <c:order val="0"/>
          <c:tx>
            <c:strRef>
              <c:f>Sheet1!$B$1</c:f>
              <c:strCache>
                <c:ptCount val="1"/>
                <c:pt idx="0">
                  <c:v>一般公共预算财政拨款支出决算变动情况</c:v>
                </c:pt>
              </c:strCache>
            </c:strRef>
          </c:tx>
          <c:spPr>
            <a:solidFill>
              <a:schemeClr val="accent1"/>
            </a:solidFill>
            <a:ln>
              <a:noFill/>
            </a:ln>
            <a:effectLst/>
          </c:spPr>
          <c:invertIfNegative val="0"/>
          <c:dPt>
            <c:idx val="0"/>
            <c:invertIfNegative val="0"/>
            <c:bubble3D val="0"/>
            <c:spPr>
              <a:gradFill>
                <a:gsLst>
                  <a:gs pos="50000">
                    <a:schemeClr val="accent2"/>
                  </a:gs>
                  <a:gs pos="0">
                    <a:schemeClr val="accent2">
                      <a:lumMod val="25000"/>
                      <a:lumOff val="75000"/>
                    </a:schemeClr>
                  </a:gs>
                  <a:gs pos="100000">
                    <a:schemeClr val="accent2">
                      <a:lumMod val="85000"/>
                    </a:schemeClr>
                  </a:gs>
                </a:gsLst>
                <a:lin ang="5400000" scaled="1"/>
              </a:gradFill>
              <a:ln>
                <a:noFill/>
              </a:ln>
              <a:effectLst/>
            </c:spPr>
          </c:dPt>
          <c:dPt>
            <c:idx val="1"/>
            <c:invertIfNegative val="0"/>
            <c:bubble3D val="0"/>
            <c:spPr>
              <a:gradFill>
                <a:gsLst>
                  <a:gs pos="50000">
                    <a:schemeClr val="accent2"/>
                  </a:gs>
                  <a:gs pos="0">
                    <a:schemeClr val="accent2">
                      <a:lumMod val="25000"/>
                      <a:lumOff val="75000"/>
                    </a:schemeClr>
                  </a:gs>
                  <a:gs pos="100000">
                    <a:schemeClr val="accent2">
                      <a:lumMod val="85000"/>
                    </a:schemeClr>
                  </a:gs>
                </a:gsLst>
                <a:lin ang="5400000" scaled="1"/>
              </a:gradFill>
              <a:ln>
                <a:no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2023年</c:v>
                </c:pt>
                <c:pt idx="1">
                  <c:v>2024年</c:v>
                </c:pt>
              </c:strCache>
            </c:strRef>
          </c:cat>
          <c:val>
            <c:numRef>
              <c:f>Sheet1!$B$2:$B$3</c:f>
              <c:numCache>
                <c:formatCode>General</c:formatCode>
                <c:ptCount val="2"/>
                <c:pt idx="0">
                  <c:v>1928.26</c:v>
                </c:pt>
                <c:pt idx="1">
                  <c:v>2032.73</c:v>
                </c:pt>
              </c:numCache>
            </c:numRef>
          </c:val>
        </c:ser>
        <c:dLbls>
          <c:showLegendKey val="0"/>
          <c:showVal val="1"/>
          <c:showCatName val="0"/>
          <c:showSerName val="0"/>
          <c:showPercent val="0"/>
          <c:showBubbleSize val="0"/>
        </c:dLbls>
        <c:gapWidth val="246"/>
        <c:overlap val="-28"/>
        <c:axId val="463058090"/>
        <c:axId val="295085342"/>
      </c:barChart>
      <c:catAx>
        <c:axId val="463058090"/>
        <c:scaling>
          <c:orientation val="minMax"/>
        </c:scaling>
        <c:delete val="0"/>
        <c:axPos val="b"/>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95085342"/>
        <c:crosses val="autoZero"/>
        <c:auto val="1"/>
        <c:lblAlgn val="ctr"/>
        <c:lblOffset val="100"/>
        <c:noMultiLvlLbl val="0"/>
      </c:catAx>
      <c:valAx>
        <c:axId val="295085342"/>
        <c:scaling>
          <c:orientation val="minMax"/>
        </c:scaling>
        <c:delete val="0"/>
        <c:axPos val="l"/>
        <c:numFmt formatCode="General" sourceLinked="1"/>
        <c:majorTickMark val="out"/>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6305809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forceAA="0"/>
          <a:lstStyle/>
          <a:p>
            <a:pPr defTabSz="914400">
              <a:defRPr lang="zh-CN" sz="1200" b="0" i="0" u="none" strike="noStrike" kern="120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r>
              <a:rPr sz="1200"/>
              <a:t>一般公共预算财政拨款支出决算结构</a:t>
            </a:r>
            <a:endParaRPr sz="1200"/>
          </a:p>
        </c:rich>
      </c:tx>
      <c:layout>
        <c:manualLayout>
          <c:xMode val="edge"/>
          <c:yMode val="edge"/>
          <c:x val="0.224229408792319"/>
          <c:y val="0.897935779816514"/>
        </c:manualLayout>
      </c:layout>
      <c:overlay val="0"/>
      <c:spPr>
        <a:noFill/>
        <a:ln>
          <a:noFill/>
        </a:ln>
        <a:effectLst/>
      </c:spPr>
    </c:title>
    <c:autoTitleDeleted val="0"/>
    <c:plotArea>
      <c:layout/>
      <c:pieChart>
        <c:varyColors val="1"/>
        <c:ser>
          <c:idx val="0"/>
          <c:order val="0"/>
          <c:tx>
            <c:strRef>
              <c:f>Sheet1!$B$1</c:f>
              <c:strCache>
                <c:ptCount val="1"/>
                <c:pt idx="0">
                  <c:v>一般公共预算财政拨款支出决算结构</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Pt>
            <c:idx val="4"/>
            <c:bubble3D val="0"/>
            <c:spPr>
              <a:solidFill>
                <a:schemeClr val="accent5"/>
              </a:solidFill>
              <a:ln>
                <a:solidFill>
                  <a:schemeClr val="bg1"/>
                </a:solidFill>
              </a:ln>
              <a:effectLst/>
            </c:spPr>
          </c:dPt>
          <c:dLbls>
            <c:dLbl>
              <c:idx val="0"/>
              <c:layout>
                <c:manualLayout>
                  <c:x val="-0.0790803436078828"/>
                  <c:y val="-0.137614678899083"/>
                </c:manualLayout>
              </c:layout>
              <c:dLblPos val="bestFit"/>
              <c:showLegendKey val="0"/>
              <c:showVal val="1"/>
              <c:showCatName val="1"/>
              <c:showSerName val="0"/>
              <c:showPercent val="0"/>
              <c:showBubbleSize val="0"/>
              <c:separator>
</c:separator>
              <c:extLst>
                <c:ext xmlns:c15="http://schemas.microsoft.com/office/drawing/2012/chart" uri="{CE6537A1-D6FC-4f65-9D91-7224C49458BB}">
                  <c15:layout/>
                </c:ext>
              </c:extLst>
            </c:dLbl>
            <c:dLbl>
              <c:idx val="4"/>
              <c:layout>
                <c:manualLayout>
                  <c:x val="0.181910055583628"/>
                  <c:y val="0.0642201834862385"/>
                </c:manualLayout>
              </c:layout>
              <c:dLblPos val="bestFit"/>
              <c:showLegendKey val="0"/>
              <c:showVal val="1"/>
              <c:showCatName val="1"/>
              <c:showSerName val="0"/>
              <c:showPercent val="0"/>
              <c:showBubbleSize val="0"/>
              <c:separator>
</c:separator>
              <c:extLst>
                <c:ext xmlns:c15="http://schemas.microsoft.com/office/drawing/2012/chart" uri="{CE6537A1-D6FC-4f65-9D91-7224C49458BB}">
                  <c15:layout/>
                </c:ext>
              </c:extLst>
            </c:dLbl>
            <c:numFmt formatCode="General" sourceLinked="1"/>
            <c:spPr>
              <a:noFill/>
              <a:ln>
                <a:noFill/>
              </a:ln>
              <a:effectLst/>
            </c:spPr>
            <c:txPr>
              <a:bodyPr rot="0" spcFirstLastPara="0" vertOverflow="ellipsis" vert="horz" wrap="square" lIns="38100" tIns="19050" rIns="38100" bIns="19050" anchor="ctr" anchorCtr="1" forceAA="0"/>
              <a:lstStyle/>
              <a:p>
                <a:pPr>
                  <a:defRPr lang="zh-CN" sz="1000" b="0" i="0" u="none" strike="noStrike" kern="120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LblPos val="outEnd"/>
            <c:showLegendKey val="0"/>
            <c:showVal val="1"/>
            <c:showCatName val="1"/>
            <c:showSerName val="0"/>
            <c:showPercent val="0"/>
            <c:showBubbleSize val="0"/>
            <c:separator>
</c:separator>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社会保障和就业支出</c:v>
                </c:pt>
                <c:pt idx="1">
                  <c:v>卫生健康支出</c:v>
                </c:pt>
                <c:pt idx="2">
                  <c:v>农林水支出</c:v>
                </c:pt>
                <c:pt idx="3">
                  <c:v>资源勘探工业信息等支出</c:v>
                </c:pt>
                <c:pt idx="4">
                  <c:v>住房保障支出</c:v>
                </c:pt>
              </c:strCache>
            </c:strRef>
          </c:cat>
          <c:val>
            <c:numRef>
              <c:f>Sheet1!$B$2:$B$6</c:f>
              <c:numCache>
                <c:formatCode>General</c:formatCode>
                <c:ptCount val="5"/>
                <c:pt idx="0">
                  <c:v>1597.42</c:v>
                </c:pt>
                <c:pt idx="1">
                  <c:v>16.94</c:v>
                </c:pt>
                <c:pt idx="2">
                  <c:v>366.05</c:v>
                </c:pt>
                <c:pt idx="3">
                  <c:v>31.02</c:v>
                </c:pt>
                <c:pt idx="4" c:formatCode="0.00_ ">
                  <c:v>21.3</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forceAA="0"/>
        <a:lstStyle/>
        <a:p>
          <a:pPr>
            <a:defRPr lang="zh-CN" sz="900" b="0" i="0" u="none" strike="noStrike" kern="1200" baseline="0">
              <a:solidFill>
                <a:schemeClr val="tx1">
                  <a:lumMod val="65000"/>
                  <a:lumOff val="3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legend>
    <c:plotVisOnly val="1"/>
    <c:dispBlanksAs val="gap"/>
    <c:showDLblsOverMax val="0"/>
  </c:chart>
  <c:spPr>
    <a:solidFill>
      <a:schemeClr val="bg1"/>
    </a:solidFill>
    <a:ln w="6350" cap="flat" cmpd="sng" algn="ctr">
      <a:solidFill>
        <a:schemeClr val="tx1">
          <a:lumMod val="50000"/>
          <a:lumOff val="50000"/>
          <a:alpha val="25000"/>
        </a:schemeClr>
      </a:solidFill>
      <a:round/>
    </a:ln>
    <a:effectLst/>
  </c:spPr>
  <c:txPr>
    <a:bodyPr/>
    <a:lstStyle/>
    <a:p>
      <a:pPr>
        <a:defRPr lang="zh-CN">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withinLinear" id="15">
  <a:schemeClr val="accent2"/>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83">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83">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word/theme/themeOverride1.xml><?xml version="1.0" encoding="utf-8"?>
<a:themeOverride xmlns:a="http://schemas.openxmlformats.org/drawingml/2006/main">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67</Pages>
  <Words>12777</Words>
  <Characters>13787</Characters>
  <Lines>61</Lines>
  <Paragraphs>17</Paragraphs>
  <TotalTime>33</TotalTime>
  <ScaleCrop>false</ScaleCrop>
  <LinksUpToDate>false</LinksUpToDate>
  <CharactersWithSpaces>13888</CharactersWithSpaces>
  <Application>WPS Office_11.1.0.10702_F1E327BC-269C-435d-A152-05C5408002CA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2020-08-10T09:49:00Z</dcterms:created>
  <dc:creator>曹颖</dc:creator>
  <cp:lastModifiedBy>user</cp:lastModifiedBy>
  <cp:lastPrinted>2025-09-17T23:42:00Z</cp:lastPrinted>
  <dcterms:modified xsi:type="dcterms:W3CDTF">2025-09-19T11:49:48Z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2052-11.1.0.10702</vt:lpwstr>
  </property>
  <property fmtid="{D5CDD505-2E9C-101B-9397-08002B2CF9AE}" pid="3" name="ICV">
    <vt:lpwstr>B82D9B1318EE4A928F9EB880939F7281_13</vt:lpwstr>
  </property>
  <property fmtid="{D5CDD505-2E9C-101B-9397-08002B2CF9AE}" pid="4" name="KSOTemplateDocerSaveRecord">
    <vt:lpwstr>eyJoZGlkIjoiMGY0ZDQ0NjI3YzliYmI5ZDliOWFiZmIzNDA0OWI0MmYiLCJ1c2VySWQiOiIxNDcwNDQ1MjcyIn0=</vt:lpwstr>
  </property>
</Properties>
</file>