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77193"/>
      <w:bookmarkStart w:id="3" w:name="_Toc15396597"/>
      <w:bookmarkStart w:id="4" w:name="_Toc15396475"/>
      <w:bookmarkStart w:id="5" w:name="_Toc15377425"/>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w:t>
      </w:r>
      <w:r>
        <w:rPr>
          <w:rFonts w:hint="eastAsia" w:ascii="Times New Roman" w:eastAsia="方正小标宋简体" w:cs="Times New Roman"/>
          <w:color w:val="auto"/>
          <w:kern w:val="2"/>
          <w:sz w:val="44"/>
          <w:szCs w:val="44"/>
          <w:highlight w:val="none"/>
          <w:lang w:val="en-US" w:eastAsia="zh-CN" w:bidi="ar-SA"/>
        </w:rPr>
        <w:t>度</w:t>
      </w:r>
      <w:r>
        <w:rPr>
          <w:rFonts w:hint="eastAsia" w:ascii="方正小标宋简体" w:hAnsi="宋体" w:eastAsia="方正小标宋简体" w:cs="Times New Roman"/>
          <w:color w:val="auto"/>
          <w:kern w:val="2"/>
          <w:sz w:val="44"/>
          <w:szCs w:val="44"/>
          <w:highlight w:val="none"/>
          <w:lang w:val="en-US" w:eastAsia="zh-CN" w:bidi="ar-SA"/>
        </w:rPr>
        <w:t>四川省阿坝州</w:t>
      </w:r>
    </w:p>
    <w:p>
      <w:pPr>
        <w:pStyle w:val="6"/>
        <w:jc w:val="center"/>
        <w:rPr>
          <w:rFonts w:hint="default"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茂县</w:t>
      </w:r>
      <w:bookmarkStart w:id="6" w:name="_Toc30729"/>
      <w:bookmarkStart w:id="7" w:name="_Toc14464"/>
      <w:r>
        <w:rPr>
          <w:rFonts w:hint="eastAsia" w:ascii="方正小标宋简体" w:hAnsi="宋体" w:eastAsia="方正小标宋简体" w:cs="Times New Roman"/>
          <w:color w:val="auto"/>
          <w:kern w:val="2"/>
          <w:sz w:val="44"/>
          <w:szCs w:val="44"/>
          <w:highlight w:val="none"/>
          <w:lang w:val="en-US" w:eastAsia="zh-CN" w:bidi="ar-SA"/>
        </w:rPr>
        <w:t>就业服务中心（事业）决算</w:t>
      </w:r>
      <w:bookmarkEnd w:id="6"/>
      <w:r>
        <w:rPr>
          <w:rFonts w:hint="eastAsia" w:ascii="方正小标宋简体" w:hAnsi="宋体" w:eastAsia="方正小标宋简体" w:cs="Times New Roman"/>
          <w:color w:val="auto"/>
          <w:kern w:val="2"/>
          <w:sz w:val="44"/>
          <w:szCs w:val="44"/>
          <w:highlight w:val="none"/>
          <w:lang w:val="en-US" w:eastAsia="zh-CN" w:bidi="ar-SA"/>
        </w:rPr>
        <w:t>公开报告</w:t>
      </w:r>
      <w:bookmarkEnd w:id="7"/>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p>
      <w:pPr>
        <w:spacing w:line="600" w:lineRule="exact"/>
        <w:jc w:val="center"/>
        <w:outlineLvl w:val="0"/>
        <w:rPr>
          <w:rFonts w:ascii="Times New Roman" w:hAnsi="Times New Roman" w:eastAsia="方正小标宋简体"/>
          <w:color w:val="auto"/>
          <w:sz w:val="72"/>
          <w:szCs w:val="72"/>
          <w:highlight w:val="none"/>
        </w:rPr>
      </w:pPr>
    </w:p>
    <w:p>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tabs>
          <w:tab w:val="center" w:pos="4213"/>
          <w:tab w:val="left" w:pos="7447"/>
        </w:tabs>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r>
        <w:rPr>
          <w:rFonts w:hint="default" w:ascii="Times New Roman" w:hAnsi="Times New Roman" w:eastAsia="仿宋_GB2312" w:cs="仿宋_GB2312"/>
          <w:color w:val="auto"/>
          <w:sz w:val="32"/>
          <w:szCs w:val="32"/>
          <w:highlight w:val="none"/>
          <w:lang w:eastAsia="zh-CN"/>
        </w:rPr>
        <w:t>5</w:t>
      </w:r>
      <w:bookmarkStart w:id="83" w:name="_GoBack"/>
      <w:bookmarkEnd w:id="83"/>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r>
        <w:rPr>
          <w:rFonts w:hint="eastAsia" w:ascii="Times New Roman" w:hAnsi="Times New Roman" w:eastAsia="仿宋_GB2312" w:cs="仿宋_GB2312"/>
          <w:color w:val="auto"/>
          <w:sz w:val="32"/>
          <w:szCs w:val="32"/>
          <w:highlight w:val="none"/>
          <w:lang w:eastAsia="zh-CN"/>
        </w:rPr>
        <w:tab/>
      </w:r>
    </w:p>
    <w:p>
      <w:pPr>
        <w:tabs>
          <w:tab w:val="left" w:pos="6880"/>
        </w:tabs>
        <w:rPr>
          <w:rFonts w:hint="eastAsia" w:ascii="Times New Roman" w:hAnsi="Times New Roman" w:eastAsia="宋体"/>
          <w:color w:val="auto"/>
          <w:highlight w:val="none"/>
          <w:lang w:eastAsia="zh-CN"/>
        </w:rPr>
      </w:pPr>
      <w:r>
        <w:rPr>
          <w:rFonts w:hint="eastAsia"/>
          <w:color w:val="auto"/>
          <w:highlight w:val="none"/>
          <w:lang w:eastAsia="zh-CN"/>
        </w:rPr>
        <w:tab/>
      </w:r>
    </w:p>
    <w:sdt>
      <w:sdtPr>
        <w:rPr>
          <w:rFonts w:ascii="宋体" w:hAnsi="宋体" w:eastAsia="宋体" w:cs="Times New Roman"/>
          <w:kern w:val="2"/>
          <w:sz w:val="21"/>
          <w:szCs w:val="24"/>
          <w:lang w:val="en-US" w:eastAsia="zh-CN" w:bidi="ar-SA"/>
        </w:rPr>
        <w:id w:val="14745932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_Toc6478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_Toc6478 \h </w:instrText>
          </w:r>
          <w:r>
            <w:fldChar w:fldCharType="separate"/>
          </w:r>
          <w:r>
            <w:t>- 3 -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_Toc918 </w:instrText>
          </w:r>
          <w:r>
            <w:fldChar w:fldCharType="separate"/>
          </w:r>
          <w:r>
            <w:rPr>
              <w:rFonts w:hint="eastAsia" w:ascii="Times New Roman" w:hAnsi="Times New Roman" w:eastAsia="黑体"/>
              <w:lang w:eastAsia="zh-CN"/>
            </w:rPr>
            <w:t>一、</w:t>
          </w:r>
          <w:r>
            <w:rPr>
              <w:rFonts w:hint="eastAsia" w:ascii="Times New Roman" w:hAnsi="Times New Roman" w:eastAsia="黑体"/>
              <w:highlight w:val="none"/>
              <w:lang w:eastAsia="zh-CN"/>
            </w:rPr>
            <w:t>部门职责</w:t>
          </w:r>
          <w:r>
            <w:tab/>
          </w:r>
          <w:r>
            <w:fldChar w:fldCharType="begin"/>
          </w:r>
          <w:r>
            <w:instrText xml:space="preserve"> PAGEREF _Toc918 \h </w:instrText>
          </w:r>
          <w:r>
            <w:fldChar w:fldCharType="separate"/>
          </w:r>
          <w:r>
            <w:t>- 3 -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_Toc9559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_Toc9559 \h </w:instrText>
          </w:r>
          <w:r>
            <w:fldChar w:fldCharType="separate"/>
          </w:r>
          <w:r>
            <w:t>- 3 -</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_Toc18998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_Toc18998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_Toc31076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_Toc31076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_Toc14317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_Toc14317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_Toc19927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_Toc19927 \h </w:instrText>
          </w:r>
          <w:r>
            <w:fldChar w:fldCharType="separate"/>
          </w:r>
          <w:r>
            <w:t>- 6 -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_Toc7050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_Toc7050 \h </w:instrText>
          </w:r>
          <w:r>
            <w:fldChar w:fldCharType="separate"/>
          </w:r>
          <w:r>
            <w:t>- 6 -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_Toc7752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_Toc7752 \h </w:instrText>
          </w:r>
          <w:r>
            <w:fldChar w:fldCharType="separate"/>
          </w:r>
          <w:r>
            <w:t>- 7 -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_Toc5032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_Toc5032 \h </w:instrText>
          </w:r>
          <w:r>
            <w:fldChar w:fldCharType="separate"/>
          </w:r>
          <w:r>
            <w:t>- 9 -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_Toc23596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_Toc23596 \h </w:instrText>
          </w:r>
          <w:r>
            <w:fldChar w:fldCharType="separate"/>
          </w:r>
          <w:r>
            <w:t>- 10 -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_Toc25702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_Toc25702 \h </w:instrText>
          </w:r>
          <w:r>
            <w:fldChar w:fldCharType="separate"/>
          </w:r>
          <w:r>
            <w:t>- 12 -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_Toc21334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_Toc21334 \h </w:instrText>
          </w:r>
          <w:r>
            <w:fldChar w:fldCharType="separate"/>
          </w:r>
          <w:r>
            <w:t>- 12 -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_Toc10463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_Toc10463 \h </w:instrText>
          </w:r>
          <w:r>
            <w:fldChar w:fldCharType="separate"/>
          </w:r>
          <w:r>
            <w:t>- 12 -</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_Toc21927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_Toc21927 \h </w:instrText>
          </w:r>
          <w:r>
            <w:fldChar w:fldCharType="separate"/>
          </w:r>
          <w:r>
            <w:t>- 14 -</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jc w:val="both"/>
            <w:textAlignment w:val="auto"/>
          </w:pPr>
          <w:r>
            <w:fldChar w:fldCharType="begin"/>
          </w:r>
          <w:r>
            <w:instrText xml:space="preserve"> HYPERLINK \l _Toc18907 </w:instrText>
          </w:r>
          <w:r>
            <w:fldChar w:fldCharType="separate"/>
          </w:r>
          <w:r>
            <w:rPr>
              <w:rFonts w:hint="eastAsia" w:ascii="黑体" w:hAnsi="黑体" w:eastAsia="黑体" w:cs="黑体"/>
              <w:lang w:val="en-US" w:eastAsia="zh-CN"/>
            </w:rPr>
            <w:t>第四部分  附件</w:t>
          </w:r>
          <w:r>
            <w:tab/>
          </w:r>
          <w:r>
            <w:fldChar w:fldCharType="begin"/>
          </w:r>
          <w:r>
            <w:instrText xml:space="preserve"> PAGEREF _Toc18907 \h </w:instrText>
          </w:r>
          <w:r>
            <w:fldChar w:fldCharType="separate"/>
          </w:r>
          <w:r>
            <w:t>- 1</w:t>
          </w:r>
          <w:r>
            <w:rPr>
              <w:rFonts w:hint="eastAsia"/>
              <w:lang w:val="en-US" w:eastAsia="zh-CN"/>
            </w:rPr>
            <w:t>8</w:t>
          </w:r>
          <w:r>
            <w:t xml:space="preserve"> -</w:t>
          </w:r>
          <w:r>
            <w:fldChar w:fldCharType="end"/>
          </w:r>
          <w: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_Toc13703 </w:instrText>
          </w:r>
          <w:r>
            <w:fldChar w:fldCharType="separate"/>
          </w:r>
          <w:r>
            <w:rPr>
              <w:rFonts w:hint="eastAsia" w:eastAsia="黑体" w:cs="黑体"/>
              <w:szCs w:val="32"/>
              <w:highlight w:val="none"/>
              <w:lang w:val="en-US" w:eastAsia="zh-CN"/>
            </w:rPr>
            <w:t>第五部分  附表</w:t>
          </w:r>
          <w:r>
            <w:tab/>
          </w:r>
          <w:r>
            <w:fldChar w:fldCharType="begin"/>
          </w:r>
          <w:r>
            <w:instrText xml:space="preserve"> PAGEREF _Toc13703 \h </w:instrText>
          </w:r>
          <w:r>
            <w:fldChar w:fldCharType="separate"/>
          </w:r>
          <w:r>
            <w:t>- 1</w:t>
          </w:r>
          <w:r>
            <w:rPr>
              <w:rFonts w:hint="eastAsia"/>
              <w:lang w:val="en-US" w:eastAsia="zh-CN"/>
            </w:rPr>
            <w:t>9</w:t>
          </w:r>
          <w:r>
            <w:t xml:space="preserve"> -</w:t>
          </w:r>
          <w:r>
            <w:fldChar w:fldCharType="end"/>
          </w:r>
          <w:r>
            <w:fldChar w:fldCharType="end"/>
          </w:r>
        </w:p>
        <w:p/>
        <w:p>
          <w:pPr>
            <w:pStyle w:val="2"/>
          </w:pPr>
        </w:p>
        <w:p>
          <w:r>
            <w:fldChar w:fldCharType="end"/>
          </w:r>
        </w:p>
      </w:sdtContent>
    </w:sdt>
    <w:p>
      <w:pPr>
        <w:pStyle w:val="15"/>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tabs>
          <w:tab w:val="left" w:pos="6113"/>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eastAsia="zh-CN"/>
        </w:rPr>
        <w:tab/>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8" w:name="_Toc15396599"/>
      <w:bookmarkStart w:id="9" w:name="_Toc15377196"/>
      <w:r>
        <w:rPr>
          <w:rFonts w:hint="eastAsia" w:ascii="Times New Roman" w:hAnsi="Times New Roman" w:eastAsia="仿宋_GB2312" w:cs="仿宋_GB2312"/>
          <w:b/>
          <w:color w:val="auto"/>
          <w:sz w:val="32"/>
          <w:szCs w:val="32"/>
          <w:highlight w:val="none"/>
        </w:rPr>
        <w:br w:type="page"/>
      </w:r>
    </w:p>
    <w:p>
      <w:pPr>
        <w:pStyle w:val="3"/>
        <w:jc w:val="center"/>
        <w:rPr>
          <w:rFonts w:ascii="Times New Roman" w:hAnsi="Times New Roman" w:eastAsia="黑体"/>
          <w:color w:val="auto"/>
          <w:sz w:val="32"/>
          <w:szCs w:val="32"/>
          <w:highlight w:val="none"/>
        </w:rPr>
      </w:pPr>
      <w:bookmarkStart w:id="10" w:name="_Toc6478"/>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8"/>
      <w:bookmarkEnd w:id="9"/>
      <w:bookmarkEnd w:id="10"/>
    </w:p>
    <w:p>
      <w:pPr>
        <w:numPr>
          <w:ilvl w:val="0"/>
          <w:numId w:val="0"/>
        </w:numPr>
        <w:ind w:firstLine="642" w:firstLineChars="200"/>
        <w:rPr>
          <w:rFonts w:hint="eastAsia" w:ascii="仿宋_GB2312" w:eastAsia="仿宋_GB2312"/>
          <w:b/>
          <w:bCs/>
          <w:sz w:val="32"/>
          <w:szCs w:val="32"/>
          <w:shd w:val="clear" w:color="auto" w:fill="FFFFFF"/>
          <w:lang w:val="en-US" w:eastAsia="zh-CN"/>
        </w:rPr>
      </w:pPr>
      <w:bookmarkStart w:id="11" w:name="_Toc918"/>
      <w:bookmarkStart w:id="12" w:name="_Toc9559"/>
      <w:bookmarkStart w:id="13" w:name="_Toc15396601"/>
      <w:bookmarkStart w:id="14" w:name="_Toc15377200"/>
      <w:r>
        <w:rPr>
          <w:rFonts w:hint="eastAsia" w:ascii="黑体" w:hAnsi="黑体" w:eastAsia="黑体" w:cs="黑体"/>
          <w:b/>
          <w:bCs/>
          <w:sz w:val="32"/>
          <w:szCs w:val="32"/>
          <w:shd w:val="clear" w:color="auto" w:fill="FFFFFF"/>
          <w:lang w:val="en-US" w:eastAsia="zh-CN"/>
        </w:rPr>
        <w:t>一、部门职责</w:t>
      </w:r>
      <w:bookmarkEnd w:id="11"/>
    </w:p>
    <w:p>
      <w:pPr>
        <w:numPr>
          <w:ilvl w:val="0"/>
          <w:numId w:val="0"/>
        </w:numPr>
        <w:ind w:firstLine="640" w:firstLineChars="200"/>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1.全面贯彻落实党和政府促进就业创业的方针政策及各项扶持政策，为城乡劳动者提供就业政策法规咨询，职业供求信息以及职业培训信息发布，职业指导和职业介绍。</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免费为城乡劳动者开展创业培训、技能培训等职业技能培训。</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以创业带动就业，全面落实</w:t>
      </w:r>
      <w:r>
        <w:rPr>
          <w:rFonts w:hint="eastAsia" w:ascii="仿宋_GB2312" w:eastAsia="仿宋_GB2312"/>
          <w:sz w:val="32"/>
          <w:szCs w:val="32"/>
          <w:lang w:eastAsia="zh-CN"/>
        </w:rPr>
        <w:t>创业</w:t>
      </w:r>
      <w:r>
        <w:rPr>
          <w:rFonts w:hint="eastAsia" w:ascii="仿宋_GB2312" w:eastAsia="仿宋_GB2312"/>
          <w:sz w:val="32"/>
          <w:szCs w:val="32"/>
        </w:rPr>
        <w:t>担保</w:t>
      </w:r>
      <w:r>
        <w:rPr>
          <w:rFonts w:hint="eastAsia" w:ascii="仿宋_GB2312" w:eastAsia="仿宋_GB2312"/>
          <w:sz w:val="32"/>
          <w:szCs w:val="32"/>
          <w:shd w:val="clear" w:color="auto" w:fill="FFFFFF"/>
        </w:rPr>
        <w:t>贷款贴息、社保补贴等扶持政策，促使各类失业人员通过从事个体经营、自谋职业、灵活就业、创办企业带动和吸纳就业。</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做好未就业高校毕业生参加就业见习和自主创业工作，落实好高校毕业生创业补贴政策。</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按照中央关于推动家庭服务业发展促进就业的方针政策，落实各项扶持政策，促进和带动更多的城乡劳动者通过从事家庭服务业实现就业，大力开发公益性岗位，落实岗位补贴及社保补贴。</w:t>
      </w:r>
    </w:p>
    <w:p>
      <w:pPr>
        <w:numPr>
          <w:ilvl w:val="0"/>
          <w:numId w:val="0"/>
        </w:numPr>
        <w:ind w:firstLine="640" w:firstLineChars="200"/>
        <w:rPr>
          <w:rFonts w:hint="eastAsia"/>
          <w:lang w:eastAsia="zh-CN"/>
        </w:rPr>
      </w:pP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促进有劳动能力、有就业愿望的所有劳动者实现充分就业。</w:t>
      </w:r>
      <w:r>
        <w:rPr>
          <w:rFonts w:hint="eastAsia" w:ascii="仿宋_GB2312" w:eastAsia="仿宋_GB2312"/>
          <w:sz w:val="32"/>
          <w:szCs w:val="32"/>
        </w:rPr>
        <w:t>对就业困难人员实施就业援助，办理就业、失业登记等各项公共就业服务。</w:t>
      </w:r>
    </w:p>
    <w:bookmarkEnd w:id="12"/>
    <w:bookmarkEnd w:id="13"/>
    <w:bookmarkEnd w:id="14"/>
    <w:p>
      <w:pPr>
        <w:pStyle w:val="6"/>
        <w:adjustRightInd w:val="0"/>
        <w:snapToGrid w:val="0"/>
        <w:spacing w:before="93" w:line="600" w:lineRule="exact"/>
        <w:ind w:firstLine="1124" w:firstLineChars="350"/>
        <w:rPr>
          <w:rFonts w:hint="eastAsia" w:ascii="仿宋" w:hAnsi="仿宋" w:eastAsia="仿宋"/>
          <w:b/>
          <w:bCs/>
          <w:color w:val="auto"/>
          <w:sz w:val="32"/>
          <w:szCs w:val="32"/>
          <w:highlight w:val="none"/>
        </w:rPr>
      </w:pPr>
    </w:p>
    <w:p>
      <w:pPr>
        <w:pStyle w:val="6"/>
        <w:adjustRightInd w:val="0"/>
        <w:snapToGrid w:val="0"/>
        <w:spacing w:before="93" w:line="600" w:lineRule="exact"/>
        <w:ind w:firstLine="1124" w:firstLineChars="350"/>
        <w:rPr>
          <w:rFonts w:hint="eastAsia" w:ascii="仿宋" w:hAnsi="仿宋" w:eastAsia="仿宋"/>
          <w:b/>
          <w:bCs/>
          <w:color w:val="auto"/>
          <w:sz w:val="32"/>
          <w:szCs w:val="32"/>
          <w:highlight w:val="none"/>
        </w:rPr>
      </w:pPr>
    </w:p>
    <w:p>
      <w:pPr>
        <w:pStyle w:val="6"/>
        <w:adjustRightInd w:val="0"/>
        <w:snapToGrid w:val="0"/>
        <w:spacing w:before="93" w:line="600" w:lineRule="exact"/>
        <w:ind w:firstLine="642"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二、机构设置</w:t>
      </w:r>
    </w:p>
    <w:p>
      <w:pPr>
        <w:pStyle w:val="6"/>
        <w:adjustRightInd w:val="0"/>
        <w:snapToGrid w:val="0"/>
        <w:spacing w:before="93" w:line="600" w:lineRule="exact"/>
        <w:ind w:firstLine="640" w:firstLineChars="200"/>
        <w:rPr>
          <w:rFonts w:hint="eastAsia" w:ascii="Times New Roman" w:hAnsi="Times New Roman" w:eastAsia="仿宋_GB2312" w:cs="仿宋_GB2312"/>
          <w:color w:val="auto"/>
          <w:sz w:val="32"/>
          <w:szCs w:val="32"/>
          <w:highlight w:val="none"/>
        </w:rPr>
      </w:pPr>
      <w:r>
        <w:rPr>
          <w:rFonts w:hint="eastAsia" w:ascii="仿宋" w:hAnsi="仿宋" w:eastAsia="仿宋"/>
          <w:color w:val="auto"/>
          <w:sz w:val="32"/>
          <w:szCs w:val="32"/>
          <w:highlight w:val="none"/>
        </w:rPr>
        <w:t>茂县就业服务中心（事业）下属二级预算单位0个，其中行政单位0个，参照公务员法管理的事业单位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ascii="Times New Roman" w:hAnsi="Times New Roman"/>
          <w:color w:val="auto"/>
          <w:highlight w:val="none"/>
        </w:rPr>
      </w:pPr>
      <w:bookmarkStart w:id="15" w:name="_Toc15396602"/>
      <w:bookmarkStart w:id="16" w:name="_Toc18998"/>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31076"/>
      <w:bookmarkStart w:id="19" w:name="_Toc15377205"/>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bookmarkEnd w:id="20"/>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bookmarkStart w:id="21" w:name="_Toc7654"/>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61.62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38.22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38.28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2024年7月因机构改革，事业合并到茂县人力资源和社会保障局。</w:t>
      </w:r>
      <w:bookmarkEnd w:id="21"/>
    </w:p>
    <w:p>
      <w:pPr>
        <w:pStyle w:val="2"/>
        <w:rPr>
          <w:rFonts w:hint="eastAsia" w:ascii="Times New Roman" w:hAnsi="Times New Roman" w:eastAsia="仿宋_GB2312" w:cs="仿宋_GB2312"/>
          <w:color w:val="auto"/>
          <w:sz w:val="32"/>
          <w:szCs w:val="32"/>
          <w:highlight w:val="none"/>
        </w:rPr>
      </w:pPr>
      <w:r>
        <w:rPr>
          <w:rFonts w:hint="eastAsia" w:eastAsia="仿宋_GB2312"/>
          <w:lang w:eastAsia="zh-CN"/>
        </w:rPr>
        <w:drawing>
          <wp:inline distT="0" distB="0" distL="114300" distR="114300">
            <wp:extent cx="5256530" cy="2988310"/>
            <wp:effectExtent l="5080" t="4445" r="11430" b="40005"/>
            <wp:docPr id="1" name="图表 1"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bookmarkStart w:id="24" w:name="_Toc14317"/>
      <w:r>
        <w:rPr>
          <w:rFonts w:hint="eastAsia" w:ascii="Times New Roman" w:hAnsi="Times New Roman" w:eastAsia="黑体"/>
          <w:color w:val="auto"/>
          <w:sz w:val="32"/>
          <w:szCs w:val="32"/>
          <w:highlight w:val="none"/>
          <w:lang w:eastAsia="zh-CN"/>
        </w:rPr>
        <w:t>二、收入决算情况说明</w:t>
      </w:r>
      <w:bookmarkEnd w:id="22"/>
      <w:bookmarkEnd w:id="23"/>
      <w:bookmarkEnd w:id="24"/>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5" w:name="_Toc14882"/>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61.62万元，其中：一般公共预算财政拨款收入61.62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25"/>
      <w:r>
        <w:rPr>
          <w:rFonts w:hint="eastAsia" w:ascii="仿宋_GB2312" w:hAnsi="仿宋_GB2312" w:eastAsia="仿宋_GB2312" w:cs="仿宋_GB2312"/>
          <w:color w:val="auto"/>
          <w:sz w:val="32"/>
          <w:szCs w:val="32"/>
          <w:highlight w:val="none"/>
          <w:lang w:eastAsia="zh-CN"/>
        </w:rPr>
        <w:t>。</w:t>
      </w:r>
    </w:p>
    <w:p>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7620" cy="3165475"/>
            <wp:effectExtent l="4445" t="4445" r="1333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19927"/>
      <w:bookmarkStart w:id="27" w:name="_Toc15377207"/>
      <w:bookmarkStart w:id="28"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6"/>
      <w:bookmarkEnd w:id="27"/>
      <w:bookmarkEnd w:id="28"/>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9" w:name="_Toc25131"/>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61.62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60.09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97.52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1.53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2.47</w:t>
      </w:r>
      <w:r>
        <w:rPr>
          <w:rFonts w:hint="eastAsia" w:ascii="仿宋_GB2312" w:hAnsi="仿宋_GB2312" w:eastAsia="仿宋_GB2312" w:cs="仿宋_GB2312"/>
          <w:color w:val="auto"/>
          <w:sz w:val="32"/>
          <w:szCs w:val="32"/>
          <w:highlight w:val="none"/>
          <w:lang w:eastAsia="zh-CN"/>
        </w:rPr>
        <w:t>%</w:t>
      </w:r>
      <w:bookmarkEnd w:id="29"/>
      <w:r>
        <w:rPr>
          <w:rFonts w:hint="eastAsia" w:ascii="仿宋_GB2312" w:hAnsi="仿宋_GB2312" w:eastAsia="仿宋_GB2312" w:cs="仿宋_GB2312"/>
          <w:color w:val="auto"/>
          <w:sz w:val="32"/>
          <w:szCs w:val="32"/>
          <w:highlight w:val="none"/>
          <w:lang w:eastAsia="zh-CN"/>
        </w:rPr>
        <w:t>。</w:t>
      </w:r>
    </w:p>
    <w:p>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163185" cy="2338705"/>
            <wp:effectExtent l="4445" t="4445" r="13970" b="19050"/>
            <wp:docPr id="3" name="图表 3"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0"/>
          <w:rFonts w:ascii="Times New Roman" w:hAnsi="Times New Roman" w:eastAsia="黑体"/>
          <w:b w:val="0"/>
          <w:color w:val="auto"/>
          <w:highlight w:val="none"/>
        </w:rPr>
      </w:pPr>
      <w:bookmarkStart w:id="30" w:name="_Toc15396606"/>
      <w:bookmarkStart w:id="31" w:name="_Toc15377208"/>
      <w:bookmarkStart w:id="32" w:name="_Toc7050"/>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0"/>
      <w:bookmarkEnd w:id="31"/>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61.62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万元。与2023年度相比，财政拨款收入、支出总计各减少</w:t>
      </w:r>
      <w:r>
        <w:rPr>
          <w:rFonts w:hint="eastAsia" w:eastAsia="仿宋_GB2312" w:cs="仿宋_GB2312"/>
          <w:color w:val="auto"/>
          <w:kern w:val="2"/>
          <w:sz w:val="32"/>
          <w:szCs w:val="32"/>
          <w:highlight w:val="none"/>
          <w:lang w:val="en-US" w:eastAsia="zh-CN" w:bidi="ar-SA"/>
        </w:rPr>
        <w:t>38.22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38.28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2024年7月因机构改革，事业合并到茂县人力资源和社会保障局。</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pStyle w:val="2"/>
        <w:ind w:left="0" w:leftChars="0" w:firstLine="0" w:firstLineChars="0"/>
        <w:rPr>
          <w:rFonts w:hint="eastAsia"/>
          <w:lang w:val="en-US" w:eastAsia="zh-CN"/>
        </w:rPr>
      </w:pPr>
      <w:r>
        <w:rPr>
          <w:rFonts w:hint="eastAsia"/>
          <w:lang w:val="en-US" w:eastAsia="zh-CN"/>
        </w:rPr>
        <w:drawing>
          <wp:inline distT="0" distB="0" distL="114300" distR="114300">
            <wp:extent cx="5645785" cy="3427095"/>
            <wp:effectExtent l="4445" t="4445" r="19050" b="43180"/>
            <wp:docPr id="5" name="图表 5" descr="7b0a202020202263686172745265734964223a2022323032383430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30"/>
          <w:rFonts w:ascii="Times New Roman" w:hAnsi="Times New Roman" w:eastAsia="黑体"/>
          <w:b w:val="0"/>
          <w:color w:val="auto"/>
          <w:highlight w:val="none"/>
        </w:rPr>
      </w:pPr>
      <w:bookmarkStart w:id="33" w:name="_Toc15377209"/>
      <w:bookmarkStart w:id="34" w:name="_Toc15396607"/>
      <w:bookmarkStart w:id="35" w:name="_Toc775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3"/>
      <w:bookmarkEnd w:id="34"/>
      <w:bookmarkEnd w:id="35"/>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61.62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%。与2023年度相比，一般公共预算财政拨款支出减少38.22万元，下降38.28%。主要变动原因是:</w:t>
      </w:r>
      <w:r>
        <w:rPr>
          <w:rFonts w:hint="eastAsia" w:eastAsia="仿宋_GB2312" w:cs="仿宋_GB2312"/>
          <w:color w:val="auto"/>
          <w:sz w:val="32"/>
          <w:szCs w:val="32"/>
          <w:highlight w:val="none"/>
          <w:lang w:val="en-US" w:eastAsia="zh-CN"/>
        </w:rPr>
        <w:t>2024年7月因机构改革，事业合并到茂县人力资源和社会保障局。</w:t>
      </w:r>
    </w:p>
    <w:p>
      <w:pPr>
        <w:pStyle w:val="2"/>
        <w:rPr>
          <w:rFonts w:hint="eastAsia"/>
          <w:lang w:val="en-US" w:eastAsia="zh-CN"/>
        </w:rPr>
      </w:pPr>
      <w:r>
        <w:rPr>
          <w:rFonts w:hint="eastAsia"/>
          <w:lang w:val="en-US" w:eastAsia="zh-CN"/>
        </w:rPr>
        <w:drawing>
          <wp:inline distT="0" distB="0" distL="114300" distR="114300">
            <wp:extent cx="5256530" cy="2988310"/>
            <wp:effectExtent l="5080" t="4445" r="11430" b="9525"/>
            <wp:docPr id="7" name="图表 7"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61.62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51.89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84.21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6.30</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1.53</w:t>
      </w:r>
      <w:r>
        <w:rPr>
          <w:rFonts w:hint="eastAsia" w:ascii="Times New Roman" w:hAnsi="Times New Roman" w:eastAsia="仿宋_GB2312" w:cs="仿宋_GB2312"/>
          <w:color w:val="auto"/>
          <w:kern w:val="2"/>
          <w:sz w:val="32"/>
          <w:szCs w:val="32"/>
          <w:highlight w:val="none"/>
          <w:lang w:val="en-US" w:eastAsia="zh-CN" w:bidi="ar-SA"/>
        </w:rPr>
        <w:t>万元，占2.48%；住房保障支出</w:t>
      </w:r>
      <w:r>
        <w:rPr>
          <w:rFonts w:hint="eastAsia" w:eastAsia="仿宋_GB2312" w:cs="仿宋_GB2312"/>
          <w:color w:val="auto"/>
          <w:kern w:val="2"/>
          <w:sz w:val="32"/>
          <w:szCs w:val="32"/>
          <w:highlight w:val="none"/>
          <w:lang w:val="en-US" w:eastAsia="zh-CN" w:bidi="ar-SA"/>
        </w:rPr>
        <w:t>4.32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7.01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5256530" cy="2988310"/>
            <wp:effectExtent l="5080" t="4445" r="11430" b="9525"/>
            <wp:docPr id="8" name="图表 8"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9" w:name="_Toc15378460"/>
      <w:bookmarkStart w:id="40" w:name="_Toc15377444"/>
      <w:bookmarkStart w:id="41"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61.62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9"/>
      <w:bookmarkEnd w:id="40"/>
      <w:bookmarkEnd w:id="41"/>
    </w:p>
    <w:p>
      <w:pPr>
        <w:spacing w:line="600" w:lineRule="exact"/>
        <w:ind w:firstLine="642" w:firstLineChars="200"/>
        <w:rPr>
          <w:rFonts w:hint="default" w:ascii="仿宋" w:hAnsi="仿宋" w:eastAsia="仿宋"/>
          <w:b/>
          <w:color w:val="auto"/>
          <w:sz w:val="32"/>
          <w:szCs w:val="32"/>
          <w:highlight w:val="none"/>
          <w:lang w:val="en-US"/>
        </w:rPr>
      </w:pPr>
      <w:r>
        <w:rPr>
          <w:rStyle w:val="18"/>
          <w:rFonts w:ascii="仿宋" w:hAnsi="仿宋" w:eastAsia="仿宋"/>
          <w:bCs/>
          <w:color w:val="auto"/>
          <w:sz w:val="32"/>
          <w:szCs w:val="32"/>
          <w:highlight w:val="none"/>
        </w:rPr>
        <w:t>1.</w:t>
      </w:r>
      <w:r>
        <w:rPr>
          <w:rFonts w:hint="eastAsia" w:ascii="仿宋_GB2312" w:hAnsi="仿宋" w:eastAsia="仿宋_GB2312" w:cs="仿宋"/>
          <w:color w:val="000000"/>
          <w:kern w:val="2"/>
          <w:sz w:val="32"/>
          <w:szCs w:val="32"/>
          <w:lang w:val="en-US" w:eastAsia="zh-CN" w:bidi="ar-SA"/>
        </w:rPr>
        <w:t>社会保障和就业支出（208）人力资源和社会保障管理事务（01）社会保险经办机构（09）支出决算44.02万元，完成预算100%。决算数与预算数持平。</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Fonts w:hint="eastAsia" w:ascii="仿宋_GB2312" w:hAnsi="仿宋" w:eastAsia="仿宋_GB2312" w:cs="仿宋"/>
          <w:color w:val="000000"/>
          <w:kern w:val="2"/>
          <w:sz w:val="32"/>
          <w:szCs w:val="32"/>
          <w:lang w:val="en-US" w:eastAsia="zh-CN" w:bidi="ar-SA"/>
        </w:rPr>
        <w:t>社会保障和就业支出（208）行政事业单位养老支出（05）机关事业单位基本养老保险缴费支出（05）支出决算5.25万元，完成预算100%。决算数与预算数持平。</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Fonts w:hint="eastAsia" w:ascii="仿宋_GB2312" w:hAnsi="仿宋" w:eastAsia="仿宋_GB2312" w:cs="仿宋"/>
          <w:color w:val="000000"/>
          <w:kern w:val="2"/>
          <w:sz w:val="32"/>
          <w:szCs w:val="32"/>
          <w:lang w:val="en-US" w:eastAsia="zh-CN" w:bidi="ar-SA"/>
        </w:rPr>
        <w:t>社会保障和就业支出（208）行政事业单位养老支出（05）机关事业单位职业年金缴费支出（06）支出决算2.62万元，完成预算100%。决算数与预算数持平。</w:t>
      </w:r>
    </w:p>
    <w:p>
      <w:pPr>
        <w:spacing w:line="600" w:lineRule="exact"/>
        <w:ind w:firstLine="642" w:firstLineChars="200"/>
        <w:rPr>
          <w:rStyle w:val="18"/>
          <w:rFonts w:ascii="仿宋" w:hAnsi="仿宋" w:eastAsia="仿宋"/>
          <w:bCs/>
          <w:color w:val="auto"/>
          <w:sz w:val="32"/>
          <w:szCs w:val="32"/>
          <w:highlight w:val="none"/>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Fonts w:hint="eastAsia" w:ascii="仿宋_GB2312" w:hAnsi="仿宋" w:eastAsia="仿宋_GB2312" w:cs="仿宋"/>
          <w:color w:val="000000"/>
          <w:kern w:val="2"/>
          <w:sz w:val="32"/>
          <w:szCs w:val="32"/>
          <w:lang w:val="en-US" w:eastAsia="zh-CN" w:bidi="ar-SA"/>
        </w:rPr>
        <w:t>卫生健康支出（210）行政事业单位医疗（11）事业单位医疗（02）支出决算3.88万元，完成预算100%。决算数与预算数持平。</w:t>
      </w:r>
    </w:p>
    <w:p>
      <w:pPr>
        <w:spacing w:line="600" w:lineRule="exact"/>
        <w:ind w:firstLine="642"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Fonts w:hint="eastAsia" w:ascii="仿宋_GB2312" w:hAnsi="仿宋" w:eastAsia="仿宋_GB2312" w:cs="仿宋"/>
          <w:color w:val="000000"/>
          <w:kern w:val="2"/>
          <w:sz w:val="32"/>
          <w:szCs w:val="32"/>
          <w:lang w:val="en-US" w:eastAsia="zh-CN" w:bidi="ar-SA"/>
        </w:rPr>
        <w:t>农林水支出（213）巩固脱贫攻坚成果衔接乡村振兴（05）其他巩固脱贫攻坚成果衔接乡村振兴支出（99）支出决算1.53万元，完成预算100%。决算数与预算数持平。</w:t>
      </w:r>
    </w:p>
    <w:p>
      <w:pPr>
        <w:spacing w:line="600" w:lineRule="exact"/>
        <w:ind w:firstLine="642" w:firstLineChars="200"/>
        <w:rPr>
          <w:rFonts w:hint="eastAsia" w:ascii="Times New Roman" w:hAnsi="Times New Roman" w:eastAsia="仿宋_GB2312" w:cs="仿宋_GB2312"/>
          <w:color w:val="auto"/>
          <w:kern w:val="2"/>
          <w:sz w:val="32"/>
          <w:szCs w:val="32"/>
          <w:highlight w:val="none"/>
          <w:lang w:val="en-US" w:eastAsia="zh-CN" w:bidi="ar-SA"/>
        </w:rPr>
      </w:pPr>
      <w:r>
        <w:rPr>
          <w:rStyle w:val="18"/>
          <w:rFonts w:ascii="仿宋" w:hAnsi="仿宋" w:eastAsia="仿宋"/>
          <w:bCs/>
          <w:color w:val="auto"/>
          <w:sz w:val="32"/>
          <w:szCs w:val="32"/>
          <w:highlight w:val="none"/>
        </w:rPr>
        <w:t>6.</w:t>
      </w:r>
      <w:r>
        <w:rPr>
          <w:rFonts w:hint="eastAsia" w:ascii="仿宋_GB2312" w:hAnsi="仿宋" w:eastAsia="仿宋_GB2312" w:cs="仿宋"/>
          <w:color w:val="000000"/>
          <w:kern w:val="2"/>
          <w:sz w:val="32"/>
          <w:szCs w:val="32"/>
          <w:lang w:val="en-US" w:eastAsia="zh-CN" w:bidi="ar-SA"/>
        </w:rPr>
        <w:t>住房保障支出（221）住房改革支出（02）住房公积金（01）支出决算4.32万元，完成预算100%。决算数与预算数持平。</w:t>
      </w:r>
    </w:p>
    <w:p>
      <w:pPr>
        <w:tabs>
          <w:tab w:val="right" w:pos="8306"/>
        </w:tabs>
        <w:spacing w:line="600" w:lineRule="exact"/>
        <w:ind w:firstLine="640"/>
        <w:outlineLvl w:val="1"/>
        <w:rPr>
          <w:rStyle w:val="30"/>
          <w:rFonts w:ascii="Times New Roman" w:hAnsi="Times New Roman"/>
          <w:color w:val="auto"/>
          <w:highlight w:val="none"/>
        </w:rPr>
      </w:pPr>
      <w:bookmarkStart w:id="42" w:name="_Toc15377214"/>
      <w:bookmarkStart w:id="43" w:name="_Toc15396608"/>
      <w:bookmarkStart w:id="44" w:name="_Toc503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2"/>
      <w:bookmarkEnd w:id="43"/>
      <w:bookmarkEnd w:id="44"/>
      <w:r>
        <w:rPr>
          <w:rStyle w:val="30"/>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60.09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firstLineChars="200"/>
        <w:rPr>
          <w:rFonts w:hint="default" w:ascii="仿宋_GB2312" w:hAnsi="仿宋" w:eastAsia="仿宋_GB2312" w:cs="仿宋"/>
          <w:color w:val="000000"/>
          <w:kern w:val="2"/>
          <w:sz w:val="32"/>
          <w:szCs w:val="32"/>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56.57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 w:eastAsia="仿宋_GB2312" w:cs="仿宋"/>
          <w:color w:val="000000"/>
          <w:kern w:val="2"/>
          <w:sz w:val="32"/>
          <w:szCs w:val="32"/>
          <w:lang w:val="en-US" w:eastAsia="zh-CN" w:bidi="ar-SA"/>
        </w:rPr>
        <w:t>基本工资11.23万元、津贴补贴1.96万元、绩效工资24.44万元、机关事业单位基本养老保险缴费5.25万元、职业年金缴费2.62万元、职工基本医疗保险缴费3.88万元、其他社会保障缴费0.25万元、住房公积金4.32万元、医疗费0.46万元、生活补助2.16万元。</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3.52</w:t>
      </w:r>
      <w:r>
        <w:rPr>
          <w:rFonts w:hint="eastAsia" w:ascii="仿宋" w:hAnsi="仿宋" w:eastAsia="仿宋"/>
          <w:color w:val="auto"/>
          <w:sz w:val="32"/>
          <w:szCs w:val="32"/>
          <w:highlight w:val="none"/>
        </w:rPr>
        <w:t>万元，主要包括：</w:t>
      </w:r>
      <w:r>
        <w:rPr>
          <w:rFonts w:hint="eastAsia" w:ascii="仿宋_GB2312" w:hAnsi="仿宋" w:eastAsia="仿宋_GB2312" w:cs="仿宋"/>
          <w:color w:val="000000"/>
          <w:kern w:val="2"/>
          <w:sz w:val="32"/>
          <w:szCs w:val="32"/>
          <w:lang w:val="en-US" w:eastAsia="zh-CN" w:bidi="ar-SA"/>
        </w:rPr>
        <w:t>办公费1.52万元、差旅费2.00万元。</w:t>
      </w:r>
    </w:p>
    <w:p>
      <w:pPr>
        <w:spacing w:line="600" w:lineRule="exact"/>
        <w:ind w:firstLine="640"/>
        <w:outlineLvl w:val="1"/>
        <w:rPr>
          <w:rStyle w:val="30"/>
          <w:rFonts w:ascii="Times New Roman" w:hAnsi="Times New Roman" w:eastAsia="黑体"/>
          <w:b w:val="0"/>
          <w:color w:val="auto"/>
          <w:highlight w:val="none"/>
        </w:rPr>
      </w:pPr>
      <w:bookmarkStart w:id="45" w:name="_Toc15396609"/>
      <w:bookmarkStart w:id="46" w:name="_Toc15377215"/>
      <w:bookmarkStart w:id="47" w:name="_Toc23596"/>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5"/>
      <w:bookmarkEnd w:id="46"/>
      <w:bookmarkEnd w:id="47"/>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8"/>
    </w:p>
    <w:p>
      <w:pPr>
        <w:spacing w:line="600" w:lineRule="exact"/>
        <w:ind w:firstLine="64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0万元，增长0%。</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rPr>
          <w:rFonts w:hint="eastAsia"/>
          <w:lang w:val="en-US" w:eastAsia="zh-CN"/>
        </w:rPr>
      </w:pPr>
      <w:r>
        <w:rPr>
          <w:rFonts w:hint="eastAsia"/>
          <w:lang w:val="en-US" w:eastAsia="zh-CN"/>
        </w:rPr>
        <w:drawing>
          <wp:inline distT="0" distB="0" distL="114300" distR="114300">
            <wp:extent cx="5256530" cy="2988310"/>
            <wp:effectExtent l="5080" t="4445" r="1143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0"/>
        </w:numPr>
        <w:spacing w:line="600" w:lineRule="exact"/>
        <w:ind w:firstLine="642" w:firstLineChars="200"/>
        <w:rPr>
          <w:rFonts w:ascii="仿宋_GB2312" w:eastAsia="仿宋_GB2312"/>
          <w:color w:val="auto"/>
          <w:sz w:val="32"/>
          <w:szCs w:val="32"/>
          <w:highlight w:val="none"/>
        </w:rPr>
      </w:pPr>
      <w:bookmarkStart w:id="50" w:name="_Toc15377218"/>
      <w:bookmarkStart w:id="51" w:name="_Toc15396610"/>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numPr>
          <w:ilvl w:val="0"/>
          <w:numId w:val="0"/>
        </w:numPr>
        <w:spacing w:line="600" w:lineRule="exact"/>
        <w:ind w:firstLine="642" w:firstLineChars="200"/>
        <w:jc w:val="left"/>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numPr>
          <w:ilvl w:val="0"/>
          <w:numId w:val="0"/>
        </w:numPr>
        <w:spacing w:line="600" w:lineRule="exact"/>
        <w:ind w:firstLine="642" w:firstLineChars="200"/>
        <w:jc w:val="both"/>
        <w:rPr>
          <w:rFonts w:hint="eastAsia" w:ascii="仿宋_GB2312" w:eastAsia="仿宋_GB2312" w:cs="Times New Roman"/>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s="Times New Roman"/>
          <w:color w:val="auto"/>
          <w:sz w:val="32"/>
          <w:szCs w:val="32"/>
          <w:highlight w:val="none"/>
        </w:rPr>
        <w:t>国内公务接待</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批次，</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人次（不包括陪同人员），共计支出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w:t>
      </w:r>
      <w:r>
        <w:rPr>
          <w:rFonts w:hint="eastAsia" w:ascii="仿宋_GB2312" w:eastAsia="仿宋_GB2312" w:cs="Times New Roman"/>
          <w:color w:val="auto"/>
          <w:sz w:val="32"/>
          <w:szCs w:val="32"/>
          <w:highlight w:val="none"/>
          <w:lang w:eastAsia="zh-CN"/>
        </w:rPr>
        <w:t>。</w:t>
      </w:r>
    </w:p>
    <w:p>
      <w:pPr>
        <w:spacing w:line="600" w:lineRule="exact"/>
        <w:ind w:firstLine="642"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0"/>
          <w:rFonts w:ascii="Times New Roman" w:hAnsi="Times New Roman" w:eastAsia="黑体"/>
          <w:color w:val="auto"/>
          <w:highlight w:val="none"/>
        </w:rPr>
      </w:pPr>
      <w:bookmarkStart w:id="52" w:name="_Toc25702"/>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0"/>
      <w:bookmarkEnd w:id="51"/>
      <w:bookmarkEnd w:id="5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3" w:name="_Toc21334"/>
      <w:bookmarkStart w:id="54" w:name="_Toc15377219"/>
      <w:bookmarkStart w:id="55"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3"/>
      <w:bookmarkEnd w:id="54"/>
      <w:bookmarkEnd w:id="5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6" w:name="_Toc15377221"/>
      <w:bookmarkStart w:id="57" w:name="_Toc10463"/>
      <w:bookmarkStart w:id="58"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6"/>
      <w:bookmarkEnd w:id="57"/>
      <w:bookmarkEnd w:id="5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9" w:name="_Toc15377222"/>
      <w:r>
        <w:rPr>
          <w:rFonts w:hint="eastAsia" w:ascii="Times New Roman" w:hAnsi="Times New Roman" w:eastAsia="楷体_GB2312" w:cs="楷体_GB2312"/>
          <w:b/>
          <w:color w:val="auto"/>
          <w:sz w:val="32"/>
          <w:szCs w:val="32"/>
          <w:highlight w:val="none"/>
        </w:rPr>
        <w:t>（一）机关运行经费支出情况</w:t>
      </w:r>
      <w:bookmarkEnd w:id="5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val="en-US" w:eastAsia="zh-CN"/>
        </w:rPr>
        <w:t>就业</w:t>
      </w:r>
      <w:r>
        <w:rPr>
          <w:rFonts w:hint="eastAsia" w:ascii="仿宋_GB2312" w:hAnsi="仿宋_GB2312" w:eastAsia="仿宋_GB2312" w:cs="仿宋_GB2312"/>
          <w:sz w:val="32"/>
          <w:szCs w:val="32"/>
        </w:rPr>
        <w:t>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0" w:name="_Toc15377223"/>
      <w:r>
        <w:rPr>
          <w:rFonts w:hint="eastAsia" w:ascii="Times New Roman" w:hAnsi="Times New Roman" w:eastAsia="楷体_GB2312" w:cs="楷体_GB2312"/>
          <w:b/>
          <w:color w:val="auto"/>
          <w:sz w:val="32"/>
          <w:szCs w:val="32"/>
          <w:highlight w:val="none"/>
        </w:rPr>
        <w:t>（二）政府采购支出情况</w:t>
      </w:r>
      <w:bookmarkEnd w:id="6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val="en-US" w:eastAsia="zh-CN"/>
        </w:rPr>
        <w:t>就业服务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1" w:name="_Toc15377224"/>
      <w:r>
        <w:rPr>
          <w:rFonts w:hint="eastAsia" w:ascii="Times New Roman" w:hAnsi="Times New Roman" w:eastAsia="楷体_GB2312" w:cs="楷体_GB2312"/>
          <w:b/>
          <w:color w:val="auto"/>
          <w:sz w:val="32"/>
          <w:szCs w:val="32"/>
          <w:highlight w:val="none"/>
        </w:rPr>
        <w:t>（三）国有资产占有使用情况</w:t>
      </w:r>
      <w:bookmarkEnd w:id="6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val="en-US" w:eastAsia="zh-CN"/>
        </w:rPr>
        <w:t>就业服务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根据预算绩效管理要求</w:t>
      </w:r>
      <w:r>
        <w:rPr>
          <w:rFonts w:hint="eastAsia" w:ascii="仿宋_GB2312" w:eastAsia="仿宋_GB2312"/>
          <w:sz w:val="32"/>
          <w:szCs w:val="32"/>
          <w:lang w:eastAsia="zh-CN"/>
        </w:rPr>
        <w:t>，</w:t>
      </w:r>
      <w:r>
        <w:rPr>
          <w:rFonts w:hint="eastAsia" w:ascii="仿宋_GB2312" w:eastAsia="仿宋_GB2312"/>
          <w:sz w:val="32"/>
          <w:szCs w:val="32"/>
          <w:lang w:val="en-US" w:eastAsia="zh-CN"/>
        </w:rPr>
        <w:t>我中心</w:t>
      </w:r>
      <w:r>
        <w:rPr>
          <w:rFonts w:hint="eastAsia" w:ascii="仿宋_GB2312" w:eastAsia="仿宋_GB2312"/>
          <w:sz w:val="32"/>
          <w:szCs w:val="32"/>
        </w:rPr>
        <w:t>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w:t>
      </w:r>
      <w:r>
        <w:rPr>
          <w:rFonts w:hint="eastAsia" w:ascii="仿宋_GB2312" w:eastAsia="仿宋_GB2312"/>
          <w:bCs/>
          <w:sz w:val="32"/>
          <w:szCs w:val="32"/>
        </w:rPr>
        <w:t>阿坝州茂县</w:t>
      </w:r>
      <w:r>
        <w:rPr>
          <w:rFonts w:hint="eastAsia" w:ascii="仿宋_GB2312" w:eastAsia="仿宋_GB2312"/>
          <w:bCs/>
          <w:sz w:val="32"/>
          <w:szCs w:val="32"/>
          <w:lang w:val="en-US" w:eastAsia="zh-CN"/>
        </w:rPr>
        <w:t>就业服务中心</w:t>
      </w:r>
      <w:r>
        <w:rPr>
          <w:rFonts w:hint="eastAsia" w:ascii="仿宋_GB2312" w:eastAsia="仿宋_GB2312"/>
          <w:bCs/>
          <w:sz w:val="32"/>
          <w:szCs w:val="32"/>
        </w:rPr>
        <w:t>（事业）</w:t>
      </w:r>
      <w:r>
        <w:rPr>
          <w:rFonts w:hint="eastAsia" w:ascii="仿宋_GB2312" w:eastAsia="仿宋_GB2312"/>
          <w:bCs/>
          <w:sz w:val="32"/>
          <w:szCs w:val="32"/>
          <w:lang w:eastAsia="zh-CN"/>
        </w:rPr>
        <w:t>无项目，项目支付在行政里面执行</w:t>
      </w:r>
      <w:r>
        <w:rPr>
          <w:rFonts w:hint="eastAsia" w:ascii="仿宋_GB2312" w:eastAsia="仿宋_GB2312"/>
          <w:bCs/>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2" w:name="_Toc15377225"/>
      <w:bookmarkStart w:id="63" w:name="_Toc21927"/>
      <w:bookmarkStart w:id="6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2"/>
      <w:bookmarkEnd w:id="63"/>
      <w:bookmarkEnd w:id="64"/>
    </w:p>
    <w:p>
      <w:pPr>
        <w:spacing w:line="600" w:lineRule="exact"/>
        <w:jc w:val="left"/>
        <w:rPr>
          <w:rFonts w:ascii="Times New Roman" w:hAnsi="Times New Roman"/>
          <w:b/>
          <w:color w:val="auto"/>
          <w:sz w:val="44"/>
          <w:szCs w:val="44"/>
          <w:highlight w:val="none"/>
        </w:rPr>
      </w:pP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1.财政拨款收入：指单位从同级财政部门取得的财政预算资金。</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2.事业收入：指事业单位开展专业业务活动及辅助活动取得的收入。</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3.经营收入：指事业单位在专业业务活动及其辅助活动之外开展非独立核算经营活动取得的收入</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4.其他收入：指单位取得的除上述收入以外的各项收入。</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 xml:space="preserve">6.年初结转和结余：指以前年度尚未完成、结转到本年按有关规定继续使用的资金。 </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7.结余分配：指事业单位按照事业单位会计制度的规定从非财政补助结余中分配的事业基金和职工福利基金等。</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8.年末结转和结余：指单位按有关规定结转到下年或以后年度继续使用的资金。</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9.社会保障和就业支出（208）人力资源和社会保障管理事务（01）社会保险经办机构（09）：反映社会保险经办机构开展业务工作的支出。</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10.社会保障和就业支出（208）行政事业单位养老支出（05）机关事业单位基本养老保险缴费支出（05）：反映机关事业单位实施养老保险制度由单位缴纳的基本养老保险费支出。</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11.社会保障和就业支出（208）行政事业单位养老支出（05）机关事业单位职业年金缴费支出（06）：反映机关事业单位实施养老保险制度由单位实际缴纳的职业年金支出。</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12.卫生健康支出（210）行政事业单位医疗（11）事业单位医疗（02）：反映财政部门安排的事业单位基本医疗保险缴费经费，未参加医疗保险的事业单位的公费医疗经费，按国家规定享受离休人员待遇的医疗经费。</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13.农林水支出（213）巩固脱贫衔接乡村振兴（05）其他巩固脱贫衔接乡村振兴支出（99）：反映除上述项目以外其他用于扶贫方面的支出。</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14.住房保障支出（221）住房改革支出（02）住房公积金（01）：反映行政事业单位按人力资源和社会保障部、财政部规定的基本工资和津贴补贴以及规定比例为职工缴纳的住房公积金。</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15.基本支出：指为保障机构正常运转、完成日常工作任务而发生的人员支出和公用支出。</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 xml:space="preserve">16.项目支出：指在基本支出之外为完成特定行政任务和事业发展目标所发生的支出。 </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17.经营支出：指事业单位在专业业务活动及其辅助活动之外开展非独立核算经营活动发生的支出。</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20.财政应返还额度：为行政事业单位会计核算科目，用于核算实行国库集中支付的行政事业单位应收财政返还的资金额度。</w:t>
      </w:r>
    </w:p>
    <w:p>
      <w:pPr>
        <w:spacing w:line="600" w:lineRule="exact"/>
        <w:jc w:val="center"/>
        <w:rPr>
          <w:rFonts w:hint="eastAsia" w:ascii="Times New Roman" w:hAnsi="Times New Roman" w:eastAsia="黑体"/>
          <w:color w:val="auto"/>
          <w:sz w:val="44"/>
          <w:szCs w:val="44"/>
          <w:highlight w:val="none"/>
        </w:rPr>
      </w:pPr>
      <w:bookmarkStart w:id="65" w:name="_Toc15396614"/>
      <w:bookmarkStart w:id="66" w:name="_Toc15377226"/>
    </w:p>
    <w:p>
      <w:pPr>
        <w:pStyle w:val="2"/>
        <w:rPr>
          <w:rFonts w:hint="eastAsia" w:ascii="Times New Roman" w:hAnsi="Times New Roman" w:eastAsia="黑体"/>
          <w:color w:val="auto"/>
          <w:sz w:val="44"/>
          <w:szCs w:val="44"/>
          <w:highlight w:val="none"/>
        </w:rPr>
      </w:pPr>
    </w:p>
    <w:p>
      <w:pPr>
        <w:rPr>
          <w:rFonts w:hint="eastAsia"/>
        </w:rPr>
      </w:pPr>
    </w:p>
    <w:p>
      <w:pPr>
        <w:pStyle w:val="3"/>
        <w:bidi w:val="0"/>
        <w:jc w:val="center"/>
        <w:rPr>
          <w:rFonts w:hint="eastAsia"/>
          <w:lang w:eastAsia="zh-CN"/>
        </w:rPr>
      </w:pPr>
      <w:r>
        <w:rPr>
          <w:rFonts w:hint="eastAsia"/>
        </w:rPr>
        <w:t>第四部分</w:t>
      </w:r>
      <w:r>
        <w:rPr>
          <w:rFonts w:hint="eastAsia"/>
          <w:lang w:val="en-US" w:eastAsia="zh-CN"/>
        </w:rPr>
        <w:t xml:space="preserve"> </w:t>
      </w:r>
      <w:r>
        <w:rPr>
          <w:rFonts w:hint="eastAsia"/>
        </w:rPr>
        <w:t xml:space="preserve"> 附件</w:t>
      </w:r>
      <w:bookmarkEnd w:id="65"/>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auto"/>
          <w:sz w:val="32"/>
          <w:szCs w:val="32"/>
          <w:highlight w:val="none"/>
          <w:lang w:val="en-US" w:eastAsia="zh-CN"/>
        </w:rPr>
      </w:pPr>
      <w:bookmarkStart w:id="67" w:name="_Toc18907"/>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7"/>
    </w:p>
    <w:p>
      <w:pPr>
        <w:keepNext w:val="0"/>
        <w:keepLines w:val="0"/>
        <w:pageBreakBefore w:val="0"/>
        <w:kinsoku/>
        <w:wordWrap/>
        <w:overflowPunct/>
        <w:topLinePunct w:val="0"/>
        <w:autoSpaceDE/>
        <w:autoSpaceDN/>
        <w:bidi w:val="0"/>
        <w:spacing w:line="572" w:lineRule="exact"/>
        <w:ind w:firstLine="640" w:firstLineChars="200"/>
        <w:jc w:val="left"/>
        <w:textAlignment w:val="auto"/>
        <w:outlineLvl w:val="0"/>
        <w:rPr>
          <w:rFonts w:hint="eastAsia" w:ascii="仿宋_GB2312" w:hAnsi="仿宋_GB2312" w:eastAsia="仿宋_GB2312" w:cs="仿宋_GB2312"/>
          <w:b w:val="0"/>
          <w:bCs w:val="0"/>
          <w:kern w:val="0"/>
          <w:position w:val="0"/>
          <w:sz w:val="32"/>
          <w:szCs w:val="32"/>
          <w:highlight w:val="none"/>
          <w:lang w:val="en-US" w:eastAsia="zh-CN" w:bidi="ar-SA"/>
        </w:rPr>
      </w:pPr>
      <w:bookmarkStart w:id="68" w:name="_Toc13703"/>
      <w:r>
        <w:rPr>
          <w:rFonts w:hint="eastAsia" w:ascii="仿宋_GB2312" w:hAnsi="仿宋_GB2312" w:eastAsia="仿宋_GB2312" w:cs="仿宋_GB2312"/>
          <w:color w:val="auto"/>
          <w:sz w:val="32"/>
          <w:szCs w:val="32"/>
          <w:highlight w:val="none"/>
          <w:lang w:val="en-US" w:eastAsia="zh-CN"/>
        </w:rPr>
        <w:t>茂县就业服务中心（事业）无附件</w:t>
      </w:r>
      <w:bookmarkEnd w:id="68"/>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
        <w:bidi w:val="0"/>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bCs/>
          <w:color w:val="auto"/>
          <w:highlight w:val="none"/>
        </w:rPr>
        <w:t>五部分 附表</w:t>
      </w:r>
      <w:bookmarkEnd w:id="66"/>
      <w:bookmarkEnd w:id="69"/>
      <w:bookmarkStart w:id="70"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0"/>
      <w:r>
        <w:rPr>
          <w:rFonts w:hint="eastAsia" w:ascii="Times New Roman" w:hAnsi="Times New Roman" w:eastAsia="仿宋_GB2312" w:cs="仿宋_GB2312"/>
          <w:color w:val="auto"/>
          <w:sz w:val="32"/>
          <w:szCs w:val="32"/>
          <w:highlight w:val="none"/>
        </w:rPr>
        <w:t>二、收入决算表</w:t>
      </w:r>
      <w:bookmarkEnd w:id="7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1"/>
      <w:r>
        <w:rPr>
          <w:rFonts w:hint="eastAsia" w:ascii="Times New Roman" w:hAnsi="Times New Roman" w:eastAsia="仿宋_GB2312" w:cs="仿宋_GB2312"/>
          <w:color w:val="auto"/>
          <w:sz w:val="32"/>
          <w:szCs w:val="32"/>
          <w:highlight w:val="none"/>
        </w:rPr>
        <w:t>三、支出决算表</w:t>
      </w:r>
      <w:bookmarkEnd w:id="7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3"/>
      <w:r>
        <w:rPr>
          <w:rFonts w:hint="eastAsia" w:ascii="Times New Roman" w:hAnsi="Times New Roman" w:eastAsia="仿宋_GB2312" w:cs="仿宋_GB2312"/>
          <w:color w:val="auto"/>
          <w:sz w:val="32"/>
          <w:szCs w:val="32"/>
          <w:highlight w:val="none"/>
        </w:rPr>
        <w:t>五、财政拨款支出决算明细表</w:t>
      </w:r>
      <w:bookmarkEnd w:id="74"/>
      <w:bookmarkStart w:id="75"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7"/>
      <w:r>
        <w:rPr>
          <w:rFonts w:hint="eastAsia" w:ascii="Times New Roman" w:hAnsi="Times New Roman" w:eastAsia="仿宋_GB2312" w:cs="仿宋_GB2312"/>
          <w:color w:val="auto"/>
          <w:sz w:val="32"/>
          <w:szCs w:val="32"/>
          <w:highlight w:val="none"/>
        </w:rPr>
        <w:t>九、一般公共预算财政拨款项目支出决算表</w:t>
      </w:r>
      <w:bookmarkEnd w:id="7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8"/>
      <w:r>
        <w:rPr>
          <w:rFonts w:hint="eastAsia" w:ascii="Times New Roman" w:hAnsi="Times New Roman" w:eastAsia="仿宋_GB2312" w:cs="仿宋_GB2312"/>
          <w:color w:val="auto"/>
          <w:sz w:val="32"/>
          <w:szCs w:val="32"/>
          <w:highlight w:val="none"/>
        </w:rPr>
        <w:t>十、</w:t>
      </w:r>
      <w:bookmarkEnd w:id="79"/>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9"/>
      <w:r>
        <w:rPr>
          <w:rFonts w:hint="eastAsia" w:ascii="Times New Roman" w:hAnsi="Times New Roman" w:eastAsia="仿宋_GB2312" w:cs="仿宋_GB2312"/>
          <w:color w:val="auto"/>
          <w:sz w:val="32"/>
          <w:szCs w:val="32"/>
          <w:highlight w:val="none"/>
        </w:rPr>
        <w:t>十一、</w:t>
      </w:r>
      <w:bookmarkEnd w:id="8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30"/>
      <w:r>
        <w:rPr>
          <w:rFonts w:hint="eastAsia" w:ascii="Times New Roman" w:hAnsi="Times New Roman" w:eastAsia="仿宋_GB2312" w:cs="仿宋_GB2312"/>
          <w:color w:val="auto"/>
          <w:sz w:val="32"/>
          <w:szCs w:val="32"/>
          <w:highlight w:val="none"/>
        </w:rPr>
        <w:t>十二、</w:t>
      </w:r>
      <w:bookmarkEnd w:id="8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2" w:name="_Toc15396631"/>
      <w:r>
        <w:rPr>
          <w:rFonts w:hint="eastAsia" w:ascii="Times New Roman" w:hAnsi="Times New Roman" w:eastAsia="仿宋_GB2312" w:cs="仿宋_GB2312"/>
          <w:color w:val="auto"/>
          <w:sz w:val="32"/>
          <w:szCs w:val="32"/>
          <w:highlight w:val="none"/>
        </w:rPr>
        <w:t>十三、</w:t>
      </w:r>
      <w:bookmarkEnd w:id="8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variable"/>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026"/>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681C5F"/>
    <w:rsid w:val="02FEBE30"/>
    <w:rsid w:val="04265656"/>
    <w:rsid w:val="04916F1E"/>
    <w:rsid w:val="061E35DE"/>
    <w:rsid w:val="066E0107"/>
    <w:rsid w:val="07996F6E"/>
    <w:rsid w:val="07DFD8BA"/>
    <w:rsid w:val="08A94889"/>
    <w:rsid w:val="09867E8F"/>
    <w:rsid w:val="0A2032A3"/>
    <w:rsid w:val="0CA8290A"/>
    <w:rsid w:val="0D35B1ED"/>
    <w:rsid w:val="0D5270DB"/>
    <w:rsid w:val="0E254B6B"/>
    <w:rsid w:val="0F8E47D8"/>
    <w:rsid w:val="0F98263C"/>
    <w:rsid w:val="101860EC"/>
    <w:rsid w:val="101F47CC"/>
    <w:rsid w:val="10C055FF"/>
    <w:rsid w:val="11694EBD"/>
    <w:rsid w:val="11772AA4"/>
    <w:rsid w:val="118107EC"/>
    <w:rsid w:val="12E24EE2"/>
    <w:rsid w:val="13D50BC4"/>
    <w:rsid w:val="143F42F3"/>
    <w:rsid w:val="14B17F78"/>
    <w:rsid w:val="165E0673"/>
    <w:rsid w:val="16B831D5"/>
    <w:rsid w:val="16BB723D"/>
    <w:rsid w:val="17E50567"/>
    <w:rsid w:val="186504BB"/>
    <w:rsid w:val="19A445FC"/>
    <w:rsid w:val="1BE8440E"/>
    <w:rsid w:val="1D0C4F8F"/>
    <w:rsid w:val="1D155CEE"/>
    <w:rsid w:val="1D1638FE"/>
    <w:rsid w:val="1E312DEB"/>
    <w:rsid w:val="1E740ACF"/>
    <w:rsid w:val="1FF35744"/>
    <w:rsid w:val="1FF6BC77"/>
    <w:rsid w:val="209B492D"/>
    <w:rsid w:val="2186353C"/>
    <w:rsid w:val="23860B96"/>
    <w:rsid w:val="240371BF"/>
    <w:rsid w:val="244F3473"/>
    <w:rsid w:val="24C97D99"/>
    <w:rsid w:val="25A718F0"/>
    <w:rsid w:val="25BB59F6"/>
    <w:rsid w:val="260F557C"/>
    <w:rsid w:val="26970054"/>
    <w:rsid w:val="281408E2"/>
    <w:rsid w:val="29FD04D3"/>
    <w:rsid w:val="2BFF7BC6"/>
    <w:rsid w:val="2C8A61B5"/>
    <w:rsid w:val="2CB52F4D"/>
    <w:rsid w:val="2DB43204"/>
    <w:rsid w:val="2DF04E50"/>
    <w:rsid w:val="2E586DFA"/>
    <w:rsid w:val="2F040D46"/>
    <w:rsid w:val="2F6B035B"/>
    <w:rsid w:val="2FAE5751"/>
    <w:rsid w:val="2FB1A395"/>
    <w:rsid w:val="2FD9A7D8"/>
    <w:rsid w:val="2FDBF714"/>
    <w:rsid w:val="301D32E3"/>
    <w:rsid w:val="30AB6865"/>
    <w:rsid w:val="319F7F4E"/>
    <w:rsid w:val="32BD1EF1"/>
    <w:rsid w:val="32ED1692"/>
    <w:rsid w:val="3304709D"/>
    <w:rsid w:val="33641229"/>
    <w:rsid w:val="33A1247D"/>
    <w:rsid w:val="33A773CB"/>
    <w:rsid w:val="349D6851"/>
    <w:rsid w:val="35111562"/>
    <w:rsid w:val="36AA5135"/>
    <w:rsid w:val="36BE0DA7"/>
    <w:rsid w:val="36C00E6C"/>
    <w:rsid w:val="376B6AA6"/>
    <w:rsid w:val="376D39B2"/>
    <w:rsid w:val="37E16F03"/>
    <w:rsid w:val="37F53A3B"/>
    <w:rsid w:val="389B6C89"/>
    <w:rsid w:val="38D469F0"/>
    <w:rsid w:val="39627CCD"/>
    <w:rsid w:val="39677CC5"/>
    <w:rsid w:val="397BAF1F"/>
    <w:rsid w:val="3A8A3C6B"/>
    <w:rsid w:val="3AB79AF3"/>
    <w:rsid w:val="3AE834C0"/>
    <w:rsid w:val="3B7EF35A"/>
    <w:rsid w:val="3B9FDB6C"/>
    <w:rsid w:val="3BF5BC2F"/>
    <w:rsid w:val="3C9708C1"/>
    <w:rsid w:val="3CEBA265"/>
    <w:rsid w:val="3D98207C"/>
    <w:rsid w:val="3DEE7CF3"/>
    <w:rsid w:val="3E0D0E3B"/>
    <w:rsid w:val="3E740A63"/>
    <w:rsid w:val="3E78745D"/>
    <w:rsid w:val="3EE17838"/>
    <w:rsid w:val="3F55381A"/>
    <w:rsid w:val="3F7F7599"/>
    <w:rsid w:val="3FF4CAE0"/>
    <w:rsid w:val="3FF7B227"/>
    <w:rsid w:val="44E268DA"/>
    <w:rsid w:val="450D13D7"/>
    <w:rsid w:val="45506656"/>
    <w:rsid w:val="457F50D1"/>
    <w:rsid w:val="46362EF9"/>
    <w:rsid w:val="486A6C7A"/>
    <w:rsid w:val="48914416"/>
    <w:rsid w:val="499046CE"/>
    <w:rsid w:val="4A627F82"/>
    <w:rsid w:val="4B0E749A"/>
    <w:rsid w:val="4B2477C4"/>
    <w:rsid w:val="4B4F25DA"/>
    <w:rsid w:val="4BE068DB"/>
    <w:rsid w:val="4CA07244"/>
    <w:rsid w:val="4D577224"/>
    <w:rsid w:val="4DBF1CEB"/>
    <w:rsid w:val="4DF0007C"/>
    <w:rsid w:val="4EAB630A"/>
    <w:rsid w:val="4ECE2238"/>
    <w:rsid w:val="4F833267"/>
    <w:rsid w:val="4FE9BD67"/>
    <w:rsid w:val="4FFB052F"/>
    <w:rsid w:val="506635B2"/>
    <w:rsid w:val="534D3630"/>
    <w:rsid w:val="537E6D0A"/>
    <w:rsid w:val="53F74C96"/>
    <w:rsid w:val="541A3602"/>
    <w:rsid w:val="54E4023C"/>
    <w:rsid w:val="55170BA8"/>
    <w:rsid w:val="553218C9"/>
    <w:rsid w:val="55F45FE4"/>
    <w:rsid w:val="56097CE2"/>
    <w:rsid w:val="567E1AA5"/>
    <w:rsid w:val="56E47B74"/>
    <w:rsid w:val="57175D52"/>
    <w:rsid w:val="57BD3DD4"/>
    <w:rsid w:val="5AF92295"/>
    <w:rsid w:val="5B250254"/>
    <w:rsid w:val="5B995664"/>
    <w:rsid w:val="5BDD79E6"/>
    <w:rsid w:val="5BF561CA"/>
    <w:rsid w:val="5BFF5DFC"/>
    <w:rsid w:val="5CD71FC4"/>
    <w:rsid w:val="5D1F11B5"/>
    <w:rsid w:val="5D695134"/>
    <w:rsid w:val="5DAE1B18"/>
    <w:rsid w:val="5DE7D9E5"/>
    <w:rsid w:val="5ECEC941"/>
    <w:rsid w:val="5FBF9FF3"/>
    <w:rsid w:val="5FCD4E2C"/>
    <w:rsid w:val="5FEF394A"/>
    <w:rsid w:val="5FF67715"/>
    <w:rsid w:val="604A1623"/>
    <w:rsid w:val="62BF3928"/>
    <w:rsid w:val="63520F1A"/>
    <w:rsid w:val="63B3701E"/>
    <w:rsid w:val="63FA3522"/>
    <w:rsid w:val="647F5392"/>
    <w:rsid w:val="650A1380"/>
    <w:rsid w:val="65842EE1"/>
    <w:rsid w:val="65E66580"/>
    <w:rsid w:val="664B1D71"/>
    <w:rsid w:val="664B4E8E"/>
    <w:rsid w:val="67277B67"/>
    <w:rsid w:val="67AA3209"/>
    <w:rsid w:val="698D0931"/>
    <w:rsid w:val="6A3F6C07"/>
    <w:rsid w:val="6A7FE5F3"/>
    <w:rsid w:val="6B053271"/>
    <w:rsid w:val="6BD821D8"/>
    <w:rsid w:val="6BDD78B3"/>
    <w:rsid w:val="6C4A05C8"/>
    <w:rsid w:val="6C506213"/>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11F2C"/>
    <w:rsid w:val="712A28F1"/>
    <w:rsid w:val="715C0E4B"/>
    <w:rsid w:val="71992E7C"/>
    <w:rsid w:val="72233669"/>
    <w:rsid w:val="72734D90"/>
    <w:rsid w:val="73160E6D"/>
    <w:rsid w:val="7332FE48"/>
    <w:rsid w:val="73920EBF"/>
    <w:rsid w:val="73AB61DA"/>
    <w:rsid w:val="73AD73D5"/>
    <w:rsid w:val="73B6EB34"/>
    <w:rsid w:val="73FA497D"/>
    <w:rsid w:val="744731E5"/>
    <w:rsid w:val="745D771F"/>
    <w:rsid w:val="74BBD01D"/>
    <w:rsid w:val="74ED5379"/>
    <w:rsid w:val="75436915"/>
    <w:rsid w:val="75DEEEC2"/>
    <w:rsid w:val="75E32345"/>
    <w:rsid w:val="76E3355F"/>
    <w:rsid w:val="76FF5125"/>
    <w:rsid w:val="776F6FFA"/>
    <w:rsid w:val="778769C8"/>
    <w:rsid w:val="77A75DCA"/>
    <w:rsid w:val="77B22C19"/>
    <w:rsid w:val="77C83101"/>
    <w:rsid w:val="77DC22F5"/>
    <w:rsid w:val="783E271A"/>
    <w:rsid w:val="78616DE9"/>
    <w:rsid w:val="78E875D7"/>
    <w:rsid w:val="79086DAD"/>
    <w:rsid w:val="79CD3331"/>
    <w:rsid w:val="79D7FD79"/>
    <w:rsid w:val="79E0727C"/>
    <w:rsid w:val="79EE5BA4"/>
    <w:rsid w:val="7A894339"/>
    <w:rsid w:val="7AD284E8"/>
    <w:rsid w:val="7AFF7572"/>
    <w:rsid w:val="7B14665D"/>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9F6E0A4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5" Type="http://schemas.microsoft.com/office/2011/relationships/chartColorStyle" Target="colors4.xml"/><Relationship Id="rId4" Type="http://schemas.microsoft.com/office/2011/relationships/chartStyle" Target="style4.xml"/><Relationship Id="rId3" Type="http://schemas.openxmlformats.org/officeDocument/2006/relationships/image" Target="../media/image1.png"/><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收入、支出决算总计变动情况图</c:v>
                </c:pt>
              </c:strCache>
            </c:strRef>
          </c:tx>
          <c:spPr>
            <a:gradFill>
              <a:gsLst>
                <a:gs pos="0">
                  <a:schemeClr val="accent1"/>
                </a:gs>
                <a:gs pos="100000">
                  <a:schemeClr val="accent2"/>
                </a:gs>
              </a:gsLst>
              <a:lin ang="5400000" scaled="0"/>
            </a:gra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99.84</c:v>
                </c:pt>
                <c:pt idx="1">
                  <c:v>61.62</c:v>
                </c:pt>
              </c:numCache>
            </c:numRef>
          </c:val>
        </c:ser>
        <c:dLbls>
          <c:showLegendKey val="0"/>
          <c:showVal val="1"/>
          <c:showCatName val="0"/>
          <c:showSerName val="0"/>
          <c:showPercent val="0"/>
          <c:showBubbleSize val="0"/>
        </c:dLbls>
        <c:gapWidth val="150"/>
        <c:overlap val="0"/>
        <c:axId val="592108354"/>
        <c:axId val="319418516"/>
      </c:barChart>
      <c:catAx>
        <c:axId val="592108354"/>
        <c:scaling>
          <c:orientation val="minMax"/>
        </c:scaling>
        <c:delete val="0"/>
        <c:axPos val="b"/>
        <c:numFmt formatCode="General" sourceLinked="1"/>
        <c:majorTickMark val="out"/>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19418516"/>
        <c:crosses val="autoZero"/>
        <c:auto val="1"/>
        <c:lblAlgn val="ctr"/>
        <c:lblOffset val="100"/>
        <c:noMultiLvlLbl val="0"/>
      </c:catAx>
      <c:valAx>
        <c:axId val="31941851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92108354"/>
        <c:crosses val="autoZero"/>
        <c:crossBetween val="between"/>
      </c:valAx>
      <c:spPr>
        <a:noFill/>
        <a:ln w="6350">
          <a:solidFill>
            <a:schemeClr val="tx1">
              <a:lumMod val="50000"/>
              <a:lumOff val="50000"/>
              <a:alpha val="25000"/>
            </a:schemeClr>
          </a:solid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Sheet1!$B$2</c:f>
              <c:strCache>
                <c:ptCount val="1"/>
                <c:pt idx="0">
                  <c:v>收入决算结构图</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c:f>
              <c:strCache>
                <c:ptCount val="1"/>
                <c:pt idx="0">
                  <c:v>一般公共预算财政拨款收入</c:v>
                </c:pt>
              </c:strCache>
            </c:strRef>
          </c:cat>
          <c:val>
            <c:numRef>
              <c:f>Sheet1!$B$3</c:f>
              <c:numCache>
                <c:formatCode>General</c:formatCode>
                <c:ptCount val="1"/>
                <c:pt idx="0">
                  <c:v>61.62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支出决算结构图</a:t>
            </a:r>
          </a:p>
        </c:rich>
      </c:tx>
      <c:layout/>
      <c:overlay val="0"/>
      <c:spPr>
        <a:noFill/>
        <a:ln>
          <a:noFill/>
        </a:ln>
        <a:effectLst/>
      </c:spPr>
    </c:title>
    <c:autoTitleDeleted val="0"/>
    <c:plotArea>
      <c:layout/>
      <c:pieChart>
        <c:varyColors val="1"/>
        <c:ser>
          <c:idx val="1"/>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60.09</c:v>
                </c:pt>
                <c:pt idx="1">
                  <c:v>1.53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财政拨款收、支决算总计变动情况</c:v>
                </c:pt>
              </c:strCache>
            </c:strRef>
          </c:tx>
          <c:spPr>
            <a:blipFill dpi="0" rotWithShape="1">
              <a:blip xmlns:r="http://schemas.openxmlformats.org/officeDocument/2006/relationships" r:embed="rId3">
                <a:duotone>
                  <a:schemeClr val="accent1">
                    <a:lumMod val="80000"/>
                  </a:schemeClr>
                  <a:prstClr val="white"/>
                </a:duotone>
              </a:blip>
              <a:srcRect/>
              <a:stretch>
                <a:fillRect/>
              </a:stretch>
            </a:blip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accent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99.84</c:v>
                </c:pt>
                <c:pt idx="1">
                  <c:v>61.62</c:v>
                </c:pt>
              </c:numCache>
            </c:numRef>
          </c:val>
        </c:ser>
        <c:dLbls>
          <c:showLegendKey val="0"/>
          <c:showVal val="0"/>
          <c:showCatName val="0"/>
          <c:showSerName val="0"/>
          <c:showPercent val="0"/>
          <c:showBubbleSize val="0"/>
        </c:dLbls>
        <c:gapWidth val="150"/>
        <c:overlap val="-25"/>
        <c:axId val="310119568"/>
        <c:axId val="920073190"/>
      </c:barChart>
      <c:catAx>
        <c:axId val="310119568"/>
        <c:scaling>
          <c:orientation val="minMax"/>
        </c:scaling>
        <c:delete val="0"/>
        <c:axPos val="b"/>
        <c:numFmt formatCode="General" sourceLinked="1"/>
        <c:majorTickMark val="none"/>
        <c:minorTickMark val="none"/>
        <c:tickLblPos val="nextTo"/>
        <c:spPr>
          <a:noFill/>
          <a:ln w="349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920073190"/>
        <c:crosses val="autoZero"/>
        <c:auto val="1"/>
        <c:lblAlgn val="ctr"/>
        <c:lblOffset val="0"/>
        <c:noMultiLvlLbl val="0"/>
      </c:catAx>
      <c:valAx>
        <c:axId val="92007319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3101195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99.84</c:v>
                </c:pt>
                <c:pt idx="1">
                  <c:v>61.62</c:v>
                </c:pt>
              </c:numCache>
            </c:numRef>
          </c:val>
        </c:ser>
        <c:dLbls>
          <c:showLegendKey val="0"/>
          <c:showVal val="1"/>
          <c:showCatName val="0"/>
          <c:showSerName val="0"/>
          <c:showPercent val="0"/>
          <c:showBubbleSize val="0"/>
        </c:dLbls>
        <c:gapWidth val="260"/>
        <c:overlap val="-32"/>
        <c:axId val="418369003"/>
        <c:axId val="15689522"/>
      </c:barChart>
      <c:catAx>
        <c:axId val="418369003"/>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5689522"/>
        <c:crosses val="autoZero"/>
        <c:auto val="1"/>
        <c:lblAlgn val="ctr"/>
        <c:lblOffset val="100"/>
        <c:noMultiLvlLbl val="0"/>
      </c:catAx>
      <c:valAx>
        <c:axId val="15689522"/>
        <c:scaling>
          <c:orientation val="minMax"/>
        </c:scaling>
        <c:delete val="1"/>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18369003"/>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1"/>
              <c:layout>
                <c:manualLayout>
                  <c:x val="-0.0559048149175367"/>
                  <c:y val="0.11547290886732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496653625078911"/>
                  <c:y val="0.04723006198904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461161650034562"/>
                  <c:y val="0.1242938295426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General</c:formatCode>
                <c:ptCount val="4"/>
                <c:pt idx="0">
                  <c:v>51.89</c:v>
                </c:pt>
                <c:pt idx="1">
                  <c:v>3.88</c:v>
                </c:pt>
                <c:pt idx="2">
                  <c:v>1.53</c:v>
                </c:pt>
                <c:pt idx="3">
                  <c:v>4.32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24566320367238"/>
          <c:y val="0.299885252868678"/>
          <c:w val="0.34772650398647"/>
          <c:h val="0.611661708457289"/>
        </c:manualLayout>
      </c:layout>
      <c:pieChart>
        <c:varyColors val="1"/>
        <c:ser>
          <c:idx val="0"/>
          <c:order val="0"/>
          <c:tx>
            <c:strRef>
              <c:f>Sheet1!$B$1</c:f>
              <c:strCache>
                <c:ptCount val="1"/>
                <c:pt idx="0">
                  <c:v>“三公”经费财政拨款支出结构</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Lbls>
            <c:dLbl>
              <c:idx val="0"/>
              <c:layout>
                <c:manualLayout>
                  <c:x val="-0.196545148142615"/>
                  <c:y val="0.18338963025922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65982032335762"/>
                  <c:y val="0.2001767105822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177580014888337"/>
                  <c:y val="0.023381130471724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3">
    <a:dk1>
      <a:srgbClr val="000000"/>
    </a:dk1>
    <a:lt1>
      <a:srgbClr val="FFFFFF"/>
    </a:lt1>
    <a:dk2>
      <a:srgbClr val="44546A"/>
    </a:dk2>
    <a:lt2>
      <a:srgbClr val="E7E6E6"/>
    </a:lt2>
    <a:accent1>
      <a:srgbClr val="EE5796"/>
    </a:accent1>
    <a:accent2>
      <a:srgbClr val="F9B525"/>
    </a:accent2>
    <a:accent3>
      <a:srgbClr val="6D78FA"/>
    </a:accent3>
    <a:accent4>
      <a:srgbClr val="0EE2EF"/>
    </a:accent4>
    <a:accent5>
      <a:srgbClr val="93DE03"/>
    </a:accent5>
    <a:accent6>
      <a:srgbClr val="F5F804"/>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23">
    <a:dk1>
      <a:srgbClr val="000000"/>
    </a:dk1>
    <a:lt1>
      <a:srgbClr val="FFFFFF"/>
    </a:lt1>
    <a:dk2>
      <a:srgbClr val="44546A"/>
    </a:dk2>
    <a:lt2>
      <a:srgbClr val="E7E6E6"/>
    </a:lt2>
    <a:accent1>
      <a:srgbClr val="55C2C9"/>
    </a:accent1>
    <a:accent2>
      <a:srgbClr val="67BD89"/>
    </a:accent2>
    <a:accent3>
      <a:srgbClr val="7DC047"/>
    </a:accent3>
    <a:accent4>
      <a:srgbClr val="D0CE49"/>
    </a:accent4>
    <a:accent5>
      <a:srgbClr val="6CC7D1"/>
    </a:accent5>
    <a:accent6>
      <a:srgbClr val="60BC8A"/>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4686</Words>
  <Characters>5102</Characters>
  <Lines>61</Lines>
  <Paragraphs>17</Paragraphs>
  <TotalTime>2</TotalTime>
  <ScaleCrop>false</ScaleCrop>
  <LinksUpToDate>false</LinksUpToDate>
  <CharactersWithSpaces>5214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2025-09-19T11:50:07Z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311A9127769F4CAEBDEF0A141CCA99B8_13</vt:lpwstr>
  </property>
  <property fmtid="{D5CDD505-2E9C-101B-9397-08002B2CF9AE}" pid="4" name="KSOTemplateDocerSaveRecord">
    <vt:lpwstr>eyJoZGlkIjoiMGY0ZDQ0NjI3YzliYmI5ZDliOWFiZmIzNDA0OWI0MmYiLCJ1c2VySWQiOiIxNDcwNDQ1MjcyIn0=</vt:lpwstr>
  </property>
</Properties>
</file>