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hint="eastAsia" w:ascii="方正小标宋简体" w:eastAsia="方正小标宋简体"/>
          <w:sz w:val="72"/>
          <w:szCs w:val="72"/>
        </w:rPr>
      </w:pPr>
      <w:bookmarkStart w:id="1" w:name="_Toc15377425"/>
      <w:bookmarkStart w:id="2" w:name="_Toc15396597"/>
      <w:bookmarkStart w:id="3" w:name="_Toc15377193"/>
      <w:bookmarkStart w:id="4" w:name="_Toc15378441"/>
      <w:bookmarkStart w:id="5" w:name="_Toc15396475"/>
      <w:r>
        <w:rPr>
          <w:rFonts w:hint="eastAsia" w:ascii="方正小标宋简体" w:eastAsia="方正小标宋简体"/>
          <w:sz w:val="72"/>
          <w:szCs w:val="72"/>
          <w:lang w:eastAsia="zh-CN"/>
        </w:rPr>
        <w:t>2022</w:t>
      </w:r>
      <w:r>
        <w:rPr>
          <w:rFonts w:hint="eastAsia" w:ascii="方正小标宋简体" w:eastAsia="方正小标宋简体"/>
          <w:sz w:val="72"/>
          <w:szCs w:val="72"/>
        </w:rPr>
        <w:t>年度</w:t>
      </w:r>
      <w:bookmarkEnd w:id="1"/>
      <w:bookmarkEnd w:id="2"/>
      <w:bookmarkEnd w:id="3"/>
      <w:bookmarkEnd w:id="4"/>
      <w:bookmarkEnd w:id="5"/>
    </w:p>
    <w:p>
      <w:pPr>
        <w:jc w:val="center"/>
        <w:rPr>
          <w:rFonts w:hint="eastAsia" w:ascii="方正小标宋简体" w:eastAsia="方正小标宋简体"/>
          <w:sz w:val="72"/>
          <w:szCs w:val="72"/>
        </w:rPr>
      </w:pPr>
      <w:bookmarkStart w:id="6" w:name="_Toc15396598"/>
      <w:bookmarkStart w:id="7" w:name="_Toc15378442"/>
      <w:bookmarkStart w:id="8" w:name="_Toc15377194"/>
      <w:bookmarkStart w:id="9" w:name="_Toc15396476"/>
      <w:bookmarkStart w:id="10" w:name="_Toc15377426"/>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城乡居民养老保险事务中心</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hint="eastAsia" w:ascii="宋体" w:hAnsi="宋体" w:eastAsia="宋体"/>
          <w:sz w:val="32"/>
          <w:szCs w:val="32"/>
          <w:lang w:eastAsia="zh-CN"/>
        </w:rPr>
      </w:pPr>
      <w:r>
        <w:rPr>
          <w:rFonts w:hint="eastAsia" w:ascii="宋体" w:hAnsi="宋体" w:cs="仿宋_GB2312"/>
          <w:sz w:val="32"/>
          <w:szCs w:val="32"/>
        </w:rPr>
        <w:t>部门主要负责人审签情况：</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2</w:t>
      </w:r>
      <w:r>
        <w:rPr>
          <w:rFonts w:hint="eastAsia" w:hAnsiTheme="minorHAnsi"/>
          <w:b w:val="0"/>
          <w:bCs w:val="0"/>
          <w:sz w:val="24"/>
          <w:szCs w:val="24"/>
        </w:rPr>
        <w:t>年</w:t>
      </w:r>
      <w:r>
        <w:rPr>
          <w:rFonts w:hint="eastAsia" w:hAnsiTheme="minorHAnsi"/>
          <w:b w:val="0"/>
          <w:bCs w:val="0"/>
          <w:sz w:val="24"/>
          <w:szCs w:val="24"/>
          <w:lang w:val="en-US" w:eastAsia="zh-CN"/>
        </w:rPr>
        <w:t>9</w:t>
      </w:r>
      <w:r>
        <w:rPr>
          <w:rFonts w:hint="eastAsia" w:hAnsiTheme="minorHAnsi"/>
          <w:b w:val="0"/>
          <w:bCs w:val="0"/>
          <w:sz w:val="24"/>
          <w:szCs w:val="24"/>
        </w:rPr>
        <w:t xml:space="preserve"> 月 </w:t>
      </w:r>
      <w:r>
        <w:rPr>
          <w:rFonts w:hint="eastAsia" w:hAnsiTheme="minorHAnsi"/>
          <w:b w:val="0"/>
          <w:bCs w:val="0"/>
          <w:sz w:val="24"/>
          <w:szCs w:val="24"/>
          <w:lang w:val="en-US" w:eastAsia="zh-CN"/>
        </w:rPr>
        <w:t>4</w:t>
      </w:r>
      <w:r>
        <w:rPr>
          <w:rFonts w:hint="eastAsia" w:hAnsiTheme="minorHAnsi"/>
          <w:b w:val="0"/>
          <w:bCs w:val="0"/>
          <w:sz w:val="24"/>
          <w:szCs w:val="24"/>
        </w:rPr>
        <w:t>日</w:t>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TOC \o "1-3" \h \u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_Toc17077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第一部分 部门概况</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4</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_Toc19555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一、基本职能及主要工作</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4</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_Toc11733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（一）主要职能</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4</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_Toc12862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（二）</w:t>
      </w:r>
      <w:r>
        <w:rPr>
          <w:rFonts w:hint="eastAsia" w:ascii="仿宋_GB2312" w:hAnsi="仿宋_GB2312" w:eastAsia="仿宋_GB2312" w:cs="仿宋_GB2312"/>
          <w:b w:val="0"/>
          <w:bCs w:val="0"/>
          <w:caps w:val="0"/>
          <w:sz w:val="32"/>
          <w:szCs w:val="32"/>
          <w:lang w:eastAsia="zh-CN"/>
        </w:rPr>
        <w:t>2022</w:t>
      </w:r>
      <w:r>
        <w:rPr>
          <w:rFonts w:hint="eastAsia" w:ascii="仿宋_GB2312" w:hAnsi="仿宋_GB2312" w:eastAsia="仿宋_GB2312" w:cs="仿宋_GB2312"/>
          <w:b w:val="0"/>
          <w:bCs w:val="0"/>
          <w:caps w:val="0"/>
          <w:sz w:val="32"/>
          <w:szCs w:val="32"/>
        </w:rPr>
        <w:t>年重点工作完成情况</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4</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_Toc32311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二、机构设置</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4</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_Toc21596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 xml:space="preserve">第二部分 </w:t>
      </w:r>
      <w:r>
        <w:rPr>
          <w:rFonts w:hint="eastAsia" w:ascii="仿宋_GB2312" w:hAnsi="仿宋_GB2312" w:eastAsia="仿宋_GB2312" w:cs="仿宋_GB2312"/>
          <w:b w:val="0"/>
          <w:bCs w:val="0"/>
          <w:caps w:val="0"/>
          <w:sz w:val="32"/>
          <w:szCs w:val="32"/>
          <w:lang w:eastAsia="zh-CN"/>
        </w:rPr>
        <w:t>2022</w:t>
      </w:r>
      <w:r>
        <w:rPr>
          <w:rFonts w:hint="eastAsia" w:ascii="仿宋_GB2312" w:hAnsi="仿宋_GB2312" w:eastAsia="仿宋_GB2312" w:cs="仿宋_GB2312"/>
          <w:b w:val="0"/>
          <w:bCs w:val="0"/>
          <w:caps w:val="0"/>
          <w:sz w:val="32"/>
          <w:szCs w:val="32"/>
        </w:rPr>
        <w:t>年度部门决算情况说明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5</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_Toc4785 </w:instrText>
      </w:r>
      <w:r>
        <w:rPr>
          <w:rFonts w:hint="eastAsia" w:ascii="仿宋_GB2312" w:hAnsi="仿宋_GB2312" w:eastAsia="仿宋_GB2312" w:cs="仿宋_GB2312"/>
          <w:b w:val="0"/>
          <w:bCs w:val="0"/>
          <w:caps w:val="0"/>
          <w:sz w:val="32"/>
          <w:szCs w:val="32"/>
        </w:rPr>
        <w:fldChar w:fldCharType="separate"/>
      </w:r>
      <w:r>
        <w:rPr>
          <w:rFonts w:hint="default" w:ascii="仿宋_GB2312" w:hAnsi="仿宋_GB2312" w:eastAsia="仿宋_GB2312" w:cs="仿宋_GB2312"/>
          <w:b w:val="0"/>
          <w:bCs w:val="0"/>
          <w:caps w:val="0"/>
          <w:sz w:val="32"/>
          <w:szCs w:val="32"/>
        </w:rPr>
        <w:t xml:space="preserve">一、 </w:t>
      </w:r>
      <w:r>
        <w:rPr>
          <w:rFonts w:hint="eastAsia" w:ascii="仿宋_GB2312" w:hAnsi="仿宋_GB2312" w:eastAsia="仿宋_GB2312" w:cs="仿宋_GB2312"/>
          <w:b w:val="0"/>
          <w:bCs w:val="0"/>
          <w:caps w:val="0"/>
          <w:sz w:val="32"/>
          <w:szCs w:val="32"/>
        </w:rPr>
        <w:t>收入支出决算总体情</w:t>
      </w:r>
      <w:r>
        <w:rPr>
          <w:rFonts w:hint="eastAsia" w:ascii="仿宋_GB2312" w:hAnsi="仿宋_GB2312" w:eastAsia="仿宋_GB2312" w:cs="仿宋_GB2312"/>
          <w:b w:val="0"/>
          <w:bCs w:val="0"/>
          <w:caps w:val="0"/>
          <w:sz w:val="32"/>
          <w:szCs w:val="32"/>
          <w:lang w:eastAsia="zh-CN"/>
        </w:rPr>
        <w:t>况</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5</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_Toc2198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二、收入决算情况说明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5</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_Toc31395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lang w:eastAsia="zh-CN"/>
        </w:rPr>
        <w:t>三、</w:t>
      </w:r>
      <w:r>
        <w:rPr>
          <w:rFonts w:hint="eastAsia" w:ascii="仿宋_GB2312" w:hAnsi="仿宋_GB2312" w:eastAsia="仿宋_GB2312" w:cs="仿宋_GB2312"/>
          <w:b w:val="0"/>
          <w:bCs w:val="0"/>
          <w:caps w:val="0"/>
          <w:sz w:val="32"/>
          <w:szCs w:val="32"/>
        </w:rPr>
        <w:t>支出决算情况说明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6</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_Toc13819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四、财政拨款收入支出决算总体情况说明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6</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_Toc26985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五、一般公共预算财政拨款支出决算情况说明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 xml:space="preserve"> 7</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_Toc4332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7</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_Toc15983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lang w:eastAsia="zh-CN"/>
        </w:rPr>
        <w:t>（</w:t>
      </w:r>
      <w:r>
        <w:rPr>
          <w:rFonts w:hint="eastAsia" w:ascii="仿宋_GB2312" w:hAnsi="仿宋_GB2312" w:eastAsia="仿宋_GB2312" w:cs="仿宋_GB2312"/>
          <w:b w:val="0"/>
          <w:bCs w:val="0"/>
          <w:caps w:val="0"/>
          <w:sz w:val="32"/>
          <w:szCs w:val="32"/>
        </w:rPr>
        <w:t>二）一般公共预算财政拨款支出决算结构情况</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7</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_Toc19823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（三）一般公共预算财政拨款支出决算具体情况</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8</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_Toc3782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六、一般公共预算财政拨款基本支出决算情况说明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9</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lang w:val="en-US" w:eastAsia="zh-CN"/>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_Toc8428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七、“三公”经费财政拨款支出决算情况说明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1</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lang w:val="en-US" w:eastAsia="zh-CN"/>
        </w:rPr>
        <w:t>0</w:t>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lang w:val="en-US" w:eastAsia="zh-CN"/>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_Toc17510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（一）“三公”经费财政拨款支出决算总体情况说明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1</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lang w:val="en-US" w:eastAsia="zh-CN"/>
        </w:rPr>
        <w:t>0</w:t>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lang w:val="en-US" w:eastAsia="zh-CN"/>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_Toc30440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（二）“三公”经费财政拨款支出决算具体情况说明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1</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lang w:val="en-US" w:eastAsia="zh-CN"/>
        </w:rPr>
        <w:t>0</w:t>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lang w:val="en-US" w:eastAsia="zh-CN"/>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_Toc18563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八、政府性基金预算支出决算情况说明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1</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lang w:val="en-US" w:eastAsia="zh-CN"/>
        </w:rPr>
        <w:t>0</w:t>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lang w:val="en-US" w:eastAsia="zh-CN"/>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_Toc6267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九、 国有资本经营预算支出决算情况说明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1</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lang w:val="en-US" w:eastAsia="zh-CN"/>
        </w:rPr>
        <w:t>0</w:t>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lang w:val="en-US" w:eastAsia="zh-CN"/>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_Toc6568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十、其他重要事项的情况说明</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1</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lang w:val="en-US" w:eastAsia="zh-CN"/>
        </w:rPr>
        <w:t>0</w:t>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lang w:val="en-US" w:eastAsia="zh-CN"/>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_Toc17556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（一）机关运行经费支出情况</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1</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lang w:val="en-US" w:eastAsia="zh-CN"/>
        </w:rPr>
        <w:t>0</w:t>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_Toc29546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（二）政府采购支出情况</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_Toc29546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11</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_Toc26443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（三）国有资产占有使用情况</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_Toc26443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11</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_Toc7410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（四）预算绩效管理情况</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_Toc7410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11</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_Toc20685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第三部分 名词解释</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_Toc20685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12</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_Toc23737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第四部分 附件</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_Toc23737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15</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_Toc4268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kern w:val="2"/>
          <w:sz w:val="32"/>
          <w:szCs w:val="32"/>
          <w:lang w:val="en-US" w:eastAsia="zh-CN" w:bidi="ar-SA"/>
        </w:rPr>
        <w:t>附件1............................................</w:t>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_Toc4268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15</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lang w:val="en-US" w:eastAsia="zh-CN"/>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_Toc4332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w:t>
      </w:r>
      <w:r>
        <w:rPr>
          <w:rFonts w:hint="eastAsia" w:ascii="仿宋_GB2312" w:hAnsi="仿宋_GB2312" w:eastAsia="仿宋_GB2312" w:cs="仿宋_GB2312"/>
          <w:b w:val="0"/>
          <w:bCs w:val="0"/>
          <w:caps w:val="0"/>
          <w:kern w:val="2"/>
          <w:sz w:val="32"/>
          <w:szCs w:val="32"/>
          <w:lang w:val="en-US" w:eastAsia="zh-CN" w:bidi="ar-SA"/>
        </w:rPr>
        <w:t>2022年部门整体支出绩效报告</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lang w:val="en-US" w:eastAsia="zh-CN"/>
        </w:rPr>
        <w:t>2</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lang w:val="en-US" w:eastAsia="zh-CN"/>
        </w:rPr>
        <w:t>2</w:t>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_Toc17183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第五部分 附表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_Toc17183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_Toc145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一、收入支出决算总表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_Toc145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_Toc19146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二、收入决算表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_Toc19146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_Toc8613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三、支出决算表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_Toc8613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_Toc1263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四、财政拨款收入支出决算总表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_Toc1263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_Toc18994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五、财政拨款支出决算明细表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_Toc18994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_Toc30963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六、一般公共预算财政拨款支出决算表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_Toc30963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_Toc19779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七、一般公共预算财政拨款支出决算明细表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_Toc19779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_Toc23048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八、一般公共预算财政拨款基本支出决算表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_Toc23048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_Toc21582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九、一般公共预算财政拨款项目支出决算表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_Toc21582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_Toc2732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十、一般公共预算财政拨款“三公”经费支出决算表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_Toc2732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_Toc9009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十一、政府性基金预算财政拨款收入支出决算表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_Toc2732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_Toc25914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十二、政府性基金预算财政拨款“三公”经费支出决算表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PAGEREF _Toc2732 \h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23</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default" w:ascii="仿宋_GB2312" w:hAnsi="仿宋_GB2312" w:eastAsia="仿宋_GB2312" w:cs="仿宋_GB2312"/>
          <w:b w:val="0"/>
          <w:bCs w:val="0"/>
          <w:caps w:val="0"/>
          <w:sz w:val="32"/>
          <w:szCs w:val="32"/>
          <w:lang w:val="en-US" w:eastAsia="zh-CN"/>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_Toc258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十三、国有资本经营预算财政拨款支出决算表</w:t>
      </w:r>
      <w:r>
        <w:rPr>
          <w:rFonts w:hint="eastAsia" w:ascii="仿宋_GB2312" w:hAnsi="仿宋_GB2312" w:eastAsia="仿宋_GB2312" w:cs="仿宋_GB2312"/>
          <w:b w:val="0"/>
          <w:bCs w:val="0"/>
          <w:caps w:val="0"/>
          <w:sz w:val="32"/>
          <w:szCs w:val="32"/>
          <w:lang w:val="en-US" w:eastAsia="zh-CN"/>
        </w:rPr>
        <w:t>.</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lang w:val="en-US" w:eastAsia="zh-CN"/>
        </w:rPr>
        <w:t>.........24</w:t>
      </w:r>
    </w:p>
    <w:p>
      <w:pPr>
        <w:rPr>
          <w:rFonts w:hint="eastAsia" w:eastAsia="仿宋_GB2312"/>
          <w:lang w:val="en-US" w:eastAsia="zh-CN"/>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_Toc14831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十四、国有资本经营预算财政拨款支出决算表</w:t>
      </w:r>
      <w:r>
        <w:rPr>
          <w:rFonts w:hint="eastAsia" w:ascii="仿宋_GB2312" w:hAnsi="仿宋_GB2312" w:eastAsia="仿宋_GB2312" w:cs="仿宋_GB2312"/>
          <w:b w:val="0"/>
          <w:bCs w:val="0"/>
          <w:caps w:val="0"/>
          <w:sz w:val="32"/>
          <w:szCs w:val="32"/>
          <w:lang w:val="en-US" w:eastAsia="zh-CN"/>
        </w:rPr>
        <w:t>..........2</w:t>
      </w:r>
      <w:r>
        <w:rPr>
          <w:rFonts w:hint="eastAsia" w:ascii="仿宋_GB2312" w:hAnsi="仿宋_GB2312" w:eastAsia="仿宋_GB2312" w:cs="仿宋_GB2312"/>
          <w:b w:val="0"/>
          <w:bCs w:val="0"/>
          <w:caps w:val="0"/>
          <w:sz w:val="32"/>
          <w:szCs w:val="32"/>
        </w:rPr>
        <w:fldChar w:fldCharType="end"/>
      </w:r>
      <w:r>
        <w:rPr>
          <w:rFonts w:hint="eastAsia" w:ascii="仿宋_GB2312" w:hAnsi="仿宋_GB2312" w:eastAsia="仿宋_GB2312" w:cs="仿宋_GB2312"/>
          <w:b w:val="0"/>
          <w:bCs w:val="0"/>
          <w:caps w:val="0"/>
          <w:sz w:val="32"/>
          <w:szCs w:val="32"/>
          <w:lang w:val="en-US" w:eastAsia="zh-CN"/>
        </w:rPr>
        <w:t>4</w:t>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pP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Style w:val="23"/>
          <w:rFonts w:hint="eastAsia" w:ascii="黑体" w:hAnsi="黑体" w:eastAsia="黑体"/>
          <w:b w:val="0"/>
          <w:bCs w:val="0"/>
        </w:rPr>
      </w:pPr>
      <w:r>
        <w:rPr>
          <w:rFonts w:hint="eastAsia" w:ascii="仿宋_GB2312" w:hAnsi="仿宋_GB2312" w:eastAsia="仿宋_GB2312" w:cs="仿宋_GB2312"/>
          <w:bCs w:val="0"/>
          <w:caps w:val="0"/>
          <w:szCs w:val="32"/>
        </w:rPr>
        <w:fldChar w:fldCharType="end"/>
      </w:r>
      <w:bookmarkStart w:id="12" w:name="_Toc15396599"/>
      <w:bookmarkStart w:id="13" w:name="_Toc79163601"/>
      <w:bookmarkStart w:id="14" w:name="_Toc79163851"/>
      <w:bookmarkStart w:id="15" w:name="_Toc15377196"/>
      <w:bookmarkStart w:id="16" w:name="_Toc17077"/>
      <w:bookmarkStart w:id="17" w:name="_Toc14293"/>
      <w:bookmarkStart w:id="18" w:name="_Toc27588"/>
      <w:r>
        <w:rPr>
          <w:rFonts w:hint="eastAsia" w:ascii="仿宋_GB2312" w:hAnsi="仿宋_GB2312" w:eastAsia="仿宋_GB2312" w:cs="仿宋_GB2312"/>
          <w:bCs w:val="0"/>
          <w:caps w:val="0"/>
          <w:szCs w:val="32"/>
          <w:lang w:val="en-US" w:eastAsia="zh-CN"/>
        </w:rPr>
        <w:t xml:space="preserve">              </w:t>
      </w:r>
      <w:r>
        <w:rPr>
          <w:rStyle w:val="23"/>
          <w:rFonts w:hint="eastAsia" w:ascii="黑体" w:hAnsi="黑体" w:eastAsia="黑体"/>
          <w:b w:val="0"/>
          <w:bCs w:val="0"/>
          <w:lang w:val="en-US" w:eastAsia="zh-CN"/>
        </w:rPr>
        <w:t xml:space="preserve">    </w:t>
      </w:r>
      <w:r>
        <w:rPr>
          <w:rStyle w:val="23"/>
          <w:rFonts w:hint="eastAsia" w:ascii="黑体" w:hAnsi="黑体" w:eastAsia="黑体"/>
          <w:b w:val="0"/>
          <w:bCs w:val="0"/>
        </w:rPr>
        <w:t>第一部分 部门概况</w:t>
      </w:r>
      <w:bookmarkEnd w:id="12"/>
      <w:bookmarkEnd w:id="13"/>
      <w:bookmarkEnd w:id="14"/>
      <w:bookmarkEnd w:id="15"/>
      <w:bookmarkEnd w:id="16"/>
      <w:bookmarkEnd w:id="17"/>
      <w:bookmarkEnd w:id="18"/>
    </w:p>
    <w:p>
      <w:pPr>
        <w:pStyle w:val="3"/>
        <w:rPr>
          <w:rStyle w:val="24"/>
          <w:rFonts w:ascii="仿宋" w:hAnsi="仿宋" w:eastAsia="仿宋"/>
          <w:b w:val="0"/>
          <w:bCs w:val="0"/>
        </w:rPr>
      </w:pPr>
      <w:bookmarkStart w:id="19" w:name="_Toc79163852"/>
      <w:bookmarkStart w:id="20" w:name="_Toc19555"/>
      <w:bookmarkStart w:id="21" w:name="_Toc15377197"/>
      <w:bookmarkStart w:id="22" w:name="_Toc25155"/>
      <w:bookmarkStart w:id="23" w:name="_Toc33"/>
      <w:bookmarkStart w:id="24" w:name="_Toc79163602"/>
      <w:bookmarkStart w:id="25" w:name="_Toc15396600"/>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9"/>
      <w:bookmarkEnd w:id="20"/>
      <w:bookmarkEnd w:id="21"/>
      <w:bookmarkEnd w:id="22"/>
      <w:bookmarkEnd w:id="23"/>
      <w:bookmarkEnd w:id="24"/>
      <w:bookmarkEnd w:id="25"/>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6" w:name="_Toc79163603"/>
      <w:bookmarkStart w:id="27" w:name="_Toc79163853"/>
      <w:bookmarkStart w:id="28" w:name="_Toc32450"/>
      <w:bookmarkStart w:id="29" w:name="_Toc27229"/>
      <w:bookmarkStart w:id="30" w:name="_Toc11733"/>
      <w:bookmarkStart w:id="31" w:name="_Toc15377198"/>
      <w:bookmarkStart w:id="32" w:name="_Toc15378445"/>
      <w:r>
        <w:rPr>
          <w:rFonts w:hint="eastAsia" w:ascii="仿宋" w:hAnsi="仿宋" w:eastAsia="仿宋"/>
          <w:bCs/>
          <w:color w:val="000000"/>
          <w:sz w:val="32"/>
          <w:szCs w:val="32"/>
        </w:rPr>
        <w:t>（一）主要职能</w:t>
      </w:r>
      <w:bookmarkEnd w:id="26"/>
      <w:bookmarkEnd w:id="27"/>
      <w:bookmarkEnd w:id="28"/>
      <w:bookmarkEnd w:id="29"/>
      <w:bookmarkEnd w:id="30"/>
    </w:p>
    <w:bookmarkEnd w:id="31"/>
    <w:bookmarkEnd w:id="32"/>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bookmarkStart w:id="33" w:name="_Toc79163604"/>
      <w:bookmarkStart w:id="34" w:name="_Toc79163854"/>
      <w:bookmarkStart w:id="35" w:name="_Toc15377199"/>
      <w:bookmarkStart w:id="36" w:name="_Toc15378446"/>
      <w:r>
        <w:rPr>
          <w:rFonts w:hint="eastAsia" w:ascii="仿宋_GB2312" w:eastAsia="仿宋_GB2312"/>
          <w:sz w:val="32"/>
          <w:szCs w:val="32"/>
        </w:rPr>
        <w:t>负责宣传和贯彻执行城乡居民社会保险的有关政策；负责城乡居民养老保险基金的收缴、汇集、存储及保险基金运营管理，建立业务台账，统计有关数据；负责为参保人员建立个人账户，办理保险关系转移、退保等手续；负责养老金领取人员的资格审查，核算养老金给付标准和拨付养老金；负责跟踪监督养老金发放情况，掌握领取养老金人员动态，提出养老金的处理意见；负责指导各乡镇开展城乡居民养老保险业务。</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37" w:name="_Toc26772"/>
      <w:bookmarkStart w:id="38" w:name="_Toc4196"/>
      <w:bookmarkStart w:id="39" w:name="_Toc12862"/>
      <w:r>
        <w:rPr>
          <w:rFonts w:hint="eastAsia" w:ascii="仿宋" w:hAnsi="仿宋" w:eastAsia="仿宋"/>
          <w:bCs/>
          <w:color w:val="000000"/>
          <w:sz w:val="32"/>
          <w:szCs w:val="32"/>
        </w:rPr>
        <w:t>（二）</w:t>
      </w:r>
      <w:r>
        <w:rPr>
          <w:rFonts w:hint="eastAsia" w:ascii="仿宋" w:hAnsi="仿宋" w:eastAsia="仿宋"/>
          <w:bCs/>
          <w:color w:val="000000"/>
          <w:sz w:val="32"/>
          <w:szCs w:val="32"/>
          <w:lang w:eastAsia="zh-CN"/>
        </w:rPr>
        <w:t>2022</w:t>
      </w:r>
      <w:r>
        <w:rPr>
          <w:rFonts w:hint="eastAsia" w:ascii="仿宋" w:hAnsi="仿宋" w:eastAsia="仿宋"/>
          <w:bCs/>
          <w:color w:val="000000"/>
          <w:sz w:val="32"/>
          <w:szCs w:val="32"/>
        </w:rPr>
        <w:t>年重点工作完成情况</w:t>
      </w:r>
      <w:bookmarkEnd w:id="33"/>
      <w:bookmarkEnd w:id="34"/>
      <w:bookmarkEnd w:id="35"/>
      <w:bookmarkEnd w:id="36"/>
      <w:bookmarkEnd w:id="37"/>
      <w:bookmarkEnd w:id="38"/>
      <w:bookmarkEnd w:id="39"/>
    </w:p>
    <w:p>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rPr>
          <w:rFonts w:ascii="仿宋_GB2312" w:hAnsi="仿宋" w:eastAsia="仿宋_GB2312" w:cs="仿宋"/>
          <w:sz w:val="32"/>
          <w:szCs w:val="32"/>
        </w:rPr>
      </w:pPr>
      <w:bookmarkStart w:id="40" w:name="_Toc15396601"/>
      <w:bookmarkStart w:id="41" w:name="_Toc15377200"/>
      <w:bookmarkStart w:id="42" w:name="_Toc79163605"/>
      <w:bookmarkStart w:id="43" w:name="_Toc79163855"/>
      <w:r>
        <w:rPr>
          <w:rFonts w:hint="eastAsia" w:ascii="仿宋_GB2312" w:hAnsi="仿宋" w:eastAsia="仿宋_GB2312" w:cs="仿宋"/>
          <w:sz w:val="32"/>
          <w:szCs w:val="32"/>
          <w:lang w:val="en-US" w:eastAsia="zh-CN"/>
        </w:rPr>
        <w:t>2022</w:t>
      </w:r>
      <w:r>
        <w:rPr>
          <w:rFonts w:hint="eastAsia" w:ascii="仿宋_GB2312" w:hAnsi="仿宋" w:eastAsia="仿宋_GB2312" w:cs="仿宋"/>
          <w:sz w:val="32"/>
          <w:szCs w:val="32"/>
        </w:rPr>
        <w:t>年，我</w:t>
      </w:r>
      <w:r>
        <w:rPr>
          <w:rFonts w:hint="eastAsia" w:ascii="仿宋_GB2312" w:hAnsi="仿宋" w:eastAsia="仿宋_GB2312" w:cs="仿宋"/>
          <w:sz w:val="32"/>
          <w:szCs w:val="32"/>
          <w:lang w:eastAsia="zh-CN"/>
        </w:rPr>
        <w:t>中心</w:t>
      </w:r>
      <w:r>
        <w:rPr>
          <w:rFonts w:hint="eastAsia" w:ascii="仿宋_GB2312" w:hAnsi="仿宋" w:eastAsia="仿宋_GB2312" w:cs="仿宋"/>
          <w:sz w:val="32"/>
          <w:szCs w:val="32"/>
        </w:rPr>
        <w:t>在</w:t>
      </w:r>
      <w:r>
        <w:rPr>
          <w:rFonts w:hint="eastAsia" w:ascii="仿宋_GB2312" w:hAnsi="仿宋" w:eastAsia="仿宋_GB2312" w:cs="仿宋"/>
          <w:sz w:val="32"/>
          <w:szCs w:val="32"/>
          <w:lang w:eastAsia="zh-CN"/>
        </w:rPr>
        <w:t>县人民政府的领导下，在州县</w:t>
      </w:r>
      <w:r>
        <w:rPr>
          <w:rFonts w:hint="eastAsia" w:ascii="仿宋_GB2312" w:hAnsi="仿宋" w:eastAsia="仿宋_GB2312" w:cs="仿宋"/>
          <w:sz w:val="32"/>
          <w:szCs w:val="32"/>
        </w:rPr>
        <w:t>人社</w:t>
      </w:r>
      <w:r>
        <w:rPr>
          <w:rFonts w:hint="eastAsia" w:ascii="仿宋_GB2312" w:hAnsi="仿宋" w:eastAsia="仿宋_GB2312" w:cs="仿宋"/>
          <w:sz w:val="32"/>
          <w:szCs w:val="32"/>
          <w:lang w:eastAsia="zh-CN"/>
        </w:rPr>
        <w:t>中心</w:t>
      </w:r>
      <w:r>
        <w:rPr>
          <w:rFonts w:hint="eastAsia" w:ascii="仿宋_GB2312" w:hAnsi="仿宋" w:eastAsia="仿宋_GB2312" w:cs="仿宋"/>
          <w:sz w:val="32"/>
          <w:szCs w:val="32"/>
        </w:rPr>
        <w:t>的</w:t>
      </w:r>
      <w:r>
        <w:rPr>
          <w:rFonts w:hint="eastAsia" w:ascii="仿宋_GB2312" w:hAnsi="仿宋" w:eastAsia="仿宋_GB2312" w:cs="仿宋"/>
          <w:sz w:val="32"/>
          <w:szCs w:val="32"/>
          <w:lang w:eastAsia="zh-CN"/>
        </w:rPr>
        <w:t>业务指导</w:t>
      </w:r>
      <w:r>
        <w:rPr>
          <w:rFonts w:hint="eastAsia" w:ascii="仿宋_GB2312" w:hAnsi="仿宋" w:eastAsia="仿宋_GB2312" w:cs="仿宋"/>
          <w:sz w:val="32"/>
          <w:szCs w:val="32"/>
        </w:rPr>
        <w:t>下</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认真贯彻执行国家、省有关城乡居民养老保险政策，完成</w:t>
      </w:r>
      <w:r>
        <w:rPr>
          <w:rFonts w:hint="eastAsia" w:ascii="仿宋_GB2312" w:hAnsi="仿宋" w:eastAsia="仿宋_GB2312" w:cs="仿宋"/>
          <w:sz w:val="32"/>
          <w:szCs w:val="32"/>
          <w:lang w:eastAsia="zh-CN"/>
        </w:rPr>
        <w:t>了</w:t>
      </w:r>
      <w:r>
        <w:rPr>
          <w:rFonts w:hint="eastAsia" w:ascii="仿宋_GB2312" w:hAnsi="仿宋" w:eastAsia="仿宋_GB2312" w:cs="仿宋"/>
          <w:sz w:val="32"/>
          <w:szCs w:val="32"/>
        </w:rPr>
        <w:t>全年民生目标任务，确保</w:t>
      </w:r>
      <w:r>
        <w:rPr>
          <w:rFonts w:hint="eastAsia" w:ascii="仿宋_GB2312" w:hAnsi="仿宋" w:eastAsia="仿宋_GB2312" w:cs="仿宋"/>
          <w:sz w:val="32"/>
          <w:szCs w:val="32"/>
          <w:lang w:eastAsia="zh-CN"/>
        </w:rPr>
        <w:t>了城乡居民</w:t>
      </w:r>
      <w:r>
        <w:rPr>
          <w:rFonts w:hint="eastAsia" w:ascii="仿宋_GB2312" w:hAnsi="仿宋" w:eastAsia="仿宋_GB2312" w:cs="仿宋"/>
          <w:sz w:val="32"/>
          <w:szCs w:val="32"/>
        </w:rPr>
        <w:t>养老金按时足额发放。</w:t>
      </w:r>
    </w:p>
    <w:p>
      <w:pPr>
        <w:pStyle w:val="3"/>
        <w:rPr>
          <w:rStyle w:val="24"/>
          <w:b w:val="0"/>
          <w:bCs w:val="0"/>
        </w:rPr>
      </w:pPr>
      <w:bookmarkStart w:id="44" w:name="_Toc25676"/>
      <w:bookmarkStart w:id="45" w:name="_Toc12508"/>
      <w:bookmarkStart w:id="46" w:name="_Toc32311"/>
      <w:r>
        <w:rPr>
          <w:rFonts w:hint="eastAsia" w:ascii="黑体" w:eastAsia="黑体"/>
          <w:b w:val="0"/>
          <w:color w:val="000000"/>
        </w:rPr>
        <w:t>二、</w:t>
      </w:r>
      <w:r>
        <w:rPr>
          <w:rFonts w:hint="eastAsia" w:ascii="黑体" w:hAnsi="黑体" w:eastAsia="黑体"/>
          <w:b w:val="0"/>
          <w:color w:val="000000"/>
        </w:rPr>
        <w:t>机</w:t>
      </w:r>
      <w:r>
        <w:rPr>
          <w:rStyle w:val="24"/>
          <w:rFonts w:hint="eastAsia" w:ascii="黑体" w:hAnsi="黑体" w:eastAsia="黑体"/>
          <w:b w:val="0"/>
          <w:bCs w:val="0"/>
        </w:rPr>
        <w:t>构设置</w:t>
      </w:r>
      <w:bookmarkEnd w:id="40"/>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Arial"/>
          <w:kern w:val="0"/>
          <w:sz w:val="32"/>
          <w:szCs w:val="32"/>
        </w:rPr>
      </w:pPr>
      <w:bookmarkStart w:id="47" w:name="_Toc15396602"/>
      <w:bookmarkStart w:id="48" w:name="_Toc15377204"/>
      <w:bookmarkStart w:id="49" w:name="_Toc79163859"/>
      <w:bookmarkStart w:id="50" w:name="_Toc79163609"/>
      <w:r>
        <w:rPr>
          <w:rFonts w:hint="eastAsia" w:ascii="仿宋_GB2312" w:hAnsi="宋体" w:eastAsia="仿宋_GB2312" w:cs="Arial"/>
          <w:kern w:val="0"/>
          <w:sz w:val="32"/>
          <w:szCs w:val="32"/>
          <w:lang w:eastAsia="zh-CN"/>
        </w:rPr>
        <w:t>城乡居民养老保险事务中心</w:t>
      </w:r>
      <w:r>
        <w:rPr>
          <w:rFonts w:hint="eastAsia" w:ascii="仿宋_GB2312" w:hAnsi="宋体" w:eastAsia="仿宋_GB2312" w:cs="Arial"/>
          <w:kern w:val="0"/>
          <w:sz w:val="32"/>
          <w:szCs w:val="32"/>
        </w:rPr>
        <w:t>属一级预算单位，下属二级预算单位</w:t>
      </w:r>
      <w:r>
        <w:rPr>
          <w:rFonts w:hint="eastAsia" w:ascii="仿宋_GB2312" w:hAnsi="宋体" w:eastAsia="仿宋_GB2312" w:cs="Arial"/>
          <w:kern w:val="0"/>
          <w:sz w:val="32"/>
          <w:szCs w:val="32"/>
          <w:lang w:val="en-US" w:eastAsia="zh-CN"/>
        </w:rPr>
        <w:t>0</w:t>
      </w:r>
      <w:r>
        <w:rPr>
          <w:rFonts w:hint="eastAsia" w:ascii="仿宋_GB2312" w:hAnsi="宋体" w:eastAsia="仿宋_GB2312" w:cs="Arial"/>
          <w:kern w:val="0"/>
          <w:sz w:val="32"/>
          <w:szCs w:val="32"/>
        </w:rPr>
        <w:t>个，其中：参照公务员法管理的事业单位</w:t>
      </w:r>
      <w:r>
        <w:rPr>
          <w:rFonts w:hint="eastAsia" w:ascii="仿宋_GB2312" w:hAnsi="宋体" w:eastAsia="仿宋_GB2312" w:cs="Arial"/>
          <w:kern w:val="0"/>
          <w:sz w:val="32"/>
          <w:szCs w:val="32"/>
          <w:lang w:val="en-US" w:eastAsia="zh-CN"/>
        </w:rPr>
        <w:t>0</w:t>
      </w:r>
      <w:r>
        <w:rPr>
          <w:rFonts w:hint="eastAsia" w:ascii="仿宋_GB2312" w:hAnsi="宋体" w:eastAsia="仿宋_GB2312" w:cs="Arial"/>
          <w:kern w:val="0"/>
          <w:sz w:val="32"/>
          <w:szCs w:val="32"/>
        </w:rPr>
        <w:t>个，其他事业单位</w:t>
      </w:r>
      <w:r>
        <w:rPr>
          <w:rFonts w:hint="eastAsia" w:ascii="仿宋_GB2312" w:hAnsi="宋体" w:eastAsia="仿宋_GB2312" w:cs="Arial"/>
          <w:kern w:val="0"/>
          <w:sz w:val="32"/>
          <w:szCs w:val="32"/>
          <w:lang w:val="en-US" w:eastAsia="zh-CN"/>
        </w:rPr>
        <w:t>0</w:t>
      </w:r>
      <w:r>
        <w:rPr>
          <w:rFonts w:hint="eastAsia" w:ascii="仿宋_GB2312" w:hAnsi="宋体" w:eastAsia="仿宋_GB2312" w:cs="Arial"/>
          <w:kern w:val="0"/>
          <w:sz w:val="32"/>
          <w:szCs w:val="32"/>
        </w:rPr>
        <w:t>个。</w:t>
      </w:r>
    </w:p>
    <w:p>
      <w:pPr>
        <w:pStyle w:val="2"/>
        <w:ind w:right="440"/>
        <w:jc w:val="right"/>
        <w:rPr>
          <w:rStyle w:val="23"/>
          <w:rFonts w:ascii="黑体" w:hAnsi="黑体" w:eastAsia="黑体"/>
          <w:b w:val="0"/>
          <w:bCs w:val="0"/>
        </w:rPr>
      </w:pPr>
      <w:bookmarkStart w:id="51" w:name="_Toc8248"/>
      <w:bookmarkStart w:id="52" w:name="_Toc5520"/>
      <w:bookmarkStart w:id="53" w:name="_Toc21596"/>
      <w:r>
        <w:rPr>
          <w:rFonts w:hint="eastAsia" w:ascii="黑体" w:hAnsi="黑体" w:eastAsia="黑体"/>
          <w:b w:val="0"/>
          <w:color w:val="000000"/>
        </w:rPr>
        <w:t>第二部分</w:t>
      </w:r>
      <w:r>
        <w:rPr>
          <w:rFonts w:ascii="黑体" w:hAnsi="黑体" w:eastAsia="黑体"/>
          <w:color w:val="000000"/>
        </w:rPr>
        <w:t xml:space="preserve"> </w:t>
      </w:r>
      <w:r>
        <w:rPr>
          <w:rStyle w:val="23"/>
          <w:rFonts w:hint="eastAsia" w:ascii="黑体" w:hAnsi="黑体" w:eastAsia="黑体"/>
          <w:b w:val="0"/>
          <w:bCs w:val="0"/>
          <w:lang w:eastAsia="zh-CN"/>
        </w:rPr>
        <w:t>2022</w:t>
      </w:r>
      <w:r>
        <w:rPr>
          <w:rStyle w:val="23"/>
          <w:rFonts w:hint="eastAsia" w:ascii="黑体" w:hAnsi="黑体" w:eastAsia="黑体"/>
          <w:b w:val="0"/>
          <w:bCs w:val="0"/>
        </w:rPr>
        <w:t>年度部门决算情况说明</w:t>
      </w:r>
      <w:bookmarkEnd w:id="47"/>
      <w:bookmarkEnd w:id="48"/>
      <w:bookmarkEnd w:id="49"/>
      <w:bookmarkEnd w:id="50"/>
      <w:bookmarkEnd w:id="51"/>
      <w:bookmarkEnd w:id="52"/>
      <w:bookmarkEnd w:id="53"/>
    </w:p>
    <w:p/>
    <w:p>
      <w:pPr>
        <w:pStyle w:val="34"/>
        <w:numPr>
          <w:ilvl w:val="0"/>
          <w:numId w:val="1"/>
        </w:numPr>
        <w:spacing w:line="600" w:lineRule="exact"/>
        <w:ind w:left="1350" w:leftChars="0" w:firstLineChars="0"/>
        <w:outlineLvl w:val="1"/>
        <w:rPr>
          <w:rStyle w:val="24"/>
          <w:rFonts w:ascii="黑体" w:hAnsi="黑体" w:eastAsia="黑体"/>
          <w:b w:val="0"/>
        </w:rPr>
      </w:pPr>
      <w:bookmarkStart w:id="54" w:name="_Toc79163610"/>
      <w:bookmarkStart w:id="55" w:name="_Toc79163860"/>
      <w:bookmarkStart w:id="56" w:name="_Toc15377205"/>
      <w:bookmarkStart w:id="57" w:name="_Toc15396603"/>
      <w:bookmarkStart w:id="58" w:name="_Toc26795"/>
      <w:bookmarkStart w:id="59" w:name="_Toc654"/>
      <w:bookmarkStart w:id="60" w:name="_Toc4785"/>
      <w:r>
        <w:rPr>
          <w:rFonts w:hint="eastAsia" w:ascii="黑体" w:hAnsi="黑体" w:eastAsia="黑体"/>
          <w:color w:val="000000"/>
          <w:sz w:val="32"/>
          <w:szCs w:val="32"/>
        </w:rPr>
        <w:t>收</w:t>
      </w:r>
      <w:r>
        <w:rPr>
          <w:rStyle w:val="24"/>
          <w:rFonts w:hint="eastAsia" w:ascii="黑体" w:hAnsi="黑体" w:eastAsia="黑体"/>
          <w:b w:val="0"/>
        </w:rPr>
        <w:t>入支出决算总体情</w:t>
      </w:r>
      <w:bookmarkEnd w:id="54"/>
      <w:bookmarkEnd w:id="55"/>
      <w:bookmarkEnd w:id="56"/>
      <w:bookmarkEnd w:id="57"/>
      <w:r>
        <w:rPr>
          <w:rStyle w:val="24"/>
          <w:rFonts w:hint="eastAsia" w:ascii="黑体" w:hAnsi="黑体" w:eastAsia="黑体"/>
          <w:b w:val="0"/>
          <w:lang w:eastAsia="zh-CN"/>
        </w:rPr>
        <w:t>况</w:t>
      </w:r>
      <w:bookmarkEnd w:id="58"/>
      <w:bookmarkEnd w:id="59"/>
      <w:bookmarkEnd w:id="60"/>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237.42</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年相比，收、支总计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1.66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0.6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2022年公用经费支出减少</w:t>
      </w:r>
      <w:r>
        <w:rPr>
          <w:rFonts w:hint="eastAsia" w:ascii="仿宋" w:hAnsi="仿宋" w:eastAsia="仿宋"/>
          <w:color w:val="000000"/>
          <w:sz w:val="32"/>
          <w:szCs w:val="32"/>
          <w:lang w:eastAsia="zh-CN"/>
        </w:rPr>
        <w:t>（图1：收、支决算总计变动情况图）（柱状图）</w:t>
      </w:r>
    </w:p>
    <w:p>
      <w:pPr>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
          <w:color w:val="000000"/>
          <w:sz w:val="32"/>
          <w:szCs w:val="32"/>
          <w:lang w:eastAsia="zh-CN"/>
        </w:rPr>
        <w:drawing>
          <wp:anchor distT="0" distB="0" distL="114300" distR="114300" simplePos="0" relativeHeight="251662336" behindDoc="1" locked="0" layoutInCell="1" allowOverlap="1">
            <wp:simplePos x="0" y="0"/>
            <wp:positionH relativeFrom="column">
              <wp:posOffset>99695</wp:posOffset>
            </wp:positionH>
            <wp:positionV relativeFrom="paragraph">
              <wp:posOffset>83185</wp:posOffset>
            </wp:positionV>
            <wp:extent cx="4917440" cy="2713990"/>
            <wp:effectExtent l="4445" t="4445" r="12065" b="5715"/>
            <wp:wrapTight wrapText="bothSides">
              <wp:wrapPolygon>
                <wp:start x="-20" y="-35"/>
                <wp:lineTo x="-20" y="21494"/>
                <wp:lineTo x="21569" y="21494"/>
                <wp:lineTo x="21569" y="-35"/>
                <wp:lineTo x="-20" y="-35"/>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pStyle w:val="41"/>
        <w:spacing w:line="576" w:lineRule="exact"/>
        <w:ind w:firstLine="640"/>
        <w:outlineLvl w:val="1"/>
        <w:rPr>
          <w:rStyle w:val="42"/>
          <w:rFonts w:ascii="黑体" w:hAnsi="黑体" w:eastAsia="黑体"/>
          <w:b w:val="0"/>
          <w:bCs w:val="0"/>
        </w:rPr>
      </w:pPr>
      <w:bookmarkStart w:id="61" w:name="_Toc25075"/>
      <w:bookmarkStart w:id="62" w:name="_Toc2198"/>
      <w:bookmarkStart w:id="63" w:name="_Toc15970"/>
      <w:r>
        <w:rPr>
          <w:rFonts w:hint="eastAsia" w:ascii="黑体" w:hAnsi="黑体" w:eastAsia="黑体"/>
          <w:color w:val="000000"/>
          <w:sz w:val="32"/>
          <w:szCs w:val="32"/>
        </w:rPr>
        <w:t>二、收</w:t>
      </w:r>
      <w:r>
        <w:rPr>
          <w:rStyle w:val="42"/>
          <w:rFonts w:hint="eastAsia" w:ascii="黑体" w:hAnsi="黑体" w:eastAsia="黑体"/>
          <w:b w:val="0"/>
          <w:bCs w:val="0"/>
        </w:rPr>
        <w:t>入决算情况说明</w:t>
      </w:r>
      <w:bookmarkEnd w:id="61"/>
      <w:bookmarkEnd w:id="62"/>
      <w:bookmarkEnd w:id="63"/>
    </w:p>
    <w:p>
      <w:pPr>
        <w:spacing w:line="600" w:lineRule="exact"/>
        <w:ind w:firstLine="640" w:firstLineChars="200"/>
        <w:rPr>
          <w:rFonts w:hint="eastAsia" w:ascii="仿宋_GB2312" w:eastAsia="仿宋"/>
          <w:color w:val="FF0000"/>
          <w:sz w:val="32"/>
          <w:szCs w:val="32"/>
          <w:lang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237.42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237.42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420" w:firstLineChars="200"/>
        <w:rPr>
          <w:rFonts w:ascii="仿宋" w:hAnsi="仿宋" w:eastAsia="仿宋"/>
          <w:color w:val="000000"/>
          <w:sz w:val="32"/>
          <w:szCs w:val="32"/>
        </w:rPr>
      </w:pPr>
      <w:r>
        <w:drawing>
          <wp:anchor distT="0" distB="0" distL="0" distR="0" simplePos="0" relativeHeight="251659264" behindDoc="0" locked="0" layoutInCell="1" allowOverlap="1">
            <wp:simplePos x="0" y="0"/>
            <wp:positionH relativeFrom="column">
              <wp:posOffset>148590</wp:posOffset>
            </wp:positionH>
            <wp:positionV relativeFrom="paragraph">
              <wp:posOffset>728345</wp:posOffset>
            </wp:positionV>
            <wp:extent cx="5086350" cy="1217930"/>
            <wp:effectExtent l="5080" t="4445" r="13970" b="1587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p>
    <w:p>
      <w:pPr>
        <w:pStyle w:val="34"/>
        <w:numPr>
          <w:ilvl w:val="0"/>
          <w:numId w:val="0"/>
        </w:numPr>
        <w:spacing w:line="600" w:lineRule="exact"/>
        <w:ind w:left="630" w:leftChars="0"/>
        <w:outlineLvl w:val="1"/>
        <w:rPr>
          <w:rStyle w:val="24"/>
          <w:rFonts w:ascii="黑体" w:hAnsi="黑体" w:eastAsia="黑体"/>
          <w:b w:val="0"/>
        </w:rPr>
      </w:pPr>
      <w:bookmarkStart w:id="64" w:name="_Toc15377207"/>
      <w:bookmarkStart w:id="65" w:name="_Toc79163612"/>
      <w:bookmarkStart w:id="66" w:name="_Toc79163862"/>
      <w:bookmarkStart w:id="67" w:name="_Toc15396605"/>
      <w:bookmarkStart w:id="68" w:name="_Toc1276"/>
      <w:bookmarkStart w:id="69" w:name="_Toc10640"/>
      <w:bookmarkStart w:id="70" w:name="_Toc3139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4"/>
          <w:rFonts w:hint="eastAsia" w:ascii="黑体" w:hAnsi="黑体" w:eastAsia="黑体"/>
          <w:b w:val="0"/>
        </w:rPr>
        <w:t>出决算情况说明</w:t>
      </w:r>
      <w:bookmarkEnd w:id="64"/>
      <w:bookmarkEnd w:id="65"/>
      <w:bookmarkEnd w:id="66"/>
      <w:bookmarkEnd w:id="67"/>
      <w:bookmarkEnd w:id="68"/>
      <w:bookmarkEnd w:id="69"/>
      <w:bookmarkEnd w:id="70"/>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年本年支出合计</w:t>
      </w:r>
      <w:r>
        <w:rPr>
          <w:rFonts w:hint="eastAsia" w:ascii="仿宋_GB2312" w:eastAsia="仿宋_GB2312"/>
          <w:color w:val="000000" w:themeColor="text1"/>
          <w:sz w:val="32"/>
          <w:szCs w:val="32"/>
          <w:lang w:val="en-US" w:eastAsia="zh-CN"/>
          <w14:textFill>
            <w14:solidFill>
              <w14:schemeClr w14:val="tx1"/>
            </w14:solidFill>
          </w14:textFill>
        </w:rPr>
        <w:t>237.42</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236.58</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99.64</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0.84</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0.36</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：支出决算结构图）（饼状图）</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99060</wp:posOffset>
            </wp:positionH>
            <wp:positionV relativeFrom="paragraph">
              <wp:posOffset>126365</wp:posOffset>
            </wp:positionV>
            <wp:extent cx="4572000" cy="2160905"/>
            <wp:effectExtent l="4445" t="4445" r="14605" b="635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24"/>
          <w:rFonts w:ascii="黑体" w:hAnsi="黑体" w:eastAsia="黑体"/>
          <w:b w:val="0"/>
        </w:rPr>
      </w:pPr>
      <w:bookmarkStart w:id="71" w:name="_Toc15396606"/>
      <w:bookmarkStart w:id="72" w:name="_Toc79163863"/>
      <w:bookmarkStart w:id="73" w:name="_Toc79163613"/>
      <w:bookmarkStart w:id="74" w:name="_Toc15377208"/>
      <w:r>
        <w:rPr>
          <w:rFonts w:hint="eastAsia" w:ascii="黑体" w:hAnsi="黑体" w:eastAsia="黑体"/>
          <w:color w:val="000000"/>
          <w:sz w:val="32"/>
          <w:szCs w:val="32"/>
          <w:lang w:val="en-US" w:eastAsia="zh-CN"/>
        </w:rPr>
        <w:t xml:space="preserve">          </w:t>
      </w:r>
      <w:bookmarkEnd w:id="71"/>
      <w:bookmarkEnd w:id="72"/>
      <w:bookmarkEnd w:id="73"/>
      <w:bookmarkEnd w:id="74"/>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outlineLvl w:val="1"/>
        <w:rPr>
          <w:rStyle w:val="24"/>
          <w:rFonts w:ascii="黑体" w:hAnsi="黑体" w:eastAsia="黑体"/>
          <w:b w:val="0"/>
        </w:rPr>
      </w:pPr>
      <w:bookmarkStart w:id="75" w:name="_Toc13819"/>
      <w:bookmarkStart w:id="76" w:name="_Toc22152"/>
      <w:bookmarkStart w:id="77" w:name="_Toc6946"/>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75"/>
      <w:bookmarkEnd w:id="76"/>
      <w:bookmarkEnd w:id="77"/>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237.42</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支总计减少</w:t>
      </w:r>
      <w:r>
        <w:rPr>
          <w:rFonts w:hint="eastAsia" w:ascii="仿宋" w:hAnsi="仿宋" w:eastAsia="仿宋"/>
          <w:color w:val="000000"/>
          <w:sz w:val="32"/>
          <w:szCs w:val="32"/>
          <w:lang w:val="en-US" w:eastAsia="zh-CN"/>
        </w:rPr>
        <w:t>1.66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0.6</w:t>
      </w:r>
      <w:r>
        <w:rPr>
          <w:rFonts w:ascii="仿宋" w:hAnsi="仿宋" w:eastAsia="仿宋"/>
          <w:color w:val="000000"/>
          <w:sz w:val="32"/>
          <w:szCs w:val="32"/>
        </w:rPr>
        <w:t>%</w:t>
      </w:r>
      <w:r>
        <w:rPr>
          <w:rFonts w:hint="eastAsia" w:ascii="仿宋" w:hAnsi="仿宋" w:eastAsia="仿宋"/>
          <w:color w:val="000000"/>
          <w:sz w:val="32"/>
          <w:szCs w:val="32"/>
          <w:lang w:eastAsia="zh-CN"/>
        </w:rPr>
        <w:t>。主要变动原因是</w:t>
      </w:r>
      <w:r>
        <w:rPr>
          <w:rFonts w:hint="eastAsia" w:ascii="仿宋" w:hAnsi="仿宋" w:eastAsia="仿宋"/>
          <w:color w:val="000000"/>
          <w:sz w:val="32"/>
          <w:szCs w:val="32"/>
          <w:lang w:val="en-US" w:eastAsia="zh-CN"/>
        </w:rPr>
        <w:t>2022年</w:t>
      </w:r>
      <w:r>
        <w:rPr>
          <w:rFonts w:hint="eastAsia" w:ascii="仿宋" w:hAnsi="仿宋" w:eastAsia="仿宋"/>
          <w:color w:val="auto"/>
          <w:sz w:val="32"/>
          <w:szCs w:val="32"/>
          <w:lang w:val="en-US" w:eastAsia="zh-CN"/>
        </w:rPr>
        <w:t>公用经费支出减少。</w:t>
      </w:r>
    </w:p>
    <w:p>
      <w:pPr>
        <w:spacing w:line="600" w:lineRule="exact"/>
        <w:rPr>
          <w:rFonts w:hint="eastAsia" w:ascii="仿宋" w:hAnsi="仿宋" w:eastAsia="仿宋"/>
          <w:color w:val="000000"/>
          <w:sz w:val="32"/>
          <w:szCs w:val="32"/>
          <w:lang w:eastAsia="zh-CN"/>
        </w:rPr>
      </w:pPr>
      <w:r>
        <w:rPr>
          <w:rFonts w:hint="eastAsia" w:ascii="仿宋_GB2312" w:eastAsia="仿宋"/>
          <w:color w:val="000000"/>
          <w:sz w:val="32"/>
          <w:szCs w:val="32"/>
          <w:lang w:eastAsia="zh-CN"/>
        </w:rPr>
        <w:drawing>
          <wp:anchor distT="0" distB="0" distL="114300" distR="114300" simplePos="0" relativeHeight="251663360" behindDoc="1" locked="0" layoutInCell="1" allowOverlap="1">
            <wp:simplePos x="0" y="0"/>
            <wp:positionH relativeFrom="column">
              <wp:posOffset>88265</wp:posOffset>
            </wp:positionH>
            <wp:positionV relativeFrom="paragraph">
              <wp:posOffset>605790</wp:posOffset>
            </wp:positionV>
            <wp:extent cx="5358765" cy="2131695"/>
            <wp:effectExtent l="4445" t="4445" r="46990" b="54610"/>
            <wp:wrapTight wrapText="bothSides">
              <wp:wrapPolygon>
                <wp:start x="-18" y="-45"/>
                <wp:lineTo x="-18" y="21381"/>
                <wp:lineTo x="21559" y="21381"/>
                <wp:lineTo x="21559" y="-45"/>
                <wp:lineTo x="-18" y="-45"/>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spacing w:line="600" w:lineRule="exact"/>
        <w:outlineLvl w:val="1"/>
        <w:rPr>
          <w:rFonts w:ascii="仿宋" w:hAnsi="仿宋" w:eastAsia="仿宋"/>
          <w:color w:val="000000"/>
          <w:sz w:val="32"/>
          <w:szCs w:val="32"/>
        </w:rPr>
      </w:pPr>
      <w:bookmarkStart w:id="78" w:name="_Toc15377209"/>
      <w:bookmarkStart w:id="79" w:name="_Toc79163864"/>
      <w:bookmarkStart w:id="80" w:name="_Toc79163614"/>
      <w:bookmarkStart w:id="81" w:name="_Toc26985"/>
      <w:bookmarkStart w:id="82" w:name="_Toc25768"/>
      <w:bookmarkStart w:id="83" w:name="_Toc15396607"/>
      <w:bookmarkStart w:id="84" w:name="_Toc5953"/>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78"/>
      <w:bookmarkEnd w:id="79"/>
      <w:bookmarkEnd w:id="80"/>
      <w:bookmarkEnd w:id="81"/>
      <w:bookmarkEnd w:id="82"/>
      <w:bookmarkEnd w:id="83"/>
      <w:bookmarkEnd w:id="84"/>
    </w:p>
    <w:p>
      <w:pPr>
        <w:spacing w:line="600" w:lineRule="exact"/>
        <w:ind w:firstLine="640" w:firstLineChars="200"/>
        <w:rPr>
          <w:rFonts w:hint="eastAsia" w:ascii="仿宋" w:hAnsi="仿宋" w:eastAsia="仿宋"/>
          <w:color w:val="FF0000"/>
          <w:sz w:val="32"/>
          <w:szCs w:val="32"/>
          <w:lang w:val="en-US" w:eastAsia="zh-CN"/>
        </w:rPr>
      </w:pPr>
      <w:r>
        <w:rPr>
          <w:rFonts w:hint="eastAsia" w:ascii="仿宋" w:hAnsi="仿宋" w:eastAsia="仿宋"/>
          <w:color w:val="auto"/>
          <w:sz w:val="32"/>
          <w:szCs w:val="32"/>
          <w:lang w:eastAsia="zh-CN"/>
        </w:rPr>
        <w:t>2022</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237.42</w:t>
      </w:r>
      <w:r>
        <w:rPr>
          <w:rFonts w:hint="eastAsia" w:ascii="仿宋" w:hAnsi="仿宋" w:eastAsia="仿宋"/>
          <w:color w:val="auto"/>
          <w:sz w:val="32"/>
          <w:szCs w:val="32"/>
        </w:rPr>
        <w:t>万元，占本年支出合计的</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。与</w:t>
      </w:r>
      <w:r>
        <w:rPr>
          <w:rFonts w:hint="eastAsia" w:ascii="仿宋" w:hAnsi="仿宋" w:eastAsia="仿宋"/>
          <w:color w:val="auto"/>
          <w:sz w:val="32"/>
          <w:szCs w:val="32"/>
          <w:lang w:eastAsia="zh-CN"/>
        </w:rPr>
        <w:t>202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年相比，一般公共预算财政拨</w:t>
      </w:r>
      <w:r>
        <w:rPr>
          <w:rFonts w:hint="eastAsia" w:ascii="仿宋" w:hAnsi="仿宋" w:eastAsia="仿宋"/>
          <w:color w:val="auto"/>
          <w:sz w:val="32"/>
          <w:szCs w:val="32"/>
          <w:lang w:eastAsia="zh-CN"/>
        </w:rPr>
        <w:t>款减少</w:t>
      </w:r>
      <w:r>
        <w:rPr>
          <w:rFonts w:hint="eastAsia" w:ascii="仿宋" w:hAnsi="仿宋" w:eastAsia="仿宋"/>
          <w:color w:val="000000"/>
          <w:sz w:val="32"/>
          <w:szCs w:val="32"/>
          <w:lang w:val="en-US" w:eastAsia="zh-CN"/>
        </w:rPr>
        <w:t>1.66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0.6</w:t>
      </w:r>
      <w:r>
        <w:rPr>
          <w:rFonts w:ascii="仿宋" w:hAnsi="仿宋" w:eastAsia="仿宋"/>
          <w:color w:val="000000"/>
          <w:sz w:val="32"/>
          <w:szCs w:val="32"/>
        </w:rPr>
        <w:t>%</w:t>
      </w:r>
      <w:r>
        <w:rPr>
          <w:rFonts w:hint="eastAsia" w:ascii="仿宋" w:hAnsi="仿宋" w:eastAsia="仿宋"/>
          <w:color w:val="auto"/>
          <w:sz w:val="32"/>
          <w:szCs w:val="32"/>
          <w:lang w:eastAsia="zh-CN"/>
        </w:rPr>
        <w:t>。主要变动原因是</w:t>
      </w:r>
      <w:r>
        <w:rPr>
          <w:rFonts w:hint="eastAsia" w:ascii="仿宋" w:hAnsi="仿宋" w:eastAsia="仿宋"/>
          <w:color w:val="auto"/>
          <w:sz w:val="32"/>
          <w:szCs w:val="32"/>
          <w:lang w:val="en-US" w:eastAsia="zh-CN"/>
        </w:rPr>
        <w:t>:2022年公用经费支出减少。</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r>
        <w:rPr>
          <w:rFonts w:hint="eastAsia" w:ascii="仿宋" w:hAnsi="仿宋" w:eastAsia="仿宋"/>
          <w:color w:val="000000"/>
          <w:sz w:val="32"/>
          <w:szCs w:val="32"/>
          <w:lang w:eastAsia="zh-CN"/>
        </w:rPr>
        <w:t>）</w:t>
      </w:r>
      <w:r>
        <w:rPr>
          <w:rFonts w:hint="eastAsia" w:ascii="仿宋" w:hAnsi="仿宋" w:eastAsia="仿宋"/>
          <w:color w:val="000000"/>
          <w:sz w:val="32"/>
          <w:szCs w:val="32"/>
        </w:rPr>
        <w:t>（柱状图）</w:t>
      </w:r>
    </w:p>
    <w:p>
      <w:pPr>
        <w:spacing w:line="600" w:lineRule="exact"/>
        <w:ind w:firstLine="640" w:firstLineChars="200"/>
        <w:rPr>
          <w:rFonts w:ascii="仿宋" w:hAnsi="仿宋" w:eastAsia="仿宋"/>
          <w:b/>
          <w:color w:val="000000"/>
          <w:sz w:val="32"/>
          <w:szCs w:val="32"/>
        </w:rPr>
      </w:pPr>
      <w:bookmarkStart w:id="85" w:name="_Toc5396"/>
      <w:bookmarkStart w:id="86" w:name="_Toc16224"/>
      <w:bookmarkStart w:id="87" w:name="_Toc15983"/>
      <w:r>
        <w:rPr>
          <w:rFonts w:hint="eastAsia" w:ascii="仿宋_GB2312" w:eastAsia="仿宋"/>
          <w:color w:val="000000"/>
          <w:sz w:val="32"/>
          <w:szCs w:val="32"/>
          <w:lang w:eastAsia="zh-CN"/>
        </w:rPr>
        <w:drawing>
          <wp:anchor distT="0" distB="0" distL="114300" distR="114300" simplePos="0" relativeHeight="251664384" behindDoc="1" locked="0" layoutInCell="1" allowOverlap="1">
            <wp:simplePos x="0" y="0"/>
            <wp:positionH relativeFrom="column">
              <wp:posOffset>337820</wp:posOffset>
            </wp:positionH>
            <wp:positionV relativeFrom="paragraph">
              <wp:posOffset>66040</wp:posOffset>
            </wp:positionV>
            <wp:extent cx="5358765" cy="2131695"/>
            <wp:effectExtent l="4445" t="4445" r="8890" b="16510"/>
            <wp:wrapTight wrapText="bothSides">
              <wp:wrapPolygon>
                <wp:start x="-18" y="-45"/>
                <wp:lineTo x="-18" y="21381"/>
                <wp:lineTo x="21559" y="21381"/>
                <wp:lineTo x="21559" y="-45"/>
                <wp:lineTo x="-18" y="-45"/>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color w:val="000000"/>
          <w:sz w:val="32"/>
          <w:szCs w:val="32"/>
          <w:lang w:eastAsia="zh-CN"/>
        </w:rPr>
        <w:t>（</w:t>
      </w:r>
      <w:r>
        <w:rPr>
          <w:rFonts w:hint="eastAsia" w:ascii="仿宋" w:hAnsi="仿宋" w:eastAsia="仿宋"/>
          <w:b/>
          <w:color w:val="000000"/>
          <w:sz w:val="32"/>
          <w:szCs w:val="32"/>
        </w:rPr>
        <w:t>二）一般公共预算财政拨款支出决算结构情况</w:t>
      </w:r>
      <w:bookmarkEnd w:id="85"/>
      <w:bookmarkEnd w:id="86"/>
      <w:bookmarkEnd w:id="87"/>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2022</w:t>
      </w:r>
      <w:r>
        <w:rPr>
          <w:rFonts w:hint="eastAsia" w:ascii="仿宋" w:hAnsi="仿宋" w:eastAsia="仿宋"/>
          <w:color w:val="000000" w:themeColor="text1"/>
          <w:sz w:val="32"/>
          <w:szCs w:val="32"/>
          <w14:textFill>
            <w14:solidFill>
              <w14:schemeClr w14:val="tx1"/>
            </w14:solidFill>
          </w14:textFill>
        </w:rPr>
        <w:t>年一般公共预算财政拨款支出</w:t>
      </w:r>
      <w:r>
        <w:rPr>
          <w:rFonts w:hint="eastAsia" w:ascii="仿宋" w:hAnsi="仿宋" w:eastAsia="仿宋"/>
          <w:color w:val="000000" w:themeColor="text1"/>
          <w:sz w:val="32"/>
          <w:szCs w:val="32"/>
          <w:lang w:val="en-US" w:eastAsia="zh-CN"/>
          <w14:textFill>
            <w14:solidFill>
              <w14:schemeClr w14:val="tx1"/>
            </w14:solidFill>
          </w14:textFill>
        </w:rPr>
        <w:t>237.42</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w:t>
      </w:r>
      <w:r>
        <w:rPr>
          <w:rFonts w:hint="eastAsia" w:ascii="仿宋" w:hAnsi="仿宋" w:eastAsia="仿宋"/>
          <w:b/>
          <w:color w:val="000000" w:themeColor="text1"/>
          <w:sz w:val="32"/>
          <w:szCs w:val="32"/>
          <w:lang w:val="en-US" w:eastAsia="zh-CN"/>
          <w14:textFill>
            <w14:solidFill>
              <w14:schemeClr w14:val="tx1"/>
            </w14:solidFill>
          </w14:textFill>
        </w:rPr>
        <w:t>208</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206.27万元；</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86.87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bCs/>
          <w:color w:val="000000" w:themeColor="text1"/>
          <w:sz w:val="32"/>
          <w:szCs w:val="32"/>
          <w:lang w:val="en-US" w:eastAsia="zh-CN"/>
          <w14:textFill>
            <w14:solidFill>
              <w14:schemeClr w14:val="tx1"/>
            </w14:solidFill>
          </w14:textFill>
        </w:rPr>
        <w:t>(210)</w:t>
      </w:r>
      <w:r>
        <w:rPr>
          <w:rFonts w:hint="eastAsia" w:ascii="仿宋" w:hAnsi="仿宋" w:eastAsia="仿宋"/>
          <w:color w:val="000000" w:themeColor="text1"/>
          <w:sz w:val="32"/>
          <w:szCs w:val="32"/>
          <w:lang w:val="en-US" w:eastAsia="zh-CN"/>
          <w14:textFill>
            <w14:solidFill>
              <w14:schemeClr w14:val="tx1"/>
            </w14:solidFill>
          </w14:textFill>
        </w:rPr>
        <w:t>12.38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5.21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bCs/>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val="en-US" w:eastAsia="zh-CN"/>
          <w14:textFill>
            <w14:solidFill>
              <w14:schemeClr w14:val="tx1"/>
            </w14:solidFill>
          </w14:textFill>
        </w:rPr>
        <w:t>22</w:t>
      </w:r>
      <w:r>
        <w:rPr>
          <w:rFonts w:hint="eastAsia" w:ascii="仿宋" w:hAnsi="仿宋" w:eastAsia="仿宋"/>
          <w:b/>
          <w:bCs/>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val="en-US" w:eastAsia="zh-CN"/>
          <w14:textFill>
            <w14:solidFill>
              <w14:schemeClr w14:val="tx1"/>
            </w14:solidFill>
          </w14:textFill>
        </w:rPr>
        <w:t>17.93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lang w:eastAsia="zh-CN"/>
          <w14:textFill>
            <w14:solidFill>
              <w14:schemeClr w14:val="tx1"/>
            </w14:solidFill>
          </w14:textFill>
        </w:rPr>
        <w:t>农林水支出（</w:t>
      </w:r>
      <w:r>
        <w:rPr>
          <w:rFonts w:hint="eastAsia" w:ascii="仿宋_GB2312" w:eastAsia="仿宋_GB2312"/>
          <w:b/>
          <w:bCs/>
          <w:color w:val="000000" w:themeColor="text1"/>
          <w:sz w:val="32"/>
          <w:szCs w:val="32"/>
          <w:lang w:val="en-US" w:eastAsia="zh-CN"/>
          <w14:textFill>
            <w14:solidFill>
              <w14:schemeClr w14:val="tx1"/>
            </w14:solidFill>
          </w14:textFill>
        </w:rPr>
        <w:t>213</w:t>
      </w:r>
      <w:r>
        <w:rPr>
          <w:rFonts w:hint="eastAsia" w:ascii="仿宋_GB2312" w:eastAsia="仿宋_GB2312"/>
          <w:b/>
          <w:bCs/>
          <w:color w:val="000000" w:themeColor="text1"/>
          <w:sz w:val="32"/>
          <w:szCs w:val="32"/>
          <w:lang w:eastAsia="zh-CN"/>
          <w14:textFill>
            <w14:solidFill>
              <w14:schemeClr w14:val="tx1"/>
            </w14:solidFill>
          </w14:textFill>
        </w:rPr>
        <w:t>）</w:t>
      </w:r>
      <w:r>
        <w:rPr>
          <w:rFonts w:hint="eastAsia" w:ascii="仿宋_GB2312" w:eastAsia="仿宋_GB2312"/>
          <w:b/>
          <w:bCs/>
          <w:color w:val="000000" w:themeColor="text1"/>
          <w:sz w:val="32"/>
          <w:szCs w:val="32"/>
          <w:lang w:val="en-US" w:eastAsia="zh-CN"/>
          <w14:textFill>
            <w14:solidFill>
              <w14:schemeClr w14:val="tx1"/>
            </w14:solidFill>
          </w14:textFill>
        </w:rPr>
        <w:t>0.84</w:t>
      </w:r>
      <w:r>
        <w:rPr>
          <w:rFonts w:hint="eastAsia" w:ascii="仿宋" w:hAnsi="仿宋" w:eastAsia="仿宋"/>
          <w:color w:val="000000" w:themeColor="text1"/>
          <w:sz w:val="32"/>
          <w:szCs w:val="32"/>
          <w:lang w:val="en-US" w:eastAsia="zh-CN"/>
          <w14:textFill>
            <w14:solidFill>
              <w14:schemeClr w14:val="tx1"/>
            </w14:solidFill>
          </w14:textFill>
        </w:rPr>
        <w:t>万元，占0.42%</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r>
        <w:rPr>
          <w:rFonts w:hint="eastAsia" w:ascii="仿宋" w:hAnsi="仿宋" w:eastAsia="仿宋"/>
          <w:color w:val="000000"/>
          <w:sz w:val="32"/>
          <w:szCs w:val="32"/>
          <w:lang w:val="en-US" w:eastAsia="zh-CN"/>
        </w:rPr>
        <w:t xml:space="preserve">                                          </w:t>
      </w:r>
    </w:p>
    <w:p>
      <w:pPr>
        <w:pStyle w:val="18"/>
        <w:jc w:val="both"/>
        <w:rPr>
          <w:rFonts w:ascii="仿宋" w:hAnsi="仿宋" w:eastAsia="仿宋"/>
          <w:b/>
          <w:color w:val="auto"/>
          <w:sz w:val="32"/>
          <w:szCs w:val="32"/>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153670</wp:posOffset>
            </wp:positionV>
            <wp:extent cx="4982845" cy="4521835"/>
            <wp:effectExtent l="5080" t="4445" r="22225" b="7620"/>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88" w:name="_Toc15377212"/>
      <w:bookmarkStart w:id="89" w:name="_Toc79163617"/>
      <w:bookmarkStart w:id="90" w:name="_Toc19823"/>
      <w:bookmarkStart w:id="91" w:name="_Toc29312"/>
      <w:bookmarkStart w:id="92" w:name="_Toc79163867"/>
      <w:bookmarkStart w:id="93" w:name="_Toc5017"/>
      <w:r>
        <w:rPr>
          <w:rFonts w:hint="eastAsia" w:ascii="仿宋" w:hAnsi="仿宋" w:eastAsia="仿宋"/>
          <w:b/>
          <w:color w:val="auto"/>
          <w:sz w:val="32"/>
          <w:szCs w:val="32"/>
        </w:rPr>
        <w:t>（三）一般公共预算财政拨款支出决算具体情况</w:t>
      </w:r>
      <w:bookmarkEnd w:id="88"/>
      <w:bookmarkEnd w:id="89"/>
      <w:bookmarkEnd w:id="90"/>
      <w:bookmarkEnd w:id="91"/>
      <w:bookmarkEnd w:id="92"/>
      <w:bookmarkEnd w:id="93"/>
    </w:p>
    <w:p>
      <w:pPr>
        <w:spacing w:line="600" w:lineRule="exact"/>
        <w:ind w:firstLine="643" w:firstLineChars="200"/>
        <w:rPr>
          <w:rFonts w:ascii="仿宋_GB2312" w:eastAsia="仿宋_GB2312"/>
          <w:b/>
          <w:bCs/>
          <w:color w:val="auto"/>
          <w:sz w:val="32"/>
          <w:szCs w:val="32"/>
        </w:rPr>
      </w:pPr>
      <w:bookmarkStart w:id="94" w:name="_Toc15378460"/>
      <w:bookmarkStart w:id="95" w:name="_Toc15377444"/>
      <w:bookmarkStart w:id="96" w:name="_Toc15377213"/>
      <w:r>
        <w:rPr>
          <w:rFonts w:hint="eastAsia" w:ascii="仿宋_GB2312" w:eastAsia="仿宋_GB2312"/>
          <w:b/>
          <w:bCs/>
          <w:color w:val="auto"/>
          <w:sz w:val="32"/>
          <w:szCs w:val="32"/>
          <w:lang w:eastAsia="zh-CN"/>
        </w:rPr>
        <w:t>2022</w:t>
      </w:r>
      <w:r>
        <w:rPr>
          <w:rFonts w:hint="eastAsia" w:ascii="仿宋_GB2312" w:eastAsia="仿宋_GB2312"/>
          <w:b/>
          <w:bCs/>
          <w:color w:val="auto"/>
          <w:sz w:val="32"/>
          <w:szCs w:val="32"/>
        </w:rPr>
        <w:t>年一般公共预算支出决算数为</w:t>
      </w:r>
      <w:r>
        <w:rPr>
          <w:rFonts w:hint="eastAsia" w:ascii="仿宋_GB2312" w:eastAsia="仿宋_GB2312"/>
          <w:b/>
          <w:bCs/>
          <w:color w:val="auto"/>
          <w:sz w:val="32"/>
          <w:szCs w:val="32"/>
          <w:lang w:val="en-US" w:eastAsia="zh-CN"/>
        </w:rPr>
        <w:t>237.42万元</w:t>
      </w:r>
      <w:r>
        <w:rPr>
          <w:rFonts w:hint="eastAsia" w:ascii="仿宋_GB2312" w:eastAsia="仿宋_GB2312"/>
          <w:b/>
          <w:bCs/>
          <w:color w:val="auto"/>
          <w:sz w:val="32"/>
          <w:szCs w:val="32"/>
        </w:rPr>
        <w:t>，完成预算</w:t>
      </w:r>
      <w:r>
        <w:rPr>
          <w:rFonts w:hint="eastAsia" w:ascii="仿宋_GB2312" w:eastAsia="仿宋_GB2312"/>
          <w:b/>
          <w:bCs/>
          <w:color w:val="auto"/>
          <w:sz w:val="32"/>
          <w:szCs w:val="32"/>
          <w:lang w:val="en-US" w:eastAsia="zh-CN"/>
        </w:rPr>
        <w:t>100</w:t>
      </w:r>
      <w:r>
        <w:rPr>
          <w:rFonts w:ascii="仿宋_GB2312" w:eastAsia="仿宋_GB2312"/>
          <w:b/>
          <w:bCs/>
          <w:color w:val="auto"/>
          <w:sz w:val="32"/>
          <w:szCs w:val="32"/>
        </w:rPr>
        <w:t>%</w:t>
      </w:r>
      <w:r>
        <w:rPr>
          <w:rFonts w:hint="eastAsia" w:ascii="仿宋_GB2312" w:eastAsia="仿宋_GB2312"/>
          <w:b/>
          <w:bCs/>
          <w:color w:val="auto"/>
          <w:sz w:val="32"/>
          <w:szCs w:val="32"/>
        </w:rPr>
        <w:t>。其中：</w:t>
      </w:r>
      <w:bookmarkEnd w:id="94"/>
      <w:bookmarkEnd w:id="95"/>
      <w:bookmarkEnd w:id="96"/>
    </w:p>
    <w:p>
      <w:pPr>
        <w:spacing w:line="600" w:lineRule="exact"/>
        <w:ind w:firstLine="643" w:firstLineChars="200"/>
        <w:rPr>
          <w:rFonts w:ascii="仿宋" w:hAnsi="仿宋" w:eastAsia="仿宋"/>
          <w:b/>
          <w:color w:val="auto"/>
          <w:sz w:val="32"/>
          <w:szCs w:val="32"/>
        </w:rPr>
      </w:pPr>
      <w:r>
        <w:rPr>
          <w:rStyle w:val="21"/>
          <w:rFonts w:hint="eastAsia" w:ascii="仿宋" w:hAnsi="仿宋" w:eastAsia="仿宋"/>
          <w:bCs/>
          <w:color w:val="auto"/>
          <w:sz w:val="32"/>
          <w:szCs w:val="32"/>
          <w:lang w:val="en-US" w:eastAsia="zh-CN"/>
        </w:rPr>
        <w:t>1</w:t>
      </w:r>
      <w:r>
        <w:rPr>
          <w:rStyle w:val="21"/>
          <w:rFonts w:ascii="仿宋" w:hAnsi="仿宋" w:eastAsia="仿宋"/>
          <w:bCs/>
          <w:color w:val="auto"/>
          <w:sz w:val="32"/>
          <w:szCs w:val="32"/>
        </w:rPr>
        <w:t>.</w:t>
      </w:r>
      <w:r>
        <w:rPr>
          <w:rStyle w:val="21"/>
          <w:rFonts w:hint="eastAsia" w:ascii="仿宋" w:hAnsi="仿宋" w:eastAsia="仿宋"/>
          <w:bCs/>
          <w:color w:val="auto"/>
          <w:sz w:val="32"/>
          <w:szCs w:val="32"/>
        </w:rPr>
        <w:t>社会保障和就业（</w:t>
      </w:r>
      <w:r>
        <w:rPr>
          <w:rStyle w:val="21"/>
          <w:rFonts w:hint="eastAsia" w:ascii="仿宋" w:hAnsi="仿宋" w:eastAsia="仿宋"/>
          <w:bCs/>
          <w:color w:val="auto"/>
          <w:sz w:val="32"/>
          <w:szCs w:val="32"/>
          <w:lang w:val="en-US" w:eastAsia="zh-CN"/>
        </w:rPr>
        <w:t>类</w:t>
      </w:r>
      <w:r>
        <w:rPr>
          <w:rStyle w:val="21"/>
          <w:rFonts w:hint="eastAsia" w:ascii="仿宋" w:hAnsi="仿宋" w:eastAsia="仿宋"/>
          <w:bCs/>
          <w:color w:val="auto"/>
          <w:sz w:val="32"/>
          <w:szCs w:val="32"/>
        </w:rPr>
        <w:t>）</w:t>
      </w:r>
      <w:r>
        <w:rPr>
          <w:rFonts w:hint="eastAsia" w:ascii="仿宋_GB2312" w:eastAsia="仿宋_GB2312"/>
          <w:b/>
          <w:bCs/>
          <w:color w:val="auto"/>
          <w:sz w:val="32"/>
          <w:szCs w:val="32"/>
        </w:rPr>
        <w:t>人力资源和社会保障管理事务（</w:t>
      </w:r>
      <w:r>
        <w:rPr>
          <w:rFonts w:hint="eastAsia" w:ascii="仿宋_GB2312" w:eastAsia="仿宋_GB2312"/>
          <w:b/>
          <w:bCs/>
          <w:color w:val="auto"/>
          <w:sz w:val="32"/>
          <w:szCs w:val="32"/>
          <w:lang w:val="en-US" w:eastAsia="zh-CN"/>
        </w:rPr>
        <w:t>款</w:t>
      </w:r>
      <w:r>
        <w:rPr>
          <w:rFonts w:hint="eastAsia" w:ascii="仿宋_GB2312" w:eastAsia="仿宋_GB2312"/>
          <w:b/>
          <w:bCs/>
          <w:color w:val="auto"/>
          <w:sz w:val="32"/>
          <w:szCs w:val="32"/>
        </w:rPr>
        <w:t>）社会保险经办机构（</w:t>
      </w:r>
      <w:r>
        <w:rPr>
          <w:rFonts w:hint="eastAsia" w:ascii="仿宋_GB2312" w:eastAsia="仿宋_GB2312"/>
          <w:b/>
          <w:bCs/>
          <w:color w:val="auto"/>
          <w:sz w:val="32"/>
          <w:szCs w:val="32"/>
          <w:lang w:val="en-US" w:eastAsia="zh-CN"/>
        </w:rPr>
        <w:t>项</w:t>
      </w:r>
      <w:r>
        <w:rPr>
          <w:rFonts w:hint="eastAsia" w:ascii="仿宋_GB2312" w:eastAsia="仿宋_GB2312"/>
          <w:b/>
          <w:bCs/>
          <w:color w:val="auto"/>
          <w:sz w:val="32"/>
          <w:szCs w:val="32"/>
        </w:rPr>
        <w:t>）</w:t>
      </w:r>
      <w:r>
        <w:rPr>
          <w:rStyle w:val="21"/>
          <w:rFonts w:ascii="仿宋" w:hAnsi="仿宋" w:eastAsia="仿宋"/>
          <w:bCs/>
          <w:color w:val="auto"/>
          <w:sz w:val="32"/>
          <w:szCs w:val="32"/>
        </w:rPr>
        <w:t>:</w:t>
      </w:r>
      <w:r>
        <w:rPr>
          <w:rStyle w:val="21"/>
          <w:rFonts w:ascii="仿宋" w:hAnsi="仿宋" w:eastAsia="仿宋"/>
          <w:b w:val="0"/>
          <w:bCs/>
          <w:color w:val="auto"/>
          <w:sz w:val="32"/>
          <w:szCs w:val="32"/>
        </w:rPr>
        <w:t xml:space="preserve"> </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176.13</w:t>
      </w:r>
      <w:r>
        <w:rPr>
          <w:rStyle w:val="21"/>
          <w:rFonts w:hint="eastAsia" w:ascii="仿宋" w:hAnsi="仿宋" w:eastAsia="仿宋"/>
          <w:b w:val="0"/>
          <w:bCs/>
          <w:color w:val="auto"/>
          <w:sz w:val="32"/>
          <w:szCs w:val="32"/>
        </w:rPr>
        <w:t>万元，完成</w:t>
      </w:r>
      <w:r>
        <w:rPr>
          <w:rStyle w:val="21"/>
          <w:rFonts w:hint="eastAsia" w:ascii="仿宋" w:hAnsi="仿宋" w:eastAsia="仿宋"/>
          <w:b w:val="0"/>
          <w:bCs/>
          <w:color w:val="auto"/>
          <w:sz w:val="32"/>
          <w:szCs w:val="32"/>
          <w:lang w:val="en-US" w:eastAsia="zh-CN"/>
        </w:rPr>
        <w:t>100</w:t>
      </w:r>
      <w:r>
        <w:rPr>
          <w:rStyle w:val="21"/>
          <w:rFonts w:ascii="仿宋" w:hAnsi="仿宋" w:eastAsia="仿宋"/>
          <w:b w:val="0"/>
          <w:bCs/>
          <w:color w:val="auto"/>
          <w:sz w:val="32"/>
          <w:szCs w:val="32"/>
        </w:rPr>
        <w:t>%</w:t>
      </w:r>
      <w:r>
        <w:rPr>
          <w:rStyle w:val="21"/>
          <w:rFonts w:hint="eastAsia" w:ascii="仿宋" w:hAnsi="仿宋" w:eastAsia="仿宋"/>
          <w:b w:val="0"/>
          <w:bCs/>
          <w:color w:val="auto"/>
          <w:sz w:val="32"/>
          <w:szCs w:val="32"/>
        </w:rPr>
        <w:t>。</w:t>
      </w:r>
    </w:p>
    <w:p>
      <w:pPr>
        <w:spacing w:line="600" w:lineRule="exact"/>
        <w:ind w:firstLine="643" w:firstLineChars="200"/>
        <w:rPr>
          <w:rStyle w:val="21"/>
          <w:rFonts w:hint="eastAsia" w:ascii="仿宋" w:hAnsi="仿宋" w:eastAsia="仿宋"/>
          <w:b w:val="0"/>
          <w:bCs/>
          <w:color w:val="auto"/>
          <w:sz w:val="32"/>
          <w:szCs w:val="32"/>
        </w:rPr>
      </w:pPr>
      <w:r>
        <w:rPr>
          <w:rStyle w:val="21"/>
          <w:rFonts w:hint="eastAsia" w:ascii="仿宋" w:hAnsi="仿宋" w:eastAsia="仿宋"/>
          <w:bCs/>
          <w:color w:val="auto"/>
          <w:sz w:val="32"/>
          <w:szCs w:val="32"/>
          <w:lang w:val="en-US" w:eastAsia="zh-CN"/>
        </w:rPr>
        <w:t>2</w:t>
      </w:r>
      <w:r>
        <w:rPr>
          <w:rStyle w:val="21"/>
          <w:rFonts w:ascii="仿宋" w:hAnsi="仿宋" w:eastAsia="仿宋"/>
          <w:bCs/>
          <w:color w:val="auto"/>
          <w:sz w:val="32"/>
          <w:szCs w:val="32"/>
        </w:rPr>
        <w:t>.</w:t>
      </w:r>
      <w:r>
        <w:rPr>
          <w:rFonts w:hint="eastAsia" w:ascii="仿宋_GB2312" w:eastAsia="仿宋_GB2312"/>
          <w:b/>
          <w:bCs/>
          <w:color w:val="auto"/>
          <w:sz w:val="32"/>
          <w:szCs w:val="32"/>
        </w:rPr>
        <w:t>社会保障和就业支出（</w:t>
      </w:r>
      <w:r>
        <w:rPr>
          <w:rStyle w:val="21"/>
          <w:rFonts w:hint="eastAsia" w:ascii="仿宋" w:hAnsi="仿宋" w:eastAsia="仿宋"/>
          <w:bCs/>
          <w:color w:val="auto"/>
          <w:sz w:val="32"/>
          <w:szCs w:val="32"/>
          <w:lang w:val="en-US" w:eastAsia="zh-CN"/>
        </w:rPr>
        <w:t>类</w:t>
      </w:r>
      <w:r>
        <w:rPr>
          <w:rFonts w:hint="eastAsia" w:ascii="仿宋_GB2312" w:eastAsia="仿宋_GB2312"/>
          <w:b/>
          <w:bCs/>
          <w:color w:val="auto"/>
          <w:sz w:val="32"/>
          <w:szCs w:val="32"/>
        </w:rPr>
        <w:t>）行政事业单位离退休（</w:t>
      </w:r>
      <w:r>
        <w:rPr>
          <w:rFonts w:hint="eastAsia" w:ascii="仿宋_GB2312" w:eastAsia="仿宋_GB2312"/>
          <w:b/>
          <w:bCs/>
          <w:color w:val="auto"/>
          <w:sz w:val="32"/>
          <w:szCs w:val="32"/>
          <w:lang w:val="en-US" w:eastAsia="zh-CN"/>
        </w:rPr>
        <w:t>款</w:t>
      </w:r>
      <w:r>
        <w:rPr>
          <w:rFonts w:hint="eastAsia" w:ascii="仿宋_GB2312" w:eastAsia="仿宋_GB2312"/>
          <w:b/>
          <w:bCs/>
          <w:color w:val="auto"/>
          <w:sz w:val="32"/>
          <w:szCs w:val="32"/>
        </w:rPr>
        <w:t>）机关事业单位基本养老保险缴费支出（</w:t>
      </w:r>
      <w:r>
        <w:rPr>
          <w:rFonts w:hint="eastAsia" w:ascii="仿宋_GB2312" w:eastAsia="仿宋_GB2312"/>
          <w:b/>
          <w:bCs/>
          <w:color w:val="auto"/>
          <w:sz w:val="32"/>
          <w:szCs w:val="32"/>
          <w:lang w:val="en-US" w:eastAsia="zh-CN"/>
        </w:rPr>
        <w:t>项</w:t>
      </w:r>
      <w:r>
        <w:rPr>
          <w:rFonts w:hint="eastAsia" w:ascii="仿宋_GB2312" w:eastAsia="仿宋_GB2312"/>
          <w:b/>
          <w:bCs/>
          <w:color w:val="auto"/>
          <w:sz w:val="32"/>
          <w:szCs w:val="32"/>
        </w:rPr>
        <w:t>）</w:t>
      </w:r>
      <w:r>
        <w:rPr>
          <w:rStyle w:val="21"/>
          <w:rFonts w:ascii="仿宋" w:hAnsi="仿宋" w:eastAsia="仿宋"/>
          <w:bCs/>
          <w:color w:val="auto"/>
          <w:sz w:val="32"/>
          <w:szCs w:val="32"/>
        </w:rPr>
        <w:t>:</w:t>
      </w:r>
      <w:r>
        <w:rPr>
          <w:rStyle w:val="21"/>
          <w:rFonts w:hint="eastAsia" w:ascii="仿宋" w:hAnsi="仿宋" w:eastAsia="仿宋"/>
          <w:b w:val="0"/>
          <w:bCs/>
          <w:color w:val="auto"/>
          <w:sz w:val="32"/>
          <w:szCs w:val="32"/>
        </w:rPr>
        <w:t>支出决算为</w:t>
      </w:r>
      <w:r>
        <w:rPr>
          <w:rStyle w:val="21"/>
          <w:rFonts w:hint="eastAsia" w:ascii="仿宋" w:hAnsi="仿宋" w:eastAsia="仿宋"/>
          <w:b w:val="0"/>
          <w:bCs/>
          <w:color w:val="auto"/>
          <w:sz w:val="32"/>
          <w:szCs w:val="32"/>
          <w:lang w:val="en-US" w:eastAsia="zh-CN"/>
        </w:rPr>
        <w:t>21.36</w:t>
      </w:r>
      <w:r>
        <w:rPr>
          <w:rStyle w:val="21"/>
          <w:rFonts w:hint="eastAsia" w:ascii="仿宋" w:hAnsi="仿宋" w:eastAsia="仿宋"/>
          <w:b w:val="0"/>
          <w:bCs/>
          <w:color w:val="auto"/>
          <w:sz w:val="32"/>
          <w:szCs w:val="32"/>
        </w:rPr>
        <w:t>万元，完成</w:t>
      </w:r>
      <w:r>
        <w:rPr>
          <w:rStyle w:val="21"/>
          <w:rFonts w:hint="eastAsia" w:ascii="仿宋" w:hAnsi="仿宋" w:eastAsia="仿宋"/>
          <w:b w:val="0"/>
          <w:bCs/>
          <w:color w:val="auto"/>
          <w:sz w:val="32"/>
          <w:szCs w:val="32"/>
          <w:lang w:val="en-US" w:eastAsia="zh-CN"/>
        </w:rPr>
        <w:t>100</w:t>
      </w:r>
      <w:r>
        <w:rPr>
          <w:rStyle w:val="21"/>
          <w:rFonts w:ascii="仿宋" w:hAnsi="仿宋" w:eastAsia="仿宋"/>
          <w:b w:val="0"/>
          <w:bCs/>
          <w:color w:val="auto"/>
          <w:sz w:val="32"/>
          <w:szCs w:val="32"/>
        </w:rPr>
        <w:t>%</w:t>
      </w:r>
      <w:r>
        <w:rPr>
          <w:rStyle w:val="21"/>
          <w:rFonts w:hint="eastAsia" w:ascii="仿宋" w:hAnsi="仿宋" w:eastAsia="仿宋"/>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b/>
          <w:bCs/>
          <w:color w:val="auto"/>
          <w:sz w:val="32"/>
          <w:szCs w:val="32"/>
        </w:rPr>
        <w:t>社会保障和就业支出（</w:t>
      </w:r>
      <w:r>
        <w:rPr>
          <w:rStyle w:val="21"/>
          <w:rFonts w:hint="eastAsia" w:ascii="仿宋" w:hAnsi="仿宋" w:eastAsia="仿宋"/>
          <w:bCs/>
          <w:color w:val="auto"/>
          <w:sz w:val="32"/>
          <w:szCs w:val="32"/>
          <w:lang w:val="en-US" w:eastAsia="zh-CN"/>
        </w:rPr>
        <w:t>类</w:t>
      </w:r>
      <w:r>
        <w:rPr>
          <w:rFonts w:hint="eastAsia" w:ascii="仿宋_GB2312" w:eastAsia="仿宋_GB2312"/>
          <w:b/>
          <w:bCs/>
          <w:color w:val="auto"/>
          <w:sz w:val="32"/>
          <w:szCs w:val="32"/>
        </w:rPr>
        <w:t>）行政事业单位离退休（</w:t>
      </w:r>
      <w:r>
        <w:rPr>
          <w:rFonts w:hint="eastAsia" w:ascii="仿宋_GB2312" w:eastAsia="仿宋_GB2312"/>
          <w:b/>
          <w:bCs/>
          <w:color w:val="auto"/>
          <w:sz w:val="32"/>
          <w:szCs w:val="32"/>
          <w:lang w:val="en-US" w:eastAsia="zh-CN"/>
        </w:rPr>
        <w:t>款</w:t>
      </w:r>
      <w:r>
        <w:rPr>
          <w:rFonts w:hint="eastAsia" w:ascii="仿宋_GB2312" w:eastAsia="仿宋_GB2312"/>
          <w:b/>
          <w:bCs/>
          <w:color w:val="auto"/>
          <w:sz w:val="32"/>
          <w:szCs w:val="32"/>
        </w:rPr>
        <w:t>）机关事业单位职业年金缴费支出（</w:t>
      </w:r>
      <w:r>
        <w:rPr>
          <w:rFonts w:hint="eastAsia" w:ascii="仿宋_GB2312" w:eastAsia="仿宋_GB2312"/>
          <w:b/>
          <w:bCs/>
          <w:color w:val="auto"/>
          <w:sz w:val="32"/>
          <w:szCs w:val="32"/>
          <w:lang w:val="en-US" w:eastAsia="zh-CN"/>
        </w:rPr>
        <w:t>项</w:t>
      </w:r>
      <w:r>
        <w:rPr>
          <w:rFonts w:hint="eastAsia" w:ascii="仿宋_GB2312" w:eastAsia="仿宋_GB2312"/>
          <w:b/>
          <w:bCs/>
          <w:color w:val="auto"/>
          <w:sz w:val="32"/>
          <w:szCs w:val="32"/>
        </w:rPr>
        <w:t>）</w:t>
      </w:r>
      <w:r>
        <w:rPr>
          <w:rFonts w:hint="eastAsia" w:ascii="仿宋_GB2312" w:eastAsia="仿宋_GB2312"/>
          <w:color w:val="auto"/>
          <w:sz w:val="32"/>
          <w:szCs w:val="32"/>
        </w:rPr>
        <w:t>：</w:t>
      </w:r>
      <w:r>
        <w:rPr>
          <w:rFonts w:hint="eastAsia" w:ascii="仿宋_GB2312" w:eastAsia="仿宋_GB2312"/>
          <w:color w:val="auto"/>
          <w:sz w:val="32"/>
          <w:szCs w:val="32"/>
          <w:lang w:eastAsia="zh-CN"/>
        </w:rPr>
        <w:t>支出</w:t>
      </w:r>
      <w:r>
        <w:rPr>
          <w:rFonts w:hint="eastAsia" w:ascii="仿宋_GB2312" w:eastAsia="仿宋_GB2312"/>
          <w:color w:val="auto"/>
          <w:sz w:val="32"/>
          <w:szCs w:val="32"/>
        </w:rPr>
        <w:t>决算数为</w:t>
      </w:r>
      <w:r>
        <w:rPr>
          <w:rFonts w:hint="eastAsia" w:ascii="仿宋_GB2312" w:eastAsia="仿宋_GB2312"/>
          <w:color w:val="auto"/>
          <w:sz w:val="32"/>
          <w:szCs w:val="32"/>
          <w:lang w:val="en-US" w:eastAsia="zh-CN"/>
        </w:rPr>
        <w:t>8.78</w:t>
      </w:r>
      <w:r>
        <w:rPr>
          <w:rFonts w:hint="eastAsia" w:ascii="仿宋_GB2312" w:eastAsia="仿宋_GB2312"/>
          <w:color w:val="auto"/>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w:t>
      </w:r>
      <w:r>
        <w:rPr>
          <w:rFonts w:hint="eastAsia" w:ascii="仿宋_GB2312" w:eastAsia="仿宋_GB2312"/>
          <w:b/>
          <w:bCs/>
          <w:color w:val="auto"/>
          <w:sz w:val="32"/>
          <w:szCs w:val="32"/>
        </w:rPr>
        <w:t>医疗卫生与计划生育支出（</w:t>
      </w:r>
      <w:r>
        <w:rPr>
          <w:rStyle w:val="21"/>
          <w:rFonts w:hint="eastAsia" w:ascii="仿宋" w:hAnsi="仿宋" w:eastAsia="仿宋"/>
          <w:bCs/>
          <w:color w:val="auto"/>
          <w:sz w:val="32"/>
          <w:szCs w:val="32"/>
          <w:lang w:val="en-US" w:eastAsia="zh-CN"/>
        </w:rPr>
        <w:t>类</w:t>
      </w:r>
      <w:r>
        <w:rPr>
          <w:rFonts w:hint="eastAsia" w:ascii="仿宋_GB2312" w:eastAsia="仿宋_GB2312"/>
          <w:b/>
          <w:bCs/>
          <w:color w:val="auto"/>
          <w:sz w:val="32"/>
          <w:szCs w:val="32"/>
        </w:rPr>
        <w:t>）行政事业单位医疗（</w:t>
      </w:r>
      <w:r>
        <w:rPr>
          <w:rFonts w:hint="eastAsia" w:ascii="仿宋_GB2312" w:eastAsia="仿宋_GB2312"/>
          <w:b/>
          <w:bCs/>
          <w:color w:val="auto"/>
          <w:sz w:val="32"/>
          <w:szCs w:val="32"/>
          <w:lang w:val="en-US" w:eastAsia="zh-CN"/>
        </w:rPr>
        <w:t>款</w:t>
      </w:r>
      <w:r>
        <w:rPr>
          <w:rFonts w:hint="eastAsia" w:ascii="仿宋_GB2312" w:eastAsia="仿宋_GB2312"/>
          <w:b/>
          <w:bCs/>
          <w:color w:val="auto"/>
          <w:sz w:val="32"/>
          <w:szCs w:val="32"/>
        </w:rPr>
        <w:t>）事业单位医疗（</w:t>
      </w:r>
      <w:r>
        <w:rPr>
          <w:rFonts w:hint="eastAsia" w:ascii="仿宋_GB2312" w:eastAsia="仿宋_GB2312"/>
          <w:b/>
          <w:bCs/>
          <w:color w:val="auto"/>
          <w:sz w:val="32"/>
          <w:szCs w:val="32"/>
          <w:lang w:val="en-US" w:eastAsia="zh-CN"/>
        </w:rPr>
        <w:t>项</w:t>
      </w:r>
      <w:r>
        <w:rPr>
          <w:rFonts w:hint="eastAsia" w:ascii="仿宋_GB2312" w:eastAsia="仿宋_GB2312"/>
          <w:b/>
          <w:bCs/>
          <w:color w:val="auto"/>
          <w:sz w:val="32"/>
          <w:szCs w:val="32"/>
        </w:rPr>
        <w:t>）</w:t>
      </w:r>
      <w:r>
        <w:rPr>
          <w:rFonts w:hint="eastAsia" w:ascii="仿宋_GB2312" w:eastAsia="仿宋_GB2312"/>
          <w:color w:val="auto"/>
          <w:sz w:val="32"/>
          <w:szCs w:val="32"/>
        </w:rPr>
        <w:t>：</w:t>
      </w:r>
      <w:r>
        <w:rPr>
          <w:rFonts w:hint="eastAsia" w:ascii="仿宋_GB2312" w:eastAsia="仿宋_GB2312"/>
          <w:color w:val="auto"/>
          <w:sz w:val="32"/>
          <w:szCs w:val="32"/>
          <w:lang w:eastAsia="zh-CN"/>
        </w:rPr>
        <w:t>支出</w:t>
      </w:r>
      <w:r>
        <w:rPr>
          <w:rFonts w:hint="eastAsia" w:ascii="仿宋_GB2312" w:eastAsia="仿宋_GB2312"/>
          <w:color w:val="auto"/>
          <w:sz w:val="32"/>
          <w:szCs w:val="32"/>
        </w:rPr>
        <w:t>决算数为</w:t>
      </w:r>
      <w:r>
        <w:rPr>
          <w:rFonts w:hint="eastAsia" w:ascii="仿宋_GB2312" w:eastAsia="仿宋_GB2312"/>
          <w:color w:val="auto"/>
          <w:sz w:val="32"/>
          <w:szCs w:val="32"/>
          <w:lang w:val="en-US" w:eastAsia="zh-CN"/>
        </w:rPr>
        <w:t>12.38</w:t>
      </w:r>
      <w:r>
        <w:rPr>
          <w:rFonts w:hint="eastAsia" w:ascii="仿宋_GB2312" w:eastAsia="仿宋_GB2312"/>
          <w:color w:val="auto"/>
          <w:sz w:val="32"/>
          <w:szCs w:val="32"/>
        </w:rPr>
        <w:t>万元，完</w:t>
      </w:r>
      <w:r>
        <w:rPr>
          <w:rFonts w:hint="eastAsia" w:ascii="仿宋_GB2312" w:eastAsia="仿宋_GB2312"/>
          <w:color w:val="auto"/>
          <w:sz w:val="32"/>
          <w:szCs w:val="32"/>
          <w:lang w:eastAsia="zh-CN"/>
        </w:rPr>
        <w:t>成</w:t>
      </w:r>
      <w:r>
        <w:rPr>
          <w:rFonts w:hint="eastAsia" w:ascii="仿宋_GB2312" w:eastAsia="仿宋_GB2312"/>
          <w:color w:val="auto"/>
          <w:sz w:val="32"/>
          <w:szCs w:val="32"/>
        </w:rPr>
        <w:t>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w:t>
      </w:r>
      <w:r>
        <w:rPr>
          <w:rFonts w:hint="eastAsia" w:ascii="仿宋_GB2312" w:eastAsia="仿宋_GB2312"/>
          <w:b/>
          <w:bCs/>
          <w:color w:val="auto"/>
          <w:sz w:val="32"/>
          <w:szCs w:val="32"/>
        </w:rPr>
        <w:t>住房保障支出（</w:t>
      </w:r>
      <w:r>
        <w:rPr>
          <w:rStyle w:val="21"/>
          <w:rFonts w:hint="eastAsia" w:ascii="仿宋" w:hAnsi="仿宋" w:eastAsia="仿宋"/>
          <w:bCs/>
          <w:color w:val="auto"/>
          <w:sz w:val="32"/>
          <w:szCs w:val="32"/>
          <w:lang w:val="en-US" w:eastAsia="zh-CN"/>
        </w:rPr>
        <w:t>类</w:t>
      </w:r>
      <w:r>
        <w:rPr>
          <w:rFonts w:hint="eastAsia" w:ascii="仿宋_GB2312" w:eastAsia="仿宋_GB2312"/>
          <w:b/>
          <w:bCs/>
          <w:color w:val="auto"/>
          <w:sz w:val="32"/>
          <w:szCs w:val="32"/>
        </w:rPr>
        <w:t>）住房改革支出（</w:t>
      </w:r>
      <w:r>
        <w:rPr>
          <w:rFonts w:hint="eastAsia" w:ascii="仿宋_GB2312" w:eastAsia="仿宋_GB2312"/>
          <w:b/>
          <w:bCs/>
          <w:color w:val="auto"/>
          <w:sz w:val="32"/>
          <w:szCs w:val="32"/>
          <w:lang w:val="en-US" w:eastAsia="zh-CN"/>
        </w:rPr>
        <w:t>款</w:t>
      </w:r>
      <w:r>
        <w:rPr>
          <w:rFonts w:hint="eastAsia" w:ascii="仿宋_GB2312" w:eastAsia="仿宋_GB2312"/>
          <w:b/>
          <w:bCs/>
          <w:color w:val="auto"/>
          <w:sz w:val="32"/>
          <w:szCs w:val="32"/>
        </w:rPr>
        <w:t>）住房公积金（</w:t>
      </w:r>
      <w:r>
        <w:rPr>
          <w:rFonts w:hint="eastAsia" w:ascii="仿宋_GB2312" w:eastAsia="仿宋_GB2312"/>
          <w:b/>
          <w:bCs/>
          <w:color w:val="auto"/>
          <w:sz w:val="32"/>
          <w:szCs w:val="32"/>
          <w:lang w:val="en-US" w:eastAsia="zh-CN"/>
        </w:rPr>
        <w:t>项</w:t>
      </w:r>
      <w:r>
        <w:rPr>
          <w:rFonts w:hint="eastAsia" w:ascii="仿宋_GB2312" w:eastAsia="仿宋_GB2312"/>
          <w:b/>
          <w:bCs/>
          <w:color w:val="auto"/>
          <w:sz w:val="32"/>
          <w:szCs w:val="32"/>
        </w:rPr>
        <w:t>）</w:t>
      </w:r>
      <w:r>
        <w:rPr>
          <w:rFonts w:hint="eastAsia" w:ascii="仿宋_GB2312" w:eastAsia="仿宋_GB2312"/>
          <w:color w:val="auto"/>
          <w:sz w:val="32"/>
          <w:szCs w:val="32"/>
        </w:rPr>
        <w:t>：</w:t>
      </w:r>
      <w:r>
        <w:rPr>
          <w:rFonts w:hint="eastAsia" w:ascii="仿宋_GB2312" w:eastAsia="仿宋_GB2312"/>
          <w:color w:val="auto"/>
          <w:sz w:val="32"/>
          <w:szCs w:val="32"/>
          <w:lang w:eastAsia="zh-CN"/>
        </w:rPr>
        <w:t>支出</w:t>
      </w:r>
      <w:r>
        <w:rPr>
          <w:rFonts w:hint="eastAsia" w:ascii="仿宋_GB2312" w:eastAsia="仿宋_GB2312"/>
          <w:color w:val="auto"/>
          <w:sz w:val="32"/>
          <w:szCs w:val="32"/>
        </w:rPr>
        <w:t>决算数为</w:t>
      </w:r>
      <w:r>
        <w:rPr>
          <w:rFonts w:hint="eastAsia" w:ascii="仿宋_GB2312" w:eastAsia="仿宋_GB2312"/>
          <w:color w:val="auto"/>
          <w:sz w:val="32"/>
          <w:szCs w:val="32"/>
          <w:lang w:val="en-US" w:eastAsia="zh-CN"/>
        </w:rPr>
        <w:t>17.93</w:t>
      </w:r>
      <w:r>
        <w:rPr>
          <w:rFonts w:hint="eastAsia" w:ascii="仿宋_GB2312" w:eastAsia="仿宋_GB2312"/>
          <w:color w:val="auto"/>
          <w:sz w:val="32"/>
          <w:szCs w:val="32"/>
        </w:rPr>
        <w:t>万元，完成100%。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ascii="仿宋_GB2312" w:eastAsia="仿宋_GB2312"/>
          <w:b/>
          <w:bCs/>
          <w:color w:val="auto"/>
          <w:sz w:val="32"/>
          <w:szCs w:val="32"/>
          <w:lang w:eastAsia="zh-CN"/>
        </w:rPr>
        <w:t>农林水支出</w:t>
      </w:r>
      <w:r>
        <w:rPr>
          <w:rFonts w:hint="eastAsia" w:ascii="仿宋_GB2312" w:eastAsia="仿宋_GB2312"/>
          <w:b/>
          <w:bCs/>
          <w:color w:val="auto"/>
          <w:sz w:val="32"/>
          <w:szCs w:val="32"/>
        </w:rPr>
        <w:t>（</w:t>
      </w:r>
      <w:r>
        <w:rPr>
          <w:rStyle w:val="21"/>
          <w:rFonts w:hint="eastAsia" w:ascii="仿宋" w:hAnsi="仿宋" w:eastAsia="仿宋"/>
          <w:bCs/>
          <w:color w:val="auto"/>
          <w:sz w:val="32"/>
          <w:szCs w:val="32"/>
          <w:lang w:val="en-US" w:eastAsia="zh-CN"/>
        </w:rPr>
        <w:t>类</w:t>
      </w:r>
      <w:r>
        <w:rPr>
          <w:rFonts w:hint="eastAsia" w:ascii="仿宋_GB2312" w:eastAsia="仿宋_GB2312"/>
          <w:b/>
          <w:bCs/>
          <w:color w:val="auto"/>
          <w:sz w:val="32"/>
          <w:szCs w:val="32"/>
        </w:rPr>
        <w:t>）</w:t>
      </w:r>
      <w:r>
        <w:rPr>
          <w:rFonts w:hint="eastAsia" w:ascii="仿宋_GB2312" w:eastAsia="仿宋_GB2312"/>
          <w:b/>
          <w:bCs/>
          <w:color w:val="auto"/>
          <w:sz w:val="32"/>
          <w:szCs w:val="32"/>
          <w:lang w:eastAsia="zh-CN"/>
        </w:rPr>
        <w:t>扶贫</w:t>
      </w:r>
      <w:r>
        <w:rPr>
          <w:rFonts w:hint="eastAsia" w:ascii="仿宋_GB2312" w:eastAsia="仿宋_GB2312"/>
          <w:b/>
          <w:bCs/>
          <w:color w:val="auto"/>
          <w:sz w:val="32"/>
          <w:szCs w:val="32"/>
        </w:rPr>
        <w:t>（</w:t>
      </w:r>
      <w:r>
        <w:rPr>
          <w:rFonts w:hint="eastAsia" w:ascii="仿宋_GB2312" w:eastAsia="仿宋_GB2312"/>
          <w:b/>
          <w:bCs/>
          <w:color w:val="auto"/>
          <w:sz w:val="32"/>
          <w:szCs w:val="32"/>
          <w:lang w:val="en-US" w:eastAsia="zh-CN"/>
        </w:rPr>
        <w:t>款</w:t>
      </w:r>
      <w:r>
        <w:rPr>
          <w:rFonts w:hint="eastAsia" w:ascii="仿宋_GB2312" w:eastAsia="仿宋_GB2312"/>
          <w:b/>
          <w:bCs/>
          <w:color w:val="auto"/>
          <w:sz w:val="32"/>
          <w:szCs w:val="32"/>
        </w:rPr>
        <w:t>）</w:t>
      </w:r>
      <w:r>
        <w:rPr>
          <w:rFonts w:hint="eastAsia" w:ascii="仿宋_GB2312" w:eastAsia="仿宋_GB2312"/>
          <w:b/>
          <w:bCs/>
          <w:color w:val="auto"/>
          <w:sz w:val="32"/>
          <w:szCs w:val="32"/>
          <w:lang w:eastAsia="zh-CN"/>
        </w:rPr>
        <w:t>社会发展</w:t>
      </w:r>
      <w:r>
        <w:rPr>
          <w:rFonts w:hint="eastAsia" w:ascii="仿宋_GB2312" w:eastAsia="仿宋_GB2312"/>
          <w:b/>
          <w:bCs/>
          <w:color w:val="auto"/>
          <w:sz w:val="32"/>
          <w:szCs w:val="32"/>
        </w:rPr>
        <w:t>（</w:t>
      </w:r>
      <w:r>
        <w:rPr>
          <w:rFonts w:hint="eastAsia" w:ascii="仿宋_GB2312" w:eastAsia="仿宋_GB2312"/>
          <w:b/>
          <w:bCs/>
          <w:color w:val="auto"/>
          <w:sz w:val="32"/>
          <w:szCs w:val="32"/>
          <w:lang w:val="en-US" w:eastAsia="zh-CN"/>
        </w:rPr>
        <w:t>项</w:t>
      </w:r>
      <w:r>
        <w:rPr>
          <w:rFonts w:hint="eastAsia" w:ascii="仿宋_GB2312" w:eastAsia="仿宋_GB2312"/>
          <w:b/>
          <w:bCs/>
          <w:color w:val="auto"/>
          <w:sz w:val="32"/>
          <w:szCs w:val="32"/>
        </w:rPr>
        <w:t>）</w:t>
      </w:r>
      <w:r>
        <w:rPr>
          <w:rFonts w:hint="eastAsia" w:ascii="仿宋_GB2312" w:eastAsia="仿宋_GB2312"/>
          <w:color w:val="auto"/>
          <w:sz w:val="32"/>
          <w:szCs w:val="32"/>
        </w:rPr>
        <w:t>：</w:t>
      </w:r>
      <w:r>
        <w:rPr>
          <w:rFonts w:hint="eastAsia" w:ascii="仿宋_GB2312" w:eastAsia="仿宋_GB2312"/>
          <w:color w:val="auto"/>
          <w:sz w:val="32"/>
          <w:szCs w:val="32"/>
          <w:lang w:eastAsia="zh-CN"/>
        </w:rPr>
        <w:t>支出</w:t>
      </w:r>
      <w:r>
        <w:rPr>
          <w:rFonts w:hint="eastAsia" w:ascii="仿宋_GB2312" w:eastAsia="仿宋_GB2312"/>
          <w:color w:val="auto"/>
          <w:sz w:val="32"/>
          <w:szCs w:val="32"/>
        </w:rPr>
        <w:t>决算数为</w:t>
      </w:r>
      <w:r>
        <w:rPr>
          <w:rFonts w:hint="eastAsia" w:ascii="仿宋_GB2312" w:eastAsia="仿宋_GB2312"/>
          <w:color w:val="auto"/>
          <w:sz w:val="32"/>
          <w:szCs w:val="32"/>
          <w:lang w:val="en-US" w:eastAsia="zh-CN"/>
        </w:rPr>
        <w:t>0.84</w:t>
      </w:r>
      <w:r>
        <w:rPr>
          <w:rFonts w:hint="eastAsia" w:ascii="仿宋_GB2312" w:eastAsia="仿宋_GB2312"/>
          <w:color w:val="auto"/>
          <w:sz w:val="32"/>
          <w:szCs w:val="32"/>
        </w:rPr>
        <w:t>万元，完成100%。</w:t>
      </w:r>
    </w:p>
    <w:p>
      <w:pPr>
        <w:tabs>
          <w:tab w:val="right" w:pos="8306"/>
        </w:tabs>
        <w:spacing w:line="600" w:lineRule="exact"/>
        <w:ind w:firstLine="640" w:firstLineChars="200"/>
        <w:outlineLvl w:val="1"/>
        <w:rPr>
          <w:rStyle w:val="24"/>
        </w:rPr>
      </w:pPr>
      <w:bookmarkStart w:id="97" w:name="_Toc19503"/>
      <w:bookmarkStart w:id="98" w:name="_Toc9336"/>
      <w:bookmarkStart w:id="99" w:name="_Toc79163868"/>
      <w:bookmarkStart w:id="100" w:name="_Toc15377214"/>
      <w:bookmarkStart w:id="101" w:name="_Toc79163618"/>
      <w:bookmarkStart w:id="102" w:name="_Toc15396608"/>
      <w:bookmarkStart w:id="103" w:name="_Toc3782"/>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4"/>
          <w:rFonts w:hint="eastAsia" w:ascii="黑体" w:hAnsi="黑体" w:eastAsia="黑体"/>
          <w:b w:val="0"/>
          <w:color w:val="auto"/>
        </w:rPr>
        <w:t>般公共预算财政拨款基本支出决算情况说明</w:t>
      </w:r>
      <w:bookmarkEnd w:id="97"/>
      <w:bookmarkEnd w:id="98"/>
      <w:bookmarkEnd w:id="99"/>
      <w:bookmarkEnd w:id="100"/>
      <w:bookmarkEnd w:id="101"/>
      <w:bookmarkEnd w:id="102"/>
      <w:bookmarkEnd w:id="103"/>
      <w:r>
        <w:rPr>
          <w:rStyle w:val="24"/>
          <w:rFonts w:ascii="黑体" w:hAnsi="黑体" w:eastAsia="黑体"/>
          <w:b w:val="0"/>
          <w:color w:val="auto"/>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237.42</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230.75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6.67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4"/>
          <w:rFonts w:ascii="黑体" w:hAnsi="黑体" w:eastAsia="黑体"/>
          <w:b w:val="0"/>
        </w:rPr>
      </w:pPr>
      <w:bookmarkStart w:id="104" w:name="_Toc15396609"/>
      <w:bookmarkStart w:id="105" w:name="_Toc20874"/>
      <w:bookmarkStart w:id="106" w:name="_Toc15377215"/>
      <w:bookmarkStart w:id="107" w:name="_Toc79163619"/>
      <w:bookmarkStart w:id="108" w:name="_Toc8428"/>
      <w:bookmarkStart w:id="109" w:name="_Toc30808"/>
      <w:bookmarkStart w:id="110" w:name="_Toc79163869"/>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104"/>
      <w:bookmarkEnd w:id="105"/>
      <w:bookmarkEnd w:id="106"/>
      <w:bookmarkEnd w:id="107"/>
      <w:bookmarkEnd w:id="108"/>
      <w:bookmarkEnd w:id="109"/>
      <w:bookmarkEnd w:id="110"/>
    </w:p>
    <w:p>
      <w:pPr>
        <w:spacing w:line="600" w:lineRule="exact"/>
        <w:ind w:firstLine="640"/>
        <w:outlineLvl w:val="2"/>
        <w:rPr>
          <w:rFonts w:ascii="仿宋" w:hAnsi="仿宋" w:eastAsia="仿宋"/>
          <w:b/>
          <w:color w:val="000000"/>
          <w:sz w:val="32"/>
          <w:szCs w:val="32"/>
        </w:rPr>
      </w:pPr>
      <w:bookmarkStart w:id="111" w:name="_Toc17510"/>
      <w:bookmarkStart w:id="112" w:name="_Toc79163870"/>
      <w:bookmarkStart w:id="113" w:name="_Toc15377216"/>
      <w:bookmarkStart w:id="114" w:name="_Toc79163620"/>
      <w:bookmarkStart w:id="115" w:name="_Toc23639"/>
      <w:bookmarkStart w:id="116" w:name="_Toc20749"/>
      <w:r>
        <w:rPr>
          <w:rFonts w:hint="eastAsia" w:ascii="仿宋" w:hAnsi="仿宋" w:eastAsia="仿宋"/>
          <w:b/>
          <w:color w:val="000000"/>
          <w:sz w:val="32"/>
          <w:szCs w:val="32"/>
        </w:rPr>
        <w:t>（一）“三公”经费财政拨款支出决算总体情况说明</w:t>
      </w:r>
      <w:bookmarkEnd w:id="111"/>
      <w:bookmarkEnd w:id="112"/>
      <w:bookmarkEnd w:id="113"/>
      <w:bookmarkEnd w:id="114"/>
      <w:bookmarkEnd w:id="115"/>
      <w:bookmarkEnd w:id="116"/>
    </w:p>
    <w:p>
      <w:pPr>
        <w:spacing w:line="600" w:lineRule="exact"/>
        <w:ind w:firstLine="640"/>
        <w:rPr>
          <w:rFonts w:hint="eastAsia" w:ascii="仿宋" w:hAnsi="仿宋" w:eastAsia="仿宋_GB2312"/>
          <w:b/>
          <w:color w:val="FF0000"/>
          <w:sz w:val="32"/>
          <w:szCs w:val="32"/>
          <w:lang w:val="en-US"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w:t>
      </w:r>
      <w:r>
        <w:rPr>
          <w:rFonts w:hint="eastAsia" w:ascii="仿宋_GB2312" w:hAnsi="黑体" w:eastAsia="仿宋_GB2312"/>
          <w:sz w:val="32"/>
          <w:szCs w:val="32"/>
        </w:rPr>
        <w:t>度“三公”经费财政拨款支出</w:t>
      </w:r>
      <w:r>
        <w:rPr>
          <w:rFonts w:hint="eastAsia" w:ascii="仿宋_GB2312" w:hAnsi="黑体" w:eastAsia="仿宋_GB2312"/>
          <w:sz w:val="32"/>
          <w:szCs w:val="32"/>
          <w:lang w:val="en-US" w:eastAsia="zh-CN"/>
        </w:rPr>
        <w:t>0.03万元。</w:t>
      </w:r>
    </w:p>
    <w:p>
      <w:pPr>
        <w:spacing w:line="600" w:lineRule="exact"/>
        <w:ind w:firstLine="640"/>
        <w:outlineLvl w:val="2"/>
        <w:rPr>
          <w:rFonts w:ascii="仿宋" w:hAnsi="仿宋" w:eastAsia="仿宋"/>
          <w:b/>
          <w:color w:val="000000"/>
          <w:sz w:val="32"/>
          <w:szCs w:val="32"/>
        </w:rPr>
      </w:pPr>
      <w:bookmarkStart w:id="117" w:name="_Toc79163871"/>
      <w:bookmarkStart w:id="118" w:name="_Toc79163621"/>
      <w:bookmarkStart w:id="119" w:name="_Toc21136"/>
      <w:bookmarkStart w:id="120" w:name="_Toc15377217"/>
      <w:bookmarkStart w:id="121" w:name="_Toc13593"/>
      <w:bookmarkStart w:id="122" w:name="_Toc30440"/>
      <w:r>
        <w:rPr>
          <w:rFonts w:hint="eastAsia" w:ascii="仿宋" w:hAnsi="仿宋" w:eastAsia="仿宋"/>
          <w:b/>
          <w:color w:val="000000"/>
          <w:sz w:val="32"/>
          <w:szCs w:val="32"/>
        </w:rPr>
        <w:t>（二）“三公”经费财政拨款支出决算具体情况说明</w:t>
      </w:r>
      <w:bookmarkEnd w:id="117"/>
      <w:bookmarkEnd w:id="118"/>
      <w:bookmarkEnd w:id="119"/>
      <w:bookmarkEnd w:id="120"/>
      <w:bookmarkEnd w:id="121"/>
      <w:bookmarkEnd w:id="122"/>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w:t>
      </w:r>
      <w:r>
        <w:rPr>
          <w:rFonts w:hint="eastAsia" w:ascii="仿宋_GB2312" w:hAnsi="仿宋" w:eastAsia="仿宋_GB2312"/>
          <w:color w:val="000000"/>
          <w:sz w:val="32"/>
          <w:szCs w:val="32"/>
        </w:rPr>
        <w:t>三公”经费财政拨款支出决算中，因公出国（境）费支出决算0万元</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公务用车购置及运行维护费支出决算0万元；公务接待费支出决算</w:t>
      </w:r>
      <w:r>
        <w:rPr>
          <w:rFonts w:hint="eastAsia" w:ascii="仿宋_GB2312" w:hAnsi="仿宋" w:eastAsia="仿宋_GB2312"/>
          <w:color w:val="000000"/>
          <w:sz w:val="32"/>
          <w:szCs w:val="32"/>
          <w:lang w:val="en-US" w:eastAsia="zh-CN"/>
        </w:rPr>
        <w:t>0.03</w:t>
      </w:r>
      <w:r>
        <w:rPr>
          <w:rFonts w:hint="eastAsia" w:ascii="仿宋_GB2312" w:hAnsi="仿宋" w:eastAsia="仿宋_GB2312"/>
          <w:color w:val="000000"/>
          <w:sz w:val="32"/>
          <w:szCs w:val="32"/>
        </w:rPr>
        <w:t>万元，</w:t>
      </w:r>
      <w:r>
        <w:rPr>
          <w:rFonts w:hint="eastAsia" w:ascii="仿宋" w:hAnsi="仿宋" w:eastAsia="仿宋"/>
          <w:color w:val="000000"/>
          <w:sz w:val="32"/>
          <w:szCs w:val="32"/>
        </w:rPr>
        <w:t>具体情况如下：</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
          <w:color w:val="000000"/>
          <w:sz w:val="32"/>
          <w:szCs w:val="32"/>
        </w:rPr>
        <w:t>因公出国（境）经费支出</w:t>
      </w:r>
      <w:r>
        <w:rPr>
          <w:rFonts w:hint="eastAsia" w:ascii="仿宋_GB2312" w:hAnsi="仿宋_GB2312" w:eastAsia="仿宋_GB2312" w:cs="仿宋_GB2312"/>
          <w:color w:val="000000"/>
          <w:sz w:val="32"/>
          <w:szCs w:val="32"/>
        </w:rPr>
        <w:t>0万元</w:t>
      </w:r>
      <w:r>
        <w:rPr>
          <w:rStyle w:val="21"/>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因公出国（境）支出决算与</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年一致。</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b/>
          <w:bCs/>
          <w:color w:val="000000"/>
          <w:sz w:val="32"/>
          <w:szCs w:val="32"/>
        </w:rPr>
        <w:t>公务用车购置及运行维护费支出</w:t>
      </w:r>
      <w:r>
        <w:rPr>
          <w:rFonts w:hint="eastAsia" w:ascii="仿宋_GB2312" w:hAnsi="仿宋_GB2312" w:eastAsia="仿宋_GB2312" w:cs="仿宋_GB2312"/>
          <w:color w:val="000000"/>
          <w:sz w:val="32"/>
          <w:szCs w:val="32"/>
        </w:rPr>
        <w:t>0万元</w:t>
      </w:r>
      <w:r>
        <w:rPr>
          <w:rStyle w:val="21"/>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公务用车购置及运行维护费支出决算与</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年一致。</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bCs/>
          <w:color w:val="000000"/>
          <w:sz w:val="32"/>
          <w:szCs w:val="32"/>
        </w:rPr>
        <w:t>公务用车购置支出</w:t>
      </w:r>
      <w:r>
        <w:rPr>
          <w:rFonts w:hint="eastAsia" w:ascii="仿宋_GB2312" w:hAnsi="仿宋_GB2312" w:eastAsia="仿宋_GB2312" w:cs="仿宋_GB2312"/>
          <w:color w:val="000000"/>
          <w:sz w:val="32"/>
          <w:szCs w:val="32"/>
        </w:rPr>
        <w:t>0万元。</w:t>
      </w:r>
    </w:p>
    <w:p>
      <w:pPr>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公务用车运行维护费支出</w:t>
      </w:r>
      <w:r>
        <w:rPr>
          <w:rFonts w:hint="eastAsia" w:ascii="仿宋_GB2312" w:hAnsi="仿宋_GB2312" w:eastAsia="仿宋_GB2312" w:cs="仿宋_GB2312"/>
          <w:color w:val="000000"/>
          <w:sz w:val="32"/>
          <w:szCs w:val="32"/>
        </w:rPr>
        <w:t>0万元。</w:t>
      </w:r>
    </w:p>
    <w:p>
      <w:pPr>
        <w:spacing w:line="576" w:lineRule="exact"/>
        <w:ind w:firstLine="643" w:firstLineChars="200"/>
        <w:rPr>
          <w:rFonts w:hint="default" w:ascii="仿宋_GB2312" w:eastAsia="仿宋_GB2312"/>
          <w:color w:val="000000" w:themeColor="text1"/>
          <w:sz w:val="32"/>
          <w:szCs w:val="32"/>
          <w:lang w:val="en-US" w:eastAsia="zh-CN"/>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3.</w:t>
      </w:r>
      <w:r>
        <w:rPr>
          <w:rFonts w:hint="eastAsia" w:ascii="仿宋_GB2312" w:eastAsia="仿宋_GB2312"/>
          <w:b/>
          <w:color w:val="000000" w:themeColor="text1"/>
          <w:sz w:val="32"/>
          <w:szCs w:val="32"/>
          <w14:textFill>
            <w14:solidFill>
              <w14:schemeClr w14:val="tx1"/>
            </w14:solidFill>
          </w14:textFill>
        </w:rPr>
        <w:t>公务接待费支出</w:t>
      </w:r>
      <w:r>
        <w:rPr>
          <w:rFonts w:hint="eastAsia" w:ascii="仿宋_GB2312" w:eastAsia="仿宋_GB2312"/>
          <w:color w:val="000000" w:themeColor="text1"/>
          <w:sz w:val="32"/>
          <w:szCs w:val="32"/>
          <w:lang w:val="en-US" w:eastAsia="zh-CN"/>
          <w14:textFill>
            <w14:solidFill>
              <w14:schemeClr w14:val="tx1"/>
            </w14:solidFill>
          </w14:textFill>
        </w:rPr>
        <w:t>0.03</w:t>
      </w:r>
      <w:r>
        <w:rPr>
          <w:rFonts w:hint="eastAsia" w:ascii="仿宋_GB2312" w:eastAsia="仿宋_GB2312"/>
          <w:color w:val="000000" w:themeColor="text1"/>
          <w:sz w:val="32"/>
          <w:szCs w:val="32"/>
          <w14:textFill>
            <w14:solidFill>
              <w14:schemeClr w14:val="tx1"/>
            </w14:solidFill>
          </w14:textFill>
        </w:rPr>
        <w:t>万元</w:t>
      </w:r>
      <w:r>
        <w:rPr>
          <w:rStyle w:val="21"/>
          <w:rFonts w:hint="eastAsia" w:ascii="仿宋" w:hAnsi="仿宋" w:eastAsia="仿宋"/>
          <w:b w:val="0"/>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公务接待费支出决算比</w:t>
      </w:r>
      <w:r>
        <w:rPr>
          <w:rFonts w:hint="eastAsia" w:ascii="仿宋_GB2312" w:eastAsia="仿宋_GB2312"/>
          <w:color w:val="000000" w:themeColor="text1"/>
          <w:sz w:val="32"/>
          <w:szCs w:val="32"/>
          <w:lang w:eastAsia="zh-CN"/>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0.11万元</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Style w:val="24"/>
          <w:rFonts w:ascii="黑体" w:hAnsi="黑体" w:eastAsia="黑体"/>
        </w:rPr>
      </w:pPr>
      <w:bookmarkStart w:id="123" w:name="_Toc79163872"/>
      <w:bookmarkStart w:id="124" w:name="_Toc400"/>
      <w:bookmarkStart w:id="125" w:name="_Toc15377218"/>
      <w:bookmarkStart w:id="126" w:name="_Toc79163622"/>
      <w:bookmarkStart w:id="127" w:name="_Toc18563"/>
      <w:bookmarkStart w:id="128" w:name="_Toc15396610"/>
      <w:bookmarkStart w:id="129" w:name="_Toc29124"/>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123"/>
      <w:bookmarkEnd w:id="124"/>
      <w:bookmarkEnd w:id="125"/>
      <w:bookmarkEnd w:id="126"/>
      <w:bookmarkEnd w:id="127"/>
      <w:bookmarkEnd w:id="128"/>
      <w:bookmarkEnd w:id="129"/>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0"/>
        </w:numPr>
        <w:spacing w:line="600" w:lineRule="exact"/>
        <w:ind w:firstLine="640" w:firstLineChars="200"/>
        <w:outlineLvl w:val="1"/>
        <w:rPr>
          <w:rStyle w:val="24"/>
          <w:rFonts w:ascii="黑体" w:hAnsi="黑体" w:eastAsia="黑体"/>
          <w:b w:val="0"/>
        </w:rPr>
      </w:pPr>
      <w:bookmarkStart w:id="130" w:name="_Toc15377219"/>
      <w:bookmarkStart w:id="131" w:name="_Toc15396611"/>
      <w:bookmarkStart w:id="132" w:name="_Toc79163623"/>
      <w:bookmarkStart w:id="133" w:name="_Toc3995"/>
      <w:bookmarkStart w:id="134" w:name="_Toc5802"/>
      <w:bookmarkStart w:id="135" w:name="_Toc79163873"/>
      <w:bookmarkStart w:id="136" w:name="_Toc6267"/>
      <w:r>
        <w:rPr>
          <w:rStyle w:val="24"/>
          <w:rFonts w:hint="eastAsia" w:ascii="黑体" w:hAnsi="黑体" w:eastAsia="黑体"/>
          <w:b w:val="0"/>
          <w:lang w:eastAsia="zh-CN"/>
        </w:rPr>
        <w:t>九、</w:t>
      </w:r>
      <w:r>
        <w:rPr>
          <w:rStyle w:val="24"/>
          <w:rFonts w:hint="eastAsia" w:ascii="黑体" w:hAnsi="黑体" w:eastAsia="黑体"/>
          <w:b w:val="0"/>
        </w:rPr>
        <w:t>国有资本经营预算支出决算情况说明</w:t>
      </w:r>
      <w:bookmarkEnd w:id="130"/>
      <w:bookmarkEnd w:id="131"/>
      <w:bookmarkEnd w:id="132"/>
      <w:bookmarkEnd w:id="133"/>
      <w:bookmarkEnd w:id="134"/>
      <w:bookmarkEnd w:id="135"/>
      <w:bookmarkEnd w:id="136"/>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4"/>
          <w:rFonts w:ascii="黑体" w:hAnsi="黑体" w:eastAsia="黑体"/>
        </w:rPr>
      </w:pPr>
      <w:bookmarkStart w:id="137" w:name="_Toc15377221"/>
      <w:bookmarkStart w:id="138" w:name="_Toc124"/>
      <w:bookmarkStart w:id="139" w:name="_Toc79163624"/>
      <w:bookmarkStart w:id="140" w:name="_Toc31486"/>
      <w:bookmarkStart w:id="141" w:name="_Toc79163874"/>
      <w:bookmarkStart w:id="142" w:name="_Toc6568"/>
      <w:bookmarkStart w:id="143" w:name="_Toc15396612"/>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137"/>
      <w:bookmarkEnd w:id="138"/>
      <w:bookmarkEnd w:id="139"/>
      <w:bookmarkEnd w:id="140"/>
      <w:bookmarkEnd w:id="141"/>
      <w:bookmarkEnd w:id="142"/>
      <w:bookmarkEnd w:id="143"/>
    </w:p>
    <w:p>
      <w:pPr>
        <w:spacing w:line="600" w:lineRule="exact"/>
        <w:ind w:firstLine="643" w:firstLineChars="200"/>
        <w:outlineLvl w:val="2"/>
        <w:rPr>
          <w:rFonts w:ascii="仿宋" w:hAnsi="仿宋" w:eastAsia="仿宋"/>
          <w:color w:val="000000"/>
          <w:sz w:val="32"/>
          <w:szCs w:val="32"/>
        </w:rPr>
      </w:pPr>
      <w:bookmarkStart w:id="144" w:name="_Toc79163875"/>
      <w:bookmarkStart w:id="145" w:name="_Toc15576"/>
      <w:bookmarkStart w:id="146" w:name="_Toc1352"/>
      <w:bookmarkStart w:id="147" w:name="_Toc17556"/>
      <w:bookmarkStart w:id="148" w:name="_Toc79163625"/>
      <w:bookmarkStart w:id="149" w:name="_Toc15377222"/>
      <w:r>
        <w:rPr>
          <w:rFonts w:hint="eastAsia" w:ascii="仿宋" w:hAnsi="仿宋" w:eastAsia="仿宋"/>
          <w:b/>
          <w:color w:val="000000"/>
          <w:sz w:val="32"/>
          <w:szCs w:val="32"/>
        </w:rPr>
        <w:t>（一）机关运行经费支出情况</w:t>
      </w:r>
      <w:bookmarkEnd w:id="144"/>
      <w:bookmarkEnd w:id="145"/>
      <w:bookmarkEnd w:id="146"/>
      <w:bookmarkEnd w:id="147"/>
      <w:bookmarkEnd w:id="148"/>
      <w:bookmarkEnd w:id="149"/>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color w:val="000000"/>
          <w:sz w:val="32"/>
          <w:szCs w:val="32"/>
          <w:lang w:eastAsia="zh-CN"/>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黑体" w:eastAsia="仿宋_GB2312"/>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hint="eastAsia" w:ascii="仿宋_GB2312" w:hAnsi="黑体" w:eastAsia="仿宋_GB2312"/>
          <w:sz w:val="32"/>
          <w:szCs w:val="32"/>
          <w:lang w:eastAsia="zh-CN"/>
        </w:rPr>
        <w:t>本单位</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hAnsi="黑体" w:eastAsia="仿宋_GB2312"/>
          <w:sz w:val="32"/>
          <w:szCs w:val="32"/>
        </w:rPr>
        <w:t>与</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年决算数持平。主要原因是本单位基本性质为财政补助事业单位，不涉及机关运行经费支出。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50" w:name="_Toc29546"/>
      <w:bookmarkStart w:id="151" w:name="_Toc20538"/>
      <w:bookmarkStart w:id="152" w:name="_Toc6660"/>
      <w:bookmarkStart w:id="153" w:name="_Toc79163626"/>
      <w:bookmarkStart w:id="154" w:name="_Toc15377223"/>
      <w:bookmarkStart w:id="155" w:name="_Toc79163876"/>
      <w:r>
        <w:rPr>
          <w:rFonts w:hint="eastAsia" w:ascii="仿宋" w:hAnsi="仿宋" w:eastAsia="仿宋"/>
          <w:b/>
          <w:color w:val="000000"/>
          <w:sz w:val="32"/>
          <w:szCs w:val="32"/>
        </w:rPr>
        <w:t>（二）政府采购支出情况</w:t>
      </w:r>
      <w:bookmarkEnd w:id="150"/>
      <w:bookmarkEnd w:id="151"/>
      <w:bookmarkEnd w:id="152"/>
      <w:bookmarkEnd w:id="153"/>
      <w:bookmarkEnd w:id="154"/>
      <w:bookmarkEnd w:id="155"/>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年，政府采购支出总额0万元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56" w:name="_Toc26443"/>
      <w:bookmarkStart w:id="157" w:name="_Toc79163877"/>
      <w:bookmarkStart w:id="158" w:name="_Toc29878"/>
      <w:bookmarkStart w:id="159" w:name="_Toc7271"/>
      <w:bookmarkStart w:id="160" w:name="_Toc15377224"/>
      <w:bookmarkStart w:id="161" w:name="_Toc79163627"/>
      <w:r>
        <w:rPr>
          <w:rFonts w:hint="eastAsia" w:ascii="仿宋" w:hAnsi="仿宋" w:eastAsia="仿宋"/>
          <w:b/>
          <w:color w:val="000000"/>
          <w:sz w:val="32"/>
          <w:szCs w:val="32"/>
        </w:rPr>
        <w:t>（三）国有资产占有使用情况</w:t>
      </w:r>
      <w:bookmarkEnd w:id="156"/>
      <w:bookmarkEnd w:id="157"/>
      <w:bookmarkEnd w:id="158"/>
      <w:bookmarkEnd w:id="159"/>
      <w:bookmarkEnd w:id="160"/>
      <w:bookmarkEnd w:id="161"/>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共有车辆0辆，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62" w:name="_Toc17877"/>
      <w:bookmarkStart w:id="163" w:name="_Toc16099"/>
      <w:bookmarkStart w:id="164" w:name="_Toc7410"/>
      <w:bookmarkStart w:id="165" w:name="_Toc79163878"/>
      <w:bookmarkStart w:id="166" w:name="_Toc79163628"/>
      <w:r>
        <w:rPr>
          <w:rFonts w:hint="eastAsia" w:ascii="仿宋" w:hAnsi="仿宋" w:eastAsia="仿宋"/>
          <w:b/>
          <w:color w:val="000000"/>
          <w:sz w:val="32"/>
          <w:szCs w:val="32"/>
        </w:rPr>
        <w:t>（四）预算绩效管理情况</w:t>
      </w:r>
      <w:bookmarkEnd w:id="162"/>
      <w:bookmarkEnd w:id="163"/>
      <w:bookmarkEnd w:id="164"/>
      <w:bookmarkEnd w:id="165"/>
      <w:bookmarkEnd w:id="166"/>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第一书记临岗补贴</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pStyle w:val="38"/>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rPr>
        <w:t>本部门按要求对</w:t>
      </w:r>
      <w:r>
        <w:rPr>
          <w:rFonts w:hint="eastAsia" w:ascii="仿宋_GB2312" w:eastAsia="仿宋_GB2312"/>
          <w:sz w:val="32"/>
          <w:szCs w:val="32"/>
          <w:lang w:eastAsia="zh-CN"/>
        </w:rPr>
        <w:t>2022</w:t>
      </w:r>
      <w:r>
        <w:rPr>
          <w:rFonts w:hint="eastAsia" w:ascii="仿宋_GB2312" w:eastAsia="仿宋_GB2312"/>
          <w:sz w:val="32"/>
          <w:szCs w:val="32"/>
        </w:rPr>
        <w:t>年部门整体支出开展绩效自评，从评价情况来看</w:t>
      </w:r>
      <w:r>
        <w:rPr>
          <w:rFonts w:hint="eastAsia" w:ascii="仿宋_GB2312" w:eastAsia="仿宋_GB2312"/>
          <w:color w:val="000000"/>
          <w:sz w:val="32"/>
          <w:szCs w:val="32"/>
          <w:shd w:val="clear" w:color="auto" w:fill="FFFFFF"/>
        </w:rPr>
        <w:t>我</w:t>
      </w:r>
      <w:r>
        <w:rPr>
          <w:rFonts w:hint="eastAsia" w:ascii="仿宋_GB2312" w:eastAsia="仿宋_GB2312"/>
          <w:color w:val="000000"/>
          <w:sz w:val="32"/>
          <w:szCs w:val="32"/>
          <w:shd w:val="clear" w:color="auto" w:fill="FFFFFF"/>
          <w:lang w:eastAsia="zh-CN"/>
        </w:rPr>
        <w:t>中心</w:t>
      </w:r>
      <w:r>
        <w:rPr>
          <w:rFonts w:hint="eastAsia" w:ascii="仿宋_GB2312" w:eastAsia="仿宋_GB2312"/>
          <w:color w:val="000000"/>
          <w:sz w:val="32"/>
          <w:szCs w:val="32"/>
          <w:shd w:val="clear" w:color="auto" w:fill="FFFFFF"/>
          <w:lang w:val="en-US" w:eastAsia="zh-CN"/>
        </w:rPr>
        <w:t>2022</w:t>
      </w:r>
      <w:r>
        <w:rPr>
          <w:rFonts w:hint="eastAsia" w:ascii="仿宋_GB2312" w:eastAsia="仿宋_GB2312"/>
          <w:color w:val="000000"/>
          <w:sz w:val="32"/>
          <w:szCs w:val="32"/>
          <w:shd w:val="clear" w:color="auto" w:fill="FFFFFF"/>
        </w:rPr>
        <w:t>年部门整体支出情况良好，从预算到执行和收入、支出管理均严格按照相关要求进行，全年收支平衡，有效保障了单位正常运转，圆满完成了单位目标任务。</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w:t>
      </w:r>
      <w:r>
        <w:rPr>
          <w:rFonts w:hint="eastAsia" w:ascii="仿宋_GB2312" w:hAnsi="仿宋_GB2312" w:eastAsia="仿宋_GB2312" w:cs="仿宋_GB2312"/>
          <w:sz w:val="32"/>
          <w:szCs w:val="32"/>
          <w:lang w:eastAsia="zh-CN"/>
        </w:rPr>
        <w:t>看，该专项资金及时足额支付完成。</w:t>
      </w:r>
    </w:p>
    <w:p>
      <w:pPr>
        <w:spacing w:line="576" w:lineRule="exact"/>
        <w:ind w:firstLine="640" w:firstLineChars="200"/>
        <w:outlineLvl w:val="1"/>
        <w:rPr>
          <w:rStyle w:val="24"/>
          <w:rFonts w:ascii="楷体" w:hAnsi="楷体" w:eastAsia="楷体" w:cs="楷体"/>
          <w:b w:val="0"/>
          <w:bCs w:val="0"/>
        </w:rPr>
      </w:pPr>
      <w:r>
        <w:rPr>
          <w:rStyle w:val="24"/>
          <w:rFonts w:hint="eastAsia" w:ascii="楷体" w:hAnsi="楷体" w:eastAsia="楷体" w:cs="楷体"/>
          <w:b w:val="0"/>
          <w:bCs w:val="0"/>
          <w:lang w:val="en-US" w:eastAsia="zh-CN"/>
        </w:rPr>
        <w:t>1.</w:t>
      </w:r>
      <w:r>
        <w:rPr>
          <w:rStyle w:val="24"/>
          <w:rFonts w:hint="eastAsia" w:ascii="楷体" w:hAnsi="楷体" w:eastAsia="楷体" w:cs="楷体"/>
          <w:b w:val="0"/>
          <w:bCs w:val="0"/>
        </w:rPr>
        <w:t>部门开展绩效评价结果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城乡居民养老保险事务中心2022</w:t>
      </w:r>
      <w:r>
        <w:rPr>
          <w:rFonts w:hint="eastAsia" w:ascii="仿宋_GB2312" w:hAnsi="仿宋_GB2312" w:eastAsia="仿宋_GB2312" w:cs="仿宋_GB2312"/>
          <w:sz w:val="32"/>
          <w:szCs w:val="32"/>
        </w:rPr>
        <w:t>年部门整体支出绩效评价报告》见</w:t>
      </w:r>
      <w:r>
        <w:rPr>
          <w:rFonts w:hint="eastAsia" w:ascii="仿宋_GB2312" w:hAnsi="仿宋_GB2312" w:eastAsia="仿宋_GB2312" w:cs="仿宋_GB2312"/>
          <w:sz w:val="32"/>
          <w:szCs w:val="32"/>
          <w:lang w:eastAsia="zh-CN"/>
        </w:rPr>
        <w:t>第四部分</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numPr>
          <w:ilvl w:val="0"/>
          <w:numId w:val="0"/>
        </w:numPr>
        <w:tabs>
          <w:tab w:val="left" w:pos="492"/>
        </w:tabs>
        <w:spacing w:line="600" w:lineRule="exact"/>
        <w:ind w:firstLine="2640" w:firstLineChars="600"/>
        <w:jc w:val="both"/>
        <w:outlineLvl w:val="0"/>
        <w:rPr>
          <w:rStyle w:val="23"/>
          <w:rFonts w:ascii="黑体" w:hAnsi="黑体" w:eastAsia="黑体"/>
          <w:b w:val="0"/>
        </w:rPr>
      </w:pPr>
      <w:bookmarkStart w:id="167" w:name="_Toc79163879"/>
      <w:bookmarkStart w:id="168" w:name="_Toc8899"/>
      <w:bookmarkStart w:id="169" w:name="_Toc15396613"/>
      <w:bookmarkStart w:id="170" w:name="_Toc31961"/>
      <w:bookmarkStart w:id="171" w:name="_Toc79163629"/>
      <w:bookmarkStart w:id="172" w:name="_Toc20685"/>
      <w:bookmarkStart w:id="173" w:name="_Toc15377225"/>
      <w:r>
        <w:rPr>
          <w:rFonts w:hint="eastAsia" w:ascii="黑体" w:hAnsi="黑体" w:eastAsia="黑体"/>
          <w:color w:val="000000"/>
          <w:sz w:val="44"/>
          <w:szCs w:val="44"/>
          <w:lang w:eastAsia="zh-CN"/>
        </w:rPr>
        <w:t>第三部分</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名</w:t>
      </w:r>
      <w:r>
        <w:rPr>
          <w:rStyle w:val="23"/>
          <w:rFonts w:hint="eastAsia" w:ascii="黑体" w:hAnsi="黑体" w:eastAsia="黑体"/>
          <w:b w:val="0"/>
        </w:rPr>
        <w:t>词解释</w:t>
      </w:r>
      <w:bookmarkEnd w:id="167"/>
      <w:bookmarkEnd w:id="168"/>
      <w:bookmarkEnd w:id="169"/>
      <w:bookmarkEnd w:id="170"/>
      <w:bookmarkEnd w:id="171"/>
      <w:bookmarkEnd w:id="172"/>
      <w:bookmarkEnd w:id="173"/>
    </w:p>
    <w:p>
      <w:pPr>
        <w:spacing w:line="600" w:lineRule="exact"/>
        <w:jc w:val="left"/>
        <w:rPr>
          <w:rFonts w:ascii="宋体"/>
          <w:b/>
          <w:color w:val="000000"/>
          <w:sz w:val="44"/>
          <w:szCs w:val="44"/>
        </w:rPr>
      </w:pPr>
    </w:p>
    <w:p>
      <w:pPr>
        <w:pStyle w:val="3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3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3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楷体_GB2312" w:eastAsia="仿宋_GB2312" w:cs="楷体_GB2312"/>
          <w:bCs/>
          <w:sz w:val="32"/>
          <w:szCs w:val="32"/>
        </w:rPr>
      </w:pPr>
      <w:r>
        <w:rPr>
          <w:rFonts w:hint="eastAsia" w:ascii="仿宋_GB2312" w:hAnsi="楷体_GB2312" w:eastAsia="仿宋_GB2312" w:cs="楷体_GB2312"/>
          <w:bCs/>
          <w:sz w:val="32"/>
          <w:szCs w:val="32"/>
        </w:rPr>
        <w:t>9.社会保障和就业支出（</w:t>
      </w:r>
      <w:r>
        <w:rPr>
          <w:rFonts w:hint="eastAsia" w:ascii="仿宋_GB2312" w:hAnsi="楷体_GB2312" w:eastAsia="仿宋_GB2312" w:cs="楷体_GB2312"/>
          <w:bCs/>
          <w:sz w:val="32"/>
          <w:szCs w:val="32"/>
          <w:lang w:eastAsia="zh-CN"/>
        </w:rPr>
        <w:t>类</w:t>
      </w:r>
      <w:r>
        <w:rPr>
          <w:rFonts w:hint="eastAsia" w:ascii="仿宋_GB2312" w:hAnsi="楷体_GB2312" w:eastAsia="仿宋_GB2312" w:cs="楷体_GB2312"/>
          <w:bCs/>
          <w:sz w:val="32"/>
          <w:szCs w:val="32"/>
        </w:rPr>
        <w:t>）人力资源和社会保障管理事务（</w:t>
      </w:r>
      <w:r>
        <w:rPr>
          <w:rFonts w:hint="eastAsia" w:ascii="仿宋_GB2312" w:hAnsi="楷体_GB2312" w:eastAsia="仿宋_GB2312" w:cs="楷体_GB2312"/>
          <w:bCs/>
          <w:sz w:val="32"/>
          <w:szCs w:val="32"/>
          <w:lang w:val="en-US" w:eastAsia="zh-CN"/>
        </w:rPr>
        <w:t>款</w:t>
      </w:r>
      <w:r>
        <w:rPr>
          <w:rFonts w:hint="eastAsia" w:ascii="仿宋_GB2312" w:hAnsi="楷体_GB2312" w:eastAsia="仿宋_GB2312" w:cs="楷体_GB2312"/>
          <w:bCs/>
          <w:sz w:val="32"/>
          <w:szCs w:val="32"/>
        </w:rPr>
        <w:t>）社会保险经办机构（</w:t>
      </w:r>
      <w:r>
        <w:rPr>
          <w:rFonts w:hint="eastAsia" w:ascii="仿宋_GB2312" w:eastAsia="仿宋_GB2312"/>
          <w:sz w:val="32"/>
          <w:szCs w:val="32"/>
          <w:lang w:val="en-US" w:eastAsia="zh-CN"/>
        </w:rPr>
        <w:t>项</w:t>
      </w:r>
      <w:r>
        <w:rPr>
          <w:rFonts w:hint="eastAsia" w:ascii="仿宋_GB2312" w:hAnsi="楷体_GB2312" w:eastAsia="仿宋_GB2312" w:cs="楷体_GB2312"/>
          <w:bCs/>
          <w:sz w:val="32"/>
          <w:szCs w:val="32"/>
        </w:rPr>
        <w:t>）：指社会保险经办机构开展业务工作的支出。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10.</w:t>
      </w:r>
      <w:r>
        <w:rPr>
          <w:rFonts w:hint="eastAsia" w:ascii="仿宋_GB2312" w:hAnsi="楷体_GB2312" w:eastAsia="仿宋_GB2312" w:cs="楷体_GB2312"/>
          <w:bCs/>
          <w:sz w:val="32"/>
          <w:szCs w:val="32"/>
        </w:rPr>
        <w:t>社会保障和就业支出（</w:t>
      </w:r>
      <w:r>
        <w:rPr>
          <w:rFonts w:hint="eastAsia" w:ascii="仿宋_GB2312" w:hAnsi="楷体_GB2312" w:eastAsia="仿宋_GB2312" w:cs="楷体_GB2312"/>
          <w:bCs/>
          <w:sz w:val="32"/>
          <w:szCs w:val="32"/>
          <w:lang w:eastAsia="zh-CN"/>
        </w:rPr>
        <w:t>类</w:t>
      </w:r>
      <w:r>
        <w:rPr>
          <w:rFonts w:hint="eastAsia" w:ascii="仿宋_GB2312" w:hAnsi="楷体_GB2312" w:eastAsia="仿宋_GB2312" w:cs="楷体_GB2312"/>
          <w:bCs/>
          <w:sz w:val="32"/>
          <w:szCs w:val="32"/>
        </w:rPr>
        <w:t>）行政事业单位离退休（</w:t>
      </w:r>
      <w:r>
        <w:rPr>
          <w:rFonts w:hint="eastAsia" w:ascii="仿宋_GB2312" w:hAnsi="楷体_GB2312" w:eastAsia="仿宋_GB2312" w:cs="楷体_GB2312"/>
          <w:bCs/>
          <w:sz w:val="32"/>
          <w:szCs w:val="32"/>
          <w:lang w:val="en-US" w:eastAsia="zh-CN"/>
        </w:rPr>
        <w:t>款</w:t>
      </w:r>
      <w:r>
        <w:rPr>
          <w:rFonts w:hint="eastAsia" w:ascii="仿宋_GB2312" w:hAnsi="楷体_GB2312" w:eastAsia="仿宋_GB2312" w:cs="楷体_GB2312"/>
          <w:bCs/>
          <w:sz w:val="32"/>
          <w:szCs w:val="32"/>
        </w:rPr>
        <w:t>机关事业单位基本养老保险缴费支出（</w:t>
      </w:r>
      <w:r>
        <w:rPr>
          <w:rFonts w:hint="eastAsia" w:ascii="仿宋_GB2312" w:eastAsia="仿宋_GB2312"/>
          <w:sz w:val="32"/>
          <w:szCs w:val="32"/>
          <w:lang w:val="en-US" w:eastAsia="zh-CN"/>
        </w:rPr>
        <w:t>项</w:t>
      </w:r>
      <w:r>
        <w:rPr>
          <w:rFonts w:hint="eastAsia" w:ascii="仿宋_GB2312" w:hAnsi="楷体_GB2312" w:eastAsia="仿宋_GB2312" w:cs="楷体_GB2312"/>
          <w:bCs/>
          <w:sz w:val="32"/>
          <w:szCs w:val="32"/>
        </w:rPr>
        <w:t>）：指机关事业单位实施养老保险制度由单位缴纳的基本养老保险费支出。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11.</w:t>
      </w:r>
      <w:r>
        <w:rPr>
          <w:rFonts w:hint="eastAsia" w:ascii="仿宋_GB2312" w:hAnsi="楷体_GB2312" w:eastAsia="仿宋_GB2312" w:cs="楷体_GB2312"/>
          <w:bCs/>
          <w:sz w:val="32"/>
          <w:szCs w:val="32"/>
        </w:rPr>
        <w:t>社会保障和就业支出（</w:t>
      </w:r>
      <w:r>
        <w:rPr>
          <w:rFonts w:hint="eastAsia" w:ascii="仿宋_GB2312" w:hAnsi="楷体_GB2312" w:eastAsia="仿宋_GB2312" w:cs="楷体_GB2312"/>
          <w:bCs/>
          <w:sz w:val="32"/>
          <w:szCs w:val="32"/>
          <w:lang w:eastAsia="zh-CN"/>
        </w:rPr>
        <w:t>类</w:t>
      </w:r>
      <w:r>
        <w:rPr>
          <w:rFonts w:hint="eastAsia" w:ascii="仿宋_GB2312" w:hAnsi="楷体_GB2312" w:eastAsia="仿宋_GB2312" w:cs="楷体_GB2312"/>
          <w:bCs/>
          <w:sz w:val="32"/>
          <w:szCs w:val="32"/>
        </w:rPr>
        <w:t>）行政事业单位离退休（</w:t>
      </w:r>
      <w:r>
        <w:rPr>
          <w:rFonts w:hint="eastAsia" w:ascii="仿宋_GB2312" w:hAnsi="楷体_GB2312" w:eastAsia="仿宋_GB2312" w:cs="楷体_GB2312"/>
          <w:bCs/>
          <w:sz w:val="32"/>
          <w:szCs w:val="32"/>
          <w:lang w:val="en-US" w:eastAsia="zh-CN"/>
        </w:rPr>
        <w:t>款</w:t>
      </w:r>
      <w:r>
        <w:rPr>
          <w:rFonts w:hint="eastAsia" w:ascii="仿宋_GB2312" w:hAnsi="楷体_GB2312" w:eastAsia="仿宋_GB2312" w:cs="楷体_GB2312"/>
          <w:bCs/>
          <w:sz w:val="32"/>
          <w:szCs w:val="32"/>
        </w:rPr>
        <w:t>）机关事业单位职业年金缴费支出（</w:t>
      </w:r>
      <w:r>
        <w:rPr>
          <w:rFonts w:hint="eastAsia" w:ascii="仿宋_GB2312" w:eastAsia="仿宋_GB2312"/>
          <w:sz w:val="32"/>
          <w:szCs w:val="32"/>
          <w:lang w:val="en-US" w:eastAsia="zh-CN"/>
        </w:rPr>
        <w:t>项</w:t>
      </w:r>
      <w:r>
        <w:rPr>
          <w:rFonts w:hint="eastAsia" w:ascii="仿宋_GB2312" w:hAnsi="楷体_GB2312" w:eastAsia="仿宋_GB2312" w:cs="楷体_GB2312"/>
          <w:bCs/>
          <w:sz w:val="32"/>
          <w:szCs w:val="32"/>
        </w:rPr>
        <w:t>）指：</w:t>
      </w:r>
      <w:r>
        <w:rPr>
          <w:rFonts w:hint="eastAsia" w:ascii="仿宋_GB2312" w:eastAsia="仿宋_GB2312"/>
          <w:sz w:val="32"/>
          <w:szCs w:val="32"/>
        </w:rPr>
        <w:t>机关事业单位</w:t>
      </w:r>
      <w:r>
        <w:rPr>
          <w:rFonts w:hint="eastAsia" w:ascii="仿宋_GB2312" w:hAnsi="楷体_GB2312" w:eastAsia="仿宋_GB2312" w:cs="楷体_GB2312"/>
          <w:bCs/>
          <w:sz w:val="32"/>
          <w:szCs w:val="32"/>
        </w:rPr>
        <w:t>养老保险制度由单位缴纳的职业年金支出。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12.医疗卫生与计划生育支出</w:t>
      </w:r>
      <w:r>
        <w:rPr>
          <w:rFonts w:ascii="仿宋_GB2312" w:eastAsia="仿宋_GB2312"/>
          <w:sz w:val="32"/>
          <w:szCs w:val="32"/>
        </w:rPr>
        <w:t>（</w:t>
      </w:r>
      <w:r>
        <w:rPr>
          <w:rFonts w:hint="eastAsia" w:ascii="仿宋_GB2312" w:hAnsi="楷体_GB2312" w:eastAsia="仿宋_GB2312" w:cs="楷体_GB2312"/>
          <w:bCs/>
          <w:sz w:val="32"/>
          <w:szCs w:val="32"/>
          <w:lang w:eastAsia="zh-CN"/>
        </w:rPr>
        <w:t>类</w:t>
      </w:r>
      <w:r>
        <w:rPr>
          <w:rFonts w:ascii="仿宋_GB2312" w:eastAsia="仿宋_GB2312"/>
          <w:sz w:val="32"/>
          <w:szCs w:val="32"/>
        </w:rPr>
        <w:t>）行政事业单位医疗（</w:t>
      </w:r>
      <w:r>
        <w:rPr>
          <w:rFonts w:hint="eastAsia" w:ascii="仿宋_GB2312" w:hAnsi="楷体_GB2312" w:eastAsia="仿宋_GB2312" w:cs="楷体_GB2312"/>
          <w:bCs/>
          <w:sz w:val="32"/>
          <w:szCs w:val="32"/>
          <w:lang w:val="en-US" w:eastAsia="zh-CN"/>
        </w:rPr>
        <w:t>款</w:t>
      </w:r>
      <w:r>
        <w:rPr>
          <w:rFonts w:ascii="仿宋_GB2312" w:eastAsia="仿宋_GB2312"/>
          <w:sz w:val="32"/>
          <w:szCs w:val="32"/>
        </w:rPr>
        <w:t>）</w:t>
      </w:r>
      <w:r>
        <w:rPr>
          <w:rFonts w:hint="eastAsia" w:ascii="仿宋_GB2312" w:eastAsia="仿宋_GB2312"/>
          <w:sz w:val="32"/>
          <w:szCs w:val="32"/>
        </w:rPr>
        <w:t>事业</w:t>
      </w:r>
      <w:r>
        <w:rPr>
          <w:rFonts w:ascii="仿宋_GB2312" w:eastAsia="仿宋_GB2312"/>
          <w:sz w:val="32"/>
          <w:szCs w:val="32"/>
        </w:rPr>
        <w:t>单位医疗（</w:t>
      </w:r>
      <w:r>
        <w:rPr>
          <w:rFonts w:hint="eastAsia" w:ascii="仿宋_GB2312" w:eastAsia="仿宋_GB2312"/>
          <w:sz w:val="32"/>
          <w:szCs w:val="32"/>
          <w:lang w:val="en-US" w:eastAsia="zh-CN"/>
        </w:rPr>
        <w:t>项</w:t>
      </w:r>
      <w:r>
        <w:rPr>
          <w:rFonts w:ascii="仿宋_GB2312" w:eastAsia="仿宋_GB2312"/>
          <w:sz w:val="32"/>
          <w:szCs w:val="32"/>
        </w:rPr>
        <w:t>）</w:t>
      </w:r>
      <w:r>
        <w:rPr>
          <w:rFonts w:hint="eastAsia" w:ascii="仿宋_GB2312" w:eastAsia="仿宋_GB2312"/>
          <w:sz w:val="32"/>
          <w:szCs w:val="32"/>
        </w:rPr>
        <w:t>：指财政部门集中安排的事业单位基本医疗保险缴费。</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住房保障（</w:t>
      </w:r>
      <w:r>
        <w:rPr>
          <w:rFonts w:hint="eastAsia" w:ascii="仿宋_GB2312" w:hAnsi="楷体_GB2312" w:eastAsia="仿宋_GB2312" w:cs="楷体_GB2312"/>
          <w:bCs/>
          <w:sz w:val="32"/>
          <w:szCs w:val="32"/>
          <w:lang w:eastAsia="zh-CN"/>
        </w:rPr>
        <w:t>类</w:t>
      </w:r>
      <w:r>
        <w:rPr>
          <w:rFonts w:ascii="仿宋_GB2312" w:eastAsia="仿宋_GB2312"/>
          <w:sz w:val="32"/>
          <w:szCs w:val="32"/>
        </w:rPr>
        <w:t>）住房改革（</w:t>
      </w:r>
      <w:r>
        <w:rPr>
          <w:rFonts w:hint="eastAsia" w:ascii="仿宋_GB2312" w:hAnsi="楷体_GB2312" w:eastAsia="仿宋_GB2312" w:cs="楷体_GB2312"/>
          <w:bCs/>
          <w:sz w:val="32"/>
          <w:szCs w:val="32"/>
          <w:lang w:val="en-US" w:eastAsia="zh-CN"/>
        </w:rPr>
        <w:t>款</w:t>
      </w:r>
      <w:r>
        <w:rPr>
          <w:rFonts w:ascii="仿宋_GB2312" w:eastAsia="仿宋_GB2312"/>
          <w:sz w:val="32"/>
          <w:szCs w:val="32"/>
        </w:rPr>
        <w:t>）住房公积金（</w:t>
      </w:r>
      <w:r>
        <w:rPr>
          <w:rFonts w:hint="eastAsia" w:ascii="仿宋_GB2312" w:eastAsia="仿宋_GB2312"/>
          <w:sz w:val="32"/>
          <w:szCs w:val="32"/>
          <w:lang w:val="en-US" w:eastAsia="zh-CN"/>
        </w:rPr>
        <w:t>项</w:t>
      </w:r>
      <w:r>
        <w:rPr>
          <w:rFonts w:ascii="仿宋_GB2312" w:eastAsia="仿宋_GB2312"/>
          <w:sz w:val="32"/>
          <w:szCs w:val="32"/>
        </w:rPr>
        <w:t>）</w:t>
      </w:r>
      <w:r>
        <w:rPr>
          <w:rFonts w:hint="eastAsia" w:ascii="仿宋_GB2312" w:eastAsia="仿宋_GB2312"/>
          <w:sz w:val="32"/>
          <w:szCs w:val="32"/>
        </w:rPr>
        <w:t>：指行政事业单位按规定的标准和比例</w:t>
      </w:r>
      <w:r>
        <w:rPr>
          <w:rFonts w:ascii="仿宋_GB2312" w:eastAsia="仿宋_GB2312"/>
          <w:sz w:val="32"/>
          <w:szCs w:val="32"/>
        </w:rPr>
        <w:t>为职工缴纳</w:t>
      </w:r>
      <w:r>
        <w:rPr>
          <w:rFonts w:hint="eastAsia" w:ascii="仿宋_GB2312" w:eastAsia="仿宋_GB2312"/>
          <w:sz w:val="32"/>
          <w:szCs w:val="32"/>
        </w:rPr>
        <w:t>的</w:t>
      </w:r>
      <w:r>
        <w:rPr>
          <w:rFonts w:ascii="仿宋_GB2312" w:eastAsia="仿宋_GB2312"/>
          <w:sz w:val="32"/>
          <w:szCs w:val="32"/>
        </w:rPr>
        <w:t>住房公积金。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14.农林水支出（</w:t>
      </w:r>
      <w:r>
        <w:rPr>
          <w:rFonts w:hint="eastAsia" w:ascii="仿宋_GB2312" w:hAnsi="楷体_GB2312" w:eastAsia="仿宋_GB2312" w:cs="楷体_GB2312"/>
          <w:bCs/>
          <w:sz w:val="32"/>
          <w:szCs w:val="32"/>
          <w:lang w:eastAsia="zh-CN"/>
        </w:rPr>
        <w:t>类</w:t>
      </w:r>
      <w:r>
        <w:rPr>
          <w:rFonts w:hint="eastAsia" w:ascii="仿宋_GB2312" w:eastAsia="仿宋_GB2312"/>
          <w:sz w:val="32"/>
          <w:szCs w:val="32"/>
          <w:lang w:val="en-US" w:eastAsia="zh-CN"/>
        </w:rPr>
        <w:t>）扶贫（</w:t>
      </w:r>
      <w:r>
        <w:rPr>
          <w:rFonts w:hint="eastAsia" w:ascii="仿宋_GB2312" w:hAnsi="楷体_GB2312" w:eastAsia="仿宋_GB2312" w:cs="楷体_GB2312"/>
          <w:bCs/>
          <w:sz w:val="32"/>
          <w:szCs w:val="32"/>
          <w:lang w:val="en-US" w:eastAsia="zh-CN"/>
        </w:rPr>
        <w:t>款</w:t>
      </w:r>
      <w:r>
        <w:rPr>
          <w:rFonts w:hint="eastAsia" w:ascii="仿宋_GB2312" w:eastAsia="仿宋_GB2312"/>
          <w:sz w:val="32"/>
          <w:szCs w:val="32"/>
          <w:lang w:val="en-US" w:eastAsia="zh-CN"/>
        </w:rPr>
        <w:t>）社会发展（项）：指用于农村贫困地区中小学教育、文化、广播、电视、医疗、卫生等方面的项目支出。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174" w:name="_Toc15396614"/>
      <w:bookmarkStart w:id="175" w:name="_Toc79163630"/>
      <w:bookmarkStart w:id="176" w:name="_Toc79163880"/>
      <w:bookmarkStart w:id="177"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ind w:firstLine="2640" w:firstLineChars="600"/>
        <w:jc w:val="both"/>
        <w:outlineLvl w:val="0"/>
        <w:rPr>
          <w:rFonts w:hint="eastAsia" w:ascii="黑体" w:hAnsi="黑体" w:eastAsia="黑体"/>
          <w:color w:val="000000"/>
          <w:sz w:val="44"/>
          <w:szCs w:val="44"/>
        </w:rPr>
      </w:pPr>
      <w:bookmarkStart w:id="178" w:name="_Toc26191"/>
      <w:bookmarkStart w:id="179" w:name="_Toc31834"/>
      <w:bookmarkStart w:id="180" w:name="_Toc23737"/>
    </w:p>
    <w:p>
      <w:pPr>
        <w:spacing w:line="600" w:lineRule="exact"/>
        <w:ind w:firstLine="2640" w:firstLineChars="600"/>
        <w:jc w:val="both"/>
        <w:outlineLvl w:val="0"/>
        <w:rPr>
          <w:rFonts w:hint="eastAsia" w:ascii="黑体" w:hAnsi="黑体" w:eastAsia="黑体"/>
          <w:color w:val="000000"/>
          <w:sz w:val="44"/>
          <w:szCs w:val="44"/>
        </w:rPr>
      </w:pPr>
    </w:p>
    <w:p>
      <w:pPr>
        <w:spacing w:line="600" w:lineRule="exact"/>
        <w:ind w:firstLine="2640" w:firstLineChars="600"/>
        <w:jc w:val="both"/>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174"/>
      <w:bookmarkEnd w:id="175"/>
      <w:bookmarkEnd w:id="176"/>
      <w:bookmarkEnd w:id="178"/>
      <w:bookmarkEnd w:id="179"/>
      <w:bookmarkEnd w:id="180"/>
    </w:p>
    <w:p>
      <w:pPr>
        <w:spacing w:line="600" w:lineRule="exact"/>
        <w:jc w:val="left"/>
        <w:outlineLvl w:val="0"/>
        <w:rPr>
          <w:rFonts w:ascii="方正小标宋简体" w:hAnsi="方正小标宋简体" w:eastAsia="方正小标宋简体" w:cs="方正小标宋简体"/>
          <w:sz w:val="32"/>
          <w:szCs w:val="32"/>
        </w:rPr>
      </w:pPr>
      <w:bookmarkStart w:id="181" w:name="_Toc4268"/>
      <w:bookmarkStart w:id="182" w:name="_Toc15009"/>
      <w:bookmarkStart w:id="183" w:name="_Toc17688"/>
      <w:bookmarkStart w:id="184" w:name="_Toc79163881"/>
      <w:bookmarkStart w:id="185" w:name="_Toc79163631"/>
      <w:r>
        <w:rPr>
          <w:rFonts w:hint="eastAsia" w:ascii="黑体" w:hAnsi="黑体" w:eastAsia="黑体" w:cs="黑体"/>
          <w:sz w:val="32"/>
          <w:szCs w:val="32"/>
        </w:rPr>
        <w:t>附件</w:t>
      </w:r>
      <w:r>
        <w:rPr>
          <w:rFonts w:ascii="黑体" w:hAnsi="黑体" w:eastAsia="黑体" w:cs="黑体"/>
          <w:sz w:val="32"/>
          <w:szCs w:val="32"/>
        </w:rPr>
        <w:t>1</w:t>
      </w:r>
      <w:bookmarkEnd w:id="181"/>
      <w:bookmarkEnd w:id="182"/>
      <w:bookmarkEnd w:id="183"/>
      <w:bookmarkEnd w:id="184"/>
      <w:bookmarkEnd w:id="185"/>
    </w:p>
    <w:p>
      <w:pPr>
        <w:spacing w:line="58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茂县城乡居民养老保险</w:t>
      </w:r>
      <w:r>
        <w:rPr>
          <w:rFonts w:hint="eastAsia" w:ascii="方正小标宋简体" w:eastAsia="方正小标宋简体"/>
          <w:sz w:val="44"/>
          <w:szCs w:val="44"/>
          <w:lang w:eastAsia="zh-CN"/>
        </w:rPr>
        <w:t>事务中心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2022</w:t>
      </w:r>
      <w:r>
        <w:rPr>
          <w:rFonts w:hint="eastAsia" w:ascii="方正小标宋简体" w:hAnsi="宋体" w:eastAsia="方正小标宋简体"/>
          <w:sz w:val="44"/>
          <w:szCs w:val="44"/>
          <w:shd w:val="clear" w:color="auto" w:fill="FFFFFF"/>
        </w:rPr>
        <w:t>年部门整体支出绩效报告</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方正小标宋简体" w:eastAsia="方正小标宋简体"/>
          <w:sz w:val="44"/>
          <w:szCs w:val="44"/>
        </w:rPr>
      </w:pPr>
    </w:p>
    <w:p>
      <w:pPr>
        <w:pStyle w:val="39"/>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单位概况</w:t>
      </w:r>
    </w:p>
    <w:p>
      <w:pPr>
        <w:pStyle w:val="39"/>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（一）机构组成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“茂县城乡居民养老保险事务中心”</w:t>
      </w:r>
      <w:r>
        <w:rPr>
          <w:rFonts w:hint="eastAsia" w:ascii="仿宋_GB2312" w:eastAsia="仿宋_GB2312"/>
          <w:color w:val="000000"/>
          <w:sz w:val="32"/>
          <w:szCs w:val="32"/>
        </w:rPr>
        <w:t>为县人力资源和社会保障</w:t>
      </w:r>
      <w:r>
        <w:rPr>
          <w:rFonts w:hint="eastAsia" w:ascii="仿宋_GB2312" w:eastAsia="仿宋_GB2312"/>
          <w:color w:val="000000"/>
          <w:sz w:val="32"/>
          <w:szCs w:val="32"/>
          <w:lang w:eastAsia="zh-CN"/>
        </w:rPr>
        <w:t>中心</w:t>
      </w:r>
      <w:r>
        <w:rPr>
          <w:rFonts w:hint="eastAsia" w:ascii="仿宋_GB2312" w:eastAsia="仿宋_GB2312"/>
          <w:color w:val="000000"/>
          <w:sz w:val="32"/>
          <w:szCs w:val="32"/>
        </w:rPr>
        <w:t>直属股级事业单位；单位内设办公室、财务股、统筹计划股、待遇审核股4个股室</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autoSpaceDN/>
        <w:bidi w:val="0"/>
        <w:spacing w:line="576" w:lineRule="exact"/>
        <w:ind w:firstLine="643" w:firstLineChars="200"/>
        <w:textAlignment w:val="auto"/>
        <w:rPr>
          <w:rFonts w:ascii="楷体_GB2312" w:eastAsia="楷体_GB2312"/>
          <w:b/>
          <w:color w:val="000000"/>
          <w:sz w:val="32"/>
          <w:szCs w:val="32"/>
        </w:rPr>
      </w:pPr>
      <w:r>
        <w:rPr>
          <w:rFonts w:hint="eastAsia" w:ascii="楷体_GB2312" w:eastAsia="楷体_GB2312"/>
          <w:b/>
          <w:color w:val="000000"/>
          <w:sz w:val="32"/>
          <w:szCs w:val="32"/>
        </w:rPr>
        <w:t>（二）机构职能</w:t>
      </w:r>
    </w:p>
    <w:p>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eastAsia="楷体_GB2312"/>
          <w:b/>
          <w:color w:val="000000"/>
          <w:sz w:val="32"/>
          <w:szCs w:val="32"/>
        </w:rPr>
      </w:pPr>
      <w:r>
        <w:rPr>
          <w:rFonts w:hint="eastAsia" w:ascii="仿宋_GB2312" w:eastAsia="仿宋_GB2312"/>
          <w:color w:val="000000"/>
          <w:sz w:val="32"/>
          <w:szCs w:val="32"/>
        </w:rPr>
        <w:t>负责宣传和贯彻执行城乡居民养老保险的有关政策；负责城乡居民养老保险基金的收缴、汇集、存储及保险基金运营管理，建立业务台账，统计有关数据；负责为参保人员建立个人账户，办理保险关系转移、退保等手续；负责养老金领取人员的资格审查，核算养老金领取标准和拨付养老金；负责跟踪监督养老金发放情况，掌握领取养老金人员动态，提出养老金的处理意见；负责指导各乡镇开展城乡居民养老保险业务。</w:t>
      </w:r>
    </w:p>
    <w:p>
      <w:pPr>
        <w:keepNext w:val="0"/>
        <w:keepLines w:val="0"/>
        <w:pageBreakBefore w:val="0"/>
        <w:kinsoku/>
        <w:wordWrap/>
        <w:overflowPunct/>
        <w:topLinePunct w:val="0"/>
        <w:autoSpaceDE/>
        <w:autoSpaceDN/>
        <w:bidi w:val="0"/>
        <w:spacing w:line="576" w:lineRule="exact"/>
        <w:ind w:firstLine="643" w:firstLineChars="200"/>
        <w:textAlignment w:val="auto"/>
        <w:rPr>
          <w:rFonts w:ascii="楷体_GB2312" w:eastAsia="楷体_GB2312"/>
          <w:b/>
          <w:color w:val="000000"/>
          <w:sz w:val="32"/>
          <w:szCs w:val="32"/>
        </w:rPr>
      </w:pPr>
      <w:r>
        <w:rPr>
          <w:rFonts w:hint="eastAsia" w:ascii="楷体_GB2312" w:eastAsia="楷体_GB2312"/>
          <w:b/>
          <w:color w:val="000000"/>
          <w:sz w:val="32"/>
          <w:szCs w:val="32"/>
        </w:rPr>
        <w:t>（三）人员概况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我</w:t>
      </w:r>
      <w:r>
        <w:rPr>
          <w:rFonts w:hint="eastAsia" w:ascii="仿宋_GB2312" w:eastAsia="仿宋_GB2312"/>
          <w:color w:val="000000"/>
          <w:sz w:val="32"/>
          <w:szCs w:val="32"/>
          <w:lang w:eastAsia="zh-CN"/>
        </w:rPr>
        <w:t>中心</w:t>
      </w:r>
      <w:r>
        <w:rPr>
          <w:rFonts w:hint="eastAsia" w:ascii="仿宋_GB2312" w:eastAsia="仿宋_GB2312"/>
          <w:color w:val="000000"/>
          <w:sz w:val="32"/>
          <w:szCs w:val="32"/>
        </w:rPr>
        <w:t>为一级预算财政全额拨款事业单位，核定事业编制人数为</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名。在职总人数1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名，其中在职事管理业人员11名，事业专技人员</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名，事业工勤人员1名。</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（一）部门财政资金收入情况</w:t>
      </w:r>
    </w:p>
    <w:p>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ascii="仿宋_GB2312" w:hAnsi="仿宋" w:eastAsia="仿宋_GB2312"/>
          <w:sz w:val="32"/>
          <w:szCs w:val="32"/>
        </w:rPr>
      </w:pPr>
      <w:r>
        <w:rPr>
          <w:rFonts w:hint="eastAsia" w:ascii="仿宋_GB2312" w:hAnsi="宋体" w:eastAsia="仿宋_GB2312" w:cs="宋体"/>
          <w:color w:val="000000"/>
          <w:kern w:val="0"/>
          <w:sz w:val="32"/>
          <w:szCs w:val="32"/>
          <w:shd w:val="clear" w:color="auto" w:fill="FFFFFF"/>
          <w:lang w:eastAsia="zh-CN"/>
        </w:rPr>
        <w:t>2022</w:t>
      </w:r>
      <w:r>
        <w:rPr>
          <w:rFonts w:hint="eastAsia" w:ascii="仿宋_GB2312" w:hAnsi="宋体" w:eastAsia="仿宋_GB2312" w:cs="宋体"/>
          <w:color w:val="000000"/>
          <w:kern w:val="0"/>
          <w:sz w:val="32"/>
          <w:szCs w:val="32"/>
          <w:shd w:val="clear" w:color="auto" w:fill="FFFFFF"/>
          <w:lang w:val="en-US" w:eastAsia="zh-CN"/>
        </w:rPr>
        <w:t>年</w:t>
      </w:r>
      <w:r>
        <w:rPr>
          <w:rFonts w:hint="eastAsia" w:ascii="仿宋_GB2312" w:hAnsi="黑体" w:eastAsia="仿宋_GB2312"/>
          <w:color w:val="000000"/>
          <w:sz w:val="32"/>
          <w:szCs w:val="32"/>
        </w:rPr>
        <w:t>单位财政资金收</w:t>
      </w:r>
      <w:r>
        <w:rPr>
          <w:rFonts w:hint="eastAsia" w:ascii="仿宋_GB2312" w:hAnsi="黑体" w:eastAsia="仿宋_GB2312"/>
          <w:color w:val="auto"/>
          <w:sz w:val="32"/>
          <w:szCs w:val="32"/>
        </w:rPr>
        <w:t>入共计</w:t>
      </w:r>
      <w:r>
        <w:rPr>
          <w:rFonts w:hint="eastAsia" w:ascii="仿宋_GB2312" w:hAnsi="黑体" w:eastAsia="仿宋_GB2312"/>
          <w:color w:val="auto"/>
          <w:sz w:val="32"/>
          <w:szCs w:val="32"/>
          <w:lang w:val="en-US" w:eastAsia="zh-CN"/>
        </w:rPr>
        <w:t>2374187.67</w:t>
      </w:r>
      <w:r>
        <w:rPr>
          <w:rFonts w:hint="eastAsia" w:ascii="仿宋_GB2312" w:hAnsi="黑体" w:eastAsia="仿宋_GB2312"/>
          <w:color w:val="auto"/>
          <w:sz w:val="32"/>
          <w:szCs w:val="32"/>
        </w:rPr>
        <w:t>元</w:t>
      </w:r>
      <w:r>
        <w:rPr>
          <w:rFonts w:hint="eastAsia" w:ascii="仿宋_GB2312" w:hAnsi="黑体" w:eastAsia="仿宋_GB2312"/>
          <w:color w:val="000000"/>
          <w:sz w:val="32"/>
          <w:szCs w:val="32"/>
        </w:rPr>
        <w:t>，</w:t>
      </w:r>
      <w:r>
        <w:rPr>
          <w:rFonts w:hint="eastAsia" w:ascii="仿宋_GB2312" w:hAnsi="仿宋" w:eastAsia="仿宋_GB2312"/>
          <w:sz w:val="32"/>
          <w:szCs w:val="32"/>
        </w:rPr>
        <w:t>均为一般公共预算财政拨款收入，单位无上级补助收入、事业收入、经营收入等其他性质的经费收入。</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（二）部门财政资金支出情况</w:t>
      </w:r>
    </w:p>
    <w:p>
      <w:pPr>
        <w:widowControl/>
        <w:adjustRightInd w:val="0"/>
        <w:snapToGrid w:val="0"/>
        <w:spacing w:line="576" w:lineRule="exact"/>
        <w:ind w:firstLine="640" w:firstLineChars="200"/>
        <w:jc w:val="left"/>
        <w:rPr>
          <w:rFonts w:hint="eastAsia" w:ascii="仿宋_GB2312" w:eastAsia="仿宋_GB2312"/>
          <w:color w:val="auto"/>
          <w:sz w:val="32"/>
          <w:szCs w:val="32"/>
        </w:rPr>
      </w:pPr>
      <w:r>
        <w:rPr>
          <w:rFonts w:hint="eastAsia" w:ascii="仿宋_GB2312" w:hAnsi="宋体" w:eastAsia="仿宋_GB2312" w:cs="宋体"/>
          <w:color w:val="000000"/>
          <w:kern w:val="0"/>
          <w:sz w:val="32"/>
          <w:szCs w:val="32"/>
          <w:shd w:val="clear" w:color="auto" w:fill="FFFFFF"/>
          <w:lang w:val="zh-CN"/>
        </w:rPr>
        <w:t>2022年单位财政资金支出决</w:t>
      </w:r>
      <w:r>
        <w:rPr>
          <w:rFonts w:hint="eastAsia" w:ascii="仿宋_GB2312" w:hAnsi="宋体" w:eastAsia="仿宋_GB2312" w:cs="宋体"/>
          <w:color w:val="auto"/>
          <w:kern w:val="0"/>
          <w:sz w:val="32"/>
          <w:szCs w:val="32"/>
          <w:shd w:val="clear" w:color="auto" w:fill="FFFFFF"/>
          <w:lang w:val="zh-CN"/>
        </w:rPr>
        <w:t>算数为</w:t>
      </w:r>
      <w:r>
        <w:rPr>
          <w:rFonts w:hint="eastAsia" w:ascii="仿宋_GB2312" w:hAnsi="黑体" w:eastAsia="仿宋_GB2312"/>
          <w:color w:val="auto"/>
          <w:sz w:val="32"/>
          <w:szCs w:val="32"/>
          <w:lang w:val="en-US" w:eastAsia="zh-CN"/>
        </w:rPr>
        <w:t>2374187.67</w:t>
      </w:r>
      <w:r>
        <w:rPr>
          <w:rFonts w:hint="eastAsia" w:ascii="仿宋_GB2312" w:hAnsi="黑体" w:eastAsia="仿宋_GB2312"/>
          <w:color w:val="auto"/>
          <w:sz w:val="32"/>
          <w:szCs w:val="32"/>
        </w:rPr>
        <w:t>元，均为财政补助支出，</w:t>
      </w:r>
      <w:r>
        <w:rPr>
          <w:rFonts w:hint="eastAsia" w:ascii="仿宋_GB2312" w:hAnsi="仿宋" w:eastAsia="仿宋_GB2312"/>
          <w:color w:val="auto"/>
          <w:sz w:val="32"/>
          <w:szCs w:val="32"/>
        </w:rPr>
        <w:t>其中：社会保障和就业支出</w:t>
      </w:r>
      <w:r>
        <w:rPr>
          <w:rFonts w:hint="eastAsia" w:ascii="仿宋_GB2312" w:hAnsi="仿宋" w:eastAsia="仿宋_GB2312"/>
          <w:color w:val="auto"/>
          <w:sz w:val="32"/>
          <w:szCs w:val="32"/>
          <w:lang w:val="en-US" w:eastAsia="zh-CN"/>
        </w:rPr>
        <w:t>2062616.34</w:t>
      </w:r>
      <w:r>
        <w:rPr>
          <w:rFonts w:hint="eastAsia" w:ascii="仿宋_GB2312" w:hAnsi="仿宋" w:eastAsia="仿宋_GB2312"/>
          <w:color w:val="auto"/>
          <w:sz w:val="32"/>
          <w:szCs w:val="32"/>
        </w:rPr>
        <w:t>元，</w:t>
      </w:r>
      <w:r>
        <w:rPr>
          <w:rFonts w:hint="eastAsia" w:ascii="仿宋_GB2312" w:eastAsia="仿宋_GB2312"/>
          <w:color w:val="auto"/>
          <w:sz w:val="32"/>
          <w:szCs w:val="32"/>
        </w:rPr>
        <w:t>主要用于本单位人员工资、照规定标准为职工缴纳的机关事业单位养老保险和职业年金、保障日常运转以及为完成特定行政工作任务和事业发展目标而安排的年度项目支出；</w:t>
      </w:r>
      <w:r>
        <w:rPr>
          <w:rFonts w:hint="eastAsia" w:ascii="仿宋_GB2312" w:hAnsi="仿宋" w:eastAsia="仿宋_GB2312"/>
          <w:color w:val="auto"/>
          <w:sz w:val="32"/>
          <w:szCs w:val="32"/>
        </w:rPr>
        <w:t>医疗卫生与计划生育支出</w:t>
      </w:r>
      <w:r>
        <w:rPr>
          <w:rFonts w:hint="eastAsia" w:ascii="仿宋_GB2312" w:hAnsi="仿宋" w:eastAsia="仿宋_GB2312"/>
          <w:color w:val="auto"/>
          <w:sz w:val="32"/>
          <w:szCs w:val="32"/>
          <w:lang w:val="en-US" w:eastAsia="zh-CN"/>
        </w:rPr>
        <w:t>123825.33</w:t>
      </w:r>
      <w:r>
        <w:rPr>
          <w:rFonts w:hint="eastAsia" w:ascii="仿宋_GB2312" w:hAnsi="仿宋" w:eastAsia="仿宋_GB2312"/>
          <w:color w:val="auto"/>
          <w:sz w:val="32"/>
          <w:szCs w:val="32"/>
        </w:rPr>
        <w:t>元，</w:t>
      </w:r>
      <w:r>
        <w:rPr>
          <w:rFonts w:hint="eastAsia" w:ascii="仿宋_GB2312" w:eastAsia="仿宋_GB2312"/>
          <w:color w:val="auto"/>
          <w:sz w:val="32"/>
          <w:szCs w:val="32"/>
        </w:rPr>
        <w:t>主要用于事业单位按照规定标准为职工缴纳的基本医疗保险及公务员医疗补助等支出；</w:t>
      </w:r>
      <w:r>
        <w:rPr>
          <w:rFonts w:hint="eastAsia" w:ascii="仿宋_GB2312" w:hAnsi="仿宋" w:eastAsia="仿宋_GB2312"/>
          <w:color w:val="auto"/>
          <w:sz w:val="32"/>
          <w:szCs w:val="32"/>
        </w:rPr>
        <w:t>住房保障支出</w:t>
      </w:r>
      <w:r>
        <w:rPr>
          <w:rFonts w:hint="eastAsia" w:ascii="仿宋_GB2312" w:hAnsi="仿宋" w:eastAsia="仿宋_GB2312"/>
          <w:color w:val="auto"/>
          <w:sz w:val="32"/>
          <w:szCs w:val="32"/>
          <w:lang w:val="en-US" w:eastAsia="zh-CN"/>
        </w:rPr>
        <w:t>179346</w:t>
      </w:r>
      <w:r>
        <w:rPr>
          <w:rFonts w:hint="eastAsia" w:ascii="仿宋_GB2312" w:hAnsi="仿宋" w:eastAsia="仿宋_GB2312"/>
          <w:color w:val="auto"/>
          <w:sz w:val="32"/>
          <w:szCs w:val="32"/>
        </w:rPr>
        <w:t>元，</w:t>
      </w:r>
      <w:r>
        <w:rPr>
          <w:rFonts w:hint="eastAsia" w:ascii="仿宋_GB2312" w:eastAsia="仿宋_GB2312"/>
          <w:color w:val="auto"/>
          <w:sz w:val="32"/>
          <w:szCs w:val="32"/>
        </w:rPr>
        <w:t>用于机关及下属事业单位按照规定标准为职工缴纳住房公积金等支出</w:t>
      </w:r>
      <w:r>
        <w:rPr>
          <w:rFonts w:hint="eastAsia" w:ascii="仿宋_GB2312" w:eastAsia="仿宋_GB2312"/>
          <w:color w:val="auto"/>
          <w:sz w:val="32"/>
          <w:szCs w:val="32"/>
          <w:lang w:eastAsia="zh-CN"/>
        </w:rPr>
        <w:t>；</w:t>
      </w:r>
      <w:r>
        <w:rPr>
          <w:rFonts w:hint="eastAsia" w:ascii="仿宋_GB2312" w:eastAsia="仿宋_GB2312"/>
          <w:color w:val="auto"/>
          <w:sz w:val="32"/>
          <w:szCs w:val="32"/>
        </w:rPr>
        <w:t>农林水支出8400，用于驻村工作队员生活及乡镇临岗补贴。</w:t>
      </w:r>
    </w:p>
    <w:p>
      <w:pPr>
        <w:keepNext w:val="0"/>
        <w:keepLines w:val="0"/>
        <w:pageBreakBefore w:val="0"/>
        <w:widowControl/>
        <w:kinsoku/>
        <w:wordWrap/>
        <w:overflowPunct/>
        <w:topLinePunct w:val="0"/>
        <w:autoSpaceDE/>
        <w:autoSpaceDN/>
        <w:bidi w:val="0"/>
        <w:adjustRightInd w:val="0"/>
        <w:snapToGrid w:val="0"/>
        <w:spacing w:line="576" w:lineRule="exact"/>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w:t>
      </w:r>
      <w:r>
        <w:rPr>
          <w:rFonts w:hint="eastAsia" w:ascii="黑体" w:hAnsi="黑体" w:eastAsia="黑体" w:cs="宋体"/>
          <w:color w:val="000000"/>
          <w:kern w:val="0"/>
          <w:sz w:val="32"/>
          <w:szCs w:val="32"/>
          <w:shd w:val="clear" w:color="auto" w:fill="FFFFFF"/>
          <w:lang w:eastAsia="zh-CN"/>
        </w:rPr>
        <w:t>整体预算绩效管理情况</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黑体" w:eastAsia="仿宋_GB2312"/>
          <w:color w:val="auto"/>
          <w:sz w:val="32"/>
          <w:szCs w:val="32"/>
          <w:lang w:val="en-US" w:eastAsia="zh-CN"/>
        </w:rPr>
      </w:pPr>
      <w:r>
        <w:rPr>
          <w:rFonts w:hint="eastAsia" w:ascii="仿宋_GB2312" w:hAnsi="黑体" w:eastAsia="仿宋_GB2312"/>
          <w:b w:val="0"/>
          <w:bCs/>
          <w:color w:val="auto"/>
          <w:sz w:val="32"/>
          <w:szCs w:val="32"/>
          <w:lang w:val="zh-CN" w:eastAsia="zh-CN"/>
        </w:rPr>
        <w:t>本单位绩效目标的制定均为财政一般公共预算，不存在项目，预算的绩效主要是运转类的财政资金，预算</w:t>
      </w:r>
      <w:r>
        <w:rPr>
          <w:rFonts w:hint="eastAsia" w:ascii="仿宋_GB2312" w:hAnsi="黑体" w:eastAsia="仿宋_GB2312"/>
          <w:b w:val="0"/>
          <w:bCs/>
          <w:color w:val="auto"/>
          <w:sz w:val="32"/>
          <w:szCs w:val="32"/>
          <w:lang w:val="en-US" w:eastAsia="zh-CN"/>
        </w:rPr>
        <w:t>收入共计2374187.67元，支出2374187.67元，无结余资金，预算执行进度为100%，预算均按序时进度</w:t>
      </w:r>
      <w:r>
        <w:rPr>
          <w:rFonts w:hint="eastAsia" w:ascii="仿宋_GB2312" w:hAnsi="黑体" w:eastAsia="仿宋_GB2312"/>
          <w:color w:val="auto"/>
          <w:sz w:val="32"/>
          <w:szCs w:val="32"/>
          <w:lang w:val="en-US" w:eastAsia="zh-CN"/>
        </w:rPr>
        <w:t>全面完成，在整个保工作运转过程中均严格财经纪律、严格执行财务制度，在资金支出和管理中不存在违规违纪行为发生。</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（二）结果应用情况</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通过开展绩效自评</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（三）部门财政资金收支结转情况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仿宋" w:eastAsia="仿宋_GB2312"/>
          <w:sz w:val="32"/>
          <w:szCs w:val="32"/>
        </w:rPr>
      </w:pPr>
      <w:r>
        <w:rPr>
          <w:rFonts w:hint="eastAsia" w:ascii="仿宋_GB2312" w:hAnsi="宋体" w:eastAsia="仿宋_GB2312" w:cs="宋体"/>
          <w:color w:val="000000"/>
          <w:kern w:val="0"/>
          <w:sz w:val="32"/>
          <w:szCs w:val="32"/>
          <w:shd w:val="clear" w:color="auto" w:fill="FFFFFF"/>
          <w:lang w:val="zh-CN"/>
        </w:rPr>
        <w:t>2022年财政补助收入结转</w:t>
      </w:r>
      <w:r>
        <w:rPr>
          <w:rFonts w:hint="eastAsia" w:ascii="仿宋_GB2312" w:hAnsi="黑体" w:eastAsia="仿宋_GB2312"/>
          <w:color w:val="auto"/>
          <w:sz w:val="32"/>
          <w:szCs w:val="32"/>
          <w:lang w:val="en-US" w:eastAsia="zh-CN"/>
        </w:rPr>
        <w:t>2374187.67</w:t>
      </w:r>
      <w:r>
        <w:rPr>
          <w:rFonts w:hint="eastAsia" w:ascii="仿宋_GB2312" w:hAnsi="仿宋" w:eastAsia="仿宋_GB2312"/>
          <w:sz w:val="32"/>
          <w:szCs w:val="32"/>
        </w:rPr>
        <w:t>元，财政补助基本收入结转</w:t>
      </w:r>
      <w:r>
        <w:rPr>
          <w:rFonts w:hint="eastAsia" w:ascii="仿宋_GB2312" w:hAnsi="仿宋" w:eastAsia="仿宋_GB2312"/>
          <w:sz w:val="32"/>
          <w:szCs w:val="32"/>
          <w:lang w:eastAsia="zh-CN"/>
        </w:rPr>
        <w:t>。</w:t>
      </w: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22</w:t>
      </w:r>
      <w:r>
        <w:rPr>
          <w:rFonts w:hint="eastAsia" w:ascii="仿宋_GB2312" w:hAnsi="宋体" w:eastAsia="仿宋_GB2312" w:cs="宋体"/>
          <w:color w:val="000000"/>
          <w:kern w:val="0"/>
          <w:sz w:val="32"/>
          <w:szCs w:val="32"/>
          <w:shd w:val="clear" w:color="auto" w:fill="FFFFFF"/>
          <w:lang w:val="zh-CN"/>
        </w:rPr>
        <w:t>年财政补助支出结转</w:t>
      </w:r>
      <w:r>
        <w:rPr>
          <w:rFonts w:hint="eastAsia" w:ascii="仿宋_GB2312" w:hAnsi="黑体" w:eastAsia="仿宋_GB2312"/>
          <w:color w:val="auto"/>
          <w:sz w:val="32"/>
          <w:szCs w:val="32"/>
          <w:lang w:val="en-US" w:eastAsia="zh-CN"/>
        </w:rPr>
        <w:t>2374187.67</w:t>
      </w:r>
      <w:r>
        <w:rPr>
          <w:rFonts w:hint="eastAsia" w:ascii="仿宋_GB2312" w:hAnsi="仿宋" w:eastAsia="仿宋_GB2312"/>
          <w:sz w:val="32"/>
          <w:szCs w:val="32"/>
        </w:rPr>
        <w:t>元，</w:t>
      </w:r>
      <w:r>
        <w:rPr>
          <w:rFonts w:hint="eastAsia" w:ascii="仿宋_GB2312" w:hAnsi="仿宋" w:eastAsia="仿宋_GB2312"/>
          <w:sz w:val="32"/>
          <w:szCs w:val="32"/>
          <w:lang w:eastAsia="zh-CN"/>
        </w:rPr>
        <w:t>均为</w:t>
      </w:r>
      <w:r>
        <w:rPr>
          <w:rFonts w:hint="eastAsia" w:ascii="仿宋_GB2312" w:hAnsi="仿宋" w:eastAsia="仿宋_GB2312"/>
          <w:sz w:val="32"/>
          <w:szCs w:val="32"/>
        </w:rPr>
        <w:t>财政补助基本支出结转</w:t>
      </w:r>
      <w:r>
        <w:rPr>
          <w:rFonts w:hint="eastAsia" w:ascii="仿宋_GB2312" w:hAnsi="仿宋" w:eastAsia="仿宋_GB2312"/>
          <w:sz w:val="32"/>
          <w:szCs w:val="32"/>
          <w:lang w:eastAsia="zh-CN"/>
        </w:rPr>
        <w:t>。</w:t>
      </w:r>
      <w:r>
        <w:rPr>
          <w:rFonts w:hint="eastAsia" w:ascii="仿宋_GB2312" w:hAnsi="仿宋" w:eastAsia="仿宋_GB2312"/>
          <w:sz w:val="32"/>
          <w:szCs w:val="32"/>
        </w:rPr>
        <w:t>由于收支结转金额一致，</w:t>
      </w:r>
      <w:r>
        <w:rPr>
          <w:rFonts w:hint="eastAsia" w:ascii="仿宋_GB2312" w:hAnsi="仿宋" w:eastAsia="仿宋_GB2312"/>
          <w:sz w:val="32"/>
          <w:szCs w:val="32"/>
          <w:lang w:eastAsia="zh-CN"/>
        </w:rPr>
        <w:t>2022</w:t>
      </w:r>
      <w:r>
        <w:rPr>
          <w:rFonts w:hint="eastAsia" w:ascii="仿宋_GB2312" w:hAnsi="仿宋" w:eastAsia="仿宋_GB2312"/>
          <w:sz w:val="32"/>
          <w:szCs w:val="32"/>
        </w:rPr>
        <w:t>年单位无资金结余情况。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三、部门财政支出管理情况</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（一）预决算编制情况</w:t>
      </w:r>
    </w:p>
    <w:p>
      <w:pPr>
        <w:pStyle w:val="39"/>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1.预算编制情况</w:t>
      </w:r>
    </w:p>
    <w:p>
      <w:pPr>
        <w:pStyle w:val="39"/>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单位严格按照县财政部门预算编制通知和有关文件要求，秉承强化规划约束、坚持限额控制、实时滚动管理、强化绩效管理的基本编制原则在县财政部门规定的时间内于部门预算管理系统中以上年度</w:t>
      </w:r>
      <w:r>
        <w:rPr>
          <w:rFonts w:hint="eastAsia" w:ascii="仿宋_GB2312" w:hAnsi="黑体" w:eastAsia="仿宋_GB2312"/>
          <w:color w:val="000000"/>
          <w:sz w:val="32"/>
          <w:szCs w:val="32"/>
          <w:lang w:val="en-US" w:eastAsia="zh-CN"/>
        </w:rPr>
        <w:t>10</w:t>
      </w:r>
      <w:r>
        <w:rPr>
          <w:rFonts w:hint="eastAsia" w:ascii="仿宋_GB2312" w:hAnsi="黑体" w:eastAsia="仿宋_GB2312"/>
          <w:color w:val="000000"/>
          <w:sz w:val="32"/>
          <w:szCs w:val="32"/>
        </w:rPr>
        <w:t>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pStyle w:val="39"/>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2.决算编制情况</w:t>
      </w:r>
    </w:p>
    <w:p>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严格按照县级部门决算编制通知和有关文件要求，在部门决算报表软件中按时按质完成报送及决算编制等工作，并提交部门决算编制说明及决算分析报告，县财政</w:t>
      </w:r>
      <w:r>
        <w:rPr>
          <w:rFonts w:hint="eastAsia" w:ascii="仿宋_GB2312" w:hAnsi="宋体" w:eastAsia="仿宋_GB2312"/>
          <w:color w:val="000000"/>
          <w:sz w:val="32"/>
          <w:szCs w:val="32"/>
          <w:shd w:val="clear" w:color="auto" w:fill="FFFFFF"/>
          <w:lang w:eastAsia="zh-CN"/>
        </w:rPr>
        <w:t>中心</w:t>
      </w:r>
      <w:r>
        <w:rPr>
          <w:rFonts w:hint="eastAsia" w:ascii="仿宋_GB2312" w:hAnsi="宋体" w:eastAsia="仿宋_GB2312"/>
          <w:color w:val="000000"/>
          <w:sz w:val="32"/>
          <w:szCs w:val="32"/>
          <w:shd w:val="clear" w:color="auto" w:fill="FFFFFF"/>
        </w:rPr>
        <w:t>根据单位提交的决算编制数据进行审核。决算数据全面真实地反映了本单位全年财政资金收支及使用情况，不存在应编未编、错误列编、重现调整决算资金总额度的现象。</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（二）执行管理情况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黑体" w:eastAsia="仿宋_GB2312" w:cs="宋体"/>
          <w:color w:val="000000"/>
          <w:kern w:val="0"/>
          <w:sz w:val="32"/>
          <w:szCs w:val="32"/>
          <w:shd w:val="clear" w:color="auto" w:fill="FFFFFF"/>
        </w:rPr>
      </w:pPr>
      <w:r>
        <w:rPr>
          <w:rFonts w:hint="eastAsia" w:ascii="仿宋_GB2312" w:hAnsi="黑体" w:eastAsia="仿宋_GB2312" w:cs="宋体"/>
          <w:color w:val="000000"/>
          <w:kern w:val="0"/>
          <w:sz w:val="32"/>
          <w:szCs w:val="32"/>
          <w:shd w:val="clear" w:color="auto" w:fill="FFFFFF"/>
        </w:rPr>
        <w:t>（1）</w:t>
      </w:r>
      <w:r>
        <w:rPr>
          <w:rFonts w:hint="eastAsia" w:ascii="仿宋_GB2312" w:hAnsi="黑体" w:eastAsia="仿宋_GB2312" w:cs="宋体"/>
          <w:color w:val="000000"/>
          <w:kern w:val="0"/>
          <w:sz w:val="32"/>
          <w:szCs w:val="32"/>
          <w:shd w:val="clear" w:color="auto" w:fill="FFFFFF"/>
          <w:lang w:eastAsia="zh-CN"/>
        </w:rPr>
        <w:t>2022</w:t>
      </w:r>
      <w:r>
        <w:rPr>
          <w:rFonts w:hint="eastAsia" w:ascii="仿宋_GB2312" w:hAnsi="黑体" w:eastAsia="仿宋_GB2312" w:cs="宋体"/>
          <w:color w:val="000000"/>
          <w:kern w:val="0"/>
          <w:sz w:val="32"/>
          <w:szCs w:val="32"/>
          <w:shd w:val="clear" w:color="auto" w:fill="FFFFFF"/>
        </w:rPr>
        <w:t>年部门预算执行情况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年收入预算执行数（收入决算数）为</w:t>
      </w:r>
      <w:r>
        <w:rPr>
          <w:rFonts w:hint="eastAsia" w:ascii="仿宋_GB2312" w:hAnsi="黑体" w:eastAsia="仿宋_GB2312"/>
          <w:color w:val="auto"/>
          <w:sz w:val="32"/>
          <w:szCs w:val="32"/>
          <w:lang w:val="en-US" w:eastAsia="zh-CN"/>
        </w:rPr>
        <w:t>2374187.67</w:t>
      </w:r>
      <w:r>
        <w:rPr>
          <w:rFonts w:hint="eastAsia" w:ascii="仿宋_GB2312" w:hAnsi="仿宋" w:eastAsia="仿宋_GB2312" w:cs="仿宋"/>
          <w:sz w:val="32"/>
          <w:szCs w:val="32"/>
        </w:rPr>
        <w:t>元，预算执行进度100%，</w:t>
      </w:r>
      <w:r>
        <w:rPr>
          <w:rFonts w:hint="eastAsia" w:ascii="仿宋_GB2312" w:hAnsi="仿宋" w:eastAsia="仿宋_GB2312" w:cs="仿宋"/>
          <w:color w:val="auto"/>
          <w:sz w:val="32"/>
          <w:szCs w:val="32"/>
        </w:rPr>
        <w:t>较20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rPr>
        <w:t>年同期数</w:t>
      </w:r>
      <w:r>
        <w:rPr>
          <w:rFonts w:hint="eastAsia" w:ascii="仿宋_GB2312" w:hAnsi="黑体" w:eastAsia="仿宋_GB2312"/>
          <w:color w:val="auto"/>
          <w:sz w:val="32"/>
          <w:szCs w:val="32"/>
          <w:lang w:val="en-US" w:eastAsia="zh-CN"/>
        </w:rPr>
        <w:t>2390756.36</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下降</w:t>
      </w:r>
      <w:r>
        <w:rPr>
          <w:rFonts w:hint="eastAsia" w:ascii="仿宋_GB2312" w:hAnsi="仿宋" w:eastAsia="仿宋_GB2312" w:cs="仿宋"/>
          <w:color w:val="auto"/>
          <w:sz w:val="32"/>
          <w:szCs w:val="32"/>
          <w:lang w:val="en-US" w:eastAsia="zh-CN"/>
        </w:rPr>
        <w:t>0.6</w:t>
      </w:r>
      <w:r>
        <w:rPr>
          <w:rFonts w:hint="eastAsia" w:ascii="仿宋_GB2312" w:hAnsi="仿宋" w:eastAsia="仿宋_GB2312" w:cs="仿宋"/>
          <w:sz w:val="32"/>
          <w:szCs w:val="32"/>
        </w:rPr>
        <w:t>%</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下降</w:t>
      </w:r>
      <w:r>
        <w:rPr>
          <w:rFonts w:hint="eastAsia" w:ascii="仿宋_GB2312" w:hAnsi="仿宋" w:eastAsia="仿宋_GB2312" w:cs="仿宋"/>
          <w:color w:val="auto"/>
          <w:sz w:val="32"/>
          <w:szCs w:val="32"/>
        </w:rPr>
        <w:t>原因为：</w:t>
      </w:r>
      <w:r>
        <w:rPr>
          <w:rFonts w:hint="eastAsia" w:ascii="仿宋_GB2312" w:hAnsi="仿宋" w:eastAsia="仿宋_GB2312" w:cs="仿宋"/>
          <w:color w:val="auto"/>
          <w:sz w:val="32"/>
          <w:szCs w:val="32"/>
          <w:lang w:val="en-US" w:eastAsia="zh-CN"/>
        </w:rPr>
        <w:t>2022年度公用经费支出减少，</w:t>
      </w:r>
      <w:r>
        <w:rPr>
          <w:rFonts w:hint="eastAsia" w:ascii="仿宋_GB2312" w:hAnsi="仿宋" w:eastAsia="仿宋_GB2312" w:cs="仿宋"/>
          <w:color w:val="auto"/>
          <w:sz w:val="32"/>
          <w:szCs w:val="32"/>
        </w:rPr>
        <w:t>单位在日常公用经费的使用及管理过程中严格贯彻落实中央八项规定精神，厉行节约，压减一般性支出，减少不必要的开支。</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 w:eastAsia="仿宋_GB2312" w:cs="仿宋"/>
          <w:color w:val="FF0000"/>
          <w:sz w:val="32"/>
          <w:szCs w:val="32"/>
        </w:rPr>
      </w:pP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支出</w:t>
      </w:r>
      <w:r>
        <w:rPr>
          <w:rFonts w:hint="eastAsia" w:ascii="仿宋_GB2312" w:hAnsi="仿宋" w:eastAsia="仿宋_GB2312" w:cs="仿宋"/>
          <w:sz w:val="32"/>
          <w:szCs w:val="32"/>
        </w:rPr>
        <w:t>预算执行数（</w:t>
      </w:r>
      <w:r>
        <w:rPr>
          <w:rFonts w:hint="eastAsia" w:ascii="仿宋_GB2312" w:hAnsi="仿宋" w:eastAsia="仿宋_GB2312" w:cs="仿宋"/>
          <w:sz w:val="32"/>
          <w:szCs w:val="32"/>
          <w:lang w:eastAsia="zh-CN"/>
        </w:rPr>
        <w:t>支出</w:t>
      </w:r>
      <w:r>
        <w:rPr>
          <w:rFonts w:hint="eastAsia" w:ascii="仿宋_GB2312" w:hAnsi="仿宋" w:eastAsia="仿宋_GB2312" w:cs="仿宋"/>
          <w:sz w:val="32"/>
          <w:szCs w:val="32"/>
        </w:rPr>
        <w:t>决算数）为</w:t>
      </w:r>
      <w:r>
        <w:rPr>
          <w:rFonts w:hint="eastAsia" w:ascii="仿宋_GB2312" w:hAnsi="黑体" w:eastAsia="仿宋_GB2312"/>
          <w:color w:val="auto"/>
          <w:sz w:val="32"/>
          <w:szCs w:val="32"/>
          <w:lang w:val="en-US" w:eastAsia="zh-CN"/>
        </w:rPr>
        <w:t>2374187.67</w:t>
      </w:r>
      <w:r>
        <w:rPr>
          <w:rFonts w:hint="eastAsia" w:ascii="仿宋_GB2312" w:hAnsi="仿宋" w:eastAsia="仿宋_GB2312" w:cs="仿宋"/>
          <w:sz w:val="32"/>
          <w:szCs w:val="32"/>
        </w:rPr>
        <w:t>元，预算执行进度100%，较</w:t>
      </w:r>
      <w:r>
        <w:rPr>
          <w:rFonts w:hint="eastAsia" w:ascii="仿宋_GB2312" w:hAnsi="仿宋" w:eastAsia="仿宋_GB2312" w:cs="仿宋"/>
          <w:sz w:val="32"/>
          <w:szCs w:val="32"/>
          <w:lang w:val="en-US" w:eastAsia="zh-CN"/>
        </w:rPr>
        <w:t>2021</w:t>
      </w:r>
      <w:r>
        <w:rPr>
          <w:rFonts w:hint="eastAsia" w:ascii="仿宋_GB2312" w:hAnsi="仿宋" w:eastAsia="仿宋_GB2312" w:cs="仿宋"/>
          <w:sz w:val="32"/>
          <w:szCs w:val="32"/>
        </w:rPr>
        <w:t>年同期数</w:t>
      </w:r>
      <w:r>
        <w:rPr>
          <w:rFonts w:hint="eastAsia" w:ascii="仿宋_GB2312" w:hAnsi="黑体" w:eastAsia="仿宋_GB2312"/>
          <w:color w:val="auto"/>
          <w:sz w:val="32"/>
          <w:szCs w:val="32"/>
          <w:lang w:val="en-US" w:eastAsia="zh-CN"/>
        </w:rPr>
        <w:t>2390756.36</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eastAsia="zh-CN"/>
        </w:rPr>
        <w:t>下降</w:t>
      </w:r>
      <w:r>
        <w:rPr>
          <w:rFonts w:hint="eastAsia" w:ascii="仿宋_GB2312" w:hAnsi="仿宋" w:eastAsia="仿宋_GB2312" w:cs="仿宋"/>
          <w:color w:val="auto"/>
          <w:sz w:val="32"/>
          <w:szCs w:val="32"/>
          <w:lang w:val="en-US" w:eastAsia="zh-CN"/>
        </w:rPr>
        <w:t>0.6</w:t>
      </w:r>
      <w:r>
        <w:rPr>
          <w:rFonts w:hint="eastAsia" w:ascii="仿宋_GB2312" w:hAnsi="仿宋" w:eastAsia="仿宋_GB2312" w:cs="仿宋"/>
          <w:color w:val="auto"/>
          <w:sz w:val="32"/>
          <w:szCs w:val="32"/>
        </w:rPr>
        <w:t>%。（1）人员经费支出</w:t>
      </w:r>
      <w:r>
        <w:rPr>
          <w:rFonts w:hint="eastAsia" w:ascii="仿宋_GB2312" w:hAnsi="仿宋" w:eastAsia="仿宋_GB2312" w:cs="仿宋"/>
          <w:color w:val="auto"/>
          <w:sz w:val="32"/>
          <w:szCs w:val="32"/>
          <w:lang w:val="en-US" w:eastAsia="zh-CN"/>
        </w:rPr>
        <w:t>2287820.01</w:t>
      </w:r>
      <w:r>
        <w:rPr>
          <w:rFonts w:hint="eastAsia" w:ascii="仿宋_GB2312" w:hAnsi="仿宋" w:eastAsia="仿宋_GB2312" w:cs="仿宋"/>
          <w:color w:val="auto"/>
          <w:sz w:val="32"/>
          <w:szCs w:val="32"/>
        </w:rPr>
        <w:t>元，较上年同比增长</w:t>
      </w:r>
      <w:r>
        <w:rPr>
          <w:rFonts w:hint="eastAsia" w:ascii="仿宋_GB2312" w:hAnsi="仿宋" w:eastAsia="仿宋_GB2312" w:cs="仿宋"/>
          <w:color w:val="auto"/>
          <w:sz w:val="32"/>
          <w:szCs w:val="32"/>
          <w:lang w:val="en-US" w:eastAsia="zh-CN"/>
        </w:rPr>
        <w:t>0.4</w:t>
      </w:r>
      <w:r>
        <w:rPr>
          <w:rFonts w:hint="eastAsia" w:ascii="仿宋_GB2312" w:hAnsi="仿宋" w:eastAsia="仿宋_GB2312" w:cs="仿宋"/>
          <w:color w:val="auto"/>
          <w:sz w:val="32"/>
          <w:szCs w:val="32"/>
        </w:rPr>
        <w:t>%。因</w:t>
      </w:r>
      <w:r>
        <w:rPr>
          <w:rFonts w:hint="eastAsia" w:ascii="仿宋_GB2312" w:hAnsi="仿宋" w:eastAsia="仿宋_GB2312" w:cs="仿宋"/>
          <w:color w:val="auto"/>
          <w:sz w:val="32"/>
          <w:szCs w:val="32"/>
          <w:lang w:eastAsia="zh-CN"/>
        </w:rPr>
        <w:t>2022</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eastAsia="zh-CN"/>
        </w:rPr>
        <w:t>职工</w:t>
      </w:r>
      <w:r>
        <w:rPr>
          <w:rFonts w:hint="eastAsia" w:ascii="仿宋_GB2312" w:hAnsi="仿宋" w:eastAsia="仿宋_GB2312" w:cs="仿宋"/>
          <w:color w:val="auto"/>
          <w:sz w:val="32"/>
          <w:szCs w:val="32"/>
        </w:rPr>
        <w:t>基本工资标准</w:t>
      </w:r>
      <w:r>
        <w:rPr>
          <w:rFonts w:hint="eastAsia" w:ascii="仿宋_GB2312" w:hAnsi="仿宋" w:eastAsia="仿宋_GB2312" w:cs="仿宋"/>
          <w:color w:val="auto"/>
          <w:sz w:val="32"/>
          <w:szCs w:val="32"/>
          <w:lang w:eastAsia="zh-CN"/>
        </w:rPr>
        <w:t>上调，</w:t>
      </w:r>
      <w:r>
        <w:rPr>
          <w:rFonts w:hint="eastAsia" w:ascii="仿宋_GB2312" w:hAnsi="仿宋" w:eastAsia="仿宋_GB2312" w:cs="仿宋"/>
          <w:color w:val="auto"/>
          <w:sz w:val="32"/>
          <w:szCs w:val="32"/>
        </w:rPr>
        <w:t>单位缴纳部分的机关事业单位养老保险、城镇职工医疗保险、住房公积金等受职工缴费基数上涨因素影响缴纳金额逐年上涨。（2）日常公用经费支出</w:t>
      </w:r>
      <w:r>
        <w:rPr>
          <w:rFonts w:hint="eastAsia" w:ascii="仿宋_GB2312" w:hAnsi="仿宋" w:eastAsia="仿宋_GB2312" w:cs="仿宋"/>
          <w:color w:val="auto"/>
          <w:sz w:val="32"/>
          <w:szCs w:val="32"/>
          <w:lang w:val="en-US" w:eastAsia="zh-CN"/>
        </w:rPr>
        <w:t>66668.30</w:t>
      </w:r>
      <w:r>
        <w:rPr>
          <w:rFonts w:hint="eastAsia" w:ascii="仿宋_GB2312" w:hAnsi="仿宋" w:eastAsia="仿宋_GB2312" w:cs="仿宋"/>
          <w:color w:val="auto"/>
          <w:sz w:val="32"/>
          <w:szCs w:val="32"/>
        </w:rPr>
        <w:t>元，较上年同比下降</w:t>
      </w:r>
      <w:r>
        <w:rPr>
          <w:rFonts w:hint="eastAsia" w:ascii="仿宋_GB2312" w:hAnsi="仿宋" w:eastAsia="仿宋_GB2312" w:cs="仿宋"/>
          <w:color w:val="auto"/>
          <w:sz w:val="32"/>
          <w:szCs w:val="32"/>
          <w:lang w:val="en-US" w:eastAsia="zh-CN"/>
        </w:rPr>
        <w:t>29.47</w:t>
      </w:r>
      <w:r>
        <w:rPr>
          <w:rFonts w:hint="eastAsia" w:ascii="仿宋_GB2312" w:hAnsi="仿宋" w:eastAsia="仿宋_GB2312" w:cs="仿宋"/>
          <w:color w:val="auto"/>
          <w:sz w:val="32"/>
          <w:szCs w:val="32"/>
        </w:rPr>
        <w:t>%。下降原因为：单位在日常公用经费的使用及管理过程中严格贯彻落实中央八项规定精神，厉行节约，压减一般性支出，减少不必要的开支。</w:t>
      </w:r>
    </w:p>
    <w:p>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（3）“三公”经费预算执行情况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sz w:val="32"/>
          <w:shd w:val="clear" w:color="auto" w:fill="FFFFFF"/>
          <w:lang w:val="zh-CN"/>
        </w:rPr>
      </w:pPr>
      <w:r>
        <w:rPr>
          <w:rFonts w:hint="eastAsia" w:ascii="仿宋_GB2312" w:hAnsi="仿宋_GB2312" w:eastAsia="仿宋_GB2312" w:cs="仿宋_GB2312"/>
          <w:color w:val="000000"/>
          <w:sz w:val="32"/>
          <w:shd w:val="clear" w:color="auto" w:fill="FFFFFF"/>
          <w:lang w:val="zh-CN"/>
        </w:rPr>
        <w:t>20</w:t>
      </w:r>
      <w:r>
        <w:rPr>
          <w:rFonts w:hint="eastAsia" w:ascii="仿宋_GB2312" w:hAnsi="仿宋_GB2312" w:eastAsia="仿宋_GB2312" w:cs="仿宋_GB2312"/>
          <w:color w:val="000000"/>
          <w:sz w:val="32"/>
          <w:shd w:val="clear" w:color="auto" w:fill="FFFFFF"/>
        </w:rPr>
        <w:t>2</w:t>
      </w:r>
      <w:r>
        <w:rPr>
          <w:rFonts w:hint="eastAsia" w:ascii="仿宋_GB2312" w:hAnsi="仿宋_GB2312" w:cs="仿宋_GB2312"/>
          <w:color w:val="000000"/>
          <w:sz w:val="32"/>
          <w:shd w:val="clear" w:color="auto" w:fill="FFFFFF"/>
        </w:rPr>
        <w:t>2</w:t>
      </w:r>
      <w:r>
        <w:rPr>
          <w:rFonts w:hint="eastAsia" w:ascii="仿宋_GB2312" w:hAnsi="仿宋_GB2312" w:eastAsia="仿宋_GB2312" w:cs="仿宋_GB2312"/>
          <w:color w:val="000000"/>
          <w:sz w:val="32"/>
          <w:shd w:val="clear" w:color="auto" w:fill="FFFFFF"/>
          <w:lang w:val="zh-CN"/>
        </w:rPr>
        <w:t>年我单位继续认真贯彻落实中央八项规定、省委省政府十项规定及《党政机关厉行节约反对浪费条例》，加强“三公”经费和会议费、培训费管理，使其支出得到有效控制。全年“三公”经费预算支出</w:t>
      </w:r>
      <w:r>
        <w:rPr>
          <w:rFonts w:hint="eastAsia" w:ascii="仿宋_GB2312" w:hAnsi="仿宋_GB2312" w:eastAsia="仿宋_GB2312" w:cs="仿宋_GB2312"/>
          <w:color w:val="000000"/>
          <w:sz w:val="32"/>
          <w:shd w:val="clear" w:color="auto" w:fill="FFFFFF"/>
        </w:rPr>
        <w:t>336</w:t>
      </w:r>
      <w:r>
        <w:rPr>
          <w:rFonts w:hint="eastAsia" w:ascii="仿宋_GB2312" w:hAnsi="仿宋_GB2312" w:eastAsia="仿宋_GB2312" w:cs="仿宋_GB2312"/>
          <w:color w:val="000000"/>
          <w:sz w:val="32"/>
          <w:shd w:val="clear" w:color="auto" w:fill="FFFFFF"/>
          <w:lang w:val="zh-CN"/>
        </w:rPr>
        <w:t>元。上年“三公”经费支出</w:t>
      </w:r>
      <w:r>
        <w:rPr>
          <w:rFonts w:hint="eastAsia" w:ascii="仿宋_GB2312" w:hAnsi="仿宋_GB2312" w:eastAsia="仿宋_GB2312" w:cs="仿宋_GB2312"/>
          <w:color w:val="000000"/>
          <w:sz w:val="32"/>
          <w:shd w:val="clear" w:color="auto" w:fill="FFFFFF"/>
        </w:rPr>
        <w:t>1518</w:t>
      </w:r>
      <w:r>
        <w:rPr>
          <w:rFonts w:hint="eastAsia" w:ascii="仿宋_GB2312" w:hAnsi="仿宋_GB2312" w:eastAsia="仿宋_GB2312" w:cs="仿宋_GB2312"/>
          <w:color w:val="000000"/>
          <w:sz w:val="32"/>
          <w:shd w:val="clear" w:color="auto" w:fill="FFFFFF"/>
          <w:lang w:val="zh-CN"/>
        </w:rPr>
        <w:t>元，相比上年度</w:t>
      </w:r>
      <w:r>
        <w:rPr>
          <w:rFonts w:hint="eastAsia" w:ascii="仿宋_GB2312" w:hAnsi="仿宋_GB2312" w:eastAsia="仿宋_GB2312" w:cs="仿宋_GB2312"/>
          <w:color w:val="000000"/>
          <w:sz w:val="32"/>
          <w:shd w:val="clear" w:color="auto" w:fill="FFFFFF"/>
        </w:rPr>
        <w:t>减少1182</w:t>
      </w:r>
      <w:r>
        <w:rPr>
          <w:rFonts w:hint="eastAsia" w:ascii="仿宋_GB2312" w:hAnsi="仿宋_GB2312" w:eastAsia="仿宋_GB2312" w:cs="仿宋_GB2312"/>
          <w:color w:val="000000"/>
          <w:sz w:val="32"/>
          <w:shd w:val="clear" w:color="auto" w:fill="FFFFFF"/>
          <w:lang w:val="zh-CN"/>
        </w:rPr>
        <w:t>元。</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（三）综合管理情况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（1）政府采购实施计划</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单位在2022年未发生政府采购行为，为进一步加强我中心政府采购监督管理和规范政府采购行为，我中心已建立相应的政府采购制度。</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（2）资产管理</w:t>
      </w:r>
    </w:p>
    <w:p>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宋体" w:eastAsia="仿宋_GB2312" w:cs="宋体"/>
          <w:color w:val="000000"/>
          <w:sz w:val="32"/>
          <w:szCs w:val="32"/>
          <w:lang w:eastAsia="zh-CN"/>
        </w:rPr>
      </w:pPr>
      <w:r>
        <w:rPr>
          <w:rFonts w:hint="eastAsia" w:ascii="仿宋_GB2312" w:hAnsi="宋体" w:eastAsia="仿宋_GB2312" w:cs="宋体"/>
          <w:color w:val="000000"/>
          <w:sz w:val="32"/>
          <w:szCs w:val="32"/>
        </w:rPr>
        <w:t>单位所有固定资产由专人负责登记管理，办公室负责对单位固定资产实物情况进行全面管理；单位财务人员负责对固定资产账面价值进行审合统计并录入资产管理系统，对资产盘盈、盘亏、报废、清理等处置业务在获得有关部门审核批准后及时办理相应手续。通过对现有固定资产进行账物实物清查盘点，并按要求在四川省资产管理系统中准确、真实、完整地录入相关数据并上报。</w:t>
      </w:r>
      <w:r>
        <w:rPr>
          <w:rFonts w:hint="eastAsia" w:ascii="仿宋_GB2312" w:hAnsi="宋体" w:eastAsia="仿宋_GB2312" w:cs="宋体"/>
          <w:color w:val="000000"/>
          <w:sz w:val="32"/>
          <w:szCs w:val="32"/>
          <w:lang w:eastAsia="zh-CN"/>
        </w:rPr>
        <w:t>截至</w:t>
      </w:r>
      <w:r>
        <w:rPr>
          <w:rFonts w:hint="eastAsia" w:ascii="仿宋_GB2312" w:hAnsi="宋体" w:eastAsia="仿宋_GB2312" w:cs="宋体"/>
          <w:color w:val="000000"/>
          <w:sz w:val="32"/>
          <w:szCs w:val="32"/>
          <w:lang w:val="en-US" w:eastAsia="zh-CN"/>
        </w:rPr>
        <w:t>2022年6月30日</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eastAsia="zh-CN"/>
        </w:rPr>
        <w:t>单位</w:t>
      </w:r>
    </w:p>
    <w:p>
      <w:pPr>
        <w:pStyle w:val="39"/>
        <w:keepNext w:val="0"/>
        <w:keepLines w:val="0"/>
        <w:pageBreakBefore w:val="0"/>
        <w:kinsoku/>
        <w:wordWrap/>
        <w:overflowPunct/>
        <w:topLinePunct w:val="0"/>
        <w:autoSpaceDE/>
        <w:autoSpaceDN/>
        <w:bidi w:val="0"/>
        <w:spacing w:line="576" w:lineRule="exact"/>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固定资产总价值</w:t>
      </w:r>
      <w:r>
        <w:rPr>
          <w:rFonts w:hint="eastAsia" w:ascii="仿宋_GB2312" w:hAnsi="宋体" w:eastAsia="仿宋_GB2312" w:cs="宋体"/>
          <w:color w:val="000000"/>
          <w:sz w:val="32"/>
          <w:szCs w:val="32"/>
          <w:lang w:val="en-US" w:eastAsia="zh-CN"/>
        </w:rPr>
        <w:t>177330</w:t>
      </w:r>
      <w:r>
        <w:rPr>
          <w:rFonts w:hint="eastAsia" w:ascii="仿宋_GB2312" w:hAnsi="宋体" w:eastAsia="仿宋_GB2312" w:cs="宋体"/>
          <w:color w:val="000000"/>
          <w:sz w:val="32"/>
          <w:szCs w:val="32"/>
        </w:rPr>
        <w:t>元，未存在盘盈、盘亏、损毁的现象。</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(3)内控制度管理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黑体" w:eastAsia="仿宋_GB2312" w:cs="宋体"/>
          <w:color w:val="000000"/>
          <w:kern w:val="0"/>
          <w:sz w:val="32"/>
          <w:szCs w:val="32"/>
          <w:shd w:val="clear" w:color="auto" w:fill="FFFFFF"/>
        </w:rPr>
      </w:pPr>
      <w:r>
        <w:rPr>
          <w:rFonts w:hint="eastAsia" w:ascii="仿宋_GB2312" w:hAnsi="黑体" w:eastAsia="仿宋_GB2312" w:cs="宋体"/>
          <w:color w:val="000000"/>
          <w:kern w:val="0"/>
          <w:sz w:val="32"/>
          <w:szCs w:val="32"/>
          <w:shd w:val="clear" w:color="auto" w:fill="FFFFFF"/>
        </w:rPr>
        <w:t>我</w:t>
      </w:r>
      <w:r>
        <w:rPr>
          <w:rFonts w:hint="eastAsia" w:ascii="仿宋_GB2312" w:hAnsi="黑体" w:eastAsia="仿宋_GB2312" w:cs="宋体"/>
          <w:color w:val="000000"/>
          <w:kern w:val="0"/>
          <w:sz w:val="32"/>
          <w:szCs w:val="32"/>
          <w:shd w:val="clear" w:color="auto" w:fill="FFFFFF"/>
          <w:lang w:eastAsia="zh-CN"/>
        </w:rPr>
        <w:t>单位</w:t>
      </w:r>
      <w:r>
        <w:rPr>
          <w:rFonts w:hint="eastAsia" w:ascii="仿宋_GB2312" w:hAnsi="黑体" w:eastAsia="仿宋_GB2312" w:cs="宋体"/>
          <w:color w:val="000000"/>
          <w:kern w:val="0"/>
          <w:sz w:val="32"/>
          <w:szCs w:val="32"/>
          <w:shd w:val="clear" w:color="auto" w:fill="FFFFFF"/>
        </w:rPr>
        <w:t>高度重视内部控制制度建设工作，切实加强对内部控制制度建设的组织领导，切实强化内部控制制度的建设工作。自2014年《行政事业单位内部控制规范(试行)》实施以来，在坚持内部控制制度建设全面性、重要性、制衡性、适应性等原则的前提下，我</w:t>
      </w:r>
      <w:r>
        <w:rPr>
          <w:rFonts w:hint="eastAsia" w:ascii="仿宋_GB2312" w:hAnsi="黑体" w:eastAsia="仿宋_GB2312" w:cs="宋体"/>
          <w:color w:val="000000"/>
          <w:kern w:val="0"/>
          <w:sz w:val="32"/>
          <w:szCs w:val="32"/>
          <w:shd w:val="clear" w:color="auto" w:fill="FFFFFF"/>
          <w:lang w:eastAsia="zh-CN"/>
        </w:rPr>
        <w:t>中心</w:t>
      </w:r>
      <w:r>
        <w:rPr>
          <w:rFonts w:hint="eastAsia" w:ascii="仿宋_GB2312" w:hAnsi="黑体" w:eastAsia="仿宋_GB2312" w:cs="宋体"/>
          <w:color w:val="000000"/>
          <w:kern w:val="0"/>
          <w:sz w:val="32"/>
          <w:szCs w:val="32"/>
          <w:shd w:val="clear" w:color="auto" w:fill="FFFFFF"/>
        </w:rPr>
        <w:t>对内部管理制度进行全面清理，形成了《茂县城乡居民养老保险事业管理</w:t>
      </w:r>
      <w:r>
        <w:rPr>
          <w:rFonts w:hint="eastAsia" w:ascii="仿宋_GB2312" w:hAnsi="黑体" w:eastAsia="仿宋_GB2312" w:cs="宋体"/>
          <w:color w:val="000000"/>
          <w:kern w:val="0"/>
          <w:sz w:val="32"/>
          <w:szCs w:val="32"/>
          <w:shd w:val="clear" w:color="auto" w:fill="FFFFFF"/>
          <w:lang w:eastAsia="zh-CN"/>
        </w:rPr>
        <w:t>中心</w:t>
      </w:r>
      <w:r>
        <w:rPr>
          <w:rFonts w:hint="eastAsia" w:ascii="仿宋_GB2312" w:hAnsi="黑体" w:eastAsia="仿宋_GB2312" w:cs="宋体"/>
          <w:color w:val="000000"/>
          <w:kern w:val="0"/>
          <w:sz w:val="32"/>
          <w:szCs w:val="32"/>
          <w:shd w:val="clear" w:color="auto" w:fill="FFFFFF"/>
        </w:rPr>
        <w:t>内部控制制度》，分总则、工作守则、规章制度、管理办法和工作程序共五章，内容涵盖了预算管理情况、收支管理情况、政府采购情况、资产管理情况等单位经济业务内部控制管理制度和办法。通过强化内部控制制度建设，切实做到有章可行，有据可依。</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(4)信息公开</w:t>
      </w:r>
    </w:p>
    <w:p>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黑体" w:eastAsia="仿宋_GB2312"/>
          <w:color w:val="000000"/>
          <w:sz w:val="32"/>
          <w:szCs w:val="32"/>
        </w:rPr>
      </w:pPr>
      <w:r>
        <w:rPr>
          <w:rFonts w:hint="eastAsia" w:ascii="仿宋_GB2312" w:hAnsi="宋体" w:eastAsia="仿宋_GB2312" w:cs="宋体"/>
          <w:color w:val="000000"/>
          <w:sz w:val="32"/>
          <w:szCs w:val="32"/>
        </w:rPr>
        <w:t>单位严格按照相关部门的要求保质保量完成年度预决算公开工作，按时将公开材料数据报送并在茂县政府信息网站上公布。</w:t>
      </w:r>
      <w:r>
        <w:rPr>
          <w:rFonts w:hint="eastAsia" w:ascii="仿宋_GB2312" w:hAnsi="黑体" w:eastAsia="仿宋_GB2312"/>
          <w:color w:val="000000"/>
          <w:sz w:val="32"/>
          <w:szCs w:val="32"/>
        </w:rPr>
        <w:t>按月及时向财政部门报送经费报表、贯彻落实中央八项规定和省委省政府十项规定经费支出情况统计表并由相关股室进行审核。根据财政部门文件要求及时开展单位经费使用情况自查自纠工作，撰写自查自纠报告并及时报送。</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宋体" w:eastAsia="仿宋_GB2312" w:cs="宋体"/>
          <w:color w:val="000000"/>
          <w:kern w:val="0"/>
          <w:sz w:val="32"/>
          <w:szCs w:val="32"/>
          <w:lang w:val="zh-CN"/>
        </w:rPr>
      </w:pPr>
      <w:r>
        <w:rPr>
          <w:rFonts w:hint="eastAsia" w:ascii="仿宋_GB2312" w:hAnsi="黑体" w:eastAsia="仿宋_GB2312" w:cs="宋体"/>
          <w:color w:val="000000"/>
          <w:kern w:val="0"/>
          <w:sz w:val="32"/>
          <w:szCs w:val="32"/>
          <w:shd w:val="clear" w:color="auto" w:fill="FFFFFF"/>
        </w:rPr>
        <w:t>(5)</w:t>
      </w:r>
      <w:r>
        <w:rPr>
          <w:rFonts w:hint="eastAsia" w:ascii="仿宋_GB2312" w:hAnsi="宋体" w:eastAsia="仿宋_GB2312" w:cs="宋体"/>
          <w:color w:val="000000"/>
          <w:kern w:val="0"/>
          <w:sz w:val="32"/>
          <w:szCs w:val="32"/>
          <w:lang w:val="zh-CN"/>
        </w:rPr>
        <w:t xml:space="preserve"> 绩效评价及依法接受财政监督情况等</w:t>
      </w:r>
    </w:p>
    <w:p>
      <w:pPr>
        <w:pStyle w:val="39"/>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宋体" w:eastAsia="仿宋_GB2312" w:cs="宋体"/>
          <w:color w:val="000000"/>
          <w:sz w:val="32"/>
          <w:szCs w:val="32"/>
        </w:rPr>
      </w:pPr>
      <w:r>
        <w:rPr>
          <w:rFonts w:hint="eastAsia" w:ascii="仿宋_GB2312" w:hAnsi="黑体" w:eastAsia="仿宋_GB2312"/>
          <w:color w:val="000000"/>
          <w:sz w:val="32"/>
          <w:szCs w:val="32"/>
        </w:rPr>
        <w:t>每年按县财政文件要求根据自身工作实际做好财政支出绩效评价自评及前期准备工作，同时撰写绩效自评报告及填写绩效评价指标体系并自评分数，说明扣分理由。按时将相应评价资料报送相应的财政部门支出管理股室。单位严格落实工作责任，积极协调配合财政部门绩效评价小组对本单位进行实地评价。同时针对在绩效评价中发现的问题和不足认真整改落实，并将整改情况报送财政部门绩效评价小组。</w:t>
      </w:r>
    </w:p>
    <w:p>
      <w:pPr>
        <w:pStyle w:val="39"/>
        <w:keepNext w:val="0"/>
        <w:keepLines w:val="0"/>
        <w:pageBreakBefore w:val="0"/>
        <w:kinsoku/>
        <w:wordWrap/>
        <w:overflowPunct/>
        <w:topLinePunct w:val="0"/>
        <w:autoSpaceDE/>
        <w:autoSpaceDN/>
        <w:bidi w:val="0"/>
        <w:spacing w:line="576" w:lineRule="exact"/>
        <w:ind w:firstLine="643" w:firstLineChars="200"/>
        <w:textAlignment w:val="auto"/>
        <w:rPr>
          <w:rFonts w:ascii="楷体_GB2312" w:hAnsi="黑体" w:eastAsia="楷体_GB2312"/>
          <w:b/>
          <w:color w:val="000000"/>
          <w:sz w:val="32"/>
          <w:szCs w:val="32"/>
        </w:rPr>
      </w:pPr>
      <w:r>
        <w:rPr>
          <w:rFonts w:hint="eastAsia" w:ascii="楷体_GB2312" w:hAnsi="黑体" w:eastAsia="楷体_GB2312"/>
          <w:b/>
          <w:color w:val="000000"/>
          <w:sz w:val="32"/>
          <w:szCs w:val="32"/>
        </w:rPr>
        <w:t>（四）整体绩效</w:t>
      </w:r>
    </w:p>
    <w:p>
      <w:pPr>
        <w:pStyle w:val="39"/>
        <w:keepNext w:val="0"/>
        <w:keepLines w:val="0"/>
        <w:pageBreakBefore w:val="0"/>
        <w:kinsoku/>
        <w:wordWrap/>
        <w:overflowPunct/>
        <w:topLinePunct w:val="0"/>
        <w:autoSpaceDE/>
        <w:autoSpaceDN/>
        <w:bidi w:val="0"/>
        <w:spacing w:line="576" w:lineRule="exact"/>
        <w:ind w:firstLine="640" w:firstLineChars="200"/>
        <w:textAlignment w:val="auto"/>
        <w:rPr>
          <w:rStyle w:val="40"/>
          <w:rFonts w:hint="eastAsia"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我</w:t>
      </w:r>
      <w:r>
        <w:rPr>
          <w:rFonts w:hint="eastAsia" w:ascii="仿宋_GB2312" w:eastAsia="仿宋_GB2312"/>
          <w:color w:val="000000"/>
          <w:sz w:val="32"/>
          <w:szCs w:val="32"/>
          <w:shd w:val="clear" w:color="auto" w:fill="FFFFFF"/>
          <w:lang w:eastAsia="zh-CN"/>
        </w:rPr>
        <w:t>中心</w:t>
      </w:r>
      <w:r>
        <w:rPr>
          <w:rFonts w:hint="eastAsia" w:ascii="仿宋_GB2312" w:eastAsia="仿宋_GB2312"/>
          <w:color w:val="000000"/>
          <w:sz w:val="32"/>
          <w:szCs w:val="32"/>
          <w:shd w:val="clear" w:color="auto" w:fill="FFFFFF"/>
        </w:rPr>
        <w:t>所有财政资金支出主要用于保障本单位机构正常运转、完成日常工作任务以及承担城乡居民养老保险事业发展相关工作。</w:t>
      </w:r>
      <w:r>
        <w:rPr>
          <w:rStyle w:val="40"/>
          <w:rFonts w:hint="eastAsia" w:eastAsia="仿宋_GB2312"/>
          <w:color w:val="000000"/>
          <w:sz w:val="32"/>
          <w:szCs w:val="32"/>
          <w:shd w:val="clear" w:color="auto" w:fill="FFFFFF"/>
        </w:rPr>
        <w:t> </w:t>
      </w:r>
    </w:p>
    <w:p>
      <w:pPr>
        <w:pStyle w:val="39"/>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shd w:val="clear" w:color="auto" w:fill="FFFFFF"/>
        </w:rPr>
        <w:t xml:space="preserve"> （1）基本支出，是用于单位正常运转的日常支出，包括基本工资、津贴补贴等人员经费以及办公费、邮电费、培训费、差旅费、等日常公用经费。在日常工作中，</w:t>
      </w:r>
      <w:r>
        <w:rPr>
          <w:rFonts w:hint="eastAsia" w:ascii="仿宋_GB2312" w:eastAsia="仿宋_GB2312"/>
          <w:color w:val="000000"/>
          <w:sz w:val="32"/>
          <w:szCs w:val="32"/>
        </w:rPr>
        <w:t>单位所有日常公用经费开支范围和标准均符合相关规定并按相应支付审批程序办理。</w:t>
      </w:r>
    </w:p>
    <w:p>
      <w:pPr>
        <w:keepNext w:val="0"/>
        <w:keepLines w:val="0"/>
        <w:pageBreakBefore w:val="0"/>
        <w:numPr>
          <w:ilvl w:val="0"/>
          <w:numId w:val="0"/>
        </w:numPr>
        <w:kinsoku/>
        <w:wordWrap/>
        <w:overflowPunct/>
        <w:topLinePunct w:val="0"/>
        <w:autoSpaceDE/>
        <w:autoSpaceDN/>
        <w:bidi w:val="0"/>
        <w:snapToGrid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项目支出，是单位为了完成特定的工作任务和事业发展目标所发生的专项支出。单位20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年度项目支出</w:t>
      </w:r>
      <w:r>
        <w:rPr>
          <w:rFonts w:hint="eastAsia" w:ascii="仿宋_GB2312" w:eastAsia="仿宋_GB2312"/>
          <w:color w:val="auto"/>
          <w:sz w:val="32"/>
          <w:szCs w:val="32"/>
          <w:lang w:val="en-US" w:eastAsia="zh-CN"/>
        </w:rPr>
        <w:t>597600</w:t>
      </w:r>
      <w:r>
        <w:rPr>
          <w:rFonts w:hint="eastAsia" w:ascii="仿宋_GB2312" w:eastAsia="仿宋_GB2312"/>
          <w:color w:val="auto"/>
          <w:sz w:val="32"/>
          <w:szCs w:val="32"/>
        </w:rPr>
        <w:t>元</w:t>
      </w:r>
      <w:r>
        <w:rPr>
          <w:rFonts w:hint="eastAsia" w:ascii="仿宋_GB2312" w:eastAsia="仿宋_GB2312"/>
          <w:color w:val="000000"/>
          <w:sz w:val="32"/>
          <w:szCs w:val="32"/>
        </w:rPr>
        <w:t>，</w:t>
      </w:r>
      <w:r>
        <w:rPr>
          <w:rFonts w:hint="eastAsia" w:ascii="仿宋_GB2312" w:eastAsia="仿宋_GB2312"/>
          <w:sz w:val="32"/>
          <w:szCs w:val="32"/>
          <w:lang w:val="en-US" w:eastAsia="zh-CN"/>
        </w:rPr>
        <w:t>为2022年度省级财政困难群体城乡居民养老保险个人缴费代缴资金。根据《四川省省级财政困难群众社会保险个人缴费代缴资管理办法》文件精神，本级财政部门通过国库集中支付方式将代缴资金拨入我中心城乡居民养老保险基金收入户。为保证代缴资金专款专用，我单位财务在划拨资金当月及时将资金划转至城乡居民养老保险基金财政专户。</w:t>
      </w:r>
    </w:p>
    <w:p>
      <w:pPr>
        <w:widowControl/>
        <w:adjustRightInd w:val="0"/>
        <w:snapToGrid w:val="0"/>
        <w:spacing w:line="550" w:lineRule="exact"/>
        <w:ind w:firstLine="720"/>
        <w:jc w:val="left"/>
        <w:rPr>
          <w:rFonts w:ascii="黑体" w:hAnsi="黑体" w:eastAsia="黑体"/>
          <w:b/>
          <w:color w:val="000000"/>
          <w:sz w:val="32"/>
          <w:szCs w:val="32"/>
        </w:rPr>
      </w:pPr>
      <w:r>
        <w:rPr>
          <w:rFonts w:hint="eastAsia" w:ascii="黑体" w:hAnsi="黑体" w:eastAsia="黑体"/>
          <w:b/>
          <w:color w:val="000000"/>
          <w:sz w:val="32"/>
          <w:szCs w:val="32"/>
        </w:rPr>
        <w:t>四、评价结论及建议</w:t>
      </w:r>
    </w:p>
    <w:p>
      <w:pPr>
        <w:pStyle w:val="39"/>
        <w:spacing w:line="550" w:lineRule="exact"/>
        <w:ind w:firstLine="626" w:firstLineChars="195"/>
        <w:rPr>
          <w:rFonts w:ascii="楷体_GB2312" w:hAnsi="黑体" w:eastAsia="楷体_GB2312"/>
          <w:b/>
          <w:color w:val="000000"/>
          <w:sz w:val="32"/>
          <w:szCs w:val="32"/>
          <w:shd w:val="clear" w:color="auto" w:fill="FFFFFF"/>
        </w:rPr>
      </w:pPr>
      <w:r>
        <w:rPr>
          <w:rFonts w:hint="eastAsia" w:ascii="楷体_GB2312" w:hAnsi="黑体" w:eastAsia="楷体_GB2312"/>
          <w:b/>
          <w:color w:val="000000"/>
          <w:sz w:val="32"/>
          <w:szCs w:val="32"/>
          <w:shd w:val="clear" w:color="auto" w:fill="FFFFFF"/>
        </w:rPr>
        <w:t>（一）评价结论</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综合</w:t>
      </w:r>
      <w:r>
        <w:rPr>
          <w:rFonts w:hint="eastAsia" w:ascii="仿宋_GB2312" w:eastAsia="仿宋_GB2312"/>
          <w:sz w:val="32"/>
          <w:szCs w:val="32"/>
          <w:lang w:eastAsia="zh-CN"/>
        </w:rPr>
        <w:t>2022</w:t>
      </w:r>
      <w:r>
        <w:rPr>
          <w:rFonts w:hint="eastAsia" w:ascii="仿宋_GB2312" w:eastAsia="仿宋_GB2312"/>
          <w:sz w:val="32"/>
          <w:szCs w:val="32"/>
        </w:rPr>
        <w:t>年度财政预决算绩效评价情况认为，我</w:t>
      </w:r>
      <w:r>
        <w:rPr>
          <w:rFonts w:hint="eastAsia" w:ascii="仿宋_GB2312" w:eastAsia="仿宋_GB2312"/>
          <w:sz w:val="32"/>
          <w:szCs w:val="32"/>
          <w:lang w:eastAsia="zh-CN"/>
        </w:rPr>
        <w:t>单位2022</w:t>
      </w:r>
      <w:r>
        <w:rPr>
          <w:rFonts w:hint="eastAsia" w:ascii="仿宋_GB2312" w:eastAsia="仿宋_GB2312"/>
          <w:sz w:val="32"/>
          <w:szCs w:val="32"/>
        </w:rPr>
        <w:t>年部门整体支出情况良好，资金收入、支出管理均严格按照相关要求进行，全年收支平衡，有效保障了单位正常运转，圆满完成了单位目标任务。</w:t>
      </w:r>
    </w:p>
    <w:p>
      <w:pPr>
        <w:spacing w:line="55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（二）存在问题</w:t>
      </w:r>
    </w:p>
    <w:p>
      <w:pPr>
        <w:spacing w:line="550" w:lineRule="exact"/>
        <w:ind w:firstLine="640" w:firstLineChars="200"/>
        <w:rPr>
          <w:rFonts w:ascii="仿宋_GB2312" w:eastAsia="仿宋_GB2312"/>
          <w:sz w:val="32"/>
          <w:szCs w:val="32"/>
        </w:rPr>
      </w:pPr>
      <w:r>
        <w:rPr>
          <w:rFonts w:hint="eastAsia" w:ascii="仿宋_GB2312" w:eastAsia="仿宋_GB2312"/>
          <w:sz w:val="32"/>
          <w:szCs w:val="32"/>
        </w:rPr>
        <w:t>通过本次自查，我单位个别绩效评价指标不够细致完善。绩效评价方面还有待加强。对部门的绩效评价报告质量还有待提高，绩效指标体系还有待完善，绩效管理工作机制还有待进一步健全。</w:t>
      </w:r>
    </w:p>
    <w:p>
      <w:pPr>
        <w:spacing w:line="55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（三）改进建议</w:t>
      </w:r>
    </w:p>
    <w:p>
      <w:pPr>
        <w:spacing w:line="55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hint="eastAsia" w:ascii="仿宋_GB2312" w:eastAsia="仿宋_GB2312"/>
          <w:sz w:val="32"/>
          <w:szCs w:val="32"/>
          <w:lang w:eastAsia="zh-CN"/>
        </w:rPr>
        <w:t>按照财政等</w:t>
      </w:r>
      <w:r>
        <w:rPr>
          <w:rFonts w:hint="eastAsia" w:ascii="仿宋_GB2312" w:eastAsia="仿宋_GB2312"/>
          <w:sz w:val="32"/>
          <w:szCs w:val="32"/>
        </w:rPr>
        <w:t>相关部门的要求进一步细化“三公经费”报销管理制度</w:t>
      </w:r>
      <w:r>
        <w:rPr>
          <w:rFonts w:hint="eastAsia" w:ascii="仿宋_GB2312" w:eastAsia="仿宋_GB2312"/>
          <w:sz w:val="32"/>
          <w:szCs w:val="32"/>
          <w:lang w:eastAsia="zh-CN"/>
        </w:rPr>
        <w:t>和财务审批管理制度</w:t>
      </w:r>
      <w:r>
        <w:rPr>
          <w:rFonts w:hint="eastAsia" w:ascii="仿宋_GB2312" w:eastAsia="仿宋_GB2312"/>
          <w:sz w:val="32"/>
          <w:szCs w:val="32"/>
        </w:rPr>
        <w:t>；</w:t>
      </w:r>
    </w:p>
    <w:p>
      <w:pPr>
        <w:spacing w:line="55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、进一步做好厉行节约，做好节能减排；</w:t>
      </w:r>
    </w:p>
    <w:p>
      <w:pPr>
        <w:spacing w:line="55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、单位财务人员在今后的工作中加强自身业务学习，提高责任意识和风险意识。加大对报销票据的审核把关力度。</w:t>
      </w:r>
      <w:r>
        <w:rPr>
          <w:rFonts w:ascii="仿宋_GB2312" w:eastAsia="仿宋_GB2312"/>
          <w:sz w:val="32"/>
          <w:szCs w:val="32"/>
        </w:rPr>
        <w:t> </w:t>
      </w:r>
    </w:p>
    <w:p>
      <w:pPr>
        <w:spacing w:line="55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4、进一步加强对困</w:t>
      </w:r>
      <w:bookmarkStart w:id="252" w:name="_GoBack"/>
      <w:bookmarkEnd w:id="252"/>
      <w:r>
        <w:rPr>
          <w:rFonts w:hint="eastAsia" w:ascii="仿宋_GB2312" w:eastAsia="仿宋_GB2312"/>
          <w:sz w:val="32"/>
          <w:szCs w:val="32"/>
          <w:lang w:val="en-US" w:eastAsia="zh-CN"/>
        </w:rPr>
        <w:t>难群体代缴资金的管理。</w:t>
      </w:r>
    </w:p>
    <w:p>
      <w:pPr>
        <w:widowControl/>
        <w:jc w:val="left"/>
        <w:rPr>
          <w:rStyle w:val="23"/>
          <w:rFonts w:ascii="黑体" w:hAnsi="黑体" w:eastAsia="黑体"/>
          <w:b w:val="0"/>
        </w:rPr>
      </w:pPr>
    </w:p>
    <w:p>
      <w:pPr>
        <w:widowControl/>
        <w:jc w:val="left"/>
        <w:rPr>
          <w:rStyle w:val="23"/>
          <w:rFonts w:ascii="黑体" w:hAnsi="黑体" w:eastAsia="黑体"/>
          <w:b w:val="0"/>
        </w:rPr>
      </w:pPr>
      <w:r>
        <w:rPr>
          <w:rStyle w:val="23"/>
          <w:rFonts w:ascii="黑体" w:hAnsi="黑体" w:eastAsia="黑体"/>
          <w:b w:val="0"/>
        </w:rPr>
        <w:br w:type="page"/>
      </w:r>
    </w:p>
    <w:p>
      <w:pPr>
        <w:spacing w:line="600" w:lineRule="exact"/>
        <w:jc w:val="center"/>
        <w:outlineLvl w:val="0"/>
        <w:rPr>
          <w:rStyle w:val="23"/>
          <w:rFonts w:ascii="黑体" w:hAnsi="黑体" w:eastAsia="黑体"/>
          <w:b w:val="0"/>
        </w:rPr>
      </w:pPr>
      <w:bookmarkStart w:id="186" w:name="_Toc15396618"/>
      <w:bookmarkStart w:id="187" w:name="_Toc79163635"/>
      <w:bookmarkStart w:id="188" w:name="_Toc79163885"/>
      <w:bookmarkStart w:id="189" w:name="_Toc17200"/>
      <w:bookmarkStart w:id="190" w:name="_Toc20120"/>
      <w:bookmarkStart w:id="191" w:name="_Toc17183"/>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177"/>
      <w:bookmarkEnd w:id="186"/>
      <w:bookmarkEnd w:id="187"/>
      <w:bookmarkEnd w:id="188"/>
      <w:bookmarkEnd w:id="189"/>
      <w:bookmarkEnd w:id="190"/>
      <w:bookmarkEnd w:id="191"/>
    </w:p>
    <w:p>
      <w:pPr>
        <w:pStyle w:val="3"/>
        <w:pageBreakBefore w:val="0"/>
        <w:widowControl w:val="0"/>
        <w:kinsoku/>
        <w:wordWrap/>
        <w:overflowPunct/>
        <w:topLinePunct w:val="0"/>
        <w:autoSpaceDE/>
        <w:autoSpaceDN/>
        <w:bidi w:val="0"/>
        <w:textAlignment w:val="auto"/>
        <w:rPr>
          <w:rFonts w:ascii="仿宋" w:hAnsi="仿宋" w:eastAsia="仿宋"/>
          <w:color w:val="000000"/>
        </w:rPr>
      </w:pPr>
      <w:bookmarkStart w:id="192" w:name="_Toc15396619"/>
      <w:bookmarkStart w:id="193" w:name="_Toc79163636"/>
      <w:bookmarkStart w:id="194" w:name="_Toc79163886"/>
      <w:bookmarkStart w:id="195" w:name="_Toc30148"/>
      <w:bookmarkStart w:id="196" w:name="_Toc22137"/>
      <w:bookmarkStart w:id="197" w:name="_Toc145"/>
      <w:r>
        <w:rPr>
          <w:rFonts w:hint="eastAsia" w:ascii="仿宋" w:hAnsi="仿宋" w:eastAsia="仿宋"/>
          <w:b w:val="0"/>
          <w:color w:val="000000"/>
        </w:rPr>
        <w:t>一、收</w:t>
      </w:r>
      <w:r>
        <w:rPr>
          <w:rStyle w:val="24"/>
          <w:rFonts w:hint="eastAsia" w:ascii="仿宋" w:hAnsi="仿宋" w:eastAsia="仿宋"/>
          <w:b w:val="0"/>
          <w:bCs w:val="0"/>
        </w:rPr>
        <w:t>入支出决算总表</w:t>
      </w:r>
      <w:bookmarkEnd w:id="192"/>
      <w:bookmarkEnd w:id="193"/>
      <w:bookmarkEnd w:id="194"/>
      <w:bookmarkEnd w:id="195"/>
      <w:bookmarkEnd w:id="196"/>
      <w:bookmarkEnd w:id="197"/>
    </w:p>
    <w:p>
      <w:pPr>
        <w:pStyle w:val="3"/>
        <w:pageBreakBefore w:val="0"/>
        <w:widowControl w:val="0"/>
        <w:kinsoku/>
        <w:wordWrap/>
        <w:overflowPunct/>
        <w:topLinePunct w:val="0"/>
        <w:autoSpaceDE/>
        <w:autoSpaceDN/>
        <w:bidi w:val="0"/>
        <w:textAlignment w:val="auto"/>
        <w:rPr>
          <w:rFonts w:ascii="仿宋" w:hAnsi="仿宋" w:eastAsia="仿宋"/>
          <w:color w:val="000000"/>
        </w:rPr>
      </w:pPr>
      <w:bookmarkStart w:id="198" w:name="_Toc15396620"/>
      <w:bookmarkStart w:id="199" w:name="_Toc79163637"/>
      <w:bookmarkStart w:id="200" w:name="_Toc79163887"/>
      <w:bookmarkStart w:id="201" w:name="_Toc8931"/>
      <w:bookmarkStart w:id="202" w:name="_Toc8950"/>
      <w:bookmarkStart w:id="203" w:name="_Toc19146"/>
      <w:r>
        <w:rPr>
          <w:rFonts w:hint="eastAsia" w:ascii="仿宋" w:hAnsi="仿宋" w:eastAsia="仿宋"/>
          <w:b w:val="0"/>
          <w:color w:val="000000"/>
        </w:rPr>
        <w:t>二、收</w:t>
      </w:r>
      <w:r>
        <w:rPr>
          <w:rStyle w:val="24"/>
          <w:rFonts w:hint="eastAsia" w:ascii="仿宋" w:hAnsi="仿宋" w:eastAsia="仿宋"/>
          <w:b w:val="0"/>
          <w:bCs w:val="0"/>
        </w:rPr>
        <w:t>入决算表</w:t>
      </w:r>
      <w:bookmarkEnd w:id="198"/>
      <w:bookmarkEnd w:id="199"/>
      <w:bookmarkEnd w:id="200"/>
      <w:bookmarkEnd w:id="201"/>
      <w:bookmarkEnd w:id="202"/>
      <w:bookmarkEnd w:id="203"/>
    </w:p>
    <w:p>
      <w:pPr>
        <w:pStyle w:val="3"/>
        <w:pageBreakBefore w:val="0"/>
        <w:widowControl w:val="0"/>
        <w:kinsoku/>
        <w:wordWrap/>
        <w:overflowPunct/>
        <w:topLinePunct w:val="0"/>
        <w:autoSpaceDE/>
        <w:autoSpaceDN/>
        <w:bidi w:val="0"/>
        <w:textAlignment w:val="auto"/>
        <w:rPr>
          <w:rFonts w:ascii="仿宋" w:hAnsi="仿宋" w:eastAsia="仿宋"/>
          <w:color w:val="000000"/>
        </w:rPr>
      </w:pPr>
      <w:bookmarkStart w:id="204" w:name="_Toc15396621"/>
      <w:bookmarkStart w:id="205" w:name="_Toc79163638"/>
      <w:bookmarkStart w:id="206" w:name="_Toc79163888"/>
      <w:bookmarkStart w:id="207" w:name="_Toc10915"/>
      <w:bookmarkStart w:id="208" w:name="_Toc17102"/>
      <w:bookmarkStart w:id="209" w:name="_Toc8613"/>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204"/>
      <w:bookmarkEnd w:id="205"/>
      <w:bookmarkEnd w:id="206"/>
      <w:bookmarkEnd w:id="207"/>
      <w:bookmarkEnd w:id="208"/>
      <w:bookmarkEnd w:id="209"/>
    </w:p>
    <w:p>
      <w:pPr>
        <w:pStyle w:val="3"/>
        <w:pageBreakBefore w:val="0"/>
        <w:widowControl w:val="0"/>
        <w:kinsoku/>
        <w:wordWrap/>
        <w:overflowPunct/>
        <w:topLinePunct w:val="0"/>
        <w:autoSpaceDE/>
        <w:autoSpaceDN/>
        <w:bidi w:val="0"/>
        <w:textAlignment w:val="auto"/>
        <w:rPr>
          <w:rFonts w:ascii="仿宋" w:hAnsi="仿宋" w:eastAsia="仿宋"/>
          <w:b w:val="0"/>
          <w:color w:val="000000"/>
        </w:rPr>
      </w:pPr>
      <w:bookmarkStart w:id="210" w:name="_Toc15396622"/>
      <w:bookmarkStart w:id="211" w:name="_Toc79163639"/>
      <w:bookmarkStart w:id="212" w:name="_Toc79163889"/>
      <w:bookmarkStart w:id="213" w:name="_Toc3323"/>
      <w:bookmarkStart w:id="214" w:name="_Toc32332"/>
      <w:bookmarkStart w:id="215" w:name="_Toc1263"/>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210"/>
      <w:bookmarkEnd w:id="211"/>
      <w:bookmarkEnd w:id="212"/>
      <w:bookmarkEnd w:id="213"/>
      <w:bookmarkEnd w:id="214"/>
      <w:bookmarkEnd w:id="215"/>
    </w:p>
    <w:p>
      <w:pPr>
        <w:pStyle w:val="3"/>
        <w:pageBreakBefore w:val="0"/>
        <w:widowControl w:val="0"/>
        <w:kinsoku/>
        <w:wordWrap/>
        <w:overflowPunct/>
        <w:topLinePunct w:val="0"/>
        <w:autoSpaceDE/>
        <w:autoSpaceDN/>
        <w:bidi w:val="0"/>
        <w:textAlignment w:val="auto"/>
        <w:rPr>
          <w:rStyle w:val="24"/>
          <w:rFonts w:ascii="仿宋" w:hAnsi="仿宋" w:eastAsia="仿宋"/>
          <w:b w:val="0"/>
          <w:bCs w:val="0"/>
        </w:rPr>
      </w:pPr>
      <w:bookmarkStart w:id="216" w:name="_Toc15396623"/>
      <w:bookmarkStart w:id="217" w:name="_Toc79163640"/>
      <w:bookmarkStart w:id="218" w:name="_Toc79163890"/>
      <w:bookmarkStart w:id="219" w:name="_Toc17498"/>
      <w:bookmarkStart w:id="220" w:name="_Toc14832"/>
      <w:bookmarkStart w:id="221" w:name="_Toc18994"/>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216"/>
      <w:bookmarkEnd w:id="217"/>
      <w:bookmarkEnd w:id="218"/>
      <w:bookmarkEnd w:id="219"/>
      <w:bookmarkEnd w:id="220"/>
      <w:bookmarkEnd w:id="221"/>
      <w:bookmarkStart w:id="222" w:name="_Toc15396624"/>
    </w:p>
    <w:p>
      <w:pPr>
        <w:pStyle w:val="3"/>
        <w:pageBreakBefore w:val="0"/>
        <w:widowControl w:val="0"/>
        <w:kinsoku/>
        <w:wordWrap/>
        <w:overflowPunct/>
        <w:topLinePunct w:val="0"/>
        <w:autoSpaceDE/>
        <w:autoSpaceDN/>
        <w:bidi w:val="0"/>
        <w:textAlignment w:val="auto"/>
        <w:rPr>
          <w:rFonts w:ascii="仿宋" w:hAnsi="仿宋" w:eastAsia="仿宋"/>
          <w:color w:val="000000"/>
        </w:rPr>
      </w:pPr>
      <w:bookmarkStart w:id="223" w:name="_Toc79163641"/>
      <w:bookmarkStart w:id="224" w:name="_Toc79163891"/>
      <w:bookmarkStart w:id="225" w:name="_Toc24958"/>
      <w:bookmarkStart w:id="226" w:name="_Toc16154"/>
      <w:bookmarkStart w:id="227" w:name="_Toc30963"/>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222"/>
      <w:bookmarkEnd w:id="223"/>
      <w:bookmarkEnd w:id="224"/>
      <w:bookmarkEnd w:id="225"/>
      <w:bookmarkEnd w:id="226"/>
      <w:bookmarkEnd w:id="227"/>
    </w:p>
    <w:p>
      <w:pPr>
        <w:pStyle w:val="3"/>
        <w:pageBreakBefore w:val="0"/>
        <w:widowControl w:val="0"/>
        <w:kinsoku/>
        <w:wordWrap/>
        <w:overflowPunct/>
        <w:topLinePunct w:val="0"/>
        <w:autoSpaceDE/>
        <w:autoSpaceDN/>
        <w:bidi w:val="0"/>
        <w:textAlignment w:val="auto"/>
        <w:rPr>
          <w:rFonts w:ascii="仿宋" w:hAnsi="仿宋" w:eastAsia="仿宋"/>
          <w:color w:val="000000"/>
        </w:rPr>
      </w:pPr>
      <w:bookmarkStart w:id="228" w:name="_Toc15396625"/>
      <w:bookmarkStart w:id="229" w:name="_Toc79163642"/>
      <w:bookmarkStart w:id="230" w:name="_Toc79163892"/>
      <w:bookmarkStart w:id="231" w:name="_Toc25854"/>
      <w:bookmarkStart w:id="232" w:name="_Toc16394"/>
      <w:bookmarkStart w:id="233" w:name="_Toc19779"/>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228"/>
      <w:bookmarkEnd w:id="229"/>
      <w:bookmarkEnd w:id="230"/>
      <w:bookmarkEnd w:id="231"/>
      <w:bookmarkEnd w:id="232"/>
      <w:bookmarkEnd w:id="233"/>
    </w:p>
    <w:p>
      <w:pPr>
        <w:pStyle w:val="3"/>
        <w:pageBreakBefore w:val="0"/>
        <w:widowControl w:val="0"/>
        <w:kinsoku/>
        <w:wordWrap/>
        <w:overflowPunct/>
        <w:topLinePunct w:val="0"/>
        <w:autoSpaceDE/>
        <w:autoSpaceDN/>
        <w:bidi w:val="0"/>
        <w:textAlignment w:val="auto"/>
        <w:rPr>
          <w:rFonts w:ascii="仿宋" w:hAnsi="仿宋" w:eastAsia="仿宋"/>
          <w:color w:val="000000"/>
        </w:rPr>
      </w:pPr>
      <w:bookmarkStart w:id="234" w:name="_Toc15396626"/>
      <w:bookmarkStart w:id="235" w:name="_Toc79163643"/>
      <w:bookmarkStart w:id="236" w:name="_Toc79163893"/>
      <w:bookmarkStart w:id="237" w:name="_Toc7083"/>
      <w:bookmarkStart w:id="238" w:name="_Toc8674"/>
      <w:bookmarkStart w:id="239" w:name="_Toc23048"/>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234"/>
      <w:bookmarkEnd w:id="235"/>
      <w:bookmarkEnd w:id="236"/>
      <w:bookmarkEnd w:id="237"/>
      <w:bookmarkEnd w:id="238"/>
      <w:bookmarkEnd w:id="239"/>
    </w:p>
    <w:p>
      <w:pPr>
        <w:pStyle w:val="3"/>
        <w:pageBreakBefore w:val="0"/>
        <w:widowControl w:val="0"/>
        <w:kinsoku/>
        <w:wordWrap/>
        <w:overflowPunct/>
        <w:topLinePunct w:val="0"/>
        <w:autoSpaceDE/>
        <w:autoSpaceDN/>
        <w:bidi w:val="0"/>
        <w:textAlignment w:val="auto"/>
        <w:rPr>
          <w:rFonts w:ascii="仿宋" w:hAnsi="仿宋" w:eastAsia="仿宋"/>
          <w:color w:val="000000"/>
        </w:rPr>
      </w:pPr>
      <w:bookmarkStart w:id="240" w:name="_Toc79163894"/>
      <w:bookmarkStart w:id="241" w:name="_Toc15396627"/>
      <w:bookmarkStart w:id="242" w:name="_Toc79163644"/>
      <w:bookmarkStart w:id="243" w:name="_Toc19597"/>
      <w:bookmarkStart w:id="244" w:name="_Toc32333"/>
      <w:bookmarkStart w:id="245" w:name="_Toc21582"/>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240"/>
      <w:bookmarkEnd w:id="241"/>
      <w:bookmarkEnd w:id="242"/>
      <w:bookmarkEnd w:id="243"/>
      <w:bookmarkEnd w:id="244"/>
      <w:bookmarkEnd w:id="245"/>
    </w:p>
    <w:p>
      <w:pPr>
        <w:pStyle w:val="3"/>
        <w:pageBreakBefore w:val="0"/>
        <w:widowControl w:val="0"/>
        <w:kinsoku/>
        <w:wordWrap/>
        <w:overflowPunct/>
        <w:topLinePunct w:val="0"/>
        <w:autoSpaceDE/>
        <w:autoSpaceDN/>
        <w:bidi w:val="0"/>
        <w:textAlignment w:val="auto"/>
        <w:rPr>
          <w:rStyle w:val="24"/>
          <w:rFonts w:hint="eastAsia" w:ascii="仿宋" w:hAnsi="仿宋" w:eastAsia="仿宋"/>
          <w:b w:val="0"/>
          <w:bCs w:val="0"/>
        </w:rPr>
      </w:pPr>
      <w:bookmarkStart w:id="246" w:name="_Toc79163895"/>
      <w:bookmarkStart w:id="247" w:name="_Toc79163645"/>
      <w:bookmarkStart w:id="248" w:name="_Toc15396628"/>
      <w:bookmarkStart w:id="249" w:name="_Toc9177"/>
      <w:bookmarkStart w:id="250" w:name="_Toc8548"/>
      <w:bookmarkStart w:id="251" w:name="_Toc2732"/>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246"/>
      <w:bookmarkEnd w:id="247"/>
      <w:bookmarkEnd w:id="248"/>
      <w:bookmarkEnd w:id="249"/>
      <w:bookmarkEnd w:id="250"/>
      <w:bookmarkEnd w:id="251"/>
    </w:p>
    <w:p>
      <w:pPr>
        <w:pStyle w:val="3"/>
        <w:pageBreakBefore w:val="0"/>
        <w:widowControl w:val="0"/>
        <w:kinsoku/>
        <w:wordWrap/>
        <w:overflowPunct/>
        <w:topLinePunct w:val="0"/>
        <w:autoSpaceDE/>
        <w:autoSpaceDN/>
        <w:bidi w:val="0"/>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_Toc9009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十一、政府性基金预算财政拨款收入支出决算表</w:t>
      </w:r>
      <w:r>
        <w:rPr>
          <w:rFonts w:hint="eastAsia" w:ascii="仿宋_GB2312" w:hAnsi="仿宋_GB2312" w:eastAsia="仿宋_GB2312" w:cs="仿宋_GB2312"/>
          <w:b w:val="0"/>
          <w:bCs w:val="0"/>
          <w:caps w:val="0"/>
          <w:sz w:val="32"/>
          <w:szCs w:val="32"/>
        </w:rPr>
        <w:tab/>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_Toc25914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十二、政府性基金预算财政拨款“三公”经费支出决算</w:t>
      </w:r>
      <w:r>
        <w:rPr>
          <w:rFonts w:hint="eastAsia" w:ascii="仿宋_GB2312" w:hAnsi="仿宋_GB2312" w:eastAsia="仿宋_GB2312" w:cs="仿宋_GB2312"/>
          <w:b w:val="0"/>
          <w:bCs w:val="0"/>
          <w:caps w:val="0"/>
          <w:sz w:val="32"/>
          <w:szCs w:val="32"/>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p>
    <w:p>
      <w:pPr>
        <w:pStyle w:val="13"/>
        <w:keepNext w:val="0"/>
        <w:keepLines w:val="0"/>
        <w:pageBreakBefore w:val="0"/>
        <w:widowControl w:val="0"/>
        <w:tabs>
          <w:tab w:val="right" w:leader="dot" w:pos="8296"/>
        </w:tabs>
        <w:kinsoku/>
        <w:wordWrap/>
        <w:overflowPunct/>
        <w:topLinePunct w:val="0"/>
        <w:autoSpaceDE/>
        <w:autoSpaceDN/>
        <w:bidi w:val="0"/>
        <w:adjustRightInd w:val="0"/>
        <w:snapToGrid w:val="0"/>
        <w:spacing w:before="0" w:after="0" w:line="576" w:lineRule="exact"/>
        <w:jc w:val="left"/>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_Toc258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十三、国有资本经营预算财政拨款支出决算表</w:t>
      </w:r>
      <w:r>
        <w:rPr>
          <w:rFonts w:hint="eastAsia" w:ascii="仿宋_GB2312" w:hAnsi="仿宋_GB2312" w:eastAsia="仿宋_GB2312" w:cs="仿宋_GB2312"/>
          <w:b w:val="0"/>
          <w:bCs w:val="0"/>
          <w:caps w:val="0"/>
          <w:sz w:val="32"/>
          <w:szCs w:val="32"/>
        </w:rPr>
        <w:fldChar w:fldCharType="end"/>
      </w:r>
    </w:p>
    <w:p>
      <w:pPr>
        <w:pStyle w:val="3"/>
        <w:pageBreakBefore w:val="0"/>
        <w:widowControl w:val="0"/>
        <w:kinsoku/>
        <w:wordWrap/>
        <w:overflowPunct/>
        <w:topLinePunct w:val="0"/>
        <w:autoSpaceDE/>
        <w:autoSpaceDN/>
        <w:bidi w:val="0"/>
        <w:textAlignment w:val="auto"/>
        <w:rPr>
          <w:rStyle w:val="24"/>
          <w:rFonts w:ascii="仿宋" w:hAnsi="仿宋" w:eastAsia="仿宋"/>
          <w:b w:val="0"/>
          <w:bCs w:val="0"/>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HYPERLINK \l _Toc14831 </w:instrText>
      </w:r>
      <w:r>
        <w:rPr>
          <w:rFonts w:hint="eastAsia" w:ascii="仿宋_GB2312" w:hAnsi="仿宋_GB2312" w:eastAsia="仿宋_GB2312" w:cs="仿宋_GB2312"/>
          <w:b w:val="0"/>
          <w:bCs w:val="0"/>
          <w:caps w:val="0"/>
          <w:sz w:val="32"/>
          <w:szCs w:val="32"/>
        </w:rPr>
        <w:fldChar w:fldCharType="separate"/>
      </w:r>
      <w:r>
        <w:rPr>
          <w:rFonts w:hint="eastAsia" w:ascii="仿宋_GB2312" w:hAnsi="仿宋_GB2312" w:eastAsia="仿宋_GB2312" w:cs="仿宋_GB2312"/>
          <w:b w:val="0"/>
          <w:bCs w:val="0"/>
          <w:caps w:val="0"/>
          <w:sz w:val="32"/>
          <w:szCs w:val="32"/>
        </w:rPr>
        <w:t>十四、国有资本经营预算财政拨款支出决算表</w:t>
      </w:r>
      <w:r>
        <w:rPr>
          <w:rFonts w:hint="eastAsia" w:ascii="仿宋_GB2312" w:hAnsi="仿宋_GB2312" w:eastAsia="仿宋_GB2312" w:cs="仿宋_GB2312"/>
          <w:b w:val="0"/>
          <w:bCs w:val="0"/>
          <w:caps w:val="0"/>
          <w:sz w:val="32"/>
          <w:szCs w:val="32"/>
        </w:rPr>
        <w:fldChar w:fldCharType="end"/>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6A167"/>
    <w:multiLevelType w:val="singleLevel"/>
    <w:tmpl w:val="A4C6A167"/>
    <w:lvl w:ilvl="0" w:tentative="0">
      <w:start w:val="1"/>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5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MDVkMTYxOWQyY2Y3NTgwMmVkN2MxMTYxNGJkZ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32C631C"/>
    <w:rsid w:val="03561D98"/>
    <w:rsid w:val="047F68BE"/>
    <w:rsid w:val="04D04577"/>
    <w:rsid w:val="08A56AD9"/>
    <w:rsid w:val="09F71BD3"/>
    <w:rsid w:val="09FC3C48"/>
    <w:rsid w:val="0A01665A"/>
    <w:rsid w:val="0A2032A3"/>
    <w:rsid w:val="0AD565C6"/>
    <w:rsid w:val="0B554CB8"/>
    <w:rsid w:val="0C2541AA"/>
    <w:rsid w:val="0F9575B7"/>
    <w:rsid w:val="104908F1"/>
    <w:rsid w:val="10A07175"/>
    <w:rsid w:val="10C055FF"/>
    <w:rsid w:val="118107EC"/>
    <w:rsid w:val="13136DD7"/>
    <w:rsid w:val="137B6D8D"/>
    <w:rsid w:val="16BB723D"/>
    <w:rsid w:val="194E6DCB"/>
    <w:rsid w:val="1D155CEE"/>
    <w:rsid w:val="1E413BC2"/>
    <w:rsid w:val="1F272A52"/>
    <w:rsid w:val="233E6A67"/>
    <w:rsid w:val="2387532D"/>
    <w:rsid w:val="240371BF"/>
    <w:rsid w:val="24212FE5"/>
    <w:rsid w:val="25BE225F"/>
    <w:rsid w:val="26A41B68"/>
    <w:rsid w:val="28FE7C65"/>
    <w:rsid w:val="290C35FD"/>
    <w:rsid w:val="29FD04D3"/>
    <w:rsid w:val="2CCD256F"/>
    <w:rsid w:val="2DA4735E"/>
    <w:rsid w:val="2DAE6DB1"/>
    <w:rsid w:val="2EA509A6"/>
    <w:rsid w:val="2EF474A9"/>
    <w:rsid w:val="319F2662"/>
    <w:rsid w:val="319F7F4E"/>
    <w:rsid w:val="320B2E4B"/>
    <w:rsid w:val="32991ADA"/>
    <w:rsid w:val="33472D46"/>
    <w:rsid w:val="36521F50"/>
    <w:rsid w:val="365D32D6"/>
    <w:rsid w:val="36FE6F76"/>
    <w:rsid w:val="37C06D19"/>
    <w:rsid w:val="38AF0092"/>
    <w:rsid w:val="3AD81BE3"/>
    <w:rsid w:val="3B0F23C2"/>
    <w:rsid w:val="3BAD7BF5"/>
    <w:rsid w:val="3E633A64"/>
    <w:rsid w:val="3F672F42"/>
    <w:rsid w:val="409B1009"/>
    <w:rsid w:val="41852E1A"/>
    <w:rsid w:val="42087C73"/>
    <w:rsid w:val="450F6C94"/>
    <w:rsid w:val="48926BC0"/>
    <w:rsid w:val="4989217A"/>
    <w:rsid w:val="4ECE2238"/>
    <w:rsid w:val="4FA05CE9"/>
    <w:rsid w:val="50D53A17"/>
    <w:rsid w:val="52CD0AD5"/>
    <w:rsid w:val="573A52E5"/>
    <w:rsid w:val="578F14CC"/>
    <w:rsid w:val="57CF7C94"/>
    <w:rsid w:val="5A865400"/>
    <w:rsid w:val="5B550240"/>
    <w:rsid w:val="5C5B2A5D"/>
    <w:rsid w:val="5F53371F"/>
    <w:rsid w:val="5FDA065F"/>
    <w:rsid w:val="60F96E92"/>
    <w:rsid w:val="62910D50"/>
    <w:rsid w:val="63263993"/>
    <w:rsid w:val="63666053"/>
    <w:rsid w:val="63BA59EB"/>
    <w:rsid w:val="63C2448B"/>
    <w:rsid w:val="64912A30"/>
    <w:rsid w:val="66AF3A95"/>
    <w:rsid w:val="67C12C05"/>
    <w:rsid w:val="68EF55DB"/>
    <w:rsid w:val="69C94CE0"/>
    <w:rsid w:val="6A804558"/>
    <w:rsid w:val="6AC56813"/>
    <w:rsid w:val="6AE14033"/>
    <w:rsid w:val="6BB85B43"/>
    <w:rsid w:val="6BD442AF"/>
    <w:rsid w:val="6C4A05C8"/>
    <w:rsid w:val="6CDD2EFF"/>
    <w:rsid w:val="6D0F685A"/>
    <w:rsid w:val="6DC815E7"/>
    <w:rsid w:val="6ECA7E77"/>
    <w:rsid w:val="6F6F16D4"/>
    <w:rsid w:val="70A11322"/>
    <w:rsid w:val="70CC164D"/>
    <w:rsid w:val="72734D90"/>
    <w:rsid w:val="731C031E"/>
    <w:rsid w:val="74021EC5"/>
    <w:rsid w:val="74102F1E"/>
    <w:rsid w:val="744D7CD4"/>
    <w:rsid w:val="74806BBB"/>
    <w:rsid w:val="77960197"/>
    <w:rsid w:val="77D71140"/>
    <w:rsid w:val="781D0704"/>
    <w:rsid w:val="78495725"/>
    <w:rsid w:val="7992136E"/>
    <w:rsid w:val="7AD45EB1"/>
    <w:rsid w:val="7B4372AF"/>
    <w:rsid w:val="7DCC4F83"/>
    <w:rsid w:val="7ED4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2"/>
    <w:qFormat/>
    <w:uiPriority w:val="99"/>
    <w:pPr>
      <w:spacing w:beforeLines="30"/>
    </w:pPr>
    <w:rPr>
      <w:rFonts w:ascii="仿宋_GB2312" w:eastAsia="仿宋_GB2312"/>
      <w:kern w:val="0"/>
      <w:sz w:val="24"/>
      <w:szCs w:val="20"/>
      <w:lang w:val="zh-CN" w:eastAsia="zh-CN"/>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7"/>
    <w:semiHidden/>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paragraph" w:styleId="18">
    <w:name w:val="Title"/>
    <w:basedOn w:val="1"/>
    <w:qFormat/>
    <w:uiPriority w:val="0"/>
    <w:pPr>
      <w:spacing w:before="240" w:after="60"/>
      <w:jc w:val="center"/>
      <w:outlineLvl w:val="0"/>
    </w:pPr>
    <w:rPr>
      <w:rFonts w:ascii="Arial" w:hAnsi="Arial" w:cs="Arial"/>
      <w:b/>
      <w:bCs/>
      <w:sz w:val="32"/>
      <w:szCs w:val="32"/>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Char"/>
    <w:basedOn w:val="20"/>
    <w:link w:val="2"/>
    <w:qFormat/>
    <w:locked/>
    <w:uiPriority w:val="9"/>
    <w:rPr>
      <w:rFonts w:ascii="Times New Roman" w:hAnsi="Times New Roman" w:cs="Times New Roman"/>
      <w:b/>
      <w:bCs/>
      <w:kern w:val="44"/>
      <w:sz w:val="44"/>
      <w:szCs w:val="44"/>
    </w:rPr>
  </w:style>
  <w:style w:type="character" w:customStyle="1" w:styleId="24">
    <w:name w:val="标题 2 Char"/>
    <w:basedOn w:val="20"/>
    <w:link w:val="3"/>
    <w:qFormat/>
    <w:locked/>
    <w:uiPriority w:val="9"/>
    <w:rPr>
      <w:rFonts w:ascii="Cambria" w:hAnsi="Cambria" w:eastAsia="宋体" w:cs="Times New Roman"/>
      <w:b/>
      <w:bCs/>
      <w:kern w:val="2"/>
      <w:sz w:val="32"/>
      <w:szCs w:val="32"/>
    </w:rPr>
  </w:style>
  <w:style w:type="character" w:customStyle="1" w:styleId="25">
    <w:name w:val="标题 3 Char"/>
    <w:basedOn w:val="20"/>
    <w:link w:val="4"/>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Char"/>
    <w:basedOn w:val="20"/>
    <w:link w:val="10"/>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Char"/>
    <w:link w:val="12"/>
    <w:semiHidden/>
    <w:qFormat/>
    <w:locked/>
    <w:uiPriority w:val="99"/>
    <w:rPr>
      <w:sz w:val="18"/>
    </w:rPr>
  </w:style>
  <w:style w:type="character" w:customStyle="1" w:styleId="31">
    <w:name w:val="页脚 Char"/>
    <w:link w:val="11"/>
    <w:qFormat/>
    <w:locked/>
    <w:uiPriority w:val="99"/>
    <w:rPr>
      <w:sz w:val="18"/>
    </w:rPr>
  </w:style>
  <w:style w:type="character" w:customStyle="1" w:styleId="32">
    <w:name w:val="正文文本 Char"/>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8">
    <w:name w:val="正文1"/>
    <w:qFormat/>
    <w:uiPriority w:val="0"/>
    <w:pPr>
      <w:jc w:val="both"/>
    </w:pPr>
    <w:rPr>
      <w:rFonts w:ascii="Times New Roman" w:hAnsi="Times New Roman" w:eastAsia="宋体" w:cs="Times New Roman"/>
      <w:kern w:val="2"/>
      <w:sz w:val="21"/>
      <w:szCs w:val="21"/>
      <w:lang w:val="en-US" w:eastAsia="zh-CN" w:bidi="ar-SA"/>
    </w:rPr>
  </w:style>
  <w:style w:type="paragraph" w:styleId="3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0">
    <w:name w:val="apple-converted-space"/>
    <w:basedOn w:val="20"/>
    <w:qFormat/>
    <w:uiPriority w:val="0"/>
  </w:style>
  <w:style w:type="paragraph" w:customStyle="1" w:styleId="41">
    <w:name w:val="列出段落1"/>
    <w:basedOn w:val="1"/>
    <w:qFormat/>
    <w:uiPriority w:val="0"/>
    <w:pPr>
      <w:ind w:firstLine="420" w:firstLineChars="200"/>
    </w:pPr>
    <w:rPr>
      <w:szCs w:val="21"/>
    </w:rPr>
  </w:style>
  <w:style w:type="character" w:customStyle="1" w:styleId="42">
    <w:name w:val="15"/>
    <w:basedOn w:val="20"/>
    <w:qFormat/>
    <w:uiPriority w:val="0"/>
    <w:rPr>
      <w:rFonts w:hint="default"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8468;&#20214;2&#65306;2021&#24180;&#21333;.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8468;&#20214;2&#65306;2021&#24180;&#2133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r>
              <a:rPr lang="en-US" altLang="zh-CN"/>
              <a:t>(</a:t>
            </a:r>
            <a:r>
              <a:rPr altLang="en-US"/>
              <a:t>万元</a:t>
            </a:r>
            <a:r>
              <a:rPr lang="en-US" altLang="zh-CN"/>
              <a:t>)</a:t>
            </a:r>
            <a:endParaRPr lang="en-US" altLang="zh-CN"/>
          </a:p>
        </c:rich>
      </c:tx>
      <c:layout/>
      <c:overlay val="0"/>
      <c:spPr>
        <a:noFill/>
        <a:ln>
          <a:noFill/>
        </a:ln>
        <a:effectLst/>
      </c:spPr>
    </c:title>
    <c:autoTitleDeleted val="0"/>
    <c:plotArea>
      <c:layout>
        <c:manualLayout>
          <c:layoutTarget val="inner"/>
          <c:xMode val="edge"/>
          <c:yMode val="edge"/>
          <c:x val="0.077747502270663"/>
          <c:y val="0.196821061986225"/>
          <c:w val="0.907425"/>
          <c:h val="0.7084"/>
        </c:manualLayout>
      </c:layout>
      <c:barChart>
        <c:barDir val="col"/>
        <c:grouping val="clustered"/>
        <c:varyColors val="0"/>
        <c:ser>
          <c:idx val="0"/>
          <c:order val="0"/>
          <c:tx>
            <c:strRef>
              <c:f>Sheet1!$B$1</c:f>
              <c:strCache>
                <c:ptCount val="1"/>
                <c:pt idx="0">
                  <c:v>收、支决算总计变动情况图</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2021年</c:v>
                </c:pt>
              </c:strCache>
            </c:strRef>
          </c:cat>
          <c:val>
            <c:numRef>
              <c:f>Sheet1!$B$2:$B$3</c:f>
              <c:numCache>
                <c:formatCode>General</c:formatCode>
                <c:ptCount val="2"/>
                <c:pt idx="0">
                  <c:v>237.42</c:v>
                </c:pt>
                <c:pt idx="1">
                  <c:v>239.08</c:v>
                </c:pt>
              </c:numCache>
            </c:numRef>
          </c:val>
        </c:ser>
        <c:dLbls>
          <c:showLegendKey val="0"/>
          <c:showVal val="0"/>
          <c:showCatName val="0"/>
          <c:showSerName val="0"/>
          <c:showPercent val="0"/>
          <c:showBubbleSize val="0"/>
        </c:dLbls>
        <c:gapWidth val="219"/>
        <c:overlap val="-27"/>
        <c:axId val="885691340"/>
        <c:axId val="942327172"/>
      </c:barChart>
      <c:catAx>
        <c:axId val="8856913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2327172"/>
        <c:crosses val="autoZero"/>
        <c:auto val="1"/>
        <c:lblAlgn val="ctr"/>
        <c:lblOffset val="100"/>
        <c:noMultiLvlLbl val="0"/>
      </c:catAx>
      <c:valAx>
        <c:axId val="9423271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6913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200" b="1" i="0" u="none" strike="noStrike" kern="1200" baseline="0">
                <a:solidFill>
                  <a:schemeClr val="tx1"/>
                </a:solidFill>
                <a:latin typeface="+mn-lt"/>
                <a:ea typeface="+mn-ea"/>
                <a:cs typeface="+mn-cs"/>
              </a:defRPr>
            </a:pPr>
            <a:r>
              <a:rPr lang="en-US" altLang="zh-CN" sz="1200"/>
              <a:t>2022</a:t>
            </a:r>
            <a:r>
              <a:rPr lang="zh-CN" altLang="en-US" sz="1200"/>
              <a:t>年收入决算结构图</a:t>
            </a:r>
            <a:endParaRPr lang="zh-CN" altLang="en-US" sz="1200"/>
          </a:p>
        </c:rich>
      </c:tx>
      <c:layout/>
      <c:overlay val="0"/>
      <c:spPr>
        <a:noFill/>
        <a:ln>
          <a:noFill/>
        </a:ln>
        <a:effectLst/>
      </c:spPr>
    </c:title>
    <c:autoTitleDeleted val="0"/>
    <c:plotArea>
      <c:layout>
        <c:manualLayout>
          <c:layoutTarget val="inner"/>
          <c:xMode val="edge"/>
          <c:yMode val="edge"/>
          <c:x val="0.215995924342381"/>
          <c:y val="0.217391304347826"/>
          <c:w val="0.296150696150696"/>
          <c:h val="0.655072463768117"/>
        </c:manualLayout>
      </c:layout>
      <c:pieChart>
        <c:varyColors val="1"/>
        <c:ser>
          <c:idx val="0"/>
          <c:order val="0"/>
          <c:tx>
            <c:strRef>
              <c:f>Sheet1!$B$1</c:f>
              <c:strCache>
                <c:ptCount val="1"/>
                <c:pt idx="0">
                  <c:v>2022年部门决算收入结构图</c:v>
                </c:pt>
              </c:strCache>
            </c:strRef>
          </c:tx>
          <c:spPr>
            <a:effectLst/>
          </c:spPr>
          <c:explosion val="0"/>
          <c:dPt>
            <c:idx val="0"/>
            <c:bubble3D val="0"/>
            <c:explosion val="0"/>
            <c:spPr>
              <a:solidFill>
                <a:schemeClr val="accent1">
                  <a:shade val="76667"/>
                </a:schemeClr>
              </a:solidFill>
              <a:ln>
                <a:noFill/>
              </a:ln>
              <a:effectLst/>
            </c:spPr>
          </c:dPt>
          <c:dPt>
            <c:idx val="1"/>
            <c:bubble3D val="0"/>
            <c:explosion val="0"/>
            <c:spPr>
              <a:solidFill>
                <a:schemeClr val="accent2">
                  <a:shade val="76667"/>
                </a:schemeClr>
              </a:solidFill>
              <a:ln>
                <a:noFill/>
              </a:ln>
              <a:effectLst/>
            </c:spPr>
          </c:dPt>
          <c:dPt>
            <c:idx val="2"/>
            <c:bubble3D val="0"/>
            <c:explosion val="0"/>
            <c:spPr>
              <a:solidFill>
                <a:schemeClr val="accent3">
                  <a:shade val="76667"/>
                </a:schemeClr>
              </a:solidFill>
              <a:ln>
                <a:noFill/>
              </a:ln>
              <a:effectLst/>
            </c:spPr>
          </c:dPt>
          <c:dPt>
            <c:idx val="3"/>
            <c:bubble3D val="0"/>
            <c:explosion val="0"/>
            <c:spPr>
              <a:solidFill>
                <a:schemeClr val="accent4">
                  <a:shade val="76667"/>
                </a:schemeClr>
              </a:solidFill>
              <a:ln>
                <a:noFill/>
              </a:ln>
              <a:effectLst/>
            </c:spPr>
          </c:dPt>
          <c:dPt>
            <c:idx val="4"/>
            <c:bubble3D val="0"/>
            <c:explosion val="0"/>
            <c:spPr>
              <a:solidFill>
                <a:schemeClr val="accent5">
                  <a:shade val="76667"/>
                </a:schemeClr>
              </a:solidFill>
              <a:ln>
                <a:noFill/>
              </a:ln>
              <a:effectLst/>
            </c:spPr>
          </c:dPt>
          <c:dPt>
            <c:idx val="5"/>
            <c:bubble3D val="0"/>
            <c:explosion val="0"/>
            <c:spPr>
              <a:solidFill>
                <a:schemeClr val="accent6">
                  <a:shade val="76667"/>
                </a:schemeClr>
              </a:solidFill>
              <a:ln>
                <a:noFill/>
              </a:ln>
              <a:effectLst/>
            </c:spPr>
          </c:dPt>
          <c:dPt>
            <c:idx val="6"/>
            <c:bubble3D val="0"/>
            <c:explosion val="0"/>
            <c:spPr>
              <a:solidFill>
                <a:schemeClr val="accent1">
                  <a:tint val="76667"/>
                </a:schemeClr>
              </a:solidFill>
              <a:ln>
                <a:noFill/>
              </a:ln>
              <a:effectLst/>
            </c:spPr>
          </c:dPt>
          <c:dLbls>
            <c:dLbl>
              <c:idx val="0"/>
              <c:layout>
                <c:manualLayout>
                  <c:x val="0.00527981755089603"/>
                  <c:y val="-0.34695619569293"/>
                </c:manualLayout>
              </c:layout>
              <c:tx>
                <c:rich>
                  <a:bodyPr rot="0" spcFirstLastPara="0" vertOverflow="ellipsis" vert="horz" wrap="square" lIns="38100" tIns="19050" rIns="38100" bIns="19050" anchor="ctr" anchorCtr="1"/>
                  <a:lstStyle/>
                  <a:p>
                    <a:pPr>
                      <a:defRPr lang="zh-CN" sz="1600" b="0" i="0" u="none" strike="noStrike" kern="1200" baseline="0">
                        <a:solidFill>
                          <a:schemeClr val="tx1"/>
                        </a:solidFill>
                        <a:latin typeface="+mn-lt"/>
                        <a:ea typeface="+mn-ea"/>
                        <a:cs typeface="+mn-cs"/>
                      </a:defRPr>
                    </a:pPr>
                    <a:r>
                      <a:rPr altLang="en-US" sz="1600"/>
                      <a:t>1</a:t>
                    </a:r>
                    <a:r>
                      <a:rPr altLang="en-US"/>
                      <a:t>00</a:t>
                    </a:r>
                    <a:r>
                      <a:rPr lang="en-US" altLang="zh-CN"/>
                      <a:t>%</a:t>
                    </a:r>
                    <a:endParaRPr altLang="en-US"/>
                  </a:p>
                </c:rich>
              </c:tx>
              <c:numFmt formatCode="General" sourceLinked="1"/>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6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Sheet1!$A$2:$A$8</c:f>
              <c:strCache>
                <c:ptCount val="7"/>
                <c:pt idx="0">
                  <c:v>一般公共预算财政拨款收入</c:v>
                </c:pt>
              </c:strCache>
            </c:strRef>
          </c:cat>
          <c:val>
            <c:numRef>
              <c:f>Sheet1!$B$2:$B$8</c:f>
              <c:numCache>
                <c:formatCode>General</c:formatCode>
                <c:ptCount val="7"/>
                <c:pt idx="0">
                  <c:v>100</c:v>
                </c:pt>
                <c:pt idx="6">
                  <c:v>0</c:v>
                </c:pt>
              </c:numCache>
            </c:numRef>
          </c:val>
        </c:ser>
        <c:dLbls>
          <c:showLegendKey val="0"/>
          <c:showVal val="1"/>
          <c:showCatName val="0"/>
          <c:showSerName val="0"/>
          <c:showPercent val="0"/>
          <c:showBubbleSize val="0"/>
          <c:showLeaderLines val="1"/>
        </c:dLbls>
        <c:firstSliceAng val="0"/>
      </c:pieChart>
      <c:spPr>
        <a:solidFill>
          <a:schemeClr val="bg1"/>
        </a:solidFill>
        <a:ln>
          <a:noFill/>
        </a:ln>
        <a:effectLst/>
      </c:spPr>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ayout>
        <c:manualLayout>
          <c:xMode val="edge"/>
          <c:yMode val="edge"/>
          <c:x val="0.64"/>
          <c:y val="0.192746260074381"/>
          <c:w val="0.342222222222222"/>
          <c:h val="0.738888734314572"/>
        </c:manualLayout>
      </c:layout>
      <c:overlay val="0"/>
      <c:spPr>
        <a:noFill/>
        <a:ln>
          <a:noFill/>
        </a:ln>
        <a:effectLst/>
      </c:spPr>
      <c:txPr>
        <a:bodyPr rot="0" spcFirstLastPara="0" vertOverflow="ellipsis" horzOverflow="overflow"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年支出决算结构图</a:t>
            </a:r>
            <a:endParaRPr altLang="en-US"/>
          </a:p>
        </c:rich>
      </c:tx>
      <c:layout>
        <c:manualLayout>
          <c:xMode val="edge"/>
          <c:yMode val="edge"/>
          <c:x val="0.32"/>
          <c:y val="0.0183038438071995"/>
        </c:manualLayout>
      </c:layout>
      <c:overlay val="0"/>
      <c:spPr>
        <a:noFill/>
        <a:ln>
          <a:noFill/>
        </a:ln>
        <a:effectLst/>
      </c:spPr>
    </c:title>
    <c:autoTitleDeleted val="0"/>
    <c:plotArea>
      <c:layout/>
      <c:pieChart>
        <c:varyColors val="1"/>
        <c:ser>
          <c:idx val="0"/>
          <c:order val="0"/>
          <c:spPr/>
          <c:explosion val="0"/>
          <c:dPt>
            <c:idx val="0"/>
            <c:bubble3D val="0"/>
            <c:explosion val="11"/>
            <c:spPr>
              <a:solidFill>
                <a:schemeClr val="accent1"/>
              </a:solidFill>
              <a:ln w="19050">
                <a:solidFill>
                  <a:schemeClr val="lt1"/>
                </a:solidFill>
              </a:ln>
              <a:effectLst/>
            </c:spPr>
          </c:dPt>
          <c:dPt>
            <c:idx val="1"/>
            <c:bubble3D val="0"/>
            <c:spPr>
              <a:solidFill>
                <a:schemeClr val="bg1"/>
              </a:solidFill>
              <a:ln w="19050">
                <a:solidFill>
                  <a:schemeClr val="bg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99.</a:t>
                    </a:r>
                    <a:r>
                      <a:rPr lang="en-US" altLang="zh-CN"/>
                      <a:t>64</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a:t>
                    </a:r>
                    <a:r>
                      <a:rPr lang="en-US" altLang="zh-CN"/>
                      <a:t>36</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Sheet2!$B$9:$B$13</c:f>
              <c:strCache>
                <c:ptCount val="5"/>
                <c:pt idx="0">
                  <c:v>基本支出</c:v>
                </c:pt>
                <c:pt idx="1">
                  <c:v>项目支出</c:v>
                </c:pt>
              </c:strCache>
            </c:strRef>
          </c:cat>
          <c:val>
            <c:numRef>
              <c:f>Sheet2!$C$9:$C$13</c:f>
              <c:numCache>
                <c:formatCode>0.00%</c:formatCode>
                <c:ptCount val="5"/>
                <c:pt idx="0">
                  <c:v>0.9978</c:v>
                </c:pt>
                <c:pt idx="1">
                  <c:v>0.0022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egendEntry>
        <c:idx val="4"/>
        <c:delete val="1"/>
      </c:legendEntry>
      <c:layout>
        <c:manualLayout>
          <c:xMode val="edge"/>
          <c:yMode val="edge"/>
          <c:x val="0.0844444444444444"/>
          <c:y val="0.8197450340942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p>
        </c:rich>
      </c:tx>
      <c:layout>
        <c:manualLayout>
          <c:xMode val="edge"/>
          <c:yMode val="edge"/>
          <c:x val="0.300924280127977"/>
          <c:y val="0.00893655049151028"/>
        </c:manualLayout>
      </c:layout>
      <c:overlay val="0"/>
      <c:spPr>
        <a:noFill/>
        <a:ln>
          <a:noFill/>
        </a:ln>
        <a:effectLst/>
      </c:spPr>
    </c:title>
    <c:autoTitleDeleted val="0"/>
    <c:plotArea>
      <c:layout>
        <c:manualLayout>
          <c:layoutTarget val="inner"/>
          <c:xMode val="edge"/>
          <c:yMode val="edge"/>
          <c:x val="0.077747502270663"/>
          <c:y val="0.196821061986225"/>
          <c:w val="0.907425"/>
          <c:h val="0.7084"/>
        </c:manualLayout>
      </c:layout>
      <c:barChart>
        <c:barDir val="col"/>
        <c:grouping val="clustered"/>
        <c:varyColors val="0"/>
        <c:ser>
          <c:idx val="0"/>
          <c:order val="0"/>
          <c:tx>
            <c:strRef>
              <c:f>Sheet1!$B$1</c:f>
              <c:strCache>
                <c:ptCount val="1"/>
                <c:pt idx="0">
                  <c:v>收、支决算总计变动情况图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239.08</c:v>
                </c:pt>
                <c:pt idx="1">
                  <c:v>237.42</c:v>
                </c:pt>
              </c:numCache>
            </c:numRef>
          </c:val>
        </c:ser>
        <c:dLbls>
          <c:showLegendKey val="0"/>
          <c:showVal val="0"/>
          <c:showCatName val="0"/>
          <c:showSerName val="0"/>
          <c:showPercent val="0"/>
          <c:showBubbleSize val="0"/>
        </c:dLbls>
        <c:gapWidth val="219"/>
        <c:overlap val="-27"/>
        <c:axId val="885691340"/>
        <c:axId val="942327172"/>
      </c:barChart>
      <c:catAx>
        <c:axId val="8856913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2327172"/>
        <c:crosses val="autoZero"/>
        <c:auto val="1"/>
        <c:lblAlgn val="ctr"/>
        <c:lblOffset val="100"/>
        <c:noMultiLvlLbl val="0"/>
      </c:catAx>
      <c:valAx>
        <c:axId val="9423271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6913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一般公共预算财政支出决算变动情况（万元）</a:t>
            </a:r>
          </a:p>
        </c:rich>
      </c:tx>
      <c:layout>
        <c:manualLayout>
          <c:xMode val="edge"/>
          <c:yMode val="edge"/>
          <c:x val="0.300924280127977"/>
          <c:y val="0.00893655049151028"/>
        </c:manualLayout>
      </c:layout>
      <c:overlay val="0"/>
      <c:spPr>
        <a:noFill/>
        <a:ln>
          <a:noFill/>
        </a:ln>
        <a:effectLst/>
      </c:spPr>
    </c:title>
    <c:autoTitleDeleted val="0"/>
    <c:plotArea>
      <c:layout>
        <c:manualLayout>
          <c:layoutTarget val="inner"/>
          <c:xMode val="edge"/>
          <c:yMode val="edge"/>
          <c:x val="0.077747502270663"/>
          <c:y val="0.196821061986225"/>
          <c:w val="0.907425"/>
          <c:h val="0.7084"/>
        </c:manualLayout>
      </c:layout>
      <c:barChart>
        <c:barDir val="col"/>
        <c:grouping val="clustered"/>
        <c:varyColors val="0"/>
        <c:ser>
          <c:idx val="0"/>
          <c:order val="0"/>
          <c:tx>
            <c:strRef>
              <c:f>Sheet1!$B$1</c:f>
              <c:strCache>
                <c:ptCount val="1"/>
                <c:pt idx="0">
                  <c:v>收、支决算总计变动情况图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239.08</c:v>
                </c:pt>
                <c:pt idx="1">
                  <c:v>237.42</c:v>
                </c:pt>
              </c:numCache>
            </c:numRef>
          </c:val>
        </c:ser>
        <c:dLbls>
          <c:showLegendKey val="0"/>
          <c:showVal val="0"/>
          <c:showCatName val="0"/>
          <c:showSerName val="0"/>
          <c:showPercent val="0"/>
          <c:showBubbleSize val="0"/>
        </c:dLbls>
        <c:gapWidth val="219"/>
        <c:overlap val="-27"/>
        <c:axId val="885691340"/>
        <c:axId val="942327172"/>
      </c:barChart>
      <c:catAx>
        <c:axId val="8856913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2327172"/>
        <c:crosses val="autoZero"/>
        <c:auto val="1"/>
        <c:lblAlgn val="ctr"/>
        <c:lblOffset val="100"/>
        <c:noMultiLvlLbl val="0"/>
      </c:catAx>
      <c:valAx>
        <c:axId val="9423271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6913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bg1"/>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86.87</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5.21</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7.5</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0.42</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'[附件2：2021年单.xls]Sheet2'!$B$19:$B$22</c:f>
              <c:strCache>
                <c:ptCount val="4"/>
                <c:pt idx="0">
                  <c:v>社会保障和就业支出</c:v>
                </c:pt>
                <c:pt idx="1">
                  <c:v>卫生健康支出</c:v>
                </c:pt>
                <c:pt idx="2">
                  <c:v>住房保障支出</c:v>
                </c:pt>
                <c:pt idx="3">
                  <c:v>农林水支出</c:v>
                </c:pt>
              </c:strCache>
            </c:strRef>
          </c:cat>
          <c:val>
            <c:numRef>
              <c:f>'[附件2：2021年单.xls]Sheet2'!$C$19:$C$22</c:f>
              <c:numCache>
                <c:formatCode>0.00%</c:formatCode>
                <c:ptCount val="4"/>
                <c:pt idx="0">
                  <c:v>0.8617</c:v>
                </c:pt>
                <c:pt idx="1">
                  <c:v>0.0561</c:v>
                </c:pt>
                <c:pt idx="2" c:formatCode="0%">
                  <c:v>0.08</c:v>
                </c:pt>
                <c:pt idx="3">
                  <c:v>0.0022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26597222222222"/>
          <c:y val="0.83725910064239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8985</Words>
  <Characters>9805</Characters>
  <Lines>74</Lines>
  <Paragraphs>21</Paragraphs>
  <TotalTime>43</TotalTime>
  <ScaleCrop>false</ScaleCrop>
  <LinksUpToDate>false</LinksUpToDate>
  <CharactersWithSpaces>9961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Administrator</cp:lastModifiedBy>
  <cp:lastPrinted>2023-09-15T02:00:07Z</cp:lastPrinted>
  <dcterms:modified xsi:type="dcterms:W3CDTF">2023-09-15T02:09:43Z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2759181FDD5B4735B0C40FCC568E57E5_13</vt:lpwstr>
  </property>
</Properties>
</file>