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bookmarkStart w:id="1" w:name="_GoBack"/>
      <w:bookmarkEnd w:id="1"/>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方正小标宋简体" w:eastAsia="方正小标宋简体"/>
          <w:sz w:val="44"/>
          <w:szCs w:val="44"/>
        </w:rPr>
      </w:pPr>
      <w:bookmarkStart w:id="2" w:name="_Toc15377193"/>
      <w:bookmarkStart w:id="3" w:name="_Toc15378441"/>
      <w:bookmarkStart w:id="4" w:name="_Toc15396475"/>
      <w:bookmarkStart w:id="5" w:name="_Toc15377425"/>
      <w:bookmarkStart w:id="6" w:name="_Toc15396597"/>
      <w:r>
        <w:rPr>
          <w:rFonts w:ascii="方正小标宋简体" w:eastAsia="方正小标宋简体" w:hint="eastAsia"/>
          <w:sz w:val="44"/>
          <w:szCs w:val="44"/>
        </w:rPr>
        <w:t>2021年度</w:t>
      </w:r>
      <w:bookmarkStart w:id="7" w:name="_Toc15377426"/>
      <w:bookmarkStart w:id="8" w:name="_Toc15378442"/>
      <w:bookmarkStart w:id="9" w:name="_Toc15396476"/>
      <w:bookmarkStart w:id="10" w:name="_Toc15396598"/>
      <w:bookmarkStart w:id="11" w:name="_Toc15377194"/>
      <w:bookmarkEnd w:id="2"/>
      <w:bookmarkEnd w:id="3"/>
      <w:bookmarkEnd w:id="4"/>
      <w:bookmarkEnd w:id="5"/>
      <w:bookmarkEnd w:id="6"/>
      <w:r>
        <w:rPr>
          <w:rFonts w:ascii="方正小标宋简体" w:eastAsia="方正小标宋简体" w:hint="eastAsia"/>
          <w:sz w:val="44"/>
          <w:szCs w:val="44"/>
        </w:rPr>
        <w:t>四川省阿坝州</w:t>
      </w:r>
    </w:p>
    <w:p>
      <w:pPr>
        <w:jc w:val="center"/>
        <w:rPr>
          <w:rFonts w:ascii="方正小标宋简体" w:eastAsia="方正小标宋简体"/>
          <w:sz w:val="44"/>
          <w:szCs w:val="44"/>
        </w:rPr>
      </w:pPr>
      <w:r>
        <w:rPr>
          <w:rFonts w:ascii="方正小标宋简体" w:eastAsia="方正小标宋简体" w:hint="eastAsia"/>
          <w:sz w:val="44"/>
          <w:szCs w:val="44"/>
        </w:rPr>
        <w:t>茂县</w:t>
      </w:r>
      <w:bookmarkStart w:id="12" w:name="_Toc15306268"/>
      <w:bookmarkEnd w:id="0"/>
      <w:r>
        <w:rPr>
          <w:rFonts w:ascii="方正小标宋简体" w:eastAsia="方正小标宋简体" w:hint="eastAsia"/>
          <w:sz w:val="44"/>
          <w:szCs w:val="44"/>
        </w:rPr>
        <w:t>畜牧兽医服务中心畜牧工作站单位决算</w:t>
      </w:r>
      <w:bookmarkEnd w:id="7"/>
      <w:bookmarkEnd w:id="8"/>
      <w:bookmarkEnd w:id="9"/>
      <w:bookmarkEnd w:id="10"/>
      <w:bookmarkEnd w:id="11"/>
      <w:bookmarkEnd w:id="12"/>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Chars="200" w:left="420"/>
        <w:jc w:val="left"/>
        <w:rPr>
          <w:rFonts w:ascii="宋体" w:cs="仿宋_GB2312"/>
          <w:sz w:val="32"/>
          <w:szCs w:val="32"/>
        </w:rPr>
      </w:pPr>
      <w:r>
        <w:rPr>
          <w:rFonts w:ascii="宋体" w:cs="仿宋_GB2312" w:hint="eastAsia"/>
          <w:sz w:val="32"/>
          <w:szCs w:val="32"/>
        </w:rPr>
        <w:t>保密审查情况：</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w:t>
      </w:r>
      <w:r>
        <w:rPr>
          <w:rFonts w:ascii="宋体"/>
          <w:sz w:val="32"/>
          <w:szCs w:val="32"/>
        </w:rPr>
        <w:t xml:space="preserve"> </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t>目录</w:t>
      </w:r>
    </w:p>
    <w:p>
      <w:pPr>
        <w:pStyle w:val="23"/>
        <w:jc w:val="center"/>
        <w:rPr>
          <w:rFonts w:ascii="仿宋_GB2312" w:eastAsia="仿宋_GB2312"/>
          <w:b w:val="0"/>
          <w:bCs w:val="0"/>
          <w:sz w:val="32"/>
          <w:szCs w:val="32"/>
        </w:rPr>
      </w:pPr>
      <w:r>
        <w:rPr>
          <w:rFonts w:ascii="仿宋_GB2312" w:eastAsia="仿宋_GB2312" w:hint="eastAsia"/>
          <w:b w:val="0"/>
          <w:bCs w:val="0"/>
          <w:sz w:val="32"/>
          <w:szCs w:val="32"/>
        </w:rPr>
        <w:t>公开时间：2022年9月27日</w:t>
      </w:r>
    </w:p>
    <w:p>
      <w:pPr>
        <w:pStyle w:val="23"/>
        <w:tabs>
          <w:tab w:val="right" w:leader="dot" w:pos="8296"/>
        </w:tabs>
        <w:rPr>
          <w:rFonts w:ascii="仿宋_GB2312" w:eastAsia="仿宋_GB2312" w:cs="Arial"/>
          <w:b w:val="0"/>
          <w:bCs w:val="0"/>
          <w:caps w:val="0"/>
          <w:smallCaps w:val="0"/>
          <w:sz w:val="32"/>
          <w:szCs w:val="32"/>
        </w:rPr>
      </w:pPr>
      <w:r>
        <w:rPr>
          <w:rFonts w:ascii="仿宋_GB2312" w:eastAsia="仿宋_GB2312" w:hint="eastAsia"/>
          <w:b w:val="0"/>
          <w:bCs w:val="0"/>
          <w:caps w:val="0"/>
          <w:smallCaps/>
          <w:sz w:val="32"/>
          <w:szCs w:val="32"/>
        </w:rPr>
        <w:fldChar w:fldCharType="begin"/>
      </w:r>
      <w:r>
        <w:rPr>
          <w:rFonts w:ascii="仿宋_GB2312" w:eastAsia="仿宋_GB2312" w:hint="eastAsia"/>
          <w:b w:val="0"/>
          <w:bCs w:val="0"/>
          <w:caps w:val="0"/>
          <w:smallCaps/>
          <w:sz w:val="32"/>
          <w:szCs w:val="32"/>
        </w:rPr>
        <w:instrText xml:space="preserve"> TOC \o \u </w:instrText>
      </w:r>
      <w:r>
        <w:rPr>
          <w:rFonts w:ascii="仿宋_GB2312" w:eastAsia="仿宋_GB2312" w:hint="eastAsia"/>
          <w:b w:val="0"/>
          <w:bCs w:val="0"/>
          <w:caps w:val="0"/>
          <w:smallCaps/>
          <w:sz w:val="32"/>
          <w:szCs w:val="32"/>
        </w:rPr>
        <w:fldChar w:fldCharType="separate"/>
      </w:r>
      <w:r>
        <w:rPr>
          <w:rFonts w:ascii="仿宋_GB2312" w:eastAsia="仿宋_GB2312" w:hint="eastAsia"/>
          <w:b w:val="0"/>
          <w:bCs w:val="0"/>
          <w:sz w:val="32"/>
          <w:szCs w:val="32"/>
        </w:rPr>
        <w:t>第一部分 部门概况</w:t>
        <w:tab/>
      </w:r>
      <w:r>
        <w:rPr>
          <w:rFonts w:ascii="仿宋_GB2312" w:eastAsia="仿宋_GB2312" w:hint="eastAsia"/>
          <w:b w:val="0"/>
          <w:bCs w:val="0"/>
          <w:sz w:val="32"/>
          <w:szCs w:val="32"/>
        </w:rPr>
        <w:fldChar w:fldCharType="begin"/>
      </w:r>
      <w:r>
        <w:rPr>
          <w:rFonts w:ascii="仿宋_GB2312" w:eastAsia="仿宋_GB2312" w:hint="eastAsia"/>
          <w:b w:val="0"/>
          <w:bCs w:val="0"/>
          <w:sz w:val="32"/>
          <w:szCs w:val="32"/>
        </w:rPr>
        <w:instrText xml:space="preserve"> PAGEREF _Toc115080966 \h </w:instrText>
      </w:r>
      <w:r>
        <w:rPr>
          <w:rFonts w:ascii="仿宋_GB2312" w:eastAsia="仿宋_GB2312" w:hint="eastAsia"/>
          <w:b w:val="0"/>
          <w:bCs w:val="0"/>
          <w:sz w:val="32"/>
          <w:szCs w:val="32"/>
        </w:rPr>
        <w:fldChar w:fldCharType="separate"/>
      </w:r>
      <w:r>
        <w:rPr>
          <w:rFonts w:ascii="仿宋_GB2312" w:eastAsia="仿宋_GB2312"/>
          <w:b w:val="0"/>
          <w:bCs w:val="0"/>
          <w:sz w:val="32"/>
          <w:szCs w:val="32"/>
        </w:rPr>
        <w:t>5</w:t>
      </w:r>
      <w:r>
        <w:rPr>
          <w:rFonts w:ascii="仿宋_GB2312" w:eastAsia="仿宋_GB2312" w:hint="eastAsia"/>
          <w:b w:val="0"/>
          <w:bCs w:val="0"/>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color w:val="000000"/>
          <w:sz w:val="32"/>
          <w:szCs w:val="32"/>
        </w:rPr>
        <w:t>一、基</w:t>
      </w:r>
      <w:r>
        <w:rPr>
          <w:rFonts w:ascii="仿宋_GB2312" w:eastAsia="仿宋_GB2312" w:hint="eastAsia"/>
          <w:sz w:val="32"/>
          <w:szCs w:val="32"/>
        </w:rPr>
        <w:t>本职能及主要工作</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_Toc115080967 \h </w:instrText>
      </w:r>
      <w:r>
        <w:rPr>
          <w:rFonts w:ascii="仿宋_GB2312" w:eastAsia="仿宋_GB2312" w:hint="eastAsia"/>
          <w:sz w:val="32"/>
          <w:szCs w:val="32"/>
        </w:rPr>
        <w:fldChar w:fldCharType="separate"/>
      </w:r>
      <w:r>
        <w:rPr>
          <w:rFonts w:ascii="仿宋_GB2312" w:eastAsia="仿宋_GB2312"/>
          <w:sz w:val="32"/>
          <w:szCs w:val="32"/>
        </w:rPr>
        <w:t>5</w:t>
      </w:r>
      <w:r>
        <w:rPr>
          <w:rFonts w:ascii="仿宋_GB2312" w:eastAsia="仿宋_GB2312" w:hint="eastAsia"/>
          <w:sz w:val="32"/>
          <w:szCs w:val="32"/>
        </w:rPr>
        <w:fldChar w:fldCharType="end"/>
      </w:r>
    </w:p>
    <w:p>
      <w:pPr>
        <w:pStyle w:val="17"/>
        <w:tabs>
          <w:tab w:val="right" w:leader="dot" w:pos="8296"/>
        </w:tabs>
        <w:rPr>
          <w:rFonts w:ascii="仿宋_GB2312" w:eastAsia="仿宋_GB2312" w:cs="Arial"/>
          <w:i w:val="0"/>
          <w:iCs w:val="0"/>
          <w:sz w:val="32"/>
          <w:szCs w:val="32"/>
        </w:rPr>
      </w:pPr>
      <w:r>
        <w:rPr>
          <w:rFonts w:ascii="仿宋_GB2312" w:eastAsia="仿宋_GB2312" w:hint="eastAsia"/>
          <w:i w:val="0"/>
          <w:iCs w:val="0"/>
          <w:color w:val="000000"/>
          <w:sz w:val="32"/>
          <w:szCs w:val="32"/>
        </w:rPr>
        <w:t>（一）主要职能</w:t>
      </w:r>
      <w:r>
        <w:rPr>
          <w:rFonts w:ascii="仿宋_GB2312" w:eastAsia="仿宋_GB2312" w:hint="eastAsia"/>
          <w:i w:val="0"/>
          <w:iCs w:val="0"/>
          <w:sz w:val="32"/>
          <w:szCs w:val="32"/>
        </w:rPr>
        <w:tab/>
      </w:r>
      <w:r>
        <w:rPr>
          <w:rFonts w:ascii="仿宋_GB2312" w:eastAsia="仿宋_GB2312" w:hint="eastAsia"/>
          <w:i w:val="0"/>
          <w:iCs w:val="0"/>
          <w:sz w:val="32"/>
          <w:szCs w:val="32"/>
        </w:rPr>
        <w:fldChar w:fldCharType="begin"/>
      </w:r>
      <w:r>
        <w:rPr>
          <w:rFonts w:ascii="仿宋_GB2312" w:eastAsia="仿宋_GB2312" w:hint="eastAsia"/>
          <w:i w:val="0"/>
          <w:iCs w:val="0"/>
          <w:sz w:val="32"/>
          <w:szCs w:val="32"/>
        </w:rPr>
        <w:instrText xml:space="preserve"> PAGEREF _Toc115080968 \h </w:instrText>
      </w:r>
      <w:r>
        <w:rPr>
          <w:rFonts w:ascii="仿宋_GB2312" w:eastAsia="仿宋_GB2312" w:hint="eastAsia"/>
          <w:i w:val="0"/>
          <w:iCs w:val="0"/>
          <w:sz w:val="32"/>
          <w:szCs w:val="32"/>
        </w:rPr>
        <w:fldChar w:fldCharType="separate"/>
      </w:r>
      <w:r>
        <w:rPr>
          <w:rFonts w:ascii="仿宋_GB2312" w:eastAsia="仿宋_GB2312"/>
          <w:i w:val="0"/>
          <w:iCs w:val="0"/>
          <w:sz w:val="32"/>
          <w:szCs w:val="32"/>
        </w:rPr>
        <w:t>5</w:t>
      </w:r>
      <w:r>
        <w:rPr>
          <w:rFonts w:ascii="仿宋_GB2312" w:eastAsia="仿宋_GB2312" w:hint="eastAsia"/>
          <w:i w:val="0"/>
          <w:iCs w:val="0"/>
          <w:sz w:val="32"/>
          <w:szCs w:val="32"/>
        </w:rPr>
        <w:fldChar w:fldCharType="end"/>
      </w:r>
    </w:p>
    <w:p>
      <w:pPr>
        <w:pStyle w:val="17"/>
        <w:tabs>
          <w:tab w:val="right" w:leader="dot" w:pos="8296"/>
        </w:tabs>
        <w:rPr>
          <w:rFonts w:ascii="仿宋_GB2312" w:eastAsia="仿宋_GB2312" w:cs="Arial"/>
          <w:i w:val="0"/>
          <w:iCs w:val="0"/>
          <w:sz w:val="32"/>
          <w:szCs w:val="32"/>
        </w:rPr>
      </w:pPr>
      <w:r>
        <w:rPr>
          <w:rFonts w:ascii="仿宋_GB2312" w:eastAsia="仿宋_GB2312" w:hint="eastAsia"/>
          <w:i w:val="0"/>
          <w:iCs w:val="0"/>
          <w:color w:val="000000"/>
          <w:sz w:val="32"/>
          <w:szCs w:val="32"/>
        </w:rPr>
        <w:t>（二）2021年重点工作完成情况</w:t>
      </w:r>
      <w:r>
        <w:rPr>
          <w:rFonts w:ascii="仿宋_GB2312" w:eastAsia="仿宋_GB2312" w:hint="eastAsia"/>
          <w:i w:val="0"/>
          <w:iCs w:val="0"/>
          <w:sz w:val="32"/>
          <w:szCs w:val="32"/>
        </w:rPr>
        <w:tab/>
      </w:r>
      <w:r>
        <w:rPr>
          <w:rFonts w:ascii="仿宋_GB2312" w:eastAsia="仿宋_GB2312" w:hint="eastAsia"/>
          <w:i w:val="0"/>
          <w:iCs w:val="0"/>
          <w:sz w:val="32"/>
          <w:szCs w:val="32"/>
        </w:rPr>
        <w:fldChar w:fldCharType="begin"/>
      </w:r>
      <w:r>
        <w:rPr>
          <w:rFonts w:ascii="仿宋_GB2312" w:eastAsia="仿宋_GB2312" w:hint="eastAsia"/>
          <w:i w:val="0"/>
          <w:iCs w:val="0"/>
          <w:sz w:val="32"/>
          <w:szCs w:val="32"/>
        </w:rPr>
        <w:instrText xml:space="preserve"> PAGEREF _Toc115080969 \h </w:instrText>
      </w:r>
      <w:r>
        <w:rPr>
          <w:rFonts w:ascii="仿宋_GB2312" w:eastAsia="仿宋_GB2312" w:hint="eastAsia"/>
          <w:i w:val="0"/>
          <w:iCs w:val="0"/>
          <w:sz w:val="32"/>
          <w:szCs w:val="32"/>
        </w:rPr>
        <w:fldChar w:fldCharType="separate"/>
      </w:r>
      <w:r>
        <w:rPr>
          <w:rFonts w:ascii="仿宋_GB2312" w:eastAsia="仿宋_GB2312"/>
          <w:i w:val="0"/>
          <w:iCs w:val="0"/>
          <w:sz w:val="32"/>
          <w:szCs w:val="32"/>
        </w:rPr>
        <w:t>6</w:t>
      </w:r>
      <w:r>
        <w:rPr>
          <w:rFonts w:ascii="仿宋_GB2312" w:eastAsia="仿宋_GB2312" w:hint="eastAsia"/>
          <w:i w:val="0"/>
          <w:iCs w:val="0"/>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color w:val="000000"/>
          <w:sz w:val="32"/>
          <w:szCs w:val="32"/>
        </w:rPr>
        <w:t>二、机</w:t>
      </w:r>
      <w:r>
        <w:rPr>
          <w:rFonts w:ascii="仿宋_GB2312" w:eastAsia="仿宋_GB2312" w:hint="eastAsia"/>
          <w:sz w:val="32"/>
          <w:szCs w:val="32"/>
        </w:rPr>
        <w:t>构设置</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_Toc115080970 \h </w:instrText>
      </w:r>
      <w:r>
        <w:rPr>
          <w:rFonts w:ascii="仿宋_GB2312" w:eastAsia="仿宋_GB2312" w:hint="eastAsia"/>
          <w:sz w:val="32"/>
          <w:szCs w:val="32"/>
        </w:rPr>
        <w:fldChar w:fldCharType="separate"/>
      </w:r>
      <w:r>
        <w:rPr>
          <w:rFonts w:ascii="仿宋_GB2312" w:eastAsia="仿宋_GB2312"/>
          <w:sz w:val="32"/>
          <w:szCs w:val="32"/>
        </w:rPr>
        <w:t>6</w:t>
      </w:r>
      <w:r>
        <w:rPr>
          <w:rFonts w:ascii="仿宋_GB2312" w:eastAsia="仿宋_GB2312" w:hint="eastAsia"/>
          <w:sz w:val="32"/>
          <w:szCs w:val="32"/>
        </w:rPr>
        <w:fldChar w:fldCharType="end"/>
      </w:r>
    </w:p>
    <w:p>
      <w:pPr>
        <w:pStyle w:val="23"/>
        <w:tabs>
          <w:tab w:val="right" w:leader="dot" w:pos="8296"/>
        </w:tabs>
        <w:rPr>
          <w:rFonts w:ascii="仿宋_GB2312" w:eastAsia="仿宋_GB2312" w:cs="Arial"/>
          <w:b w:val="0"/>
          <w:bCs w:val="0"/>
          <w:caps w:val="0"/>
          <w:smallCaps w:val="0"/>
          <w:sz w:val="32"/>
          <w:szCs w:val="32"/>
        </w:rPr>
      </w:pPr>
      <w:r>
        <w:rPr>
          <w:rFonts w:ascii="仿宋_GB2312" w:eastAsia="仿宋_GB2312" w:hint="eastAsia"/>
          <w:b w:val="0"/>
          <w:bCs w:val="0"/>
          <w:color w:val="000000"/>
          <w:sz w:val="32"/>
          <w:szCs w:val="32"/>
        </w:rPr>
        <w:t xml:space="preserve">第二部分 </w:t>
      </w:r>
      <w:r>
        <w:rPr>
          <w:rFonts w:ascii="仿宋_GB2312" w:eastAsia="仿宋_GB2312" w:hint="eastAsia"/>
          <w:b w:val="0"/>
          <w:bCs w:val="0"/>
          <w:sz w:val="32"/>
          <w:szCs w:val="32"/>
        </w:rPr>
        <w:t>2021年度部门决算情况说明</w:t>
        <w:tab/>
      </w:r>
      <w:r>
        <w:rPr>
          <w:rFonts w:ascii="仿宋_GB2312" w:eastAsia="仿宋_GB2312" w:hint="eastAsia"/>
          <w:b w:val="0"/>
          <w:bCs w:val="0"/>
          <w:sz w:val="32"/>
          <w:szCs w:val="32"/>
        </w:rPr>
        <w:fldChar w:fldCharType="begin"/>
      </w:r>
      <w:r>
        <w:rPr>
          <w:rFonts w:ascii="仿宋_GB2312" w:eastAsia="仿宋_GB2312" w:hint="eastAsia"/>
          <w:b w:val="0"/>
          <w:bCs w:val="0"/>
          <w:sz w:val="32"/>
          <w:szCs w:val="32"/>
        </w:rPr>
        <w:instrText xml:space="preserve"> PAGEREF _Toc115080971 \h </w:instrText>
      </w:r>
      <w:r>
        <w:rPr>
          <w:rFonts w:ascii="仿宋_GB2312" w:eastAsia="仿宋_GB2312" w:hint="eastAsia"/>
          <w:b w:val="0"/>
          <w:bCs w:val="0"/>
          <w:sz w:val="32"/>
          <w:szCs w:val="32"/>
        </w:rPr>
        <w:fldChar w:fldCharType="separate"/>
      </w:r>
      <w:r>
        <w:rPr>
          <w:rFonts w:ascii="仿宋_GB2312" w:eastAsia="仿宋_GB2312"/>
          <w:b w:val="0"/>
          <w:bCs w:val="0"/>
          <w:sz w:val="32"/>
          <w:szCs w:val="32"/>
        </w:rPr>
        <w:t>7</w:t>
      </w:r>
      <w:r>
        <w:rPr>
          <w:rFonts w:ascii="仿宋_GB2312" w:eastAsia="仿宋_GB2312" w:hint="eastAsia"/>
          <w:b w:val="0"/>
          <w:bCs w:val="0"/>
          <w:sz w:val="32"/>
          <w:szCs w:val="32"/>
        </w:rPr>
        <w:fldChar w:fldCharType="end"/>
      </w:r>
    </w:p>
    <w:p>
      <w:pPr>
        <w:pStyle w:val="24"/>
        <w:tabs>
          <w:tab w:val="left" w:pos="840"/>
          <w:tab w:val="right" w:leader="dot" w:pos="8296"/>
        </w:tabs>
        <w:rPr>
          <w:rFonts w:ascii="仿宋_GB2312" w:eastAsia="仿宋_GB2312" w:cs="Arial"/>
          <w:caps w:val="0"/>
          <w:smallCaps w:val="0"/>
          <w:sz w:val="32"/>
          <w:szCs w:val="32"/>
        </w:rPr>
      </w:pPr>
      <w:r>
        <w:rPr>
          <w:rFonts w:ascii="仿宋_GB2312" w:eastAsia="仿宋_GB2312" w:hint="eastAsia"/>
          <w:sz w:val="32"/>
          <w:szCs w:val="32"/>
        </w:rPr>
        <w:t>一、</w:t>
      </w:r>
      <w:r>
        <w:rPr>
          <w:rFonts w:ascii="仿宋_GB2312" w:eastAsia="仿宋_GB2312" w:hint="eastAsia"/>
          <w:color w:val="000000"/>
          <w:sz w:val="32"/>
          <w:szCs w:val="32"/>
        </w:rPr>
        <w:t>收</w:t>
      </w:r>
      <w:r>
        <w:rPr>
          <w:rFonts w:ascii="仿宋_GB2312" w:eastAsia="仿宋_GB2312" w:hint="eastAsia"/>
          <w:sz w:val="32"/>
          <w:szCs w:val="32"/>
        </w:rPr>
        <w:t>入支出决算总体情况说明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_Toc115080972 \h </w:instrText>
      </w:r>
      <w:r>
        <w:rPr>
          <w:rFonts w:ascii="仿宋_GB2312" w:eastAsia="仿宋_GB2312" w:hint="eastAsia"/>
          <w:sz w:val="32"/>
          <w:szCs w:val="32"/>
        </w:rPr>
        <w:fldChar w:fldCharType="separate"/>
      </w:r>
      <w:r>
        <w:rPr>
          <w:rFonts w:ascii="仿宋_GB2312" w:eastAsia="仿宋_GB2312"/>
          <w:sz w:val="32"/>
          <w:szCs w:val="32"/>
        </w:rPr>
        <w:t>7</w:t>
      </w:r>
      <w:r>
        <w:rPr>
          <w:rFonts w:ascii="仿宋_GB2312" w:eastAsia="仿宋_GB2312" w:hint="eastAsia"/>
          <w:sz w:val="32"/>
          <w:szCs w:val="32"/>
        </w:rPr>
        <w:fldChar w:fldCharType="end"/>
      </w:r>
    </w:p>
    <w:p>
      <w:pPr>
        <w:pStyle w:val="24"/>
        <w:tabs>
          <w:tab w:val="left" w:pos="840"/>
          <w:tab w:val="right" w:leader="dot" w:pos="8296"/>
        </w:tabs>
        <w:rPr>
          <w:rFonts w:ascii="仿宋_GB2312" w:eastAsia="仿宋_GB2312" w:cs="Arial"/>
          <w:caps w:val="0"/>
          <w:smallCaps w:val="0"/>
          <w:sz w:val="32"/>
          <w:szCs w:val="32"/>
        </w:rPr>
      </w:pPr>
      <w:r>
        <w:rPr>
          <w:rFonts w:ascii="仿宋_GB2312" w:eastAsia="仿宋_GB2312" w:hint="eastAsia"/>
          <w:sz w:val="32"/>
          <w:szCs w:val="32"/>
        </w:rPr>
        <w:t>二、</w:t>
      </w:r>
      <w:r>
        <w:rPr>
          <w:rFonts w:ascii="仿宋_GB2312" w:eastAsia="仿宋_GB2312" w:hint="eastAsia"/>
          <w:color w:val="000000"/>
          <w:sz w:val="32"/>
          <w:szCs w:val="32"/>
        </w:rPr>
        <w:t>收</w:t>
      </w:r>
      <w:r>
        <w:rPr>
          <w:rFonts w:ascii="仿宋_GB2312" w:eastAsia="仿宋_GB2312" w:hint="eastAsia"/>
          <w:sz w:val="32"/>
          <w:szCs w:val="32"/>
        </w:rPr>
        <w:t>入决算情况说明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_Toc115080973 \h </w:instrText>
      </w:r>
      <w:r>
        <w:rPr>
          <w:rFonts w:ascii="仿宋_GB2312" w:eastAsia="仿宋_GB2312" w:hint="eastAsia"/>
          <w:sz w:val="32"/>
          <w:szCs w:val="32"/>
        </w:rPr>
        <w:fldChar w:fldCharType="separate"/>
      </w:r>
      <w:r>
        <w:rPr>
          <w:rFonts w:ascii="仿宋_GB2312" w:eastAsia="仿宋_GB2312"/>
          <w:sz w:val="32"/>
          <w:szCs w:val="32"/>
        </w:rPr>
        <w:t>7</w:t>
      </w:r>
      <w:r>
        <w:rPr>
          <w:rFonts w:ascii="仿宋_GB2312" w:eastAsia="仿宋_GB2312" w:hint="eastAsia"/>
          <w:sz w:val="32"/>
          <w:szCs w:val="32"/>
        </w:rPr>
        <w:fldChar w:fldCharType="end"/>
      </w:r>
    </w:p>
    <w:p>
      <w:pPr>
        <w:pStyle w:val="24"/>
        <w:tabs>
          <w:tab w:val="left" w:pos="840"/>
          <w:tab w:val="right" w:leader="dot" w:pos="8296"/>
        </w:tabs>
        <w:rPr>
          <w:rFonts w:ascii="仿宋_GB2312" w:eastAsia="仿宋_GB2312" w:cs="Arial"/>
          <w:caps w:val="0"/>
          <w:smallCaps w:val="0"/>
          <w:sz w:val="32"/>
          <w:szCs w:val="32"/>
        </w:rPr>
      </w:pPr>
      <w:r>
        <w:rPr>
          <w:rFonts w:ascii="仿宋_GB2312" w:eastAsia="仿宋_GB2312" w:hint="eastAsia"/>
          <w:sz w:val="32"/>
          <w:szCs w:val="32"/>
        </w:rPr>
        <w:t>三、</w:t>
      </w:r>
      <w:r>
        <w:rPr>
          <w:rFonts w:ascii="仿宋_GB2312" w:eastAsia="仿宋_GB2312" w:hint="eastAsia"/>
          <w:color w:val="000000"/>
          <w:sz w:val="32"/>
          <w:szCs w:val="32"/>
        </w:rPr>
        <w:t>支</w:t>
      </w:r>
      <w:r>
        <w:rPr>
          <w:rFonts w:ascii="仿宋_GB2312" w:eastAsia="仿宋_GB2312" w:hint="eastAsia"/>
          <w:sz w:val="32"/>
          <w:szCs w:val="32"/>
        </w:rPr>
        <w:t>出决算情况说明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_Toc115080974 \h </w:instrText>
      </w:r>
      <w:r>
        <w:rPr>
          <w:rFonts w:ascii="仿宋_GB2312" w:eastAsia="仿宋_GB2312" w:hint="eastAsia"/>
          <w:sz w:val="32"/>
          <w:szCs w:val="32"/>
        </w:rPr>
        <w:fldChar w:fldCharType="separate"/>
      </w:r>
      <w:r>
        <w:rPr>
          <w:rFonts w:ascii="仿宋_GB2312" w:eastAsia="仿宋_GB2312"/>
          <w:sz w:val="32"/>
          <w:szCs w:val="32"/>
        </w:rPr>
        <w:t>8</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color w:val="000000"/>
          <w:sz w:val="32"/>
          <w:szCs w:val="32"/>
        </w:rPr>
        <w:t>四、财</w:t>
      </w:r>
      <w:r>
        <w:rPr>
          <w:rFonts w:ascii="仿宋_GB2312" w:eastAsia="仿宋_GB2312" w:hint="eastAsia"/>
          <w:sz w:val="32"/>
          <w:szCs w:val="32"/>
        </w:rPr>
        <w:t>政拨款收入支出决算总体情况说明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_Toc115080975 \h </w:instrText>
      </w:r>
      <w:r>
        <w:rPr>
          <w:rFonts w:ascii="仿宋_GB2312" w:eastAsia="仿宋_GB2312" w:hint="eastAsia"/>
          <w:sz w:val="32"/>
          <w:szCs w:val="32"/>
        </w:rPr>
        <w:fldChar w:fldCharType="separate"/>
      </w:r>
      <w:r>
        <w:rPr>
          <w:rFonts w:ascii="仿宋_GB2312" w:eastAsia="仿宋_GB2312"/>
          <w:sz w:val="32"/>
          <w:szCs w:val="32"/>
        </w:rPr>
        <w:t>9</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color w:val="000000"/>
          <w:sz w:val="32"/>
          <w:szCs w:val="32"/>
        </w:rPr>
        <w:t>五、一</w:t>
      </w:r>
      <w:r>
        <w:rPr>
          <w:rFonts w:ascii="仿宋_GB2312" w:eastAsia="仿宋_GB2312" w:hint="eastAsia"/>
          <w:sz w:val="32"/>
          <w:szCs w:val="32"/>
        </w:rPr>
        <w:t>般公共预算财政拨款支出决算情况说明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_Toc115080976 \h </w:instrText>
      </w:r>
      <w:r>
        <w:rPr>
          <w:rFonts w:ascii="仿宋_GB2312" w:eastAsia="仿宋_GB2312" w:hint="eastAsia"/>
          <w:sz w:val="32"/>
          <w:szCs w:val="32"/>
        </w:rPr>
        <w:fldChar w:fldCharType="separate"/>
      </w:r>
      <w:r>
        <w:rPr>
          <w:rFonts w:ascii="仿宋_GB2312" w:eastAsia="仿宋_GB2312"/>
          <w:sz w:val="32"/>
          <w:szCs w:val="32"/>
        </w:rPr>
        <w:t>9</w:t>
      </w:r>
      <w:r>
        <w:rPr>
          <w:rFonts w:ascii="仿宋_GB2312" w:eastAsia="仿宋_GB2312" w:hint="eastAsia"/>
          <w:sz w:val="32"/>
          <w:szCs w:val="32"/>
        </w:rPr>
        <w:fldChar w:fldCharType="end"/>
      </w:r>
    </w:p>
    <w:p>
      <w:pPr>
        <w:pStyle w:val="17"/>
        <w:tabs>
          <w:tab w:val="right" w:leader="dot" w:pos="8296"/>
        </w:tabs>
        <w:rPr>
          <w:rFonts w:ascii="仿宋_GB2312" w:eastAsia="仿宋_GB2312" w:cs="Arial"/>
          <w:i w:val="0"/>
          <w:iCs w:val="0"/>
          <w:sz w:val="32"/>
          <w:szCs w:val="32"/>
        </w:rPr>
      </w:pPr>
      <w:r>
        <w:rPr>
          <w:rFonts w:ascii="仿宋_GB2312" w:eastAsia="仿宋_GB2312" w:hint="eastAsia"/>
          <w:i w:val="0"/>
          <w:iCs w:val="0"/>
          <w:color w:val="000000"/>
          <w:sz w:val="32"/>
          <w:szCs w:val="32"/>
        </w:rPr>
        <w:t>（一）一般公共预算财政拨款支出决算总体情况</w:t>
      </w:r>
      <w:r>
        <w:rPr>
          <w:rFonts w:ascii="仿宋_GB2312" w:eastAsia="仿宋_GB2312" w:hint="eastAsia"/>
          <w:i w:val="0"/>
          <w:iCs w:val="0"/>
          <w:sz w:val="32"/>
          <w:szCs w:val="32"/>
        </w:rPr>
        <w:tab/>
      </w:r>
      <w:r>
        <w:rPr>
          <w:rFonts w:ascii="仿宋_GB2312" w:eastAsia="仿宋_GB2312" w:hint="eastAsia"/>
          <w:i w:val="0"/>
          <w:iCs w:val="0"/>
          <w:sz w:val="32"/>
          <w:szCs w:val="32"/>
        </w:rPr>
        <w:fldChar w:fldCharType="begin"/>
      </w:r>
      <w:r>
        <w:rPr>
          <w:rFonts w:ascii="仿宋_GB2312" w:eastAsia="仿宋_GB2312" w:hint="eastAsia"/>
          <w:i w:val="0"/>
          <w:iCs w:val="0"/>
          <w:sz w:val="32"/>
          <w:szCs w:val="32"/>
        </w:rPr>
        <w:instrText xml:space="preserve"> PAGEREF _Toc115080977 \h </w:instrText>
      </w:r>
      <w:r>
        <w:rPr>
          <w:rFonts w:ascii="仿宋_GB2312" w:eastAsia="仿宋_GB2312" w:hint="eastAsia"/>
          <w:i w:val="0"/>
          <w:iCs w:val="0"/>
          <w:sz w:val="32"/>
          <w:szCs w:val="32"/>
        </w:rPr>
        <w:fldChar w:fldCharType="separate"/>
      </w:r>
      <w:r>
        <w:rPr>
          <w:rFonts w:ascii="仿宋_GB2312" w:eastAsia="仿宋_GB2312"/>
          <w:i w:val="0"/>
          <w:iCs w:val="0"/>
          <w:sz w:val="32"/>
          <w:szCs w:val="32"/>
        </w:rPr>
        <w:t>9</w:t>
      </w:r>
      <w:r>
        <w:rPr>
          <w:rFonts w:ascii="仿宋_GB2312" w:eastAsia="仿宋_GB2312" w:hint="eastAsia"/>
          <w:i w:val="0"/>
          <w:iCs w:val="0"/>
          <w:sz w:val="32"/>
          <w:szCs w:val="32"/>
        </w:rPr>
        <w:fldChar w:fldCharType="end"/>
      </w:r>
    </w:p>
    <w:p>
      <w:pPr>
        <w:pStyle w:val="17"/>
        <w:tabs>
          <w:tab w:val="right" w:leader="dot" w:pos="8296"/>
        </w:tabs>
        <w:rPr>
          <w:rFonts w:ascii="仿宋_GB2312" w:eastAsia="仿宋_GB2312" w:cs="Arial"/>
          <w:i w:val="0"/>
          <w:iCs w:val="0"/>
          <w:sz w:val="32"/>
          <w:szCs w:val="32"/>
        </w:rPr>
      </w:pPr>
      <w:r>
        <w:rPr>
          <w:rFonts w:ascii="仿宋_GB2312" w:eastAsia="仿宋_GB2312" w:hint="eastAsia"/>
          <w:i w:val="0"/>
          <w:iCs w:val="0"/>
          <w:color w:val="000000"/>
          <w:sz w:val="32"/>
          <w:szCs w:val="32"/>
        </w:rPr>
        <w:t>（二）一般公共预算财政拨款支出决算结构情况</w:t>
      </w:r>
      <w:r>
        <w:rPr>
          <w:rFonts w:ascii="仿宋_GB2312" w:eastAsia="仿宋_GB2312" w:hint="eastAsia"/>
          <w:i w:val="0"/>
          <w:iCs w:val="0"/>
          <w:sz w:val="32"/>
          <w:szCs w:val="32"/>
        </w:rPr>
        <w:tab/>
      </w:r>
      <w:r>
        <w:rPr>
          <w:rFonts w:ascii="仿宋_GB2312" w:eastAsia="仿宋_GB2312" w:hint="eastAsia"/>
          <w:i w:val="0"/>
          <w:iCs w:val="0"/>
          <w:sz w:val="32"/>
          <w:szCs w:val="32"/>
        </w:rPr>
        <w:fldChar w:fldCharType="begin"/>
      </w:r>
      <w:r>
        <w:rPr>
          <w:rFonts w:ascii="仿宋_GB2312" w:eastAsia="仿宋_GB2312" w:hint="eastAsia"/>
          <w:i w:val="0"/>
          <w:iCs w:val="0"/>
          <w:sz w:val="32"/>
          <w:szCs w:val="32"/>
        </w:rPr>
        <w:instrText xml:space="preserve"> PAGEREF _Toc115080978 \h </w:instrText>
      </w:r>
      <w:r>
        <w:rPr>
          <w:rFonts w:ascii="仿宋_GB2312" w:eastAsia="仿宋_GB2312" w:hint="eastAsia"/>
          <w:i w:val="0"/>
          <w:iCs w:val="0"/>
          <w:sz w:val="32"/>
          <w:szCs w:val="32"/>
        </w:rPr>
        <w:fldChar w:fldCharType="separate"/>
      </w:r>
      <w:r>
        <w:rPr>
          <w:rFonts w:ascii="仿宋_GB2312" w:eastAsia="仿宋_GB2312"/>
          <w:i w:val="0"/>
          <w:iCs w:val="0"/>
          <w:sz w:val="32"/>
          <w:szCs w:val="32"/>
        </w:rPr>
        <w:t>10</w:t>
      </w:r>
      <w:r>
        <w:rPr>
          <w:rFonts w:ascii="仿宋_GB2312" w:eastAsia="仿宋_GB2312" w:hint="eastAsia"/>
          <w:i w:val="0"/>
          <w:iCs w:val="0"/>
          <w:sz w:val="32"/>
          <w:szCs w:val="32"/>
        </w:rPr>
        <w:fldChar w:fldCharType="end"/>
      </w:r>
    </w:p>
    <w:p>
      <w:pPr>
        <w:pStyle w:val="17"/>
        <w:tabs>
          <w:tab w:val="right" w:leader="dot" w:pos="8296"/>
        </w:tabs>
        <w:rPr>
          <w:rFonts w:ascii="仿宋_GB2312" w:eastAsia="仿宋_GB2312" w:cs="Arial"/>
          <w:i w:val="0"/>
          <w:iCs w:val="0"/>
          <w:sz w:val="32"/>
          <w:szCs w:val="32"/>
        </w:rPr>
      </w:pPr>
      <w:r>
        <w:rPr>
          <w:rFonts w:ascii="仿宋_GB2312" w:eastAsia="仿宋_GB2312" w:hint="eastAsia"/>
          <w:i w:val="0"/>
          <w:iCs w:val="0"/>
          <w:color w:val="000000"/>
          <w:sz w:val="32"/>
          <w:szCs w:val="32"/>
        </w:rPr>
        <w:t>（三）一般公共预算财政拨款支出决算具体情况</w:t>
      </w:r>
      <w:r>
        <w:rPr>
          <w:rFonts w:ascii="仿宋_GB2312" w:eastAsia="仿宋_GB2312" w:hint="eastAsia"/>
          <w:i w:val="0"/>
          <w:iCs w:val="0"/>
          <w:sz w:val="32"/>
          <w:szCs w:val="32"/>
        </w:rPr>
        <w:tab/>
      </w:r>
      <w:r>
        <w:rPr>
          <w:rFonts w:ascii="仿宋_GB2312" w:eastAsia="仿宋_GB2312" w:hint="eastAsia"/>
          <w:i w:val="0"/>
          <w:iCs w:val="0"/>
          <w:sz w:val="32"/>
          <w:szCs w:val="32"/>
        </w:rPr>
        <w:fldChar w:fldCharType="begin"/>
      </w:r>
      <w:r>
        <w:rPr>
          <w:rFonts w:ascii="仿宋_GB2312" w:eastAsia="仿宋_GB2312" w:hint="eastAsia"/>
          <w:i w:val="0"/>
          <w:iCs w:val="0"/>
          <w:sz w:val="32"/>
          <w:szCs w:val="32"/>
        </w:rPr>
        <w:instrText xml:space="preserve"> PAGEREF _Toc115080979 \h </w:instrText>
      </w:r>
      <w:r>
        <w:rPr>
          <w:rFonts w:ascii="仿宋_GB2312" w:eastAsia="仿宋_GB2312" w:hint="eastAsia"/>
          <w:i w:val="0"/>
          <w:iCs w:val="0"/>
          <w:sz w:val="32"/>
          <w:szCs w:val="32"/>
        </w:rPr>
        <w:fldChar w:fldCharType="separate"/>
      </w:r>
      <w:r>
        <w:rPr>
          <w:rFonts w:ascii="仿宋_GB2312" w:eastAsia="仿宋_GB2312"/>
          <w:i w:val="0"/>
          <w:iCs w:val="0"/>
          <w:sz w:val="32"/>
          <w:szCs w:val="32"/>
        </w:rPr>
        <w:t>11</w:t>
      </w:r>
      <w:r>
        <w:rPr>
          <w:rFonts w:ascii="仿宋_GB2312" w:eastAsia="仿宋_GB2312" w:hint="eastAsia"/>
          <w:i w:val="0"/>
          <w:iCs w:val="0"/>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color w:val="000000"/>
          <w:sz w:val="32"/>
          <w:szCs w:val="32"/>
        </w:rPr>
        <w:t>六、一</w:t>
      </w:r>
      <w:r>
        <w:rPr>
          <w:rFonts w:ascii="仿宋_GB2312" w:eastAsia="仿宋_GB2312" w:hint="eastAsia"/>
          <w:sz w:val="32"/>
          <w:szCs w:val="32"/>
        </w:rPr>
        <w:t>般公共预算财政拨款基本支出决算情况说明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_Toc115080980 \h </w:instrText>
      </w:r>
      <w:r>
        <w:rPr>
          <w:rFonts w:ascii="仿宋_GB2312" w:eastAsia="仿宋_GB2312" w:hint="eastAsia"/>
          <w:sz w:val="32"/>
          <w:szCs w:val="32"/>
        </w:rPr>
        <w:fldChar w:fldCharType="separate"/>
      </w:r>
      <w:r>
        <w:rPr>
          <w:rFonts w:ascii="仿宋_GB2312" w:eastAsia="仿宋_GB2312"/>
          <w:sz w:val="32"/>
          <w:szCs w:val="32"/>
        </w:rPr>
        <w:t>11</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color w:val="000000"/>
          <w:sz w:val="32"/>
          <w:szCs w:val="32"/>
        </w:rPr>
        <w:t>七、</w:t>
      </w:r>
      <w:r>
        <w:rPr>
          <w:rFonts w:ascii="仿宋_GB2312" w:eastAsia="仿宋_GB2312" w:hint="eastAsia"/>
          <w:sz w:val="32"/>
          <w:szCs w:val="32"/>
        </w:rPr>
        <w:t>“三公”经费财政拨款支出决算情况说明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_Toc115080981 \h </w:instrText>
      </w:r>
      <w:r>
        <w:rPr>
          <w:rFonts w:ascii="仿宋_GB2312" w:eastAsia="仿宋_GB2312" w:hint="eastAsia"/>
          <w:sz w:val="32"/>
          <w:szCs w:val="32"/>
        </w:rPr>
        <w:fldChar w:fldCharType="separate"/>
      </w:r>
      <w:r>
        <w:rPr>
          <w:rFonts w:ascii="仿宋_GB2312" w:eastAsia="仿宋_GB2312"/>
          <w:sz w:val="32"/>
          <w:szCs w:val="32"/>
        </w:rPr>
        <w:t>12</w:t>
      </w:r>
      <w:r>
        <w:rPr>
          <w:rFonts w:ascii="仿宋_GB2312" w:eastAsia="仿宋_GB2312" w:hint="eastAsia"/>
          <w:sz w:val="32"/>
          <w:szCs w:val="32"/>
        </w:rPr>
        <w:fldChar w:fldCharType="end"/>
      </w:r>
    </w:p>
    <w:p>
      <w:pPr>
        <w:pStyle w:val="17"/>
        <w:tabs>
          <w:tab w:val="right" w:leader="dot" w:pos="8296"/>
        </w:tabs>
        <w:rPr>
          <w:rFonts w:ascii="仿宋_GB2312" w:eastAsia="仿宋_GB2312" w:cs="Arial"/>
          <w:i w:val="0"/>
          <w:iCs w:val="0"/>
          <w:sz w:val="32"/>
          <w:szCs w:val="32"/>
        </w:rPr>
      </w:pPr>
      <w:r>
        <w:rPr>
          <w:rFonts w:ascii="仿宋_GB2312" w:eastAsia="仿宋_GB2312" w:hint="eastAsia"/>
          <w:i w:val="0"/>
          <w:iCs w:val="0"/>
          <w:color w:val="000000"/>
          <w:sz w:val="32"/>
          <w:szCs w:val="32"/>
        </w:rPr>
        <w:t>（一）“三公”经费财政拨款支出决算总体情况说明</w:t>
      </w:r>
      <w:r>
        <w:rPr>
          <w:rFonts w:ascii="仿宋_GB2312" w:eastAsia="仿宋_GB2312" w:hint="eastAsia"/>
          <w:i w:val="0"/>
          <w:iCs w:val="0"/>
          <w:sz w:val="32"/>
          <w:szCs w:val="32"/>
        </w:rPr>
        <w:tab/>
      </w:r>
      <w:r>
        <w:rPr>
          <w:rFonts w:ascii="仿宋_GB2312" w:eastAsia="仿宋_GB2312" w:hint="eastAsia"/>
          <w:i w:val="0"/>
          <w:iCs w:val="0"/>
          <w:sz w:val="32"/>
          <w:szCs w:val="32"/>
        </w:rPr>
        <w:fldChar w:fldCharType="begin"/>
      </w:r>
      <w:r>
        <w:rPr>
          <w:rFonts w:ascii="仿宋_GB2312" w:eastAsia="仿宋_GB2312" w:hint="eastAsia"/>
          <w:i w:val="0"/>
          <w:iCs w:val="0"/>
          <w:sz w:val="32"/>
          <w:szCs w:val="32"/>
        </w:rPr>
        <w:instrText xml:space="preserve"> PAGEREF _Toc115080982 \h </w:instrText>
      </w:r>
      <w:r>
        <w:rPr>
          <w:rFonts w:ascii="仿宋_GB2312" w:eastAsia="仿宋_GB2312" w:hint="eastAsia"/>
          <w:i w:val="0"/>
          <w:iCs w:val="0"/>
          <w:sz w:val="32"/>
          <w:szCs w:val="32"/>
        </w:rPr>
        <w:fldChar w:fldCharType="separate"/>
      </w:r>
      <w:r>
        <w:rPr>
          <w:rFonts w:ascii="仿宋_GB2312" w:eastAsia="仿宋_GB2312"/>
          <w:i w:val="0"/>
          <w:iCs w:val="0"/>
          <w:sz w:val="32"/>
          <w:szCs w:val="32"/>
        </w:rPr>
        <w:t>12</w:t>
      </w:r>
      <w:r>
        <w:rPr>
          <w:rFonts w:ascii="仿宋_GB2312" w:eastAsia="仿宋_GB2312" w:hint="eastAsia"/>
          <w:i w:val="0"/>
          <w:iCs w:val="0"/>
          <w:sz w:val="32"/>
          <w:szCs w:val="32"/>
        </w:rPr>
        <w:fldChar w:fldCharType="end"/>
      </w:r>
    </w:p>
    <w:p>
      <w:pPr>
        <w:pStyle w:val="17"/>
        <w:tabs>
          <w:tab w:val="right" w:leader="dot" w:pos="8296"/>
        </w:tabs>
        <w:rPr>
          <w:rFonts w:ascii="仿宋_GB2312" w:eastAsia="仿宋_GB2312" w:cs="Arial"/>
          <w:i w:val="0"/>
          <w:iCs w:val="0"/>
          <w:sz w:val="32"/>
          <w:szCs w:val="32"/>
        </w:rPr>
      </w:pPr>
      <w:r>
        <w:rPr>
          <w:rFonts w:ascii="仿宋_GB2312" w:eastAsia="仿宋_GB2312" w:hint="eastAsia"/>
          <w:i w:val="0"/>
          <w:iCs w:val="0"/>
          <w:color w:val="000000"/>
          <w:sz w:val="32"/>
          <w:szCs w:val="32"/>
        </w:rPr>
        <w:t>（二）“三公”经费财政拨款支出决算具体情况说明</w:t>
      </w:r>
      <w:r>
        <w:rPr>
          <w:rFonts w:ascii="仿宋_GB2312" w:eastAsia="仿宋_GB2312" w:hint="eastAsia"/>
          <w:i w:val="0"/>
          <w:iCs w:val="0"/>
          <w:sz w:val="32"/>
          <w:szCs w:val="32"/>
        </w:rPr>
        <w:tab/>
      </w:r>
      <w:r>
        <w:rPr>
          <w:rFonts w:ascii="仿宋_GB2312" w:eastAsia="仿宋_GB2312" w:hint="eastAsia"/>
          <w:i w:val="0"/>
          <w:iCs w:val="0"/>
          <w:sz w:val="32"/>
          <w:szCs w:val="32"/>
        </w:rPr>
        <w:fldChar w:fldCharType="begin"/>
      </w:r>
      <w:r>
        <w:rPr>
          <w:rFonts w:ascii="仿宋_GB2312" w:eastAsia="仿宋_GB2312" w:hint="eastAsia"/>
          <w:i w:val="0"/>
          <w:iCs w:val="0"/>
          <w:sz w:val="32"/>
          <w:szCs w:val="32"/>
        </w:rPr>
        <w:instrText xml:space="preserve"> PAGEREF _Toc115080983 \h </w:instrText>
      </w:r>
      <w:r>
        <w:rPr>
          <w:rFonts w:ascii="仿宋_GB2312" w:eastAsia="仿宋_GB2312" w:hint="eastAsia"/>
          <w:i w:val="0"/>
          <w:iCs w:val="0"/>
          <w:sz w:val="32"/>
          <w:szCs w:val="32"/>
        </w:rPr>
        <w:fldChar w:fldCharType="separate"/>
      </w:r>
      <w:r>
        <w:rPr>
          <w:rFonts w:ascii="仿宋_GB2312" w:eastAsia="仿宋_GB2312"/>
          <w:i w:val="0"/>
          <w:iCs w:val="0"/>
          <w:sz w:val="32"/>
          <w:szCs w:val="32"/>
        </w:rPr>
        <w:t>12</w:t>
      </w:r>
      <w:r>
        <w:rPr>
          <w:rFonts w:ascii="仿宋_GB2312" w:eastAsia="仿宋_GB2312" w:hint="eastAsia"/>
          <w:i w:val="0"/>
          <w:iCs w:val="0"/>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color w:val="000000"/>
          <w:sz w:val="32"/>
          <w:szCs w:val="32"/>
        </w:rPr>
        <w:t>八、</w:t>
      </w:r>
      <w:r>
        <w:rPr>
          <w:rFonts w:ascii="仿宋_GB2312" w:eastAsia="仿宋_GB2312" w:hint="eastAsia"/>
          <w:sz w:val="32"/>
          <w:szCs w:val="32"/>
        </w:rPr>
        <w:t>政府性基金预算支出决算情况说明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_Toc115080984 \h </w:instrText>
      </w:r>
      <w:r>
        <w:rPr>
          <w:rFonts w:ascii="仿宋_GB2312" w:eastAsia="仿宋_GB2312" w:hint="eastAsia"/>
          <w:sz w:val="32"/>
          <w:szCs w:val="32"/>
        </w:rPr>
        <w:fldChar w:fldCharType="separate"/>
      </w:r>
      <w:r>
        <w:rPr>
          <w:rFonts w:ascii="仿宋_GB2312" w:eastAsia="仿宋_GB2312"/>
          <w:sz w:val="32"/>
          <w:szCs w:val="32"/>
        </w:rPr>
        <w:t>14</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九、 国有资本经营预算支出决算情况说明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_Toc115080985 \h </w:instrText>
      </w:r>
      <w:r>
        <w:rPr>
          <w:rFonts w:ascii="仿宋_GB2312" w:eastAsia="仿宋_GB2312" w:hint="eastAsia"/>
          <w:sz w:val="32"/>
          <w:szCs w:val="32"/>
        </w:rPr>
        <w:fldChar w:fldCharType="separate"/>
      </w:r>
      <w:r>
        <w:rPr>
          <w:rFonts w:ascii="仿宋_GB2312" w:eastAsia="仿宋_GB2312"/>
          <w:sz w:val="32"/>
          <w:szCs w:val="32"/>
        </w:rPr>
        <w:t>14</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color w:val="000000"/>
          <w:sz w:val="32"/>
          <w:szCs w:val="32"/>
        </w:rPr>
        <w:t>十</w:t>
      </w:r>
      <w:r>
        <w:rPr>
          <w:rFonts w:ascii="仿宋_GB2312" w:eastAsia="仿宋_GB2312" w:hint="eastAsia"/>
          <w:sz w:val="32"/>
          <w:szCs w:val="32"/>
        </w:rPr>
        <w:t>、其他重要事项的情况说明</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_Toc115080986 \h </w:instrText>
      </w:r>
      <w:r>
        <w:rPr>
          <w:rFonts w:ascii="仿宋_GB2312" w:eastAsia="仿宋_GB2312" w:hint="eastAsia"/>
          <w:sz w:val="32"/>
          <w:szCs w:val="32"/>
        </w:rPr>
        <w:fldChar w:fldCharType="separate"/>
      </w:r>
      <w:r>
        <w:rPr>
          <w:rFonts w:ascii="仿宋_GB2312" w:eastAsia="仿宋_GB2312"/>
          <w:sz w:val="32"/>
          <w:szCs w:val="32"/>
        </w:rPr>
        <w:t>14</w:t>
      </w:r>
      <w:r>
        <w:rPr>
          <w:rFonts w:ascii="仿宋_GB2312" w:eastAsia="仿宋_GB2312" w:hint="eastAsia"/>
          <w:sz w:val="32"/>
          <w:szCs w:val="32"/>
        </w:rPr>
        <w:fldChar w:fldCharType="end"/>
      </w:r>
    </w:p>
    <w:p>
      <w:pPr>
        <w:pStyle w:val="17"/>
        <w:tabs>
          <w:tab w:val="right" w:leader="dot" w:pos="8296"/>
        </w:tabs>
        <w:rPr>
          <w:rFonts w:ascii="仿宋_GB2312" w:eastAsia="仿宋_GB2312" w:cs="Arial"/>
          <w:i w:val="0"/>
          <w:iCs w:val="0"/>
          <w:sz w:val="32"/>
          <w:szCs w:val="32"/>
        </w:rPr>
      </w:pPr>
      <w:r>
        <w:rPr>
          <w:rFonts w:ascii="仿宋_GB2312" w:eastAsia="仿宋_GB2312" w:hint="eastAsia"/>
          <w:i w:val="0"/>
          <w:iCs w:val="0"/>
          <w:color w:val="000000"/>
          <w:sz w:val="32"/>
          <w:szCs w:val="32"/>
        </w:rPr>
        <w:t>（一）机关运行经费支出情况</w:t>
      </w:r>
      <w:r>
        <w:rPr>
          <w:rFonts w:ascii="仿宋_GB2312" w:eastAsia="仿宋_GB2312" w:hint="eastAsia"/>
          <w:i w:val="0"/>
          <w:iCs w:val="0"/>
          <w:sz w:val="32"/>
          <w:szCs w:val="32"/>
        </w:rPr>
        <w:tab/>
      </w:r>
      <w:r>
        <w:rPr>
          <w:rFonts w:ascii="仿宋_GB2312" w:eastAsia="仿宋_GB2312" w:hint="eastAsia"/>
          <w:i w:val="0"/>
          <w:iCs w:val="0"/>
          <w:sz w:val="32"/>
          <w:szCs w:val="32"/>
        </w:rPr>
        <w:fldChar w:fldCharType="begin"/>
      </w:r>
      <w:r>
        <w:rPr>
          <w:rFonts w:ascii="仿宋_GB2312" w:eastAsia="仿宋_GB2312" w:hint="eastAsia"/>
          <w:i w:val="0"/>
          <w:iCs w:val="0"/>
          <w:sz w:val="32"/>
          <w:szCs w:val="32"/>
        </w:rPr>
        <w:instrText xml:space="preserve"> PAGEREF _Toc115080987 \h </w:instrText>
      </w:r>
      <w:r>
        <w:rPr>
          <w:rFonts w:ascii="仿宋_GB2312" w:eastAsia="仿宋_GB2312" w:hint="eastAsia"/>
          <w:i w:val="0"/>
          <w:iCs w:val="0"/>
          <w:sz w:val="32"/>
          <w:szCs w:val="32"/>
        </w:rPr>
        <w:fldChar w:fldCharType="separate"/>
      </w:r>
      <w:r>
        <w:rPr>
          <w:rFonts w:ascii="仿宋_GB2312" w:eastAsia="仿宋_GB2312"/>
          <w:i w:val="0"/>
          <w:iCs w:val="0"/>
          <w:sz w:val="32"/>
          <w:szCs w:val="32"/>
        </w:rPr>
        <w:t>14</w:t>
      </w:r>
      <w:r>
        <w:rPr>
          <w:rFonts w:ascii="仿宋_GB2312" w:eastAsia="仿宋_GB2312" w:hint="eastAsia"/>
          <w:i w:val="0"/>
          <w:iCs w:val="0"/>
          <w:sz w:val="32"/>
          <w:szCs w:val="32"/>
        </w:rPr>
        <w:fldChar w:fldCharType="end"/>
      </w:r>
    </w:p>
    <w:p>
      <w:pPr>
        <w:pStyle w:val="17"/>
        <w:tabs>
          <w:tab w:val="right" w:leader="dot" w:pos="8296"/>
        </w:tabs>
        <w:rPr>
          <w:rFonts w:ascii="仿宋_GB2312" w:eastAsia="仿宋_GB2312" w:cs="Arial"/>
          <w:i w:val="0"/>
          <w:iCs w:val="0"/>
          <w:sz w:val="32"/>
          <w:szCs w:val="32"/>
        </w:rPr>
      </w:pPr>
      <w:r>
        <w:rPr>
          <w:rFonts w:ascii="仿宋_GB2312" w:eastAsia="仿宋_GB2312" w:hint="eastAsia"/>
          <w:i w:val="0"/>
          <w:iCs w:val="0"/>
          <w:color w:val="000000"/>
          <w:sz w:val="32"/>
          <w:szCs w:val="32"/>
        </w:rPr>
        <w:t>（二）政府采购支出情况</w:t>
      </w:r>
      <w:r>
        <w:rPr>
          <w:rFonts w:ascii="仿宋_GB2312" w:eastAsia="仿宋_GB2312" w:hint="eastAsia"/>
          <w:i w:val="0"/>
          <w:iCs w:val="0"/>
          <w:sz w:val="32"/>
          <w:szCs w:val="32"/>
        </w:rPr>
        <w:tab/>
      </w:r>
      <w:r>
        <w:rPr>
          <w:rFonts w:ascii="仿宋_GB2312" w:eastAsia="仿宋_GB2312" w:hint="eastAsia"/>
          <w:i w:val="0"/>
          <w:iCs w:val="0"/>
          <w:sz w:val="32"/>
          <w:szCs w:val="32"/>
        </w:rPr>
        <w:fldChar w:fldCharType="begin"/>
      </w:r>
      <w:r>
        <w:rPr>
          <w:rFonts w:ascii="仿宋_GB2312" w:eastAsia="仿宋_GB2312" w:hint="eastAsia"/>
          <w:i w:val="0"/>
          <w:iCs w:val="0"/>
          <w:sz w:val="32"/>
          <w:szCs w:val="32"/>
        </w:rPr>
        <w:instrText xml:space="preserve"> PAGEREF _Toc115080988 \h </w:instrText>
      </w:r>
      <w:r>
        <w:rPr>
          <w:rFonts w:ascii="仿宋_GB2312" w:eastAsia="仿宋_GB2312" w:hint="eastAsia"/>
          <w:i w:val="0"/>
          <w:iCs w:val="0"/>
          <w:sz w:val="32"/>
          <w:szCs w:val="32"/>
        </w:rPr>
        <w:fldChar w:fldCharType="separate"/>
      </w:r>
      <w:r>
        <w:rPr>
          <w:rFonts w:ascii="仿宋_GB2312" w:eastAsia="仿宋_GB2312"/>
          <w:i w:val="0"/>
          <w:iCs w:val="0"/>
          <w:sz w:val="32"/>
          <w:szCs w:val="32"/>
        </w:rPr>
        <w:t>14</w:t>
      </w:r>
      <w:r>
        <w:rPr>
          <w:rFonts w:ascii="仿宋_GB2312" w:eastAsia="仿宋_GB2312" w:hint="eastAsia"/>
          <w:i w:val="0"/>
          <w:iCs w:val="0"/>
          <w:sz w:val="32"/>
          <w:szCs w:val="32"/>
        </w:rPr>
        <w:fldChar w:fldCharType="end"/>
      </w:r>
    </w:p>
    <w:p>
      <w:pPr>
        <w:pStyle w:val="17"/>
        <w:tabs>
          <w:tab w:val="right" w:leader="dot" w:pos="8296"/>
        </w:tabs>
        <w:rPr>
          <w:rFonts w:ascii="仿宋_GB2312" w:eastAsia="仿宋_GB2312" w:cs="Arial"/>
          <w:i w:val="0"/>
          <w:iCs w:val="0"/>
          <w:sz w:val="32"/>
          <w:szCs w:val="32"/>
        </w:rPr>
      </w:pPr>
      <w:r>
        <w:rPr>
          <w:rFonts w:ascii="仿宋_GB2312" w:eastAsia="仿宋_GB2312" w:hint="eastAsia"/>
          <w:i w:val="0"/>
          <w:iCs w:val="0"/>
          <w:color w:val="000000"/>
          <w:sz w:val="32"/>
          <w:szCs w:val="32"/>
        </w:rPr>
        <w:t>（三）国有资产占有使用情况</w:t>
      </w:r>
      <w:r>
        <w:rPr>
          <w:rFonts w:ascii="仿宋_GB2312" w:eastAsia="仿宋_GB2312" w:hint="eastAsia"/>
          <w:i w:val="0"/>
          <w:iCs w:val="0"/>
          <w:sz w:val="32"/>
          <w:szCs w:val="32"/>
        </w:rPr>
        <w:tab/>
      </w:r>
      <w:r>
        <w:rPr>
          <w:rFonts w:ascii="仿宋_GB2312" w:eastAsia="仿宋_GB2312" w:hint="eastAsia"/>
          <w:i w:val="0"/>
          <w:iCs w:val="0"/>
          <w:sz w:val="32"/>
          <w:szCs w:val="32"/>
        </w:rPr>
        <w:fldChar w:fldCharType="begin"/>
      </w:r>
      <w:r>
        <w:rPr>
          <w:rFonts w:ascii="仿宋_GB2312" w:eastAsia="仿宋_GB2312" w:hint="eastAsia"/>
          <w:i w:val="0"/>
          <w:iCs w:val="0"/>
          <w:sz w:val="32"/>
          <w:szCs w:val="32"/>
        </w:rPr>
        <w:instrText xml:space="preserve"> PAGEREF _Toc115080989 \h </w:instrText>
      </w:r>
      <w:r>
        <w:rPr>
          <w:rFonts w:ascii="仿宋_GB2312" w:eastAsia="仿宋_GB2312" w:hint="eastAsia"/>
          <w:i w:val="0"/>
          <w:iCs w:val="0"/>
          <w:sz w:val="32"/>
          <w:szCs w:val="32"/>
        </w:rPr>
        <w:fldChar w:fldCharType="separate"/>
      </w:r>
      <w:r>
        <w:rPr>
          <w:rFonts w:ascii="仿宋_GB2312" w:eastAsia="仿宋_GB2312"/>
          <w:i w:val="0"/>
          <w:iCs w:val="0"/>
          <w:sz w:val="32"/>
          <w:szCs w:val="32"/>
        </w:rPr>
        <w:t>14</w:t>
      </w:r>
      <w:r>
        <w:rPr>
          <w:rFonts w:ascii="仿宋_GB2312" w:eastAsia="仿宋_GB2312" w:hint="eastAsia"/>
          <w:i w:val="0"/>
          <w:iCs w:val="0"/>
          <w:sz w:val="32"/>
          <w:szCs w:val="32"/>
        </w:rPr>
        <w:fldChar w:fldCharType="end"/>
      </w:r>
    </w:p>
    <w:p>
      <w:pPr>
        <w:pStyle w:val="17"/>
        <w:tabs>
          <w:tab w:val="right" w:leader="dot" w:pos="8296"/>
        </w:tabs>
        <w:rPr>
          <w:rFonts w:ascii="仿宋_GB2312" w:eastAsia="仿宋_GB2312" w:cs="Arial"/>
          <w:i w:val="0"/>
          <w:iCs w:val="0"/>
          <w:sz w:val="32"/>
          <w:szCs w:val="32"/>
        </w:rPr>
      </w:pPr>
      <w:r>
        <w:rPr>
          <w:rFonts w:ascii="仿宋_GB2312" w:eastAsia="仿宋_GB2312" w:hint="eastAsia"/>
          <w:i w:val="0"/>
          <w:iCs w:val="0"/>
          <w:color w:val="000000"/>
          <w:sz w:val="32"/>
          <w:szCs w:val="32"/>
        </w:rPr>
        <w:t>（四）预算绩效管理情况</w:t>
      </w:r>
      <w:r>
        <w:rPr>
          <w:rFonts w:ascii="仿宋_GB2312" w:eastAsia="仿宋_GB2312" w:hint="eastAsia"/>
          <w:i w:val="0"/>
          <w:iCs w:val="0"/>
          <w:sz w:val="32"/>
          <w:szCs w:val="32"/>
        </w:rPr>
        <w:tab/>
      </w:r>
      <w:r>
        <w:rPr>
          <w:rFonts w:ascii="仿宋_GB2312" w:eastAsia="仿宋_GB2312" w:hint="eastAsia"/>
          <w:i w:val="0"/>
          <w:iCs w:val="0"/>
          <w:sz w:val="32"/>
          <w:szCs w:val="32"/>
        </w:rPr>
        <w:fldChar w:fldCharType="begin"/>
      </w:r>
      <w:r>
        <w:rPr>
          <w:rFonts w:ascii="仿宋_GB2312" w:eastAsia="仿宋_GB2312" w:hint="eastAsia"/>
          <w:i w:val="0"/>
          <w:iCs w:val="0"/>
          <w:sz w:val="32"/>
          <w:szCs w:val="32"/>
        </w:rPr>
        <w:instrText xml:space="preserve"> PAGEREF _Toc115080990 \h </w:instrText>
      </w:r>
      <w:r>
        <w:rPr>
          <w:rFonts w:ascii="仿宋_GB2312" w:eastAsia="仿宋_GB2312" w:hint="eastAsia"/>
          <w:i w:val="0"/>
          <w:iCs w:val="0"/>
          <w:sz w:val="32"/>
          <w:szCs w:val="32"/>
        </w:rPr>
        <w:fldChar w:fldCharType="separate"/>
      </w:r>
      <w:r>
        <w:rPr>
          <w:rFonts w:ascii="仿宋_GB2312" w:eastAsia="仿宋_GB2312"/>
          <w:i w:val="0"/>
          <w:iCs w:val="0"/>
          <w:sz w:val="32"/>
          <w:szCs w:val="32"/>
        </w:rPr>
        <w:t>15</w:t>
      </w:r>
      <w:r>
        <w:rPr>
          <w:rFonts w:ascii="仿宋_GB2312" w:eastAsia="仿宋_GB2312" w:hint="eastAsia"/>
          <w:i w:val="0"/>
          <w:iCs w:val="0"/>
          <w:sz w:val="32"/>
          <w:szCs w:val="32"/>
        </w:rPr>
        <w:fldChar w:fldCharType="end"/>
      </w:r>
    </w:p>
    <w:p>
      <w:pPr>
        <w:pStyle w:val="23"/>
        <w:tabs>
          <w:tab w:val="right" w:leader="dot" w:pos="8296"/>
        </w:tabs>
        <w:rPr>
          <w:rFonts w:ascii="仿宋_GB2312" w:eastAsia="仿宋_GB2312" w:cs="Arial"/>
          <w:b w:val="0"/>
          <w:bCs w:val="0"/>
          <w:caps w:val="0"/>
          <w:smallCaps w:val="0"/>
          <w:sz w:val="32"/>
          <w:szCs w:val="32"/>
        </w:rPr>
      </w:pPr>
      <w:r>
        <w:rPr>
          <w:rFonts w:ascii="仿宋_GB2312" w:eastAsia="仿宋_GB2312" w:hint="eastAsia"/>
          <w:b w:val="0"/>
          <w:bCs w:val="0"/>
          <w:kern w:val="44"/>
          <w:sz w:val="32"/>
          <w:szCs w:val="32"/>
        </w:rPr>
        <w:t>第三部分</w:t>
      </w:r>
      <w:r>
        <w:rPr>
          <w:rFonts w:ascii="仿宋_GB2312" w:eastAsia="仿宋_GB2312" w:hint="eastAsia"/>
          <w:b w:val="0"/>
          <w:bCs w:val="0"/>
          <w:color w:val="000000"/>
          <w:sz w:val="32"/>
          <w:szCs w:val="32"/>
        </w:rPr>
        <w:t xml:space="preserve"> 名</w:t>
      </w:r>
      <w:r>
        <w:rPr>
          <w:rFonts w:ascii="仿宋_GB2312" w:eastAsia="仿宋_GB2312" w:hint="eastAsia"/>
          <w:b w:val="0"/>
          <w:bCs w:val="0"/>
          <w:kern w:val="44"/>
          <w:sz w:val="32"/>
          <w:szCs w:val="32"/>
        </w:rPr>
        <w:t>词解释</w:t>
      </w:r>
      <w:r>
        <w:rPr>
          <w:rFonts w:ascii="仿宋_GB2312" w:eastAsia="仿宋_GB2312" w:hint="eastAsia"/>
          <w:b w:val="0"/>
          <w:bCs w:val="0"/>
          <w:sz w:val="32"/>
          <w:szCs w:val="32"/>
        </w:rPr>
        <w:tab/>
      </w:r>
      <w:r>
        <w:rPr>
          <w:rFonts w:ascii="仿宋_GB2312" w:eastAsia="仿宋_GB2312" w:hint="eastAsia"/>
          <w:b w:val="0"/>
          <w:bCs w:val="0"/>
          <w:sz w:val="32"/>
          <w:szCs w:val="32"/>
        </w:rPr>
        <w:fldChar w:fldCharType="begin"/>
      </w:r>
      <w:r>
        <w:rPr>
          <w:rFonts w:ascii="仿宋_GB2312" w:eastAsia="仿宋_GB2312" w:hint="eastAsia"/>
          <w:b w:val="0"/>
          <w:bCs w:val="0"/>
          <w:sz w:val="32"/>
          <w:szCs w:val="32"/>
        </w:rPr>
        <w:instrText xml:space="preserve"> PAGEREF _Toc115080991 \h </w:instrText>
      </w:r>
      <w:r>
        <w:rPr>
          <w:rFonts w:ascii="仿宋_GB2312" w:eastAsia="仿宋_GB2312" w:hint="eastAsia"/>
          <w:b w:val="0"/>
          <w:bCs w:val="0"/>
          <w:sz w:val="32"/>
          <w:szCs w:val="32"/>
        </w:rPr>
        <w:fldChar w:fldCharType="separate"/>
      </w:r>
      <w:r>
        <w:rPr>
          <w:rFonts w:ascii="仿宋_GB2312" w:eastAsia="仿宋_GB2312"/>
          <w:b w:val="0"/>
          <w:bCs w:val="0"/>
          <w:sz w:val="32"/>
          <w:szCs w:val="32"/>
        </w:rPr>
        <w:t>16</w:t>
      </w:r>
      <w:r>
        <w:rPr>
          <w:rFonts w:ascii="仿宋_GB2312" w:eastAsia="仿宋_GB2312" w:hint="eastAsia"/>
          <w:b w:val="0"/>
          <w:bCs w:val="0"/>
          <w:sz w:val="32"/>
          <w:szCs w:val="32"/>
        </w:rPr>
        <w:fldChar w:fldCharType="end"/>
      </w:r>
    </w:p>
    <w:p>
      <w:pPr>
        <w:pStyle w:val="23"/>
        <w:tabs>
          <w:tab w:val="right" w:leader="dot" w:pos="8296"/>
        </w:tabs>
        <w:rPr>
          <w:rFonts w:ascii="仿宋_GB2312" w:eastAsia="仿宋_GB2312" w:cs="Arial"/>
          <w:b w:val="0"/>
          <w:bCs w:val="0"/>
          <w:caps w:val="0"/>
          <w:smallCaps w:val="0"/>
          <w:sz w:val="32"/>
          <w:szCs w:val="32"/>
        </w:rPr>
      </w:pPr>
      <w:r>
        <w:rPr>
          <w:rFonts w:ascii="仿宋_GB2312" w:eastAsia="仿宋_GB2312" w:hint="eastAsia"/>
          <w:b w:val="0"/>
          <w:bCs w:val="0"/>
          <w:color w:val="000000"/>
          <w:sz w:val="32"/>
          <w:szCs w:val="32"/>
        </w:rPr>
        <w:t>第</w:t>
      </w:r>
      <w:r>
        <w:rPr>
          <w:rFonts w:ascii="仿宋_GB2312" w:eastAsia="仿宋_GB2312" w:hint="eastAsia"/>
          <w:b w:val="0"/>
          <w:bCs w:val="0"/>
          <w:kern w:val="44"/>
          <w:sz w:val="32"/>
          <w:szCs w:val="32"/>
        </w:rPr>
        <w:t>四部分 附件</w:t>
      </w:r>
      <w:r>
        <w:rPr>
          <w:rFonts w:ascii="仿宋_GB2312" w:eastAsia="仿宋_GB2312" w:hint="eastAsia"/>
          <w:b w:val="0"/>
          <w:bCs w:val="0"/>
          <w:sz w:val="32"/>
          <w:szCs w:val="32"/>
        </w:rPr>
        <w:tab/>
      </w:r>
      <w:r>
        <w:rPr>
          <w:rFonts w:ascii="仿宋_GB2312" w:eastAsia="仿宋_GB2312" w:hint="eastAsia"/>
          <w:b w:val="0"/>
          <w:bCs w:val="0"/>
          <w:sz w:val="32"/>
          <w:szCs w:val="32"/>
        </w:rPr>
        <w:fldChar w:fldCharType="begin"/>
      </w:r>
      <w:r>
        <w:rPr>
          <w:rFonts w:ascii="仿宋_GB2312" w:eastAsia="仿宋_GB2312" w:hint="eastAsia"/>
          <w:b w:val="0"/>
          <w:bCs w:val="0"/>
          <w:sz w:val="32"/>
          <w:szCs w:val="32"/>
        </w:rPr>
        <w:instrText xml:space="preserve"> PAGEREF _Toc115080992 \h </w:instrText>
      </w:r>
      <w:r>
        <w:rPr>
          <w:rFonts w:ascii="仿宋_GB2312" w:eastAsia="仿宋_GB2312" w:hint="eastAsia"/>
          <w:b w:val="0"/>
          <w:bCs w:val="0"/>
          <w:sz w:val="32"/>
          <w:szCs w:val="32"/>
        </w:rPr>
        <w:fldChar w:fldCharType="separate"/>
      </w:r>
      <w:r>
        <w:rPr>
          <w:rFonts w:ascii="仿宋_GB2312" w:eastAsia="仿宋_GB2312"/>
          <w:b w:val="0"/>
          <w:bCs w:val="0"/>
          <w:sz w:val="32"/>
          <w:szCs w:val="32"/>
        </w:rPr>
        <w:t>20</w:t>
      </w:r>
      <w:r>
        <w:rPr>
          <w:rFonts w:ascii="仿宋_GB2312" w:eastAsia="仿宋_GB2312" w:hint="eastAsia"/>
          <w:b w:val="0"/>
          <w:bCs w:val="0"/>
          <w:sz w:val="32"/>
          <w:szCs w:val="32"/>
        </w:rPr>
        <w:fldChar w:fldCharType="end"/>
      </w:r>
    </w:p>
    <w:p>
      <w:pPr>
        <w:pStyle w:val="23"/>
        <w:tabs>
          <w:tab w:val="right" w:leader="dot" w:pos="8296"/>
        </w:tabs>
        <w:rPr>
          <w:rFonts w:ascii="仿宋_GB2312" w:eastAsia="仿宋_GB2312" w:cs="Arial"/>
          <w:b w:val="0"/>
          <w:bCs w:val="0"/>
          <w:caps w:val="0"/>
          <w:smallCaps w:val="0"/>
          <w:sz w:val="32"/>
          <w:szCs w:val="32"/>
        </w:rPr>
      </w:pPr>
      <w:r>
        <w:rPr>
          <w:rFonts w:ascii="仿宋_GB2312" w:eastAsia="仿宋_GB2312" w:cs="黑体" w:hint="eastAsia"/>
          <w:b w:val="0"/>
          <w:bCs w:val="0"/>
          <w:sz w:val="32"/>
          <w:szCs w:val="32"/>
        </w:rPr>
        <w:t>附件1</w:t>
      </w:r>
      <w:r>
        <w:rPr>
          <w:rFonts w:ascii="仿宋_GB2312" w:eastAsia="仿宋_GB2312" w:hint="eastAsia"/>
          <w:b w:val="0"/>
          <w:bCs w:val="0"/>
          <w:sz w:val="32"/>
          <w:szCs w:val="32"/>
        </w:rPr>
        <w:tab/>
      </w:r>
      <w:r>
        <w:rPr>
          <w:rFonts w:ascii="仿宋_GB2312" w:eastAsia="仿宋_GB2312" w:hint="eastAsia"/>
          <w:b w:val="0"/>
          <w:bCs w:val="0"/>
          <w:sz w:val="32"/>
          <w:szCs w:val="32"/>
        </w:rPr>
        <w:fldChar w:fldCharType="begin"/>
      </w:r>
      <w:r>
        <w:rPr>
          <w:rFonts w:ascii="仿宋_GB2312" w:eastAsia="仿宋_GB2312" w:hint="eastAsia"/>
          <w:b w:val="0"/>
          <w:bCs w:val="0"/>
          <w:sz w:val="32"/>
          <w:szCs w:val="32"/>
        </w:rPr>
        <w:instrText xml:space="preserve"> PAGEREF _Toc115080993 \h </w:instrText>
      </w:r>
      <w:r>
        <w:rPr>
          <w:rFonts w:ascii="仿宋_GB2312" w:eastAsia="仿宋_GB2312" w:hint="eastAsia"/>
          <w:b w:val="0"/>
          <w:bCs w:val="0"/>
          <w:sz w:val="32"/>
          <w:szCs w:val="32"/>
        </w:rPr>
        <w:fldChar w:fldCharType="separate"/>
      </w:r>
      <w:r>
        <w:rPr>
          <w:rFonts w:ascii="仿宋_GB2312" w:eastAsia="仿宋_GB2312"/>
          <w:b w:val="0"/>
          <w:bCs w:val="0"/>
          <w:sz w:val="32"/>
          <w:szCs w:val="32"/>
        </w:rPr>
        <w:t>20</w:t>
      </w:r>
      <w:r>
        <w:rPr>
          <w:rFonts w:ascii="仿宋_GB2312" w:eastAsia="仿宋_GB2312" w:hint="eastAsia"/>
          <w:b w:val="0"/>
          <w:bCs w:val="0"/>
          <w:sz w:val="32"/>
          <w:szCs w:val="32"/>
        </w:rPr>
        <w:fldChar w:fldCharType="end"/>
      </w:r>
    </w:p>
    <w:p>
      <w:pPr>
        <w:pStyle w:val="23"/>
        <w:tabs>
          <w:tab w:val="right" w:leader="dot" w:pos="8296"/>
        </w:tabs>
        <w:jc w:val="center"/>
        <w:rPr>
          <w:rFonts w:ascii="仿宋_GB2312" w:eastAsia="仿宋_GB2312" w:cs="Arial"/>
          <w:b w:val="0"/>
          <w:bCs w:val="0"/>
          <w:caps w:val="0"/>
          <w:smallCaps w:val="0"/>
          <w:sz w:val="32"/>
          <w:szCs w:val="32"/>
        </w:rPr>
      </w:pPr>
      <w:r>
        <w:rPr>
          <w:rFonts w:ascii="仿宋_GB2312" w:eastAsia="仿宋_GB2312" w:cs="黑体" w:hint="eastAsia"/>
          <w:b w:val="0"/>
          <w:bCs w:val="0"/>
          <w:sz w:val="24"/>
          <w:szCs w:val="24"/>
        </w:rPr>
        <w:t>茂县畜牧兽医服务中心畜牧工作站2021年单位整体支出绩效评价报告</w:t>
      </w:r>
      <w:r>
        <w:rPr>
          <w:rFonts w:ascii="仿宋_GB2312" w:eastAsia="仿宋_GB2312" w:hint="eastAsia"/>
          <w:b w:val="0"/>
          <w:bCs w:val="0"/>
          <w:sz w:val="32"/>
          <w:szCs w:val="32"/>
        </w:rPr>
        <w:tab/>
      </w:r>
      <w:r>
        <w:rPr>
          <w:rFonts w:ascii="仿宋_GB2312" w:eastAsia="仿宋_GB2312" w:hint="eastAsia"/>
          <w:b w:val="0"/>
          <w:bCs w:val="0"/>
          <w:sz w:val="32"/>
          <w:szCs w:val="32"/>
        </w:rPr>
        <w:fldChar w:fldCharType="begin"/>
      </w:r>
      <w:r>
        <w:rPr>
          <w:rFonts w:ascii="仿宋_GB2312" w:eastAsia="仿宋_GB2312" w:hint="eastAsia"/>
          <w:b w:val="0"/>
          <w:bCs w:val="0"/>
          <w:sz w:val="32"/>
          <w:szCs w:val="32"/>
        </w:rPr>
        <w:instrText xml:space="preserve"> PAGEREF _Toc115080994 \h </w:instrText>
      </w:r>
      <w:r>
        <w:rPr>
          <w:rFonts w:ascii="仿宋_GB2312" w:eastAsia="仿宋_GB2312" w:hint="eastAsia"/>
          <w:b w:val="0"/>
          <w:bCs w:val="0"/>
          <w:sz w:val="32"/>
          <w:szCs w:val="32"/>
        </w:rPr>
        <w:fldChar w:fldCharType="separate"/>
      </w:r>
      <w:r>
        <w:rPr>
          <w:rFonts w:ascii="仿宋_GB2312" w:eastAsia="仿宋_GB2312"/>
          <w:b w:val="0"/>
          <w:bCs w:val="0"/>
          <w:sz w:val="32"/>
          <w:szCs w:val="32"/>
        </w:rPr>
        <w:t>20</w:t>
      </w:r>
      <w:r>
        <w:rPr>
          <w:rFonts w:ascii="仿宋_GB2312" w:eastAsia="仿宋_GB2312" w:hint="eastAsia"/>
          <w:b w:val="0"/>
          <w:bCs w:val="0"/>
          <w:sz w:val="32"/>
          <w:szCs w:val="32"/>
        </w:rPr>
        <w:fldChar w:fldCharType="end"/>
      </w:r>
    </w:p>
    <w:p>
      <w:pPr>
        <w:pStyle w:val="23"/>
        <w:tabs>
          <w:tab w:val="right" w:leader="dot" w:pos="8296"/>
        </w:tabs>
        <w:rPr>
          <w:rFonts w:ascii="仿宋_GB2312" w:eastAsia="仿宋_GB2312" w:cs="Arial"/>
          <w:b w:val="0"/>
          <w:bCs w:val="0"/>
          <w:caps w:val="0"/>
          <w:smallCaps w:val="0"/>
          <w:sz w:val="32"/>
          <w:szCs w:val="32"/>
        </w:rPr>
      </w:pPr>
      <w:r>
        <w:rPr>
          <w:rFonts w:ascii="仿宋_GB2312" w:eastAsia="仿宋_GB2312" w:hint="eastAsia"/>
          <w:b w:val="0"/>
          <w:bCs w:val="0"/>
          <w:color w:val="000000"/>
          <w:sz w:val="32"/>
          <w:szCs w:val="32"/>
        </w:rPr>
        <w:t>第</w:t>
      </w:r>
      <w:r>
        <w:rPr>
          <w:rFonts w:ascii="仿宋_GB2312" w:eastAsia="仿宋_GB2312" w:hint="eastAsia"/>
          <w:b w:val="0"/>
          <w:bCs w:val="0"/>
          <w:kern w:val="44"/>
          <w:sz w:val="32"/>
          <w:szCs w:val="32"/>
        </w:rPr>
        <w:t>五部分 附表</w:t>
      </w:r>
      <w:r>
        <w:rPr>
          <w:rFonts w:ascii="仿宋_GB2312" w:eastAsia="仿宋_GB2312" w:hint="eastAsia"/>
          <w:b w:val="0"/>
          <w:bCs w:val="0"/>
          <w:sz w:val="32"/>
          <w:szCs w:val="32"/>
        </w:rPr>
        <w:tab/>
      </w:r>
      <w:r>
        <w:rPr>
          <w:rFonts w:ascii="仿宋_GB2312" w:eastAsia="仿宋_GB2312" w:hint="eastAsia"/>
          <w:b w:val="0"/>
          <w:bCs w:val="0"/>
          <w:sz w:val="32"/>
          <w:szCs w:val="32"/>
        </w:rPr>
        <w:fldChar w:fldCharType="begin"/>
      </w:r>
      <w:r>
        <w:rPr>
          <w:rFonts w:ascii="仿宋_GB2312" w:eastAsia="仿宋_GB2312" w:hint="eastAsia"/>
          <w:b w:val="0"/>
          <w:bCs w:val="0"/>
          <w:sz w:val="32"/>
          <w:szCs w:val="32"/>
        </w:rPr>
        <w:instrText xml:space="preserve"> PAGEREF _Toc115080995 \h </w:instrText>
      </w:r>
      <w:r>
        <w:rPr>
          <w:rFonts w:ascii="仿宋_GB2312" w:eastAsia="仿宋_GB2312" w:hint="eastAsia"/>
          <w:b w:val="0"/>
          <w:bCs w:val="0"/>
          <w:sz w:val="32"/>
          <w:szCs w:val="32"/>
        </w:rPr>
        <w:fldChar w:fldCharType="separate"/>
      </w:r>
      <w:r>
        <w:rPr>
          <w:rFonts w:ascii="仿宋_GB2312" w:eastAsia="仿宋_GB2312"/>
          <w:b w:val="0"/>
          <w:bCs w:val="0"/>
          <w:sz w:val="32"/>
          <w:szCs w:val="32"/>
        </w:rPr>
        <w:t>25</w:t>
      </w:r>
      <w:r>
        <w:rPr>
          <w:rFonts w:ascii="仿宋_GB2312" w:eastAsia="仿宋_GB2312" w:hint="eastAsia"/>
          <w:b w:val="0"/>
          <w:bCs w:val="0"/>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color w:val="000000"/>
          <w:sz w:val="32"/>
          <w:szCs w:val="32"/>
        </w:rPr>
        <w:t>一、收</w:t>
      </w:r>
      <w:r>
        <w:rPr>
          <w:rFonts w:ascii="仿宋_GB2312" w:eastAsia="仿宋_GB2312" w:hint="eastAsia"/>
          <w:sz w:val="32"/>
          <w:szCs w:val="32"/>
        </w:rPr>
        <w:t>入支出决算总表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_Toc115080996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color w:val="000000"/>
          <w:sz w:val="32"/>
          <w:szCs w:val="32"/>
        </w:rPr>
        <w:t>二、收</w:t>
      </w:r>
      <w:r>
        <w:rPr>
          <w:rFonts w:ascii="仿宋_GB2312" w:eastAsia="仿宋_GB2312" w:hint="eastAsia"/>
          <w:sz w:val="32"/>
          <w:szCs w:val="32"/>
        </w:rPr>
        <w:t>入决算表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_Toc115080997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三、</w:t>
      </w:r>
      <w:r>
        <w:rPr>
          <w:rFonts w:ascii="仿宋_GB2312" w:eastAsia="仿宋_GB2312" w:hint="eastAsia"/>
          <w:color w:val="000000"/>
          <w:sz w:val="32"/>
          <w:szCs w:val="32"/>
        </w:rPr>
        <w:t>支</w:t>
      </w:r>
      <w:r>
        <w:rPr>
          <w:rFonts w:ascii="仿宋_GB2312" w:eastAsia="仿宋_GB2312" w:hint="eastAsia"/>
          <w:sz w:val="32"/>
          <w:szCs w:val="32"/>
        </w:rPr>
        <w:t>出决算表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_Toc115080998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四、</w:t>
      </w:r>
      <w:r>
        <w:rPr>
          <w:rFonts w:ascii="仿宋_GB2312" w:eastAsia="仿宋_GB2312" w:hint="eastAsia"/>
          <w:color w:val="000000"/>
          <w:sz w:val="32"/>
          <w:szCs w:val="32"/>
        </w:rPr>
        <w:t>财</w:t>
      </w:r>
      <w:r>
        <w:rPr>
          <w:rFonts w:ascii="仿宋_GB2312" w:eastAsia="仿宋_GB2312" w:hint="eastAsia"/>
          <w:sz w:val="32"/>
          <w:szCs w:val="32"/>
        </w:rPr>
        <w:t>政拨款收入支出决算总表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_Toc115080999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五、</w:t>
      </w:r>
      <w:r>
        <w:rPr>
          <w:rFonts w:ascii="仿宋_GB2312" w:eastAsia="仿宋_GB2312" w:hint="eastAsia"/>
          <w:color w:val="000000"/>
          <w:sz w:val="32"/>
          <w:szCs w:val="32"/>
        </w:rPr>
        <w:t>财</w:t>
      </w:r>
      <w:r>
        <w:rPr>
          <w:rFonts w:ascii="仿宋_GB2312" w:eastAsia="仿宋_GB2312" w:hint="eastAsia"/>
          <w:sz w:val="32"/>
          <w:szCs w:val="32"/>
        </w:rPr>
        <w:t>政拨款支出决算明细表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_Toc115081000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六、</w:t>
      </w:r>
      <w:r>
        <w:rPr>
          <w:rFonts w:ascii="仿宋_GB2312" w:eastAsia="仿宋_GB2312" w:hint="eastAsia"/>
          <w:color w:val="000000"/>
          <w:sz w:val="32"/>
          <w:szCs w:val="32"/>
        </w:rPr>
        <w:t>一</w:t>
      </w:r>
      <w:r>
        <w:rPr>
          <w:rFonts w:ascii="仿宋_GB2312" w:eastAsia="仿宋_GB2312" w:hint="eastAsia"/>
          <w:sz w:val="32"/>
          <w:szCs w:val="32"/>
        </w:rPr>
        <w:t>般公共预算财政拨款支出决算表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_Toc115081001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七、</w:t>
      </w:r>
      <w:r>
        <w:rPr>
          <w:rFonts w:ascii="仿宋_GB2312" w:eastAsia="仿宋_GB2312" w:hint="eastAsia"/>
          <w:color w:val="000000"/>
          <w:sz w:val="32"/>
          <w:szCs w:val="32"/>
        </w:rPr>
        <w:t>一</w:t>
      </w:r>
      <w:r>
        <w:rPr>
          <w:rFonts w:ascii="仿宋_GB2312" w:eastAsia="仿宋_GB2312" w:hint="eastAsia"/>
          <w:sz w:val="32"/>
          <w:szCs w:val="32"/>
        </w:rPr>
        <w:t>般公共预算财政拨款支出决算明细表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_Toc115081002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八、</w:t>
      </w:r>
      <w:r>
        <w:rPr>
          <w:rFonts w:ascii="仿宋_GB2312" w:eastAsia="仿宋_GB2312" w:hint="eastAsia"/>
          <w:color w:val="000000"/>
          <w:sz w:val="32"/>
          <w:szCs w:val="32"/>
        </w:rPr>
        <w:t>一</w:t>
      </w:r>
      <w:r>
        <w:rPr>
          <w:rFonts w:ascii="仿宋_GB2312" w:eastAsia="仿宋_GB2312" w:hint="eastAsia"/>
          <w:sz w:val="32"/>
          <w:szCs w:val="32"/>
        </w:rPr>
        <w:t>般公共预算财政拨款基本支出决算表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_Toc115081003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九、</w:t>
      </w:r>
      <w:r>
        <w:rPr>
          <w:rFonts w:ascii="仿宋_GB2312" w:eastAsia="仿宋_GB2312" w:hint="eastAsia"/>
          <w:color w:val="000000"/>
          <w:sz w:val="32"/>
          <w:szCs w:val="32"/>
        </w:rPr>
        <w:t>一</w:t>
      </w:r>
      <w:r>
        <w:rPr>
          <w:rFonts w:ascii="仿宋_GB2312" w:eastAsia="仿宋_GB2312" w:hint="eastAsia"/>
          <w:sz w:val="32"/>
          <w:szCs w:val="32"/>
        </w:rPr>
        <w:t>般公共预算财政拨款项目支出决算表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_Toc115081004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十、</w:t>
      </w:r>
      <w:r>
        <w:rPr>
          <w:rFonts w:ascii="仿宋_GB2312" w:eastAsia="仿宋_GB2312" w:hint="eastAsia"/>
          <w:color w:val="000000"/>
          <w:sz w:val="32"/>
          <w:szCs w:val="32"/>
        </w:rPr>
        <w:t>一</w:t>
      </w:r>
      <w:r>
        <w:rPr>
          <w:rFonts w:ascii="仿宋_GB2312" w:eastAsia="仿宋_GB2312" w:hint="eastAsia"/>
          <w:sz w:val="32"/>
          <w:szCs w:val="32"/>
        </w:rPr>
        <w:t>般公共预算财政拨款“三公”经费支出决算表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_Toc115081005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十一、</w:t>
      </w:r>
      <w:r>
        <w:rPr>
          <w:rFonts w:ascii="仿宋_GB2312" w:eastAsia="仿宋_GB2312" w:hint="eastAsia"/>
          <w:color w:val="000000"/>
          <w:sz w:val="32"/>
          <w:szCs w:val="32"/>
        </w:rPr>
        <w:t>政</w:t>
      </w:r>
      <w:r>
        <w:rPr>
          <w:rFonts w:ascii="仿宋_GB2312" w:eastAsia="仿宋_GB2312" w:hint="eastAsia"/>
          <w:sz w:val="32"/>
          <w:szCs w:val="32"/>
        </w:rPr>
        <w:t>府性基金预算财政拨款收入支出决算表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_Toc115081006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十二、</w:t>
      </w:r>
      <w:r>
        <w:rPr>
          <w:rFonts w:ascii="仿宋_GB2312" w:eastAsia="仿宋_GB2312" w:hint="eastAsia"/>
          <w:color w:val="000000"/>
          <w:sz w:val="32"/>
          <w:szCs w:val="32"/>
        </w:rPr>
        <w:t>政</w:t>
      </w:r>
      <w:r>
        <w:rPr>
          <w:rFonts w:ascii="仿宋_GB2312" w:eastAsia="仿宋_GB2312" w:hint="eastAsia"/>
          <w:sz w:val="32"/>
          <w:szCs w:val="32"/>
        </w:rPr>
        <w:t>府性基金预算财政拨款“三公”经费支出决算表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_Toc115081007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十三、</w:t>
      </w:r>
      <w:r>
        <w:rPr>
          <w:rFonts w:ascii="仿宋_GB2312" w:eastAsia="仿宋_GB2312" w:hint="eastAsia"/>
          <w:color w:val="000000"/>
          <w:sz w:val="32"/>
          <w:szCs w:val="32"/>
        </w:rPr>
        <w:t>国</w:t>
      </w:r>
      <w:r>
        <w:rPr>
          <w:rFonts w:ascii="仿宋_GB2312" w:eastAsia="仿宋_GB2312" w:hint="eastAsia"/>
          <w:sz w:val="32"/>
          <w:szCs w:val="32"/>
        </w:rPr>
        <w:t>有资本经营预算财政拨款支出决算表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_Toc115081008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pStyle w:val="24"/>
        <w:tabs>
          <w:tab w:val="right" w:leader="dot" w:pos="8296"/>
        </w:tabs>
        <w:rPr>
          <w:rFonts w:ascii="仿宋_GB2312" w:eastAsia="仿宋_GB2312" w:cs="Arial"/>
          <w:caps w:val="0"/>
          <w:smallCaps w:val="0"/>
          <w:sz w:val="32"/>
          <w:szCs w:val="32"/>
        </w:rPr>
      </w:pPr>
      <w:r>
        <w:rPr>
          <w:rFonts w:ascii="仿宋_GB2312" w:eastAsia="仿宋_GB2312" w:hint="eastAsia"/>
          <w:sz w:val="32"/>
          <w:szCs w:val="32"/>
        </w:rPr>
        <w:t>十四、国有资本经营预算财政拨款支出决算表</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_Toc115081009 \h </w:instrText>
      </w:r>
      <w:r>
        <w:rPr>
          <w:rFonts w:ascii="仿宋_GB2312" w:eastAsia="仿宋_GB2312" w:hint="eastAsia"/>
          <w:sz w:val="32"/>
          <w:szCs w:val="32"/>
        </w:rPr>
        <w:fldChar w:fldCharType="separate"/>
      </w:r>
      <w:r>
        <w:rPr>
          <w:rFonts w:ascii="仿宋_GB2312" w:eastAsia="仿宋_GB2312"/>
          <w:sz w:val="32"/>
          <w:szCs w:val="32"/>
        </w:rPr>
        <w:t>25</w:t>
      </w:r>
      <w:r>
        <w:rPr>
          <w:rFonts w:ascii="仿宋_GB2312" w:eastAsia="仿宋_GB2312" w:hint="eastAsia"/>
          <w:sz w:val="32"/>
          <w:szCs w:val="32"/>
        </w:rPr>
        <w:fldChar w:fldCharType="end"/>
      </w:r>
    </w:p>
    <w:p>
      <w:pPr>
        <w:rPr>
          <w:rFonts w:ascii="仿宋_GB2312" w:eastAsia="仿宋_GB2312"/>
          <w:sz w:val="32"/>
          <w:szCs w:val="32"/>
        </w:rPr>
      </w:pPr>
      <w:r>
        <w:rPr>
          <w:rFonts w:ascii="仿宋_GB2312" w:eastAsia="仿宋_GB2312" w:hint="eastAsia"/>
          <w:caps w:val="0"/>
          <w:smallCaps/>
          <w:sz w:val="32"/>
          <w:szCs w:val="32"/>
        </w:rPr>
        <w:fldChar w:fldCharType="end"/>
      </w:r>
    </w:p>
    <w:p>
      <w:pPr>
        <w:widowControl/>
        <w:spacing w:line="440" w:lineRule="exact"/>
        <w:jc w:val="left"/>
        <w:rPr>
          <w:rFonts w:ascii="仿宋_GB2312" w:eastAsia="仿宋_GB2312"/>
          <w:bCs/>
          <w:kern w:val="44"/>
          <w:sz w:val="32"/>
          <w:szCs w:val="32"/>
        </w:rPr>
      </w:pPr>
      <w:bookmarkStart w:id="13" w:name="_Toc15377196"/>
      <w:bookmarkStart w:id="14" w:name="_Toc15396599"/>
      <w:r>
        <w:rPr>
          <w:rFonts w:ascii="仿宋_GB2312" w:eastAsia="仿宋_GB2312" w:hint="eastAsia"/>
          <w:b/>
          <w:sz w:val="32"/>
          <w:szCs w:val="32"/>
        </w:rPr>
        <w:br w:type="page"/>
      </w:r>
    </w:p>
    <w:p>
      <w:pPr>
        <w:pStyle w:val="1"/>
        <w:jc w:val="center"/>
        <w:rPr>
          <w:rFonts w:ascii="黑体" w:eastAsia="黑体"/>
          <w:bCs w:val="0"/>
        </w:rPr>
      </w:pPr>
      <w:bookmarkStart w:id="15" w:name="_Toc79163601"/>
      <w:bookmarkStart w:id="16" w:name="_Toc115080966"/>
      <w:r>
        <w:rPr>
          <w:rFonts w:ascii="黑体" w:eastAsia="黑体" w:hint="eastAsia"/>
          <w:b w:val="0"/>
        </w:rPr>
        <w:t>第一部分</w:t>
      </w:r>
      <w:r>
        <w:rPr>
          <w:rFonts w:ascii="黑体" w:eastAsia="黑体"/>
          <w:b w:val="0"/>
        </w:rPr>
        <w:t xml:space="preserve"> </w:t>
      </w:r>
      <w:r>
        <w:rPr>
          <w:rStyle w:val="1Char"/>
          <w:rFonts w:ascii="黑体" w:eastAsia="黑体" w:hint="eastAsia"/>
        </w:rPr>
        <w:t>部门概况</w:t>
      </w:r>
      <w:bookmarkEnd w:id="13"/>
      <w:bookmarkEnd w:id="14"/>
      <w:bookmarkEnd w:id="15"/>
      <w:bookmarkEnd w:id="16"/>
    </w:p>
    <w:p>
      <w:pPr>
        <w:pStyle w:val="2"/>
        <w:spacing w:line="576" w:lineRule="exact"/>
        <w:rPr>
          <w:rStyle w:val="2Char"/>
          <w:rFonts w:ascii="仿宋" w:eastAsia="仿宋"/>
        </w:rPr>
      </w:pPr>
      <w:bookmarkStart w:id="17" w:name="_Toc15396600"/>
      <w:bookmarkStart w:id="18" w:name="_Toc15377197"/>
      <w:bookmarkStart w:id="19" w:name="_Toc79163602"/>
      <w:bookmarkStart w:id="20" w:name="_Toc115080967"/>
      <w:r>
        <w:rPr>
          <w:rFonts w:ascii="黑体" w:eastAsia="黑体" w:hint="eastAsia"/>
          <w:b w:val="0"/>
          <w:color w:val="000000"/>
        </w:rPr>
        <w:t>一、基</w:t>
      </w:r>
      <w:r>
        <w:rPr>
          <w:rStyle w:val="2Char"/>
          <w:rFonts w:ascii="黑体" w:eastAsia="黑体" w:hint="eastAsia"/>
        </w:rPr>
        <w:t>本职能及主要工作</w:t>
      </w:r>
      <w:bookmarkEnd w:id="17"/>
      <w:bookmarkEnd w:id="18"/>
      <w:bookmarkEnd w:id="19"/>
      <w:bookmarkEnd w:id="20"/>
    </w:p>
    <w:p>
      <w:pPr>
        <w:pStyle w:val="15"/>
        <w:adjustRightInd w:val="0"/>
        <w:snapToGrid w:val="0"/>
        <w:spacing w:beforeLines="0" w:before="93" w:line="576" w:lineRule="exact"/>
        <w:ind w:firstLineChars="208" w:firstLine="666"/>
        <w:outlineLvl w:val="2"/>
        <w:rPr>
          <w:rFonts w:ascii="仿宋" w:eastAsia="仿宋"/>
          <w:bCs/>
          <w:color w:val="000000"/>
          <w:sz w:val="32"/>
          <w:szCs w:val="32"/>
        </w:rPr>
      </w:pPr>
      <w:bookmarkStart w:id="21" w:name="_Toc79163603"/>
      <w:bookmarkStart w:id="22" w:name="_Toc115080968"/>
      <w:bookmarkStart w:id="23" w:name="_Toc15378445"/>
      <w:bookmarkStart w:id="24" w:name="_Toc15377198"/>
      <w:r>
        <w:rPr>
          <w:rFonts w:ascii="仿宋" w:eastAsia="仿宋" w:hint="eastAsia"/>
          <w:bCs/>
          <w:color w:val="000000"/>
          <w:sz w:val="32"/>
          <w:szCs w:val="32"/>
        </w:rPr>
        <w:t>（一）主要职能</w:t>
      </w:r>
      <w:bookmarkEnd w:id="21"/>
      <w:bookmarkEnd w:id="22"/>
    </w:p>
    <w:p>
      <w:pPr>
        <w:autoSpaceDN w:val="0"/>
        <w:spacing w:line="576" w:lineRule="exact"/>
        <w:ind w:firstLineChars="200" w:firstLine="640"/>
        <w:rPr>
          <w:rFonts w:ascii="仿宋_GB2312" w:eastAsia="仿宋_GB2312"/>
          <w:color w:val="313131"/>
          <w:kern w:val="0"/>
          <w:sz w:val="32"/>
          <w:szCs w:val="32"/>
        </w:rPr>
      </w:pPr>
      <w:bookmarkStart w:id="25" w:name="_Toc15378446"/>
      <w:bookmarkStart w:id="26" w:name="_Toc15377199"/>
      <w:bookmarkStart w:id="27" w:name="_Toc79163604"/>
      <w:bookmarkEnd w:id="23"/>
      <w:bookmarkEnd w:id="24"/>
      <w:r>
        <w:rPr>
          <w:rFonts w:ascii="仿宋_GB2312" w:eastAsia="仿宋_GB2312" w:cs="仿宋_GB2312" w:hint="eastAsia"/>
          <w:color w:val="313131"/>
          <w:kern w:val="0"/>
          <w:sz w:val="32"/>
          <w:szCs w:val="32"/>
        </w:rPr>
        <w:t>1.宣传、贯彻、执行国家、省、州畜牧兽医行业的有关法律、法规。</w:t>
      </w:r>
    </w:p>
    <w:p>
      <w:pPr>
        <w:autoSpaceDN w:val="0"/>
        <w:spacing w:line="576" w:lineRule="exact"/>
        <w:ind w:firstLineChars="199" w:firstLine="637"/>
        <w:rPr>
          <w:rFonts w:ascii="仿宋_GB2312" w:eastAsia="仿宋_GB2312"/>
          <w:color w:val="313131"/>
          <w:kern w:val="0"/>
          <w:sz w:val="32"/>
          <w:szCs w:val="32"/>
        </w:rPr>
      </w:pPr>
      <w:r>
        <w:rPr>
          <w:rFonts w:ascii="仿宋_GB2312" w:eastAsia="仿宋_GB2312" w:cs="仿宋_GB2312" w:hint="eastAsia"/>
          <w:color w:val="313131"/>
          <w:kern w:val="0"/>
          <w:sz w:val="32"/>
          <w:szCs w:val="32"/>
        </w:rPr>
        <w:t>2.研究拟定畜牧业有关产业政策，制定全县畜牧业经济发展的中长期规划，组织畜牧兽医科技项目研究和科技推广。</w:t>
      </w:r>
    </w:p>
    <w:p>
      <w:pPr>
        <w:autoSpaceDN w:val="0"/>
        <w:spacing w:line="576" w:lineRule="exact"/>
        <w:ind w:firstLineChars="199" w:firstLine="637"/>
        <w:rPr>
          <w:rFonts w:ascii="仿宋_GB2312" w:eastAsia="仿宋_GB2312"/>
          <w:color w:val="313131"/>
          <w:kern w:val="0"/>
          <w:sz w:val="32"/>
          <w:szCs w:val="32"/>
        </w:rPr>
      </w:pPr>
      <w:r>
        <w:rPr>
          <w:rFonts w:ascii="仿宋_GB2312" w:eastAsia="仿宋_GB2312" w:cs="仿宋_GB2312" w:hint="eastAsia"/>
          <w:color w:val="313131"/>
          <w:kern w:val="0"/>
          <w:sz w:val="32"/>
          <w:szCs w:val="32"/>
        </w:rPr>
        <w:t>3.负责全县兽医医证工作；监督</w:t>
      </w:r>
      <w:bookmarkStart w:id="28" w:name="_Hlk82615883"/>
      <w:r>
        <w:rPr>
          <w:rFonts w:ascii="仿宋_GB2312" w:eastAsia="仿宋_GB2312" w:cs="仿宋_GB2312" w:hint="eastAsia"/>
          <w:color w:val="313131"/>
          <w:kern w:val="0"/>
          <w:sz w:val="32"/>
          <w:szCs w:val="32"/>
        </w:rPr>
        <w:t>执行畜牧兽医、兽药、饲料的国家和地方标准</w:t>
      </w:r>
      <w:bookmarkEnd w:id="28"/>
      <w:r>
        <w:rPr>
          <w:rFonts w:ascii="仿宋_GB2312" w:eastAsia="仿宋_GB2312" w:cs="仿宋_GB2312" w:hint="eastAsia"/>
          <w:color w:val="313131"/>
          <w:kern w:val="0"/>
          <w:sz w:val="32"/>
          <w:szCs w:val="32"/>
        </w:rPr>
        <w:t>；组织实施动物防疫、检疫工作和重大疫情的扑灭工作；开展动物防疫、检疫和兽药、饲料生产技术服务。</w:t>
      </w:r>
    </w:p>
    <w:p>
      <w:pPr>
        <w:autoSpaceDN w:val="0"/>
        <w:spacing w:line="576" w:lineRule="exact"/>
        <w:ind w:firstLineChars="199" w:firstLine="637"/>
        <w:rPr>
          <w:rFonts w:ascii="仿宋_GB2312" w:eastAsia="仿宋_GB2312" w:cs="仿宋_GB2312"/>
          <w:color w:val="313131"/>
          <w:kern w:val="0"/>
          <w:sz w:val="32"/>
          <w:szCs w:val="32"/>
        </w:rPr>
      </w:pPr>
      <w:r>
        <w:rPr>
          <w:rFonts w:ascii="仿宋_GB2312" w:eastAsia="仿宋_GB2312" w:cs="仿宋_GB2312" w:hint="eastAsia"/>
          <w:color w:val="313131"/>
          <w:kern w:val="0"/>
          <w:sz w:val="32"/>
          <w:szCs w:val="32"/>
        </w:rPr>
        <w:t xml:space="preserve">4.负责饲草饲料工作，根据林草部门禁牧和草畜平衡考核情况兑付草原生态补奖资金，根据全县牲畜超载情况编制减畜规划。  </w:t>
      </w:r>
    </w:p>
    <w:p>
      <w:pPr>
        <w:autoSpaceDN w:val="0"/>
        <w:spacing w:line="576" w:lineRule="exact"/>
        <w:ind w:firstLineChars="199" w:firstLine="637"/>
        <w:rPr>
          <w:rFonts w:ascii="仿宋_GB2312" w:eastAsia="仿宋_GB2312"/>
          <w:sz w:val="32"/>
          <w:szCs w:val="32"/>
        </w:rPr>
      </w:pPr>
      <w:r>
        <w:rPr>
          <w:rFonts w:ascii="仿宋_GB2312" w:eastAsia="仿宋_GB2312" w:cs="仿宋_GB2312" w:hint="eastAsia"/>
          <w:color w:val="313131"/>
          <w:kern w:val="0"/>
          <w:sz w:val="32"/>
          <w:szCs w:val="32"/>
        </w:rPr>
        <w:t>5.负责良种畜禽监管工作，搞好畜种资源保护；推广畜</w:t>
      </w:r>
      <w:r>
        <w:rPr>
          <w:rFonts w:ascii="仿宋_GB2312" w:eastAsia="仿宋_GB2312" w:cs="仿宋_GB2312" w:hint="eastAsia"/>
          <w:sz w:val="32"/>
          <w:szCs w:val="32"/>
        </w:rPr>
        <w:t>禽优良品种和畜禽繁育、饲养新技术。</w:t>
      </w:r>
    </w:p>
    <w:p>
      <w:pPr>
        <w:autoSpaceDN w:val="0"/>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t>6.推进畜牧业产业化进程，培育龙头企业，健全市场网络，开展畜牧经济技术交流与合作，积极引进资金和先进技术。</w:t>
      </w:r>
    </w:p>
    <w:p>
      <w:pPr>
        <w:autoSpaceDN w:val="0"/>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t>7.负责国家、省、州扶持畜牧业资金的统筹安排及监督管理；组织畜牧业建设项目的实施。</w:t>
      </w:r>
    </w:p>
    <w:p>
      <w:pPr>
        <w:autoSpaceDN w:val="0"/>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t>8.管理机关的人事、劳动工资、机构编制工作；指导全县各乡镇畜牧兽医站业务工作；指导、协调畜牧兽医科技队伍和技术服务体系建设；负责畜牧兽医科技人员业务培训及科技成果管理；指导畜牧兽医行业学会、协会工作。</w:t>
      </w:r>
    </w:p>
    <w:p>
      <w:pPr>
        <w:autoSpaceDN w:val="0"/>
        <w:spacing w:line="576" w:lineRule="exact"/>
        <w:ind w:firstLineChars="200" w:firstLine="640"/>
        <w:rPr>
          <w:rFonts w:ascii="仿宋_GB2312" w:eastAsia="仿宋_GB2312"/>
          <w:color w:val="000000"/>
          <w:sz w:val="32"/>
          <w:szCs w:val="32"/>
        </w:rPr>
      </w:pPr>
      <w:r>
        <w:rPr>
          <w:rFonts w:ascii="仿宋_GB2312" w:eastAsia="仿宋_GB2312" w:cs="仿宋_GB2312" w:hint="eastAsia"/>
          <w:sz w:val="32"/>
          <w:szCs w:val="32"/>
        </w:rPr>
        <w:t>9.</w:t>
      </w:r>
      <w:r>
        <w:rPr>
          <w:rFonts w:ascii="仿宋_GB2312" w:eastAsia="仿宋_GB2312" w:cs="仿宋_GB2312" w:hint="eastAsia"/>
          <w:kern w:val="0"/>
          <w:sz w:val="32"/>
          <w:szCs w:val="32"/>
          <w:lang w:val="zh-CN"/>
        </w:rPr>
        <w:t>承办县委县政府交办的其他工作。</w:t>
      </w:r>
    </w:p>
    <w:p>
      <w:pPr>
        <w:pStyle w:val="15"/>
        <w:adjustRightInd w:val="0"/>
        <w:snapToGrid w:val="0"/>
        <w:spacing w:beforeLines="0" w:before="93" w:line="576" w:lineRule="exact"/>
        <w:ind w:firstLineChars="208" w:firstLine="666"/>
        <w:outlineLvl w:val="2"/>
        <w:rPr>
          <w:rFonts w:ascii="仿宋" w:eastAsia="仿宋"/>
          <w:bCs/>
          <w:color w:val="000000"/>
          <w:sz w:val="32"/>
          <w:szCs w:val="32"/>
        </w:rPr>
      </w:pPr>
      <w:bookmarkStart w:id="29" w:name="_Toc115080969"/>
      <w:r>
        <w:rPr>
          <w:rFonts w:ascii="仿宋" w:eastAsia="仿宋" w:hint="eastAsia"/>
          <w:bCs/>
          <w:color w:val="000000"/>
          <w:sz w:val="32"/>
          <w:szCs w:val="32"/>
        </w:rPr>
        <w:t>（二）</w:t>
      </w:r>
      <w:r>
        <w:rPr>
          <w:rFonts w:ascii="仿宋" w:eastAsia="仿宋"/>
          <w:bCs/>
          <w:color w:val="000000"/>
          <w:sz w:val="32"/>
          <w:szCs w:val="32"/>
        </w:rPr>
        <w:t>2021</w:t>
      </w:r>
      <w:r>
        <w:rPr>
          <w:rFonts w:ascii="仿宋" w:eastAsia="仿宋" w:hint="eastAsia"/>
          <w:bCs/>
          <w:color w:val="000000"/>
          <w:sz w:val="32"/>
          <w:szCs w:val="32"/>
        </w:rPr>
        <w:t>年重点工作完成情况</w:t>
      </w:r>
      <w:bookmarkEnd w:id="25"/>
      <w:bookmarkEnd w:id="26"/>
      <w:bookmarkEnd w:id="27"/>
      <w:bookmarkEnd w:id="29"/>
    </w:p>
    <w:p>
      <w:pPr>
        <w:autoSpaceDN w:val="0"/>
        <w:spacing w:line="576"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在县人民政府的正确领导下，认真开展了各项工作。一是完成农牧民补助奖励工作；二是继续扎实做好非洲猪瘟防控工作；三是认真做好养殖场修建技术指导及补贴兑现工作；四是动物疫病防控及村防疫员补助兑现工作；五是加强养殖技术宣传，</w:t>
      </w:r>
      <w:r>
        <w:rPr>
          <w:rFonts w:ascii="仿宋_GB2312" w:eastAsia="仿宋_GB2312" w:cs="仿宋_GB2312" w:hint="eastAsia"/>
          <w:color w:val="313131"/>
          <w:kern w:val="0"/>
          <w:sz w:val="32"/>
          <w:szCs w:val="32"/>
        </w:rPr>
        <w:t>推广畜</w:t>
      </w:r>
      <w:r>
        <w:rPr>
          <w:rFonts w:ascii="仿宋_GB2312" w:eastAsia="仿宋_GB2312" w:cs="仿宋_GB2312" w:hint="eastAsia"/>
          <w:sz w:val="32"/>
          <w:szCs w:val="32"/>
        </w:rPr>
        <w:t>禽优良品种和畜禽繁育、饲养新技术</w:t>
      </w:r>
      <w:r>
        <w:rPr>
          <w:rFonts w:ascii="仿宋_GB2312" w:eastAsia="仿宋_GB2312" w:hint="eastAsia"/>
          <w:sz w:val="32"/>
          <w:szCs w:val="32"/>
        </w:rPr>
        <w:t>；六是为保障畜牧产品安全，严格依法执行畜牧兽医、兽药、饲料的国家和地方标准，进一步完善畜牧市场的监管。</w:t>
      </w:r>
    </w:p>
    <w:p>
      <w:pPr>
        <w:pStyle w:val="2"/>
        <w:spacing w:line="576" w:lineRule="exact"/>
        <w:rPr>
          <w:rStyle w:val="2Char"/>
        </w:rPr>
      </w:pPr>
      <w:bookmarkStart w:id="30" w:name="_Toc15396601"/>
      <w:bookmarkStart w:id="31" w:name="_Toc15377200"/>
      <w:bookmarkStart w:id="32" w:name="_Toc79163605"/>
      <w:bookmarkStart w:id="33" w:name="_Toc115080970"/>
      <w:r>
        <w:rPr>
          <w:rFonts w:ascii="黑体" w:eastAsia="黑体" w:hint="eastAsia"/>
          <w:b w:val="0"/>
          <w:color w:val="000000"/>
        </w:rPr>
        <w:t>二、机</w:t>
      </w:r>
      <w:r>
        <w:rPr>
          <w:rStyle w:val="2Char"/>
          <w:rFonts w:ascii="黑体" w:eastAsia="黑体" w:hint="eastAsia"/>
        </w:rPr>
        <w:t>构设置</w:t>
      </w:r>
      <w:bookmarkEnd w:id="30"/>
      <w:bookmarkEnd w:id="31"/>
      <w:bookmarkEnd w:id="32"/>
      <w:bookmarkEnd w:id="33"/>
    </w:p>
    <w:p>
      <w:pPr>
        <w:autoSpaceDN w:val="0"/>
        <w:spacing w:line="576" w:lineRule="exact"/>
        <w:ind w:firstLineChars="200" w:firstLine="640"/>
        <w:rPr>
          <w:rFonts w:ascii="仿宋_GB2312" w:eastAsia="仿宋_GB2312"/>
          <w:sz w:val="32"/>
          <w:szCs w:val="32"/>
        </w:rPr>
      </w:pPr>
      <w:r>
        <w:rPr>
          <w:rFonts w:ascii="仿宋_GB2312" w:eastAsia="仿宋_GB2312" w:hint="eastAsia"/>
          <w:sz w:val="32"/>
          <w:szCs w:val="32"/>
        </w:rPr>
        <w:t>茂县畜牧兽医服务中心畜牧工作站是全额拨款事业单位，下属二级单位0个，其中行政单位0个，其他事业单位0个。</w:t>
      </w:r>
    </w:p>
    <w:p>
      <w:pPr>
        <w:autoSpaceDN w:val="0"/>
        <w:spacing w:line="576" w:lineRule="exact"/>
        <w:ind w:firstLineChars="200" w:firstLine="640"/>
        <w:rPr>
          <w:rFonts w:ascii="仿宋_GB2312" w:eastAsia="仿宋_GB2312"/>
          <w:sz w:val="32"/>
          <w:szCs w:val="32"/>
        </w:rPr>
      </w:pPr>
    </w:p>
    <w:p>
      <w:pPr>
        <w:autoSpaceDN w:val="0"/>
        <w:spacing w:line="576" w:lineRule="exact"/>
        <w:ind w:firstLineChars="200" w:firstLine="640"/>
        <w:rPr>
          <w:rFonts w:ascii="仿宋_GB2312" w:eastAsia="仿宋_GB2312"/>
          <w:sz w:val="32"/>
          <w:szCs w:val="32"/>
        </w:rPr>
      </w:pPr>
    </w:p>
    <w:p>
      <w:pPr>
        <w:autoSpaceDN w:val="0"/>
        <w:spacing w:line="576" w:lineRule="exact"/>
        <w:ind w:firstLineChars="200" w:firstLine="640"/>
        <w:rPr>
          <w:rFonts w:ascii="仿宋_GB2312" w:eastAsia="仿宋_GB2312"/>
          <w:sz w:val="32"/>
          <w:szCs w:val="32"/>
        </w:rPr>
      </w:pPr>
      <w:r>
        <w:rPr>
          <w:rFonts w:ascii="仿宋_GB2312" w:eastAsia="仿宋_GB2312"/>
          <w:sz w:val="32"/>
          <w:szCs w:val="32"/>
        </w:rPr>
        <w:br w:type="page"/>
      </w:r>
    </w:p>
    <w:p>
      <w:pPr>
        <w:pStyle w:val="1"/>
        <w:ind w:right="440"/>
        <w:jc w:val="right"/>
        <w:rPr>
          <w:rStyle w:val="1Char"/>
          <w:rFonts w:ascii="黑体" w:eastAsia="黑体"/>
        </w:rPr>
      </w:pPr>
      <w:bookmarkStart w:id="34" w:name="_Toc15396602"/>
      <w:bookmarkStart w:id="35" w:name="_Toc15377204"/>
      <w:bookmarkStart w:id="36" w:name="_Toc79163609"/>
      <w:bookmarkStart w:id="37" w:name="_Toc115080971"/>
      <w:r>
        <w:rPr>
          <w:rFonts w:ascii="黑体" w:eastAsia="黑体" w:hint="eastAsia"/>
          <w:b w:val="0"/>
          <w:color w:val="000000"/>
        </w:rPr>
        <w:t>第二部分</w:t>
      </w:r>
      <w:r>
        <w:rPr>
          <w:rFonts w:ascii="黑体" w:eastAsia="黑体"/>
          <w:color w:val="000000"/>
        </w:rPr>
        <w:t xml:space="preserve"> </w:t>
      </w:r>
      <w:r>
        <w:rPr>
          <w:rStyle w:val="1Char"/>
          <w:rFonts w:ascii="黑体" w:eastAsia="黑体"/>
        </w:rPr>
        <w:t>2021</w:t>
      </w:r>
      <w:r>
        <w:rPr>
          <w:rStyle w:val="1Char"/>
          <w:rFonts w:ascii="黑体" w:eastAsia="黑体" w:hint="eastAsia"/>
        </w:rPr>
        <w:t>年度部门决算情况说明</w:t>
      </w:r>
      <w:bookmarkEnd w:id="34"/>
      <w:bookmarkEnd w:id="35"/>
      <w:bookmarkEnd w:id="36"/>
      <w:bookmarkEnd w:id="37"/>
    </w:p>
    <w:p/>
    <w:p>
      <w:pPr>
        <w:pStyle w:val="28"/>
        <w:numPr>
          <w:ilvl w:val="0"/>
          <w:numId w:val="1"/>
        </w:numPr>
        <w:spacing w:line="600" w:lineRule="exact"/>
        <w:ind w:firstLineChars="0"/>
        <w:outlineLvl w:val="1"/>
        <w:rPr>
          <w:rStyle w:val="2Char"/>
          <w:rFonts w:ascii="黑体" w:eastAsia="黑体"/>
          <w:b w:val="0"/>
        </w:rPr>
      </w:pPr>
      <w:bookmarkStart w:id="38" w:name="_Toc15377205"/>
      <w:bookmarkStart w:id="39" w:name="_Toc15396603"/>
      <w:bookmarkStart w:id="40" w:name="_Toc79163610"/>
      <w:bookmarkStart w:id="41" w:name="_Toc115080972"/>
      <w:r>
        <w:rPr>
          <w:rFonts w:ascii="黑体" w:eastAsia="黑体" w:hint="eastAsia"/>
          <w:color w:val="000000"/>
          <w:sz w:val="32"/>
          <w:szCs w:val="32"/>
        </w:rPr>
        <w:t>收</w:t>
      </w:r>
      <w:r>
        <w:rPr>
          <w:rStyle w:val="2Char"/>
          <w:rFonts w:ascii="黑体" w:eastAsia="黑体" w:hint="eastAsia"/>
          <w:b w:val="0"/>
        </w:rPr>
        <w:t>入支出决算总体情况说明</w:t>
      </w:r>
      <w:bookmarkEnd w:id="38"/>
      <w:bookmarkEnd w:id="39"/>
      <w:bookmarkEnd w:id="40"/>
      <w:bookmarkEnd w:id="41"/>
    </w:p>
    <w:p>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年度收、支总计</w:t>
      </w:r>
      <w:r>
        <w:rPr>
          <w:rFonts w:ascii="仿宋" w:eastAsia="仿宋"/>
          <w:color w:val="000000"/>
          <w:sz w:val="32"/>
          <w:szCs w:val="32"/>
        </w:rPr>
        <w:t>418.43</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年相比，收、支总计各增加6</w:t>
      </w:r>
      <w:r>
        <w:rPr>
          <w:rFonts w:ascii="仿宋" w:eastAsia="仿宋"/>
          <w:color w:val="000000"/>
          <w:sz w:val="32"/>
          <w:szCs w:val="32"/>
        </w:rPr>
        <w:t>8.2</w:t>
      </w:r>
      <w:r>
        <w:rPr>
          <w:rFonts w:ascii="仿宋" w:eastAsia="仿宋" w:hint="eastAsia"/>
          <w:color w:val="000000"/>
          <w:sz w:val="32"/>
          <w:szCs w:val="32"/>
        </w:rPr>
        <w:t>万元，增长</w:t>
      </w:r>
      <w:r>
        <w:rPr>
          <w:rFonts w:ascii="仿宋" w:eastAsia="仿宋"/>
          <w:color w:val="000000"/>
          <w:sz w:val="32"/>
          <w:szCs w:val="32"/>
        </w:rPr>
        <w:t>19.47%</w:t>
      </w:r>
      <w:r>
        <w:rPr>
          <w:rFonts w:ascii="仿宋" w:eastAsia="仿宋" w:hint="eastAsia"/>
          <w:color w:val="000000"/>
          <w:sz w:val="32"/>
          <w:szCs w:val="32"/>
        </w:rPr>
        <w:t>。主要变动原因是人员增加。</w:t>
      </w:r>
    </w:p>
    <w:p>
      <w:pPr>
        <w:spacing w:line="600" w:lineRule="exact"/>
        <w:ind w:firstLineChars="200" w:firstLine="420"/>
        <w:rPr>
          <w:rFonts w:ascii="仿宋" w:eastAsia="仿宋"/>
          <w:color w:val="000000"/>
          <w:sz w:val="32"/>
          <w:szCs w:val="32"/>
        </w:rPr>
      </w:pPr>
      <w:r>
        <w:drawing>
          <wp:anchor distT="0" distB="0" distL="114300" distR="114300" simplePos="0" relativeHeight="18" behindDoc="0" locked="0" layoutInCell="1" hidden="0" allowOverlap="1">
            <wp:simplePos x="0" y="0"/>
            <wp:positionH relativeFrom="column">
              <wp:posOffset>311454</wp:posOffset>
            </wp:positionH>
            <wp:positionV relativeFrom="paragraph">
              <wp:posOffset>120208</wp:posOffset>
            </wp:positionV>
            <wp:extent cx="4572000" cy="2743200"/>
            <wp:effectExtent l="0" t="0" r="0" b="0"/>
            <wp:wrapTight wrapText="bothSides">
              <wp:wrapPolygon>
                <wp:start x="-31" y="-41"/>
                <wp:lineTo x="-31" y="21558"/>
                <wp:lineTo x="21568" y="21558"/>
                <wp:lineTo x="21568" y="-41"/>
                <wp:lineTo x="-31" y="-41"/>
              </wp:wrapPolygon>
            </wp:wrapTight>
            <wp:docPr id="1" name="图表 1"/>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450" w:firstLine="14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1</w:t>
      </w:r>
      <w:r>
        <w:rPr>
          <w:rFonts w:ascii="仿宋" w:eastAsia="仿宋" w:hint="eastAsia"/>
          <w:color w:val="000000"/>
          <w:sz w:val="32"/>
          <w:szCs w:val="32"/>
        </w:rPr>
        <w:t>：收、支决算总计变动情况图）</w:t>
      </w:r>
    </w:p>
    <w:p>
      <w:pPr>
        <w:spacing w:line="600" w:lineRule="exact"/>
        <w:ind w:firstLineChars="450" w:firstLine="1440"/>
        <w:rPr>
          <w:rFonts w:ascii="仿宋" w:eastAsia="仿宋"/>
          <w:color w:val="000000"/>
          <w:sz w:val="32"/>
          <w:szCs w:val="32"/>
        </w:rPr>
      </w:pPr>
    </w:p>
    <w:p>
      <w:pPr>
        <w:pStyle w:val="28"/>
        <w:numPr>
          <w:ilvl w:val="0"/>
          <w:numId w:val="1"/>
        </w:numPr>
        <w:spacing w:line="600" w:lineRule="exact"/>
        <w:ind w:firstLineChars="0"/>
        <w:outlineLvl w:val="1"/>
        <w:rPr>
          <w:rStyle w:val="2Char"/>
          <w:rFonts w:ascii="黑体" w:eastAsia="黑体"/>
          <w:b w:val="0"/>
        </w:rPr>
      </w:pPr>
      <w:bookmarkStart w:id="42" w:name="_Toc15396604"/>
      <w:bookmarkStart w:id="43" w:name="_Toc15377206"/>
      <w:bookmarkStart w:id="44" w:name="_Toc79163611"/>
      <w:bookmarkStart w:id="45" w:name="_Toc115080973"/>
      <w:r>
        <w:rPr>
          <w:rFonts w:ascii="黑体" w:eastAsia="黑体" w:hint="eastAsia"/>
          <w:color w:val="000000"/>
          <w:sz w:val="32"/>
          <w:szCs w:val="32"/>
        </w:rPr>
        <w:t>收</w:t>
      </w:r>
      <w:r>
        <w:rPr>
          <w:rStyle w:val="2Char"/>
          <w:rFonts w:ascii="黑体" w:eastAsia="黑体" w:hint="eastAsia"/>
          <w:b w:val="0"/>
        </w:rPr>
        <w:t>入决算情况说明</w:t>
      </w:r>
      <w:bookmarkEnd w:id="42"/>
      <w:bookmarkEnd w:id="43"/>
      <w:bookmarkEnd w:id="44"/>
      <w:bookmarkEnd w:id="45"/>
    </w:p>
    <w:p>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年本年收入合计</w:t>
      </w:r>
      <w:r>
        <w:rPr>
          <w:rFonts w:ascii="仿宋" w:eastAsia="仿宋"/>
          <w:color w:val="000000"/>
          <w:sz w:val="32"/>
          <w:szCs w:val="32"/>
        </w:rPr>
        <w:t>418.43</w:t>
      </w:r>
      <w:r>
        <w:rPr>
          <w:rFonts w:ascii="仿宋" w:eastAsia="仿宋" w:hint="eastAsia"/>
          <w:color w:val="000000"/>
          <w:sz w:val="32"/>
          <w:szCs w:val="32"/>
        </w:rPr>
        <w:t>万元，其中：一般公共预算财政拨款收入</w:t>
      </w:r>
      <w:r>
        <w:rPr>
          <w:rFonts w:ascii="仿宋" w:eastAsia="仿宋"/>
          <w:color w:val="000000"/>
          <w:sz w:val="32"/>
          <w:szCs w:val="32"/>
        </w:rPr>
        <w:t>418.43</w:t>
      </w:r>
      <w:r>
        <w:rPr>
          <w:rFonts w:ascii="仿宋" w:eastAsia="仿宋" w:hint="eastAsia"/>
          <w:color w:val="000000"/>
          <w:sz w:val="32"/>
          <w:szCs w:val="32"/>
        </w:rPr>
        <w:t>万元，占</w:t>
      </w:r>
      <w:r>
        <w:rPr>
          <w:rFonts w:ascii="仿宋" w:eastAsia="仿宋"/>
          <w:color w:val="000000"/>
          <w:sz w:val="32"/>
          <w:szCs w:val="32"/>
        </w:rPr>
        <w:t>100%</w:t>
      </w:r>
      <w:r>
        <w:rPr>
          <w:rFonts w:ascii="仿宋" w:eastAsia="仿宋" w:hint="eastAsia"/>
          <w:color w:val="000000"/>
          <w:sz w:val="32"/>
          <w:szCs w:val="32"/>
        </w:rPr>
        <w:t>；政府性基金预算财政拨款收入</w:t>
      </w:r>
      <w:r>
        <w:rPr>
          <w:rFonts w:ascii="仿宋" w:eastAsia="仿宋"/>
          <w:color w:val="000000"/>
          <w:sz w:val="32"/>
          <w:szCs w:val="32"/>
        </w:rPr>
        <w:t>0</w:t>
      </w:r>
      <w:r>
        <w:rPr>
          <w:rFonts w:ascii="仿宋" w:eastAsia="仿宋" w:hint="eastAsia"/>
          <w:color w:val="000000"/>
          <w:sz w:val="32"/>
          <w:szCs w:val="32"/>
        </w:rPr>
        <w:t>万元；上级补助收入</w:t>
      </w:r>
      <w:r>
        <w:rPr>
          <w:rFonts w:ascii="仿宋" w:eastAsia="仿宋"/>
          <w:color w:val="000000"/>
          <w:sz w:val="32"/>
          <w:szCs w:val="32"/>
        </w:rPr>
        <w:t>0</w:t>
      </w:r>
      <w:r>
        <w:rPr>
          <w:rFonts w:ascii="仿宋" w:eastAsia="仿宋" w:hint="eastAsia"/>
          <w:color w:val="000000"/>
          <w:sz w:val="32"/>
          <w:szCs w:val="32"/>
        </w:rPr>
        <w:t>万元；事业收入</w:t>
      </w:r>
      <w:r>
        <w:rPr>
          <w:rFonts w:ascii="仿宋" w:eastAsia="仿宋"/>
          <w:color w:val="000000"/>
          <w:sz w:val="32"/>
          <w:szCs w:val="32"/>
        </w:rPr>
        <w:t>0</w:t>
      </w:r>
      <w:r>
        <w:rPr>
          <w:rFonts w:ascii="仿宋" w:eastAsia="仿宋" w:hint="eastAsia"/>
          <w:color w:val="000000"/>
          <w:sz w:val="32"/>
          <w:szCs w:val="32"/>
        </w:rPr>
        <w:t>万元；经营收入</w:t>
      </w:r>
      <w:r>
        <w:rPr>
          <w:rFonts w:ascii="仿宋" w:eastAsia="仿宋"/>
          <w:color w:val="000000"/>
          <w:sz w:val="32"/>
          <w:szCs w:val="32"/>
        </w:rPr>
        <w:t>0</w:t>
      </w:r>
      <w:r>
        <w:rPr>
          <w:rFonts w:ascii="仿宋" w:eastAsia="仿宋" w:hint="eastAsia"/>
          <w:color w:val="000000"/>
          <w:sz w:val="32"/>
          <w:szCs w:val="32"/>
        </w:rPr>
        <w:t>万元；附属单位上缴收入</w:t>
      </w:r>
      <w:r>
        <w:rPr>
          <w:rFonts w:ascii="仿宋" w:eastAsia="仿宋"/>
          <w:color w:val="000000"/>
          <w:sz w:val="32"/>
          <w:szCs w:val="32"/>
        </w:rPr>
        <w:t>0</w:t>
      </w:r>
      <w:r>
        <w:rPr>
          <w:rFonts w:ascii="仿宋" w:eastAsia="仿宋" w:hint="eastAsia"/>
          <w:color w:val="000000"/>
          <w:sz w:val="32"/>
          <w:szCs w:val="32"/>
        </w:rPr>
        <w:t>万元；其他收入</w:t>
      </w:r>
      <w:r>
        <w:rPr>
          <w:rFonts w:ascii="仿宋" w:eastAsia="仿宋"/>
          <w:color w:val="000000"/>
          <w:sz w:val="32"/>
          <w:szCs w:val="32"/>
        </w:rPr>
        <w:t>0</w:t>
      </w:r>
      <w:r>
        <w:rPr>
          <w:rFonts w:ascii="仿宋" w:eastAsia="仿宋" w:hint="eastAsia"/>
          <w:color w:val="000000"/>
          <w:sz w:val="32"/>
          <w:szCs w:val="32"/>
        </w:rPr>
        <w:t>万元。</w:t>
      </w:r>
    </w:p>
    <w:p>
      <w:pPr>
        <w:spacing w:line="600" w:lineRule="exact"/>
        <w:ind w:firstLineChars="650" w:firstLine="1365"/>
        <w:rPr>
          <w:rFonts w:ascii="仿宋" w:eastAsia="仿宋"/>
          <w:color w:val="000000"/>
          <w:sz w:val="32"/>
          <w:szCs w:val="32"/>
        </w:rPr>
      </w:pPr>
      <w:r>
        <w:drawing>
          <wp:anchor distT="0" distB="0" distL="114300" distR="114300" simplePos="0" relativeHeight="30" behindDoc="0" locked="0" layoutInCell="1" hidden="0" allowOverlap="1">
            <wp:simplePos x="0" y="0"/>
            <wp:positionH relativeFrom="column">
              <wp:posOffset>421419</wp:posOffset>
            </wp:positionH>
            <wp:positionV relativeFrom="paragraph">
              <wp:posOffset>309439</wp:posOffset>
            </wp:positionV>
            <wp:extent cx="4356735" cy="2472689"/>
            <wp:effectExtent l="0" t="0" r="0" b="0"/>
            <wp:wrapTight wrapText="bothSides">
              <wp:wrapPolygon>
                <wp:start x="-11" y="-78"/>
                <wp:lineTo x="-11" y="21554"/>
                <wp:lineTo x="21569" y="21554"/>
                <wp:lineTo x="21569" y="-78"/>
                <wp:lineTo x="-11" y="-78"/>
              </wp:wrapPolygon>
            </wp:wrapTight>
            <wp:docPr id="2" name="图表 6"/>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650" w:firstLine="208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2</w:t>
      </w:r>
      <w:r>
        <w:rPr>
          <w:rFonts w:ascii="仿宋" w:eastAsia="仿宋" w:hint="eastAsia"/>
          <w:color w:val="000000"/>
          <w:sz w:val="32"/>
          <w:szCs w:val="32"/>
        </w:rPr>
        <w:t>：收入决算结构图）</w:t>
      </w:r>
    </w:p>
    <w:p>
      <w:pPr>
        <w:spacing w:line="600" w:lineRule="exact"/>
        <w:ind w:firstLineChars="200" w:firstLine="640"/>
        <w:rPr>
          <w:rFonts w:ascii="仿宋_GB2312" w:eastAsia="仿宋_GB2312"/>
          <w:color w:val="FF0000"/>
          <w:sz w:val="32"/>
          <w:szCs w:val="32"/>
        </w:rPr>
      </w:pPr>
    </w:p>
    <w:p>
      <w:pPr>
        <w:pStyle w:val="28"/>
        <w:numPr>
          <w:ilvl w:val="0"/>
          <w:numId w:val="1"/>
        </w:numPr>
        <w:spacing w:line="600" w:lineRule="exact"/>
        <w:ind w:firstLineChars="0"/>
        <w:outlineLvl w:val="1"/>
        <w:rPr>
          <w:rStyle w:val="2Char"/>
          <w:rFonts w:ascii="黑体" w:eastAsia="黑体"/>
          <w:b w:val="0"/>
        </w:rPr>
      </w:pPr>
      <w:bookmarkStart w:id="46" w:name="_Toc15396605"/>
      <w:bookmarkStart w:id="47" w:name="_Toc15377207"/>
      <w:bookmarkStart w:id="48" w:name="_Toc79163612"/>
      <w:bookmarkStart w:id="49" w:name="_Toc115080974"/>
      <w:r>
        <w:rPr>
          <w:rFonts w:ascii="黑体" w:eastAsia="黑体" w:hint="eastAsia"/>
          <w:color w:val="000000"/>
          <w:sz w:val="32"/>
          <w:szCs w:val="32"/>
        </w:rPr>
        <w:t>支</w:t>
      </w:r>
      <w:r>
        <w:rPr>
          <w:rStyle w:val="2Char"/>
          <w:rFonts w:ascii="黑体" w:eastAsia="黑体" w:hint="eastAsia"/>
          <w:b w:val="0"/>
        </w:rPr>
        <w:t>出决算情况说明</w:t>
      </w:r>
      <w:bookmarkEnd w:id="46"/>
      <w:bookmarkEnd w:id="47"/>
      <w:bookmarkEnd w:id="48"/>
      <w:bookmarkEnd w:id="49"/>
    </w:p>
    <w:p>
      <w:pPr>
        <w:spacing w:line="600"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年本年支出合计</w:t>
      </w:r>
      <w:r>
        <w:rPr>
          <w:rFonts w:ascii="仿宋_GB2312" w:eastAsia="仿宋_GB2312"/>
          <w:sz w:val="32"/>
          <w:szCs w:val="32"/>
        </w:rPr>
        <w:t>418.43</w:t>
      </w:r>
      <w:r>
        <w:rPr>
          <w:rFonts w:ascii="仿宋_GB2312" w:eastAsia="仿宋_GB2312" w:hint="eastAsia"/>
          <w:sz w:val="32"/>
          <w:szCs w:val="32"/>
        </w:rPr>
        <w:t>万元，其中：基本支出</w:t>
      </w:r>
      <w:r>
        <w:rPr>
          <w:rFonts w:ascii="仿宋_GB2312" w:eastAsia="仿宋_GB2312"/>
          <w:sz w:val="32"/>
          <w:szCs w:val="32"/>
        </w:rPr>
        <w:t>418.43</w:t>
      </w:r>
      <w:r>
        <w:rPr>
          <w:rFonts w:ascii="仿宋_GB2312" w:eastAsia="仿宋_GB2312" w:hint="eastAsia"/>
          <w:sz w:val="32"/>
          <w:szCs w:val="32"/>
        </w:rPr>
        <w:t>万元，占</w:t>
      </w:r>
      <w:r>
        <w:rPr>
          <w:rFonts w:ascii="仿宋_GB2312" w:eastAsia="仿宋_GB2312"/>
          <w:sz w:val="32"/>
          <w:szCs w:val="32"/>
        </w:rPr>
        <w:t>100%</w:t>
      </w:r>
      <w:r>
        <w:rPr>
          <w:rFonts w:ascii="仿宋_GB2312" w:eastAsia="仿宋_GB2312" w:hint="eastAsia"/>
          <w:sz w:val="32"/>
          <w:szCs w:val="32"/>
        </w:rPr>
        <w:t>；项目支出</w:t>
      </w:r>
      <w:r>
        <w:rPr>
          <w:rFonts w:ascii="仿宋_GB2312" w:eastAsia="仿宋_GB2312"/>
          <w:sz w:val="32"/>
          <w:szCs w:val="32"/>
        </w:rPr>
        <w:t>0</w:t>
      </w:r>
      <w:r>
        <w:rPr>
          <w:rFonts w:ascii="仿宋_GB2312" w:eastAsia="仿宋_GB2312" w:hint="eastAsia"/>
          <w:sz w:val="32"/>
          <w:szCs w:val="32"/>
        </w:rPr>
        <w:t>万元；上缴上级支出</w:t>
      </w:r>
      <w:r>
        <w:rPr>
          <w:rFonts w:ascii="仿宋_GB2312" w:eastAsia="仿宋_GB2312"/>
          <w:sz w:val="32"/>
          <w:szCs w:val="32"/>
        </w:rPr>
        <w:t>0</w:t>
      </w:r>
      <w:r>
        <w:rPr>
          <w:rFonts w:ascii="仿宋_GB2312" w:eastAsia="仿宋_GB2312" w:hint="eastAsia"/>
          <w:sz w:val="32"/>
          <w:szCs w:val="32"/>
        </w:rPr>
        <w:t>万元；经营支出</w:t>
      </w:r>
      <w:r>
        <w:rPr>
          <w:rFonts w:ascii="仿宋_GB2312" w:eastAsia="仿宋_GB2312"/>
          <w:sz w:val="32"/>
          <w:szCs w:val="32"/>
        </w:rPr>
        <w:t>0</w:t>
      </w:r>
      <w:r>
        <w:rPr>
          <w:rFonts w:ascii="仿宋_GB2312" w:eastAsia="仿宋_GB2312" w:hint="eastAsia"/>
          <w:sz w:val="32"/>
          <w:szCs w:val="32"/>
        </w:rPr>
        <w:t>万元；对附属单位补助支出</w:t>
      </w:r>
      <w:r>
        <w:rPr>
          <w:rFonts w:ascii="仿宋_GB2312" w:eastAsia="仿宋_GB2312"/>
          <w:sz w:val="32"/>
          <w:szCs w:val="32"/>
        </w:rPr>
        <w:t>0</w:t>
      </w:r>
      <w:r>
        <w:rPr>
          <w:rFonts w:ascii="仿宋_GB2312" w:eastAsia="仿宋_GB2312" w:hint="eastAsia"/>
          <w:sz w:val="32"/>
          <w:szCs w:val="32"/>
        </w:rPr>
        <w:t>万元。</w:t>
      </w:r>
    </w:p>
    <w:p>
      <w:pPr>
        <w:spacing w:line="600" w:lineRule="exact"/>
        <w:ind w:firstLineChars="200" w:firstLine="420"/>
      </w:pPr>
      <w:r>
        <w:drawing>
          <wp:anchor distT="0" distB="0" distL="114300" distR="114300" simplePos="0" relativeHeight="20" behindDoc="0" locked="0" layoutInCell="1" hidden="0" allowOverlap="1">
            <wp:simplePos x="0" y="0"/>
            <wp:positionH relativeFrom="column">
              <wp:posOffset>343673</wp:posOffset>
            </wp:positionH>
            <wp:positionV relativeFrom="paragraph">
              <wp:posOffset>155133</wp:posOffset>
            </wp:positionV>
            <wp:extent cx="4572000" cy="2743200"/>
            <wp:effectExtent l="0" t="0" r="0" b="0"/>
            <wp:wrapTight wrapText="bothSides">
              <wp:wrapPolygon>
                <wp:start x="-3" y="-28"/>
                <wp:lineTo x="-3" y="21570"/>
                <wp:lineTo x="21595" y="21570"/>
                <wp:lineTo x="21595" y="-28"/>
                <wp:lineTo x="-3" y="-28"/>
              </wp:wrapPolygon>
            </wp:wrapTight>
            <wp:docPr id="3" name="图表 3"/>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420"/>
      </w:pPr>
    </w:p>
    <w:p>
      <w:pPr>
        <w:spacing w:line="600" w:lineRule="exact"/>
        <w:ind w:firstLineChars="200" w:firstLine="420"/>
      </w:pPr>
    </w:p>
    <w:p>
      <w:pPr>
        <w:spacing w:line="600" w:lineRule="exact"/>
        <w:ind w:firstLineChars="200" w:firstLine="420"/>
      </w:pPr>
    </w:p>
    <w:p>
      <w:pPr>
        <w:spacing w:line="600" w:lineRule="exact"/>
        <w:ind w:firstLineChars="200" w:firstLine="420"/>
      </w:pPr>
    </w:p>
    <w:p>
      <w:pPr>
        <w:spacing w:line="600" w:lineRule="exact"/>
        <w:ind w:firstLineChars="200" w:firstLine="420"/>
      </w:pPr>
    </w:p>
    <w:p>
      <w:pPr>
        <w:spacing w:line="600" w:lineRule="exact"/>
        <w:ind w:firstLineChars="200" w:firstLine="420"/>
      </w:pPr>
    </w:p>
    <w:p>
      <w:pPr>
        <w:spacing w:line="600" w:lineRule="exact"/>
        <w:ind w:firstLineChars="200" w:firstLine="640"/>
        <w:rPr>
          <w:rFonts w:ascii="仿宋_GB2312" w:eastAsia="仿宋_GB2312"/>
          <w:sz w:val="32"/>
          <w:szCs w:val="32"/>
        </w:rPr>
      </w:pPr>
    </w:p>
    <w:p>
      <w:pPr>
        <w:spacing w:line="600" w:lineRule="exact"/>
        <w:ind w:firstLineChars="600" w:firstLine="192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3</w:t>
      </w:r>
      <w:r>
        <w:rPr>
          <w:rFonts w:ascii="仿宋" w:eastAsia="仿宋" w:hint="eastAsia"/>
          <w:color w:val="000000"/>
          <w:sz w:val="32"/>
          <w:szCs w:val="32"/>
        </w:rPr>
        <w:t>：支出决算结构图）</w:t>
      </w:r>
    </w:p>
    <w:p>
      <w:pPr>
        <w:spacing w:line="600" w:lineRule="exact"/>
        <w:ind w:firstLineChars="200" w:firstLine="640"/>
        <w:outlineLvl w:val="1"/>
        <w:rPr>
          <w:rStyle w:val="2Char"/>
          <w:rFonts w:ascii="黑体" w:eastAsia="黑体"/>
          <w:b w:val="0"/>
        </w:rPr>
      </w:pPr>
      <w:bookmarkStart w:id="50" w:name="_Toc15396606"/>
      <w:bookmarkStart w:id="51" w:name="_Toc15377208"/>
      <w:bookmarkStart w:id="52" w:name="_Toc79163613"/>
      <w:bookmarkStart w:id="53" w:name="_Toc115080975"/>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50"/>
      <w:bookmarkEnd w:id="51"/>
      <w:bookmarkEnd w:id="52"/>
      <w:bookmarkEnd w:id="53"/>
    </w:p>
    <w:p>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年财政拨款收、支总计</w:t>
      </w:r>
      <w:r>
        <w:rPr>
          <w:rFonts w:ascii="仿宋" w:eastAsia="仿宋"/>
          <w:color w:val="000000"/>
          <w:sz w:val="32"/>
          <w:szCs w:val="32"/>
        </w:rPr>
        <w:t>418.43</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年相比，财政拨款收、支总计各增加</w:t>
      </w:r>
      <w:r>
        <w:rPr>
          <w:rFonts w:ascii="仿宋" w:eastAsia="仿宋"/>
          <w:color w:val="000000"/>
          <w:sz w:val="32"/>
          <w:szCs w:val="32"/>
        </w:rPr>
        <w:t>68.2</w:t>
      </w:r>
      <w:r>
        <w:rPr>
          <w:rFonts w:ascii="仿宋" w:eastAsia="仿宋" w:hint="eastAsia"/>
          <w:color w:val="000000"/>
          <w:sz w:val="32"/>
          <w:szCs w:val="32"/>
        </w:rPr>
        <w:t>万元，增长</w:t>
      </w:r>
      <w:r>
        <w:rPr>
          <w:rFonts w:ascii="仿宋" w:eastAsia="仿宋"/>
          <w:color w:val="000000"/>
          <w:sz w:val="32"/>
          <w:szCs w:val="32"/>
        </w:rPr>
        <w:t>19.47%</w:t>
      </w:r>
      <w:r>
        <w:rPr>
          <w:rFonts w:ascii="仿宋" w:eastAsia="仿宋" w:hint="eastAsia"/>
          <w:color w:val="000000"/>
          <w:sz w:val="32"/>
          <w:szCs w:val="32"/>
        </w:rPr>
        <w:t>。主要变动原因是人员增加</w:t>
      </w:r>
      <w:r>
        <w:rPr>
          <w:rFonts w:ascii="仿宋" w:eastAsia="仿宋"/>
          <w:color w:val="000000"/>
          <w:sz w:val="32"/>
          <w:szCs w:val="32"/>
        </w:rPr>
        <w:t>。</w:t>
      </w:r>
    </w:p>
    <w:p>
      <w:pPr>
        <w:spacing w:line="600" w:lineRule="exact"/>
        <w:ind w:firstLine="640"/>
        <w:rPr>
          <w:rFonts w:ascii="仿宋" w:eastAsia="仿宋"/>
          <w:color w:val="000000"/>
          <w:sz w:val="32"/>
          <w:szCs w:val="32"/>
        </w:rPr>
      </w:pPr>
      <w:r>
        <w:drawing>
          <wp:anchor distT="0" distB="0" distL="114300" distR="114300" simplePos="0" relativeHeight="28" behindDoc="0" locked="0" layoutInCell="1" hidden="0" allowOverlap="1">
            <wp:simplePos x="0" y="0"/>
            <wp:positionH relativeFrom="column">
              <wp:posOffset>407034</wp:posOffset>
            </wp:positionH>
            <wp:positionV relativeFrom="paragraph">
              <wp:posOffset>103505</wp:posOffset>
            </wp:positionV>
            <wp:extent cx="4572000" cy="2743200"/>
            <wp:effectExtent l="0" t="0" r="0" b="0"/>
            <wp:wrapTight wrapText="bothSides">
              <wp:wrapPolygon>
                <wp:start x="-33" y="-65"/>
                <wp:lineTo x="-33" y="21534"/>
                <wp:lineTo x="21566" y="21534"/>
                <wp:lineTo x="21566" y="-65"/>
                <wp:lineTo x="-33" y="-65"/>
              </wp:wrapPolygon>
            </wp:wrapTight>
            <wp:docPr id="4" name="图表 4"/>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4</w:t>
      </w:r>
      <w:r>
        <w:rPr>
          <w:rFonts w:ascii="仿宋" w:eastAsia="仿宋" w:hint="eastAsia"/>
          <w:color w:val="000000"/>
          <w:sz w:val="32"/>
          <w:szCs w:val="32"/>
        </w:rPr>
        <w:t>：财政拨款收、支决算总计变动情况）</w:t>
      </w:r>
    </w:p>
    <w:p>
      <w:pPr>
        <w:spacing w:line="600" w:lineRule="exact"/>
        <w:ind w:firstLine="640"/>
        <w:rPr>
          <w:rFonts w:ascii="仿宋" w:eastAsia="仿宋"/>
          <w:b/>
          <w:color w:val="00B050"/>
          <w:sz w:val="32"/>
          <w:szCs w:val="32"/>
        </w:rPr>
      </w:pPr>
    </w:p>
    <w:p>
      <w:pPr>
        <w:spacing w:line="600" w:lineRule="exact"/>
        <w:ind w:firstLineChars="200" w:firstLine="640"/>
        <w:outlineLvl w:val="1"/>
        <w:rPr>
          <w:rStyle w:val="2Char"/>
          <w:rFonts w:ascii="黑体" w:eastAsia="黑体"/>
          <w:b w:val="0"/>
        </w:rPr>
      </w:pPr>
      <w:bookmarkStart w:id="54" w:name="_Toc15377209"/>
      <w:bookmarkStart w:id="55" w:name="_Toc15396607"/>
      <w:bookmarkStart w:id="56" w:name="_Toc79163614"/>
      <w:bookmarkStart w:id="57" w:name="_Toc115080976"/>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4"/>
      <w:bookmarkEnd w:id="55"/>
      <w:bookmarkEnd w:id="56"/>
      <w:bookmarkEnd w:id="57"/>
    </w:p>
    <w:p>
      <w:pPr>
        <w:spacing w:line="600" w:lineRule="exact"/>
        <w:ind w:firstLineChars="200" w:firstLine="640"/>
        <w:outlineLvl w:val="2"/>
        <w:rPr>
          <w:rFonts w:ascii="仿宋" w:eastAsia="仿宋"/>
          <w:b/>
          <w:color w:val="000000"/>
          <w:sz w:val="32"/>
          <w:szCs w:val="32"/>
        </w:rPr>
      </w:pPr>
      <w:bookmarkStart w:id="58" w:name="_Toc15377210"/>
      <w:bookmarkStart w:id="59" w:name="_Toc79163615"/>
      <w:bookmarkStart w:id="60" w:name="_Toc115080977"/>
      <w:r>
        <w:rPr>
          <w:rFonts w:ascii="仿宋" w:eastAsia="仿宋" w:hint="eastAsia"/>
          <w:b/>
          <w:color w:val="000000"/>
          <w:sz w:val="32"/>
          <w:szCs w:val="32"/>
        </w:rPr>
        <w:t>（一）一般公共预算财政拨款支出决算总体情况</w:t>
      </w:r>
      <w:bookmarkEnd w:id="58"/>
      <w:bookmarkEnd w:id="59"/>
      <w:bookmarkEnd w:id="60"/>
    </w:p>
    <w:p>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color w:val="000000"/>
          <w:sz w:val="32"/>
          <w:szCs w:val="32"/>
        </w:rPr>
        <w:t>418.43</w:t>
      </w:r>
      <w:r>
        <w:rPr>
          <w:rFonts w:ascii="仿宋" w:eastAsia="仿宋" w:hint="eastAsia"/>
          <w:color w:val="000000"/>
          <w:sz w:val="32"/>
          <w:szCs w:val="32"/>
        </w:rPr>
        <w:t>万元，占本年支出合计的</w:t>
      </w:r>
      <w:r>
        <w:rPr>
          <w:rFonts w:ascii="仿宋" w:eastAsia="仿宋"/>
          <w:color w:val="000000"/>
          <w:sz w:val="32"/>
          <w:szCs w:val="32"/>
        </w:rPr>
        <w:t>100%</w:t>
      </w:r>
      <w:r>
        <w:rPr>
          <w:rFonts w:ascii="仿宋" w:eastAsia="仿宋" w:hint="eastAsia"/>
          <w:color w:val="000000"/>
          <w:sz w:val="32"/>
          <w:szCs w:val="32"/>
        </w:rPr>
        <w:t>。与</w:t>
      </w:r>
      <w:r>
        <w:rPr>
          <w:rFonts w:ascii="仿宋" w:eastAsia="仿宋"/>
          <w:color w:val="000000"/>
          <w:sz w:val="32"/>
          <w:szCs w:val="32"/>
        </w:rPr>
        <w:t>2020</w:t>
      </w:r>
      <w:r>
        <w:rPr>
          <w:rFonts w:ascii="仿宋" w:eastAsia="仿宋" w:hint="eastAsia"/>
          <w:color w:val="000000"/>
          <w:sz w:val="32"/>
          <w:szCs w:val="32"/>
        </w:rPr>
        <w:t>年相比，一般公共预算财政拨款增加6</w:t>
      </w:r>
      <w:r>
        <w:rPr>
          <w:rFonts w:ascii="仿宋" w:eastAsia="仿宋"/>
          <w:color w:val="000000"/>
          <w:sz w:val="32"/>
          <w:szCs w:val="32"/>
        </w:rPr>
        <w:t>8.19</w:t>
      </w:r>
      <w:r>
        <w:rPr>
          <w:rFonts w:ascii="仿宋" w:eastAsia="仿宋" w:hint="eastAsia"/>
          <w:color w:val="000000"/>
          <w:sz w:val="32"/>
          <w:szCs w:val="32"/>
        </w:rPr>
        <w:t>万元，增长</w:t>
      </w:r>
      <w:r>
        <w:rPr>
          <w:rFonts w:ascii="仿宋" w:eastAsia="仿宋"/>
          <w:color w:val="000000"/>
          <w:sz w:val="32"/>
          <w:szCs w:val="32"/>
        </w:rPr>
        <w:t>19.47%</w:t>
      </w:r>
      <w:r>
        <w:rPr>
          <w:rFonts w:ascii="仿宋" w:eastAsia="仿宋" w:hint="eastAsia"/>
          <w:color w:val="000000"/>
          <w:sz w:val="32"/>
          <w:szCs w:val="32"/>
        </w:rPr>
        <w:t>。主要变动原因是人员增加</w:t>
      </w:r>
      <w:r>
        <w:rPr>
          <w:rFonts w:ascii="仿宋" w:eastAsia="仿宋"/>
          <w:color w:val="000000"/>
          <w:sz w:val="32"/>
          <w:szCs w:val="32"/>
        </w:rPr>
        <w:t>。</w:t>
      </w: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420"/>
        <w:rPr>
          <w:rFonts w:ascii="仿宋" w:eastAsia="仿宋"/>
          <w:color w:val="000000"/>
          <w:sz w:val="32"/>
          <w:szCs w:val="32"/>
        </w:rPr>
      </w:pPr>
      <w:r>
        <w:drawing>
          <wp:anchor distT="0" distB="0" distL="114300" distR="114300" simplePos="0" relativeHeight="24" behindDoc="0" locked="0" layoutInCell="1" hidden="0" allowOverlap="1">
            <wp:simplePos x="0" y="0"/>
            <wp:positionH relativeFrom="column">
              <wp:posOffset>264160</wp:posOffset>
            </wp:positionH>
            <wp:positionV relativeFrom="paragraph">
              <wp:posOffset>-103367</wp:posOffset>
            </wp:positionV>
            <wp:extent cx="4572000" cy="2743200"/>
            <wp:effectExtent l="0" t="0" r="0" b="0"/>
            <wp:wrapTight wrapText="bothSides">
              <wp:wrapPolygon>
                <wp:start x="-33" y="-11"/>
                <wp:lineTo x="-33" y="21588"/>
                <wp:lineTo x="21566" y="21588"/>
                <wp:lineTo x="21566" y="-11"/>
                <wp:lineTo x="-33" y="-11"/>
              </wp:wrapPolygon>
            </wp:wrapTight>
            <wp:docPr id="5" name="图表 5"/>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5</w:t>
      </w:r>
      <w:r>
        <w:rPr>
          <w:rFonts w:ascii="仿宋" w:eastAsia="仿宋" w:hint="eastAsia"/>
          <w:color w:val="000000"/>
          <w:sz w:val="32"/>
          <w:szCs w:val="32"/>
        </w:rPr>
        <w:t>：一般公共预算财政拨款支出决算变动情况）</w:t>
      </w:r>
    </w:p>
    <w:p>
      <w:pPr>
        <w:spacing w:line="600" w:lineRule="exact"/>
        <w:ind w:firstLineChars="200" w:firstLine="640"/>
        <w:rPr>
          <w:rFonts w:ascii="仿宋" w:eastAsia="仿宋"/>
          <w:color w:val="000000"/>
          <w:sz w:val="32"/>
          <w:szCs w:val="32"/>
        </w:rPr>
      </w:pPr>
    </w:p>
    <w:p>
      <w:pPr>
        <w:spacing w:line="600" w:lineRule="exact"/>
        <w:ind w:firstLineChars="200" w:firstLine="640"/>
        <w:outlineLvl w:val="2"/>
        <w:rPr>
          <w:rFonts w:ascii="仿宋" w:eastAsia="仿宋"/>
          <w:b/>
          <w:color w:val="000000"/>
          <w:sz w:val="32"/>
          <w:szCs w:val="32"/>
        </w:rPr>
      </w:pPr>
      <w:bookmarkStart w:id="61" w:name="_Toc15377211"/>
      <w:bookmarkStart w:id="62" w:name="_Toc79163616"/>
      <w:bookmarkStart w:id="63" w:name="_Toc115080978"/>
      <w:r>
        <w:rPr>
          <w:rFonts w:ascii="仿宋" w:eastAsia="仿宋" w:hint="eastAsia"/>
          <w:b/>
          <w:color w:val="000000"/>
          <w:sz w:val="32"/>
          <w:szCs w:val="32"/>
        </w:rPr>
        <w:t>（二）一般公共预算财政拨款支出决算结构情况</w:t>
      </w:r>
      <w:bookmarkEnd w:id="61"/>
      <w:bookmarkEnd w:id="62"/>
      <w:bookmarkEnd w:id="63"/>
    </w:p>
    <w:p>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color w:val="000000"/>
          <w:sz w:val="32"/>
          <w:szCs w:val="32"/>
        </w:rPr>
        <w:t>418.43</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w:t>
      </w:r>
      <w:r>
        <w:rPr>
          <w:rFonts w:ascii="仿宋" w:eastAsia="仿宋" w:hint="eastAsia"/>
          <w:b/>
          <w:bCs/>
          <w:color w:val="000000"/>
          <w:sz w:val="32"/>
          <w:szCs w:val="32"/>
        </w:rPr>
        <w:t>支出</w:t>
      </w:r>
      <w:r>
        <w:rPr>
          <w:rFonts w:ascii="仿宋" w:eastAsia="仿宋" w:hint="eastAsia"/>
          <w:b/>
          <w:color w:val="000000"/>
          <w:sz w:val="32"/>
          <w:szCs w:val="32"/>
        </w:rPr>
        <w:t>（类）</w:t>
      </w:r>
      <w:r>
        <w:rPr>
          <w:rFonts w:ascii="仿宋" w:eastAsia="仿宋"/>
          <w:color w:val="000000"/>
          <w:sz w:val="32"/>
          <w:szCs w:val="32"/>
        </w:rPr>
        <w:t>46.02</w:t>
      </w:r>
      <w:r>
        <w:rPr>
          <w:rFonts w:ascii="仿宋" w:eastAsia="仿宋" w:hint="eastAsia"/>
          <w:color w:val="000000"/>
          <w:sz w:val="32"/>
          <w:szCs w:val="32"/>
        </w:rPr>
        <w:t>万元，占</w:t>
      </w:r>
      <w:r>
        <w:rPr>
          <w:rFonts w:ascii="仿宋" w:eastAsia="仿宋"/>
          <w:color w:val="000000"/>
          <w:sz w:val="32"/>
          <w:szCs w:val="32"/>
        </w:rPr>
        <w:t>11%</w:t>
      </w:r>
      <w:r>
        <w:rPr>
          <w:rFonts w:ascii="仿宋" w:eastAsia="仿宋" w:hint="eastAsia"/>
          <w:color w:val="000000"/>
          <w:sz w:val="32"/>
          <w:szCs w:val="32"/>
        </w:rPr>
        <w:t>；</w:t>
      </w:r>
      <w:r>
        <w:rPr>
          <w:rFonts w:ascii="仿宋" w:eastAsia="仿宋" w:hint="eastAsia"/>
          <w:b/>
          <w:bCs/>
          <w:color w:val="000000"/>
          <w:sz w:val="32"/>
          <w:szCs w:val="32"/>
        </w:rPr>
        <w:t>卫生健康支出（类）</w:t>
      </w:r>
      <w:r>
        <w:rPr>
          <w:rFonts w:ascii="仿宋" w:eastAsia="仿宋"/>
          <w:color w:val="000000"/>
          <w:sz w:val="32"/>
          <w:szCs w:val="32"/>
        </w:rPr>
        <w:t>22.35</w:t>
      </w:r>
      <w:r>
        <w:rPr>
          <w:rFonts w:ascii="仿宋" w:eastAsia="仿宋" w:hint="eastAsia"/>
          <w:color w:val="000000"/>
          <w:sz w:val="32"/>
          <w:szCs w:val="32"/>
        </w:rPr>
        <w:t>万元，占</w:t>
      </w:r>
      <w:r>
        <w:rPr>
          <w:rFonts w:ascii="仿宋" w:eastAsia="仿宋"/>
          <w:color w:val="000000"/>
          <w:sz w:val="32"/>
          <w:szCs w:val="32"/>
        </w:rPr>
        <w:t>5.34%</w:t>
      </w:r>
      <w:r>
        <w:rPr>
          <w:rFonts w:ascii="仿宋" w:eastAsia="仿宋" w:hint="eastAsia"/>
          <w:color w:val="000000"/>
          <w:sz w:val="32"/>
          <w:szCs w:val="32"/>
        </w:rPr>
        <w:t>；</w:t>
      </w:r>
      <w:r>
        <w:rPr>
          <w:rFonts w:ascii="仿宋" w:eastAsia="仿宋" w:hint="eastAsia"/>
          <w:b/>
          <w:bCs/>
          <w:color w:val="000000"/>
          <w:sz w:val="32"/>
          <w:szCs w:val="32"/>
        </w:rPr>
        <w:t>农林水支出（类）</w:t>
      </w:r>
      <w:r>
        <w:rPr>
          <w:rFonts w:ascii="仿宋" w:eastAsia="仿宋"/>
          <w:color w:val="000000"/>
          <w:sz w:val="32"/>
          <w:szCs w:val="32"/>
        </w:rPr>
        <w:t>317.79</w:t>
      </w:r>
      <w:r>
        <w:rPr>
          <w:rFonts w:ascii="仿宋" w:eastAsia="仿宋" w:hint="eastAsia"/>
          <w:color w:val="000000"/>
          <w:sz w:val="32"/>
          <w:szCs w:val="32"/>
        </w:rPr>
        <w:t>万元，占</w:t>
      </w:r>
      <w:r>
        <w:rPr>
          <w:rFonts w:ascii="仿宋" w:eastAsia="仿宋"/>
          <w:color w:val="000000"/>
          <w:sz w:val="32"/>
          <w:szCs w:val="32"/>
        </w:rPr>
        <w:t>75.95%</w:t>
      </w:r>
      <w:r>
        <w:rPr>
          <w:rFonts w:ascii="仿宋" w:eastAsia="仿宋" w:hint="eastAsia"/>
          <w:color w:val="000000"/>
          <w:sz w:val="32"/>
          <w:szCs w:val="32"/>
        </w:rPr>
        <w:t>；</w:t>
      </w:r>
      <w:r>
        <w:rPr>
          <w:rFonts w:ascii="仿宋" w:eastAsia="仿宋" w:hint="eastAsia"/>
          <w:b/>
          <w:bCs/>
          <w:color w:val="000000"/>
          <w:sz w:val="32"/>
          <w:szCs w:val="32"/>
        </w:rPr>
        <w:t>住房保障支出（类）</w:t>
      </w:r>
      <w:r>
        <w:rPr>
          <w:rFonts w:ascii="仿宋" w:eastAsia="仿宋"/>
          <w:color w:val="000000"/>
          <w:sz w:val="32"/>
          <w:szCs w:val="32"/>
        </w:rPr>
        <w:t>32.27</w:t>
      </w:r>
      <w:r>
        <w:rPr>
          <w:rFonts w:ascii="仿宋" w:eastAsia="仿宋" w:hint="eastAsia"/>
          <w:color w:val="000000"/>
          <w:sz w:val="32"/>
          <w:szCs w:val="32"/>
        </w:rPr>
        <w:t>万元，占</w:t>
      </w:r>
      <w:r>
        <w:rPr>
          <w:rFonts w:ascii="仿宋" w:eastAsia="仿宋"/>
          <w:color w:val="000000"/>
          <w:sz w:val="32"/>
          <w:szCs w:val="32"/>
        </w:rPr>
        <w:t>7.71%</w:t>
      </w:r>
      <w:r>
        <w:rPr>
          <w:rFonts w:ascii="仿宋" w:eastAsia="仿宋" w:hint="eastAsia"/>
          <w:color w:val="000000"/>
          <w:sz w:val="32"/>
          <w:szCs w:val="32"/>
        </w:rPr>
        <w:t>。</w:t>
      </w:r>
    </w:p>
    <w:p>
      <w:pPr>
        <w:spacing w:line="600" w:lineRule="exact"/>
        <w:rPr>
          <w:rFonts w:ascii="仿宋" w:eastAsia="仿宋"/>
          <w:color w:val="000000"/>
          <w:sz w:val="32"/>
          <w:szCs w:val="32"/>
        </w:rPr>
      </w:pPr>
      <w:r>
        <w:drawing>
          <wp:anchor distT="0" distB="0" distL="114300" distR="114300" simplePos="0" relativeHeight="22" behindDoc="0" locked="0" layoutInCell="1" hidden="0" allowOverlap="1">
            <wp:simplePos x="0" y="0"/>
            <wp:positionH relativeFrom="column">
              <wp:posOffset>343810</wp:posOffset>
            </wp:positionH>
            <wp:positionV relativeFrom="paragraph">
              <wp:posOffset>212063</wp:posOffset>
            </wp:positionV>
            <wp:extent cx="4572000" cy="2743200"/>
            <wp:effectExtent l="0" t="0" r="0" b="0"/>
            <wp:wrapTight wrapText="bothSides">
              <wp:wrapPolygon>
                <wp:start x="-4" y="-31"/>
                <wp:lineTo x="-4" y="21567"/>
                <wp:lineTo x="21595" y="21567"/>
                <wp:lineTo x="21595" y="-31"/>
                <wp:lineTo x="-4" y="-31"/>
              </wp:wrapPolygon>
            </wp:wrapTight>
            <wp:docPr id="6" name="图表 6"/>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6</w:t>
      </w:r>
      <w:r>
        <w:rPr>
          <w:rFonts w:ascii="仿宋" w:eastAsia="仿宋" w:hint="eastAsia"/>
          <w:color w:val="000000"/>
          <w:sz w:val="32"/>
          <w:szCs w:val="32"/>
        </w:rPr>
        <w:t>：一般公共预算财政拨款支出决算结构）</w:t>
      </w:r>
    </w:p>
    <w:p>
      <w:pPr>
        <w:spacing w:line="600" w:lineRule="exact"/>
        <w:ind w:firstLineChars="200" w:firstLine="640"/>
        <w:rPr>
          <w:rFonts w:ascii="仿宋" w:eastAsia="仿宋"/>
          <w:color w:val="000000"/>
          <w:sz w:val="32"/>
          <w:szCs w:val="32"/>
        </w:rPr>
      </w:pPr>
    </w:p>
    <w:p>
      <w:pPr>
        <w:spacing w:line="600" w:lineRule="exact"/>
        <w:ind w:firstLineChars="200" w:firstLine="640"/>
        <w:outlineLvl w:val="2"/>
        <w:rPr>
          <w:rFonts w:ascii="仿宋" w:eastAsia="仿宋"/>
          <w:b/>
          <w:color w:val="000000"/>
          <w:sz w:val="32"/>
          <w:szCs w:val="32"/>
        </w:rPr>
      </w:pPr>
      <w:bookmarkStart w:id="64" w:name="_Toc15377212"/>
      <w:bookmarkStart w:id="65" w:name="_Toc79163617"/>
      <w:bookmarkStart w:id="66" w:name="_Toc115080979"/>
      <w:r>
        <w:rPr>
          <w:rFonts w:ascii="仿宋" w:eastAsia="仿宋" w:hint="eastAsia"/>
          <w:b/>
          <w:color w:val="000000"/>
          <w:sz w:val="32"/>
          <w:szCs w:val="32"/>
        </w:rPr>
        <w:t>（三）一般公共预算财政拨款支出决算具体情况</w:t>
      </w:r>
      <w:bookmarkEnd w:id="64"/>
      <w:bookmarkEnd w:id="65"/>
      <w:bookmarkEnd w:id="66"/>
    </w:p>
    <w:p>
      <w:pPr>
        <w:spacing w:line="600" w:lineRule="exact"/>
        <w:ind w:firstLineChars="200" w:firstLine="640"/>
        <w:rPr>
          <w:rFonts w:ascii="仿宋_GB2312" w:eastAsia="仿宋_GB2312"/>
          <w:b/>
          <w:bCs/>
          <w:sz w:val="32"/>
          <w:szCs w:val="32"/>
        </w:rPr>
      </w:pPr>
      <w:bookmarkStart w:id="67" w:name="_Toc15377213"/>
      <w:bookmarkStart w:id="68" w:name="_Toc15378460"/>
      <w:bookmarkStart w:id="69" w:name="_Toc15377444"/>
      <w:r>
        <w:rPr>
          <w:rFonts w:ascii="仿宋_GB2312" w:eastAsia="仿宋_GB2312"/>
          <w:b/>
          <w:bCs/>
          <w:sz w:val="32"/>
          <w:szCs w:val="32"/>
        </w:rPr>
        <w:t>2021</w:t>
      </w:r>
      <w:r>
        <w:rPr>
          <w:rFonts w:ascii="仿宋_GB2312" w:eastAsia="仿宋_GB2312" w:hint="eastAsia"/>
          <w:b/>
          <w:bCs/>
          <w:sz w:val="32"/>
          <w:szCs w:val="32"/>
        </w:rPr>
        <w:t>年一般公共预算支出决算数为</w:t>
      </w:r>
      <w:r>
        <w:rPr>
          <w:rFonts w:ascii="仿宋_GB2312" w:eastAsia="仿宋_GB2312"/>
          <w:b/>
          <w:bCs/>
          <w:sz w:val="32"/>
          <w:szCs w:val="32"/>
        </w:rPr>
        <w:t>418.43</w:t>
      </w:r>
      <w:r>
        <w:rPr>
          <w:rFonts w:ascii="仿宋_GB2312" w:eastAsia="仿宋_GB2312" w:hint="eastAsia"/>
          <w:b/>
          <w:bCs/>
          <w:sz w:val="32"/>
          <w:szCs w:val="32"/>
        </w:rPr>
        <w:t>万元，完成预算</w:t>
      </w:r>
      <w:r>
        <w:rPr>
          <w:rFonts w:ascii="仿宋_GB2312" w:eastAsia="仿宋_GB2312"/>
          <w:b/>
          <w:bCs/>
          <w:sz w:val="32"/>
          <w:szCs w:val="32"/>
        </w:rPr>
        <w:t>100%</w:t>
      </w:r>
      <w:r>
        <w:rPr>
          <w:rFonts w:ascii="仿宋_GB2312" w:eastAsia="仿宋_GB2312" w:hint="eastAsia"/>
          <w:b/>
          <w:bCs/>
          <w:sz w:val="32"/>
          <w:szCs w:val="32"/>
        </w:rPr>
        <w:t>。其中：</w:t>
      </w:r>
      <w:bookmarkEnd w:id="67"/>
      <w:bookmarkEnd w:id="68"/>
      <w:bookmarkEnd w:id="69"/>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b w:val="0"/>
          <w:bCs/>
          <w:color w:val="000000"/>
          <w:sz w:val="32"/>
          <w:szCs w:val="32"/>
        </w:rPr>
        <w:t>1</w:t>
      </w:r>
      <w:r>
        <w:rPr>
          <w:rStyle w:val="25"/>
          <w:rFonts w:ascii="仿宋_GB2312" w:eastAsia="仿宋_GB2312" w:hint="eastAsia"/>
          <w:b w:val="0"/>
          <w:bCs/>
          <w:color w:val="000000"/>
          <w:sz w:val="32"/>
          <w:szCs w:val="32"/>
        </w:rPr>
        <w:t>.社会保障和就业支出（类）行政事业单位养老支出（款）机关事业单位基本养老保险缴费支出（项）:</w:t>
      </w:r>
      <w:r>
        <w:rPr>
          <w:rStyle w:val="25"/>
          <w:rFonts w:ascii="仿宋_GB2312" w:eastAsia="仿宋_GB2312" w:hint="eastAsia"/>
          <w:b w:val="0"/>
          <w:color w:val="000000"/>
          <w:sz w:val="32"/>
          <w:szCs w:val="32"/>
        </w:rPr>
        <w:t>支出决算为</w:t>
      </w:r>
      <w:r>
        <w:rPr>
          <w:rStyle w:val="25"/>
          <w:rFonts w:ascii="仿宋_GB2312" w:eastAsia="仿宋_GB2312"/>
          <w:b w:val="0"/>
          <w:color w:val="000000"/>
          <w:sz w:val="32"/>
          <w:szCs w:val="32"/>
        </w:rPr>
        <w:t>30.68</w:t>
      </w:r>
      <w:r>
        <w:rPr>
          <w:rStyle w:val="25"/>
          <w:rFonts w:ascii="仿宋_GB2312" w:eastAsia="仿宋_GB2312" w:hint="eastAsia"/>
          <w:b w:val="0"/>
          <w:color w:val="000000"/>
          <w:sz w:val="32"/>
          <w:szCs w:val="32"/>
        </w:rPr>
        <w:t>万元，完成预算100%。</w:t>
      </w:r>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b w:val="0"/>
          <w:bCs/>
          <w:color w:val="000000"/>
          <w:sz w:val="32"/>
          <w:szCs w:val="32"/>
        </w:rPr>
        <w:t>2</w:t>
      </w:r>
      <w:r>
        <w:rPr>
          <w:rStyle w:val="25"/>
          <w:rFonts w:ascii="仿宋_GB2312" w:eastAsia="仿宋_GB2312" w:hint="eastAsia"/>
          <w:b w:val="0"/>
          <w:bCs/>
          <w:color w:val="000000"/>
          <w:sz w:val="32"/>
          <w:szCs w:val="32"/>
        </w:rPr>
        <w:t>.社会保障和就业支出（类）行政事业单位养老支出（款）机关事业单位职业年金缴费支出（项）:</w:t>
      </w:r>
      <w:r>
        <w:rPr>
          <w:rStyle w:val="25"/>
          <w:rFonts w:ascii="仿宋_GB2312" w:eastAsia="仿宋_GB2312" w:hint="eastAsia"/>
          <w:b w:val="0"/>
          <w:color w:val="000000"/>
          <w:sz w:val="32"/>
          <w:szCs w:val="32"/>
        </w:rPr>
        <w:t>支出决算为</w:t>
      </w:r>
      <w:r>
        <w:rPr>
          <w:rStyle w:val="25"/>
          <w:rFonts w:ascii="仿宋_GB2312" w:eastAsia="仿宋_GB2312"/>
          <w:b w:val="0"/>
          <w:color w:val="000000"/>
          <w:sz w:val="32"/>
          <w:szCs w:val="32"/>
        </w:rPr>
        <w:t>15.34</w:t>
      </w:r>
      <w:r>
        <w:rPr>
          <w:rStyle w:val="25"/>
          <w:rFonts w:ascii="仿宋_GB2312" w:eastAsia="仿宋_GB2312" w:hint="eastAsia"/>
          <w:b w:val="0"/>
          <w:color w:val="000000"/>
          <w:sz w:val="32"/>
          <w:szCs w:val="32"/>
        </w:rPr>
        <w:t>万元，完成预算100%。</w:t>
      </w:r>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b w:val="0"/>
          <w:bCs/>
          <w:color w:val="000000"/>
          <w:sz w:val="32"/>
          <w:szCs w:val="32"/>
        </w:rPr>
        <w:t>3</w:t>
      </w:r>
      <w:r>
        <w:rPr>
          <w:rStyle w:val="25"/>
          <w:rFonts w:ascii="仿宋_GB2312" w:eastAsia="仿宋_GB2312" w:hint="eastAsia"/>
          <w:b w:val="0"/>
          <w:bCs/>
          <w:color w:val="000000"/>
          <w:sz w:val="32"/>
          <w:szCs w:val="32"/>
        </w:rPr>
        <w:t>.</w:t>
      </w:r>
      <w:r>
        <w:rPr>
          <w:rFonts w:ascii="仿宋_GB2312" w:eastAsia="仿宋_GB2312" w:hint="eastAsia"/>
          <w:bCs/>
          <w:color w:val="000000"/>
          <w:sz w:val="32"/>
          <w:szCs w:val="32"/>
        </w:rPr>
        <w:t>卫生健康支出</w:t>
      </w:r>
      <w:r>
        <w:rPr>
          <w:rStyle w:val="25"/>
          <w:rFonts w:ascii="仿宋_GB2312" w:eastAsia="仿宋_GB2312" w:hint="eastAsia"/>
          <w:b w:val="0"/>
          <w:bCs/>
          <w:color w:val="000000"/>
          <w:sz w:val="32"/>
          <w:szCs w:val="32"/>
        </w:rPr>
        <w:t>（类）行政事业单位医疗（款）事业单位医疗（项）:</w:t>
      </w:r>
      <w:r>
        <w:rPr>
          <w:rStyle w:val="25"/>
          <w:rFonts w:ascii="仿宋_GB2312" w:eastAsia="仿宋_GB2312" w:hint="eastAsia"/>
          <w:b w:val="0"/>
          <w:color w:val="000000"/>
          <w:sz w:val="32"/>
          <w:szCs w:val="32"/>
        </w:rPr>
        <w:t>支出决算为</w:t>
      </w:r>
      <w:r>
        <w:rPr>
          <w:rStyle w:val="25"/>
          <w:rFonts w:ascii="仿宋_GB2312" w:eastAsia="仿宋_GB2312"/>
          <w:b w:val="0"/>
          <w:color w:val="000000"/>
          <w:sz w:val="32"/>
          <w:szCs w:val="32"/>
        </w:rPr>
        <w:t>22.35</w:t>
      </w:r>
      <w:r>
        <w:rPr>
          <w:rStyle w:val="25"/>
          <w:rFonts w:ascii="仿宋_GB2312" w:eastAsia="仿宋_GB2312" w:hint="eastAsia"/>
          <w:b w:val="0"/>
          <w:color w:val="000000"/>
          <w:sz w:val="32"/>
          <w:szCs w:val="32"/>
        </w:rPr>
        <w:t>万元，完成预算</w:t>
      </w:r>
      <w:r>
        <w:rPr>
          <w:rStyle w:val="25"/>
          <w:rFonts w:ascii="仿宋_GB2312" w:eastAsia="仿宋_GB2312"/>
          <w:b w:val="0"/>
          <w:color w:val="000000"/>
          <w:sz w:val="32"/>
          <w:szCs w:val="32"/>
        </w:rPr>
        <w:t>100</w:t>
      </w:r>
      <w:r>
        <w:rPr>
          <w:rStyle w:val="25"/>
          <w:rFonts w:ascii="仿宋_GB2312" w:eastAsia="仿宋_GB2312" w:hint="eastAsia"/>
          <w:b w:val="0"/>
          <w:color w:val="000000"/>
          <w:sz w:val="32"/>
          <w:szCs w:val="32"/>
        </w:rPr>
        <w:t>%。</w:t>
      </w:r>
    </w:p>
    <w:p>
      <w:pPr>
        <w:autoSpaceDN w:val="0"/>
        <w:spacing w:line="600" w:lineRule="exact"/>
        <w:ind w:firstLineChars="200" w:firstLine="640"/>
        <w:rPr>
          <w:rStyle w:val="25"/>
          <w:bCs/>
        </w:rPr>
      </w:pPr>
      <w:r>
        <w:rPr>
          <w:rStyle w:val="25"/>
          <w:rFonts w:ascii="仿宋_GB2312" w:eastAsia="仿宋_GB2312"/>
          <w:b w:val="0"/>
          <w:bCs/>
          <w:color w:val="000000"/>
          <w:sz w:val="32"/>
          <w:szCs w:val="32"/>
        </w:rPr>
        <w:t>4</w:t>
      </w:r>
      <w:r>
        <w:rPr>
          <w:rStyle w:val="25"/>
          <w:rFonts w:ascii="仿宋_GB2312" w:eastAsia="仿宋_GB2312" w:hint="eastAsia"/>
          <w:b w:val="0"/>
          <w:bCs/>
          <w:color w:val="000000"/>
          <w:sz w:val="32"/>
          <w:szCs w:val="32"/>
        </w:rPr>
        <w:t>.</w:t>
      </w:r>
      <w:r>
        <w:rPr>
          <w:rFonts w:ascii="仿宋_GB2312" w:eastAsia="仿宋_GB2312" w:hint="eastAsia"/>
          <w:bCs/>
          <w:color w:val="000000"/>
          <w:sz w:val="32"/>
          <w:szCs w:val="32"/>
        </w:rPr>
        <w:t>农林水支出</w:t>
      </w:r>
      <w:r>
        <w:rPr>
          <w:rStyle w:val="25"/>
          <w:rFonts w:ascii="仿宋_GB2312" w:eastAsia="仿宋_GB2312" w:hint="eastAsia"/>
          <w:b w:val="0"/>
          <w:bCs/>
          <w:color w:val="000000"/>
          <w:sz w:val="32"/>
          <w:szCs w:val="32"/>
        </w:rPr>
        <w:t>（类）农业农村（款）事业运行（项）:</w:t>
      </w:r>
      <w:r>
        <w:rPr>
          <w:rStyle w:val="25"/>
          <w:rFonts w:ascii="仿宋_GB2312" w:eastAsia="仿宋_GB2312" w:hint="eastAsia"/>
          <w:b w:val="0"/>
          <w:color w:val="000000"/>
          <w:sz w:val="32"/>
          <w:szCs w:val="32"/>
        </w:rPr>
        <w:t>支出决算为</w:t>
      </w:r>
      <w:r>
        <w:rPr>
          <w:rStyle w:val="25"/>
          <w:rFonts w:ascii="仿宋_GB2312" w:eastAsia="仿宋_GB2312"/>
          <w:b w:val="0"/>
          <w:color w:val="000000"/>
          <w:sz w:val="32"/>
          <w:szCs w:val="32"/>
        </w:rPr>
        <w:t>317.79</w:t>
      </w:r>
      <w:r>
        <w:rPr>
          <w:rStyle w:val="25"/>
          <w:rFonts w:ascii="仿宋_GB2312" w:eastAsia="仿宋_GB2312" w:hint="eastAsia"/>
          <w:b w:val="0"/>
          <w:color w:val="000000"/>
          <w:sz w:val="32"/>
          <w:szCs w:val="32"/>
        </w:rPr>
        <w:t>万元，完成预算</w:t>
      </w:r>
      <w:r>
        <w:rPr>
          <w:rStyle w:val="25"/>
          <w:rFonts w:ascii="仿宋_GB2312" w:eastAsia="仿宋_GB2312"/>
          <w:b w:val="0"/>
          <w:color w:val="000000"/>
          <w:sz w:val="32"/>
          <w:szCs w:val="32"/>
        </w:rPr>
        <w:t>100</w:t>
      </w:r>
      <w:r>
        <w:rPr>
          <w:rStyle w:val="25"/>
          <w:rFonts w:ascii="仿宋_GB2312" w:eastAsia="仿宋_GB2312" w:hint="eastAsia"/>
          <w:b w:val="0"/>
          <w:color w:val="000000"/>
          <w:sz w:val="32"/>
          <w:szCs w:val="32"/>
        </w:rPr>
        <w:t>%。</w:t>
      </w:r>
    </w:p>
    <w:p>
      <w:pPr>
        <w:autoSpaceDN w:val="0"/>
        <w:spacing w:line="600" w:lineRule="exact"/>
        <w:ind w:firstLineChars="200" w:firstLine="640"/>
      </w:pPr>
      <w:r>
        <w:rPr>
          <w:rStyle w:val="25"/>
          <w:rFonts w:ascii="仿宋_GB2312" w:eastAsia="仿宋_GB2312"/>
          <w:b w:val="0"/>
          <w:bCs/>
          <w:color w:val="000000"/>
          <w:sz w:val="32"/>
          <w:szCs w:val="32"/>
        </w:rPr>
        <w:t>5</w:t>
      </w:r>
      <w:r>
        <w:rPr>
          <w:rStyle w:val="25"/>
          <w:rFonts w:ascii="仿宋_GB2312" w:eastAsia="仿宋_GB2312" w:hint="eastAsia"/>
          <w:color w:val="000000"/>
          <w:sz w:val="32"/>
          <w:szCs w:val="32"/>
        </w:rPr>
        <w:t>.</w:t>
      </w:r>
      <w:r>
        <w:rPr>
          <w:rFonts w:ascii="仿宋_GB2312" w:eastAsia="仿宋_GB2312" w:hint="eastAsia"/>
          <w:bCs/>
          <w:color w:val="000000"/>
          <w:sz w:val="32"/>
          <w:szCs w:val="32"/>
        </w:rPr>
        <w:t>住房保障支出</w:t>
      </w:r>
      <w:r>
        <w:rPr>
          <w:rStyle w:val="25"/>
          <w:rFonts w:ascii="仿宋_GB2312" w:eastAsia="仿宋_GB2312" w:hint="eastAsia"/>
          <w:b w:val="0"/>
          <w:bCs/>
          <w:color w:val="000000"/>
          <w:sz w:val="32"/>
          <w:szCs w:val="32"/>
        </w:rPr>
        <w:t>（类）住房改革支出（款）住房公积金（项）:</w:t>
      </w:r>
      <w:r>
        <w:rPr>
          <w:rStyle w:val="25"/>
          <w:rFonts w:ascii="仿宋_GB2312" w:eastAsia="仿宋_GB2312" w:hint="eastAsia"/>
          <w:b w:val="0"/>
          <w:color w:val="000000"/>
          <w:sz w:val="32"/>
          <w:szCs w:val="32"/>
        </w:rPr>
        <w:t>支出决算为</w:t>
      </w:r>
      <w:r>
        <w:rPr>
          <w:rStyle w:val="25"/>
          <w:rFonts w:ascii="仿宋_GB2312" w:eastAsia="仿宋_GB2312"/>
          <w:b w:val="0"/>
          <w:color w:val="000000"/>
          <w:sz w:val="32"/>
          <w:szCs w:val="32"/>
        </w:rPr>
        <w:t>32.27</w:t>
      </w:r>
      <w:r>
        <w:rPr>
          <w:rStyle w:val="25"/>
          <w:rFonts w:ascii="仿宋_GB2312" w:eastAsia="仿宋_GB2312" w:hint="eastAsia"/>
          <w:b w:val="0"/>
          <w:color w:val="000000"/>
          <w:sz w:val="32"/>
          <w:szCs w:val="32"/>
        </w:rPr>
        <w:t>万元，完成预算100%。</w:t>
      </w:r>
    </w:p>
    <w:p>
      <w:pPr>
        <w:spacing w:line="600" w:lineRule="exact"/>
        <w:ind w:firstLine="640"/>
        <w:rPr>
          <w:rFonts w:ascii="仿宋" w:eastAsia="仿宋"/>
          <w:b/>
          <w:color w:val="000000"/>
          <w:sz w:val="32"/>
          <w:szCs w:val="32"/>
        </w:rPr>
      </w:pPr>
    </w:p>
    <w:p>
      <w:pPr>
        <w:tabs>
          <w:tab w:val="right" w:pos="8306"/>
        </w:tabs>
        <w:spacing w:line="600" w:lineRule="exact"/>
        <w:ind w:firstLine="640"/>
        <w:outlineLvl w:val="1"/>
        <w:rPr>
          <w:rStyle w:val="2Char"/>
        </w:rPr>
      </w:pPr>
      <w:bookmarkStart w:id="70" w:name="_Toc15396608"/>
      <w:bookmarkStart w:id="71" w:name="_Toc15377214"/>
      <w:bookmarkStart w:id="72" w:name="_Toc79163618"/>
      <w:bookmarkStart w:id="73" w:name="_Toc115080980"/>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70"/>
      <w:bookmarkEnd w:id="71"/>
      <w:bookmarkEnd w:id="72"/>
      <w:bookmarkEnd w:id="73"/>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年一般公共预算财政拨款基本支出</w:t>
      </w:r>
      <w:r>
        <w:rPr>
          <w:rFonts w:ascii="仿宋" w:eastAsia="仿宋"/>
          <w:color w:val="000000"/>
          <w:sz w:val="32"/>
          <w:szCs w:val="32"/>
        </w:rPr>
        <w:t>418.43</w:t>
      </w:r>
      <w:r>
        <w:rPr>
          <w:rFonts w:ascii="仿宋" w:eastAsia="仿宋" w:hint="eastAsia"/>
          <w:color w:val="000000"/>
          <w:sz w:val="32"/>
          <w:szCs w:val="32"/>
        </w:rPr>
        <w:t>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w:t>
      </w:r>
      <w:r>
        <w:rPr>
          <w:rFonts w:ascii="仿宋" w:eastAsia="仿宋"/>
          <w:color w:val="000000"/>
          <w:sz w:val="32"/>
          <w:szCs w:val="32"/>
        </w:rPr>
        <w:t>402.45</w:t>
      </w:r>
      <w:r>
        <w:rPr>
          <w:rFonts w:ascii="仿宋" w:eastAsia="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日常公用经费</w:t>
      </w:r>
      <w:r>
        <w:rPr>
          <w:rFonts w:ascii="仿宋" w:eastAsia="仿宋"/>
          <w:color w:val="000000"/>
          <w:sz w:val="32"/>
          <w:szCs w:val="32"/>
        </w:rPr>
        <w:t>15.98</w:t>
      </w:r>
      <w:r>
        <w:rPr>
          <w:rFonts w:ascii="仿宋" w:eastAsia="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eastAsia="仿宋"/>
          <w:b/>
          <w:color w:val="FF0000"/>
          <w:sz w:val="32"/>
          <w:szCs w:val="32"/>
        </w:rPr>
      </w:pPr>
    </w:p>
    <w:p>
      <w:pPr>
        <w:spacing w:line="600" w:lineRule="exact"/>
        <w:ind w:firstLine="640"/>
        <w:outlineLvl w:val="1"/>
        <w:rPr>
          <w:rStyle w:val="2Char"/>
          <w:rFonts w:ascii="黑体" w:eastAsia="黑体"/>
          <w:b w:val="0"/>
        </w:rPr>
      </w:pPr>
      <w:bookmarkStart w:id="74" w:name="_Toc15396609"/>
      <w:bookmarkStart w:id="75" w:name="_Toc15377215"/>
      <w:bookmarkStart w:id="76" w:name="_Toc79163619"/>
      <w:bookmarkStart w:id="77" w:name="_Toc115080981"/>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4"/>
      <w:bookmarkEnd w:id="75"/>
      <w:bookmarkEnd w:id="76"/>
      <w:bookmarkEnd w:id="77"/>
    </w:p>
    <w:p>
      <w:pPr>
        <w:spacing w:line="600" w:lineRule="exact"/>
        <w:ind w:firstLine="640"/>
        <w:outlineLvl w:val="2"/>
        <w:rPr>
          <w:rFonts w:ascii="仿宋" w:eastAsia="仿宋"/>
          <w:b/>
          <w:color w:val="000000"/>
          <w:sz w:val="32"/>
          <w:szCs w:val="32"/>
        </w:rPr>
      </w:pPr>
      <w:bookmarkStart w:id="78" w:name="_Toc15377216"/>
      <w:bookmarkStart w:id="79" w:name="_Toc79163620"/>
      <w:bookmarkStart w:id="80" w:name="_Toc115080982"/>
      <w:r>
        <w:rPr>
          <w:rFonts w:ascii="仿宋" w:eastAsia="仿宋" w:hint="eastAsia"/>
          <w:b/>
          <w:color w:val="000000"/>
          <w:sz w:val="32"/>
          <w:szCs w:val="32"/>
        </w:rPr>
        <w:t>（一）“三公”经费财政拨款支出决算总体情况说明</w:t>
      </w:r>
      <w:bookmarkEnd w:id="78"/>
      <w:bookmarkEnd w:id="79"/>
      <w:bookmarkEnd w:id="80"/>
    </w:p>
    <w:p>
      <w:pPr>
        <w:autoSpaceDN w:val="0"/>
        <w:spacing w:line="600" w:lineRule="exact"/>
        <w:ind w:firstLine="640"/>
      </w:pPr>
      <w:r>
        <w:rPr>
          <w:rFonts w:ascii="仿宋" w:eastAsia="仿宋"/>
          <w:color w:val="000000"/>
          <w:sz w:val="32"/>
          <w:szCs w:val="32"/>
        </w:rPr>
        <w:t>2021</w:t>
      </w:r>
      <w:r>
        <w:rPr>
          <w:rFonts w:ascii="仿宋" w:eastAsia="仿宋" w:hint="eastAsia"/>
          <w:color w:val="000000"/>
          <w:sz w:val="32"/>
          <w:szCs w:val="32"/>
        </w:rPr>
        <w:t>年“三公”经费财政拨款支出决算为</w:t>
      </w:r>
      <w:r>
        <w:rPr>
          <w:rFonts w:ascii="仿宋" w:eastAsia="仿宋"/>
          <w:color w:val="000000"/>
          <w:sz w:val="32"/>
          <w:szCs w:val="32"/>
        </w:rPr>
        <w:t>0.29</w:t>
      </w:r>
      <w:r>
        <w:rPr>
          <w:rFonts w:ascii="仿宋" w:eastAsia="仿宋" w:hint="eastAsia"/>
          <w:color w:val="000000"/>
          <w:sz w:val="32"/>
          <w:szCs w:val="32"/>
        </w:rPr>
        <w:t>万元，完成预算</w:t>
      </w:r>
      <w:r>
        <w:rPr>
          <w:rFonts w:ascii="仿宋" w:eastAsia="仿宋"/>
          <w:color w:val="000000"/>
          <w:sz w:val="32"/>
          <w:szCs w:val="32"/>
        </w:rPr>
        <w:t>100%</w:t>
      </w:r>
      <w:r>
        <w:rPr>
          <w:rFonts w:ascii="仿宋" w:eastAsia="仿宋" w:hint="eastAsia"/>
          <w:color w:val="000000"/>
          <w:sz w:val="32"/>
          <w:szCs w:val="32"/>
        </w:rPr>
        <w:t>，</w:t>
      </w:r>
      <w:r>
        <w:rPr>
          <w:rFonts w:ascii="仿宋_GB2312" w:eastAsia="仿宋_GB2312"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81" w:name="_Toc15377217"/>
      <w:bookmarkStart w:id="82" w:name="_Toc79163621"/>
      <w:bookmarkStart w:id="83" w:name="_Toc115080983"/>
      <w:r>
        <w:rPr>
          <w:rFonts w:ascii="仿宋" w:eastAsia="仿宋" w:hint="eastAsia"/>
          <w:b/>
          <w:color w:val="000000"/>
          <w:sz w:val="32"/>
          <w:szCs w:val="32"/>
        </w:rPr>
        <w:t>（二）“三公”经费财政拨款支出决算具体情况说明</w:t>
      </w:r>
      <w:bookmarkEnd w:id="81"/>
      <w:bookmarkEnd w:id="82"/>
      <w:bookmarkEnd w:id="83"/>
    </w:p>
    <w:p>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年“三公”经费财政拨款支出决算中，因公出国（境）费支出决算</w:t>
      </w:r>
      <w:r>
        <w:rPr>
          <w:rFonts w:ascii="仿宋" w:eastAsia="仿宋"/>
          <w:color w:val="000000"/>
          <w:sz w:val="32"/>
          <w:szCs w:val="32"/>
        </w:rPr>
        <w:t>0</w:t>
      </w:r>
      <w:r>
        <w:rPr>
          <w:rFonts w:ascii="仿宋" w:eastAsia="仿宋" w:hint="eastAsia"/>
          <w:color w:val="000000"/>
          <w:sz w:val="32"/>
          <w:szCs w:val="32"/>
        </w:rPr>
        <w:t>万元；公务用车购置及运行维护费支出决算</w:t>
      </w:r>
      <w:r>
        <w:rPr>
          <w:rFonts w:ascii="仿宋" w:eastAsia="仿宋"/>
          <w:color w:val="000000"/>
          <w:sz w:val="32"/>
          <w:szCs w:val="32"/>
        </w:rPr>
        <w:t>0</w:t>
      </w:r>
      <w:r>
        <w:rPr>
          <w:rFonts w:ascii="仿宋" w:eastAsia="仿宋" w:hint="eastAsia"/>
          <w:color w:val="000000"/>
          <w:sz w:val="32"/>
          <w:szCs w:val="32"/>
        </w:rPr>
        <w:t>万元；公务接待费支出决算</w:t>
      </w:r>
      <w:r>
        <w:rPr>
          <w:rFonts w:ascii="仿宋" w:eastAsia="仿宋"/>
          <w:color w:val="000000"/>
          <w:sz w:val="32"/>
          <w:szCs w:val="32"/>
        </w:rPr>
        <w:t>0.29</w:t>
      </w:r>
      <w:r>
        <w:rPr>
          <w:rFonts w:ascii="仿宋" w:eastAsia="仿宋" w:hint="eastAsia"/>
          <w:color w:val="000000"/>
          <w:sz w:val="32"/>
          <w:szCs w:val="32"/>
        </w:rPr>
        <w:t>万元，占</w:t>
      </w:r>
      <w:r>
        <w:rPr>
          <w:rFonts w:ascii="仿宋" w:eastAsia="仿宋"/>
          <w:color w:val="000000"/>
          <w:sz w:val="32"/>
          <w:szCs w:val="32"/>
        </w:rPr>
        <w:t>100%</w:t>
      </w:r>
      <w:r>
        <w:rPr>
          <w:rFonts w:ascii="仿宋" w:eastAsia="仿宋" w:hint="eastAsia"/>
          <w:color w:val="000000"/>
          <w:sz w:val="32"/>
          <w:szCs w:val="32"/>
        </w:rPr>
        <w:t>。具体情况如下：</w:t>
      </w:r>
    </w:p>
    <w:p>
      <w:pPr>
        <w:spacing w:line="600" w:lineRule="exact"/>
      </w:pPr>
      <w:r>
        <w:drawing>
          <wp:anchor distT="0" distB="0" distL="114300" distR="114300" simplePos="0" relativeHeight="26" behindDoc="0" locked="0" layoutInCell="1" hidden="0" allowOverlap="1">
            <wp:simplePos x="0" y="0"/>
            <wp:positionH relativeFrom="column">
              <wp:posOffset>288152</wp:posOffset>
            </wp:positionH>
            <wp:positionV relativeFrom="paragraph">
              <wp:posOffset>167887</wp:posOffset>
            </wp:positionV>
            <wp:extent cx="4584700" cy="2755900"/>
            <wp:effectExtent l="0" t="0" r="0" b="0"/>
            <wp:wrapTight wrapText="bothSides">
              <wp:wrapPolygon>
                <wp:start x="0" y="0"/>
                <wp:lineTo x="0" y="21500"/>
                <wp:lineTo x="21540" y="21500"/>
                <wp:lineTo x="21540" y="0"/>
                <wp:lineTo x="0" y="0"/>
              </wp:wrapPolygon>
            </wp:wrapTight>
            <wp:docPr id="7" name="图片 10"/>
            <wp:cNvGraphicFramePr>
              <a:graphicFrameLocks noChangeAspect="1"/>
            </wp:cNvGraphicFramePr>
            <a:graphic>
              <a:graphicData uri="http://schemas.openxmlformats.org/drawingml/2006/picture">
                <pic:pic>
                  <pic:nvPicPr>
                    <pic:cNvPr id="9" name="图片 10 9"/>
                    <pic:cNvPicPr/>
                  </pic:nvPicPr>
                  <pic:blipFill>
                    <a:blip r:embed="rId10"/>
                    <a:stretch>
                      <a:fillRect/>
                    </a:stretch>
                  </pic:blipFill>
                  <pic:spPr>
                    <a:xfrm rot="0">
                      <a:off x="0" y="0"/>
                      <a:ext cx="4584700" cy="2755900"/>
                    </a:xfrm>
                    <a:prstGeom prst="rect"/>
                    <a:noFill/>
                    <a:ln w="9525" cmpd="sng" cap="flat">
                      <a:noFill/>
                      <a:prstDash val="solid"/>
                      <a:miter/>
                    </a:ln>
                  </pic:spPr>
                </pic:pic>
              </a:graphicData>
            </a:graphic>
          </wp:anchor>
        </w:drawing>
      </w:r>
    </w:p>
    <w:p>
      <w:pPr>
        <w:spacing w:line="600" w:lineRule="exact"/>
      </w:pPr>
    </w:p>
    <w:p>
      <w:pPr>
        <w:spacing w:line="600" w:lineRule="exact"/>
      </w:pPr>
    </w:p>
    <w:p>
      <w:pPr>
        <w:spacing w:line="600" w:lineRule="exact"/>
      </w:pPr>
    </w:p>
    <w:p>
      <w:pPr>
        <w:spacing w:line="600" w:lineRule="exact"/>
      </w:pPr>
    </w:p>
    <w:p>
      <w:pPr>
        <w:spacing w:line="600" w:lineRule="exact"/>
      </w:pPr>
    </w:p>
    <w:p>
      <w:pPr>
        <w:spacing w:line="600" w:lineRule="exact"/>
      </w:pPr>
    </w:p>
    <w:p>
      <w:pPr>
        <w:spacing w:line="600" w:lineRule="exact"/>
        <w:rPr>
          <w:rFonts w:ascii="仿宋" w:eastAsia="仿宋"/>
          <w:color w:val="000000"/>
          <w:sz w:val="32"/>
          <w:szCs w:val="32"/>
        </w:rPr>
      </w:pPr>
    </w:p>
    <w:p>
      <w:pPr>
        <w:spacing w:line="600" w:lineRule="exact"/>
        <w:ind w:firstLineChars="350" w:firstLine="112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7</w:t>
      </w:r>
      <w:r>
        <w:rPr>
          <w:rFonts w:ascii="仿宋" w:eastAsia="仿宋" w:hint="eastAsia"/>
          <w:color w:val="000000"/>
          <w:sz w:val="32"/>
          <w:szCs w:val="32"/>
        </w:rPr>
        <w:t xml:space="preserve">：“三公”经费财政拨款支出结构） </w:t>
      </w:r>
    </w:p>
    <w:p>
      <w:pPr>
        <w:autoSpaceDN w:val="0"/>
        <w:spacing w:line="600" w:lineRule="exact"/>
        <w:ind w:firstLine="640"/>
        <w:rPr>
          <w:rFonts w:ascii="仿宋_GB2312" w:eastAsia="仿宋_GB2312"/>
          <w:b/>
          <w:bCs/>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25"/>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2020</w:t>
      </w:r>
      <w:r>
        <w:rPr>
          <w:rFonts w:ascii="仿宋_GB2312" w:eastAsia="仿宋_GB2312" w:hint="eastAsia"/>
          <w:color w:val="000000"/>
          <w:sz w:val="32"/>
          <w:szCs w:val="32"/>
        </w:rPr>
        <w:t>年增加0万元，没有变动。</w:t>
      </w:r>
    </w:p>
    <w:p>
      <w:pPr>
        <w:autoSpaceDN w:val="0"/>
        <w:spacing w:line="600" w:lineRule="exact"/>
        <w:ind w:firstLine="640"/>
        <w:rPr>
          <w:rFonts w:ascii="仿宋_GB2312" w:eastAsia="仿宋_GB2312"/>
          <w:b/>
          <w:bCs/>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color w:val="000000"/>
          <w:sz w:val="32"/>
          <w:szCs w:val="32"/>
        </w:rPr>
        <w:t>0</w:t>
      </w:r>
      <w:r>
        <w:rPr>
          <w:rFonts w:ascii="仿宋_GB2312" w:eastAsia="仿宋_GB2312" w:hint="eastAsia"/>
          <w:color w:val="000000"/>
          <w:sz w:val="32"/>
          <w:szCs w:val="32"/>
        </w:rPr>
        <w:t>万元</w:t>
      </w:r>
      <w:r>
        <w:rPr>
          <w:rFonts w:ascii="仿宋_GB2312" w:eastAsia="仿宋_GB2312"/>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color w:val="000000"/>
          <w:sz w:val="32"/>
          <w:szCs w:val="32"/>
        </w:rPr>
        <w:t>3.97</w:t>
      </w:r>
      <w:r>
        <w:rPr>
          <w:rFonts w:ascii="仿宋_GB2312" w:eastAsia="仿宋_GB2312" w:hint="eastAsia"/>
          <w:color w:val="000000"/>
          <w:sz w:val="32"/>
          <w:szCs w:val="32"/>
        </w:rPr>
        <w:t>万元，下降</w:t>
      </w:r>
      <w:r>
        <w:rPr>
          <w:rFonts w:ascii="仿宋_GB2312" w:eastAsia="仿宋_GB2312"/>
          <w:color w:val="000000"/>
          <w:sz w:val="32"/>
          <w:szCs w:val="32"/>
        </w:rPr>
        <w:t>100%</w:t>
      </w:r>
      <w:r>
        <w:rPr>
          <w:rFonts w:ascii="仿宋_GB2312" w:eastAsia="仿宋_GB2312" w:hint="eastAsia"/>
          <w:color w:val="000000"/>
          <w:sz w:val="32"/>
          <w:szCs w:val="32"/>
        </w:rPr>
        <w:t>。主要原因是项目减少导致用车减少。</w:t>
      </w:r>
    </w:p>
    <w:p>
      <w:pPr>
        <w:autoSpaceDN w:val="0"/>
        <w:spacing w:line="600" w:lineRule="exact"/>
        <w:ind w:firstLineChars="200" w:firstLine="640"/>
        <w:rPr>
          <w:rFonts w:ascii="仿宋_GB2312" w:eastAsia="仿宋_GB2312"/>
          <w:b/>
          <w:bCs/>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1</w:t>
      </w:r>
      <w:r>
        <w:rPr>
          <w:rFonts w:ascii="仿宋_GB2312" w:eastAsia="仿宋_GB2312" w:hint="eastAsia"/>
          <w:color w:val="000000"/>
          <w:sz w:val="32"/>
          <w:szCs w:val="32"/>
        </w:rPr>
        <w:t>辆，为其他车辆（动物冷链车）1辆。</w:t>
      </w:r>
    </w:p>
    <w:p>
      <w:pPr>
        <w:autoSpaceDN w:val="0"/>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公务用车运行维护支出</w:t>
      </w:r>
      <w:r>
        <w:rPr>
          <w:rFonts w:ascii="仿宋_GB2312" w:eastAsia="仿宋_GB2312"/>
          <w:color w:val="000000"/>
          <w:sz w:val="32"/>
          <w:szCs w:val="32"/>
        </w:rPr>
        <w:t>0</w:t>
      </w:r>
      <w:r>
        <w:rPr>
          <w:rFonts w:ascii="仿宋_GB2312" w:eastAsia="仿宋_GB2312" w:hint="eastAsia"/>
          <w:color w:val="000000"/>
          <w:sz w:val="32"/>
          <w:szCs w:val="32"/>
        </w:rPr>
        <w:t>万元。</w:t>
      </w:r>
    </w:p>
    <w:p>
      <w:pPr>
        <w:autoSpaceDN w:val="0"/>
        <w:spacing w:line="600" w:lineRule="exact"/>
        <w:ind w:firstLine="640"/>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color w:val="000000"/>
          <w:sz w:val="32"/>
          <w:szCs w:val="32"/>
        </w:rPr>
        <w:t>0.29</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w:t>
      </w:r>
      <w:r>
        <w:rPr>
          <w:rStyle w:val="25"/>
          <w:rFonts w:ascii="仿宋" w:eastAsia="仿宋"/>
          <w:b w:val="0"/>
          <w:bCs/>
          <w:color w:val="000000"/>
          <w:sz w:val="32"/>
          <w:szCs w:val="32"/>
        </w:rPr>
        <w:t>100%</w:t>
      </w:r>
      <w:r>
        <w:rPr>
          <w:rStyle w:val="25"/>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2020</w:t>
      </w:r>
      <w:r>
        <w:rPr>
          <w:rFonts w:ascii="仿宋_GB2312" w:eastAsia="仿宋_GB2312" w:hint="eastAsia"/>
          <w:color w:val="000000"/>
          <w:sz w:val="32"/>
          <w:szCs w:val="32"/>
        </w:rPr>
        <w:t>年增加</w:t>
      </w:r>
      <w:r>
        <w:rPr>
          <w:rFonts w:ascii="仿宋_GB2312" w:eastAsia="仿宋_GB2312"/>
          <w:color w:val="000000"/>
          <w:sz w:val="32"/>
          <w:szCs w:val="32"/>
        </w:rPr>
        <w:t>0.12</w:t>
      </w:r>
      <w:r>
        <w:rPr>
          <w:rFonts w:ascii="仿宋_GB2312" w:eastAsia="仿宋_GB2312" w:hint="eastAsia"/>
          <w:color w:val="000000"/>
          <w:sz w:val="32"/>
          <w:szCs w:val="32"/>
        </w:rPr>
        <w:t>万元，增长</w:t>
      </w:r>
      <w:r>
        <w:rPr>
          <w:rFonts w:ascii="仿宋_GB2312" w:eastAsia="仿宋_GB2312"/>
          <w:color w:val="000000"/>
          <w:sz w:val="32"/>
          <w:szCs w:val="32"/>
        </w:rPr>
        <w:t>70.59%</w:t>
      </w:r>
      <w:r>
        <w:rPr>
          <w:rFonts w:ascii="仿宋_GB2312" w:eastAsia="仿宋_GB2312" w:hint="eastAsia"/>
          <w:color w:val="000000"/>
          <w:sz w:val="32"/>
          <w:szCs w:val="32"/>
        </w:rPr>
        <w:t>。主要原因是上级检查接待增加。</w:t>
      </w:r>
    </w:p>
    <w:p>
      <w:pPr>
        <w:autoSpaceDN w:val="0"/>
        <w:spacing w:line="600" w:lineRule="exact"/>
        <w:ind w:firstLine="640"/>
        <w:rPr>
          <w:rFonts w:ascii="仿宋_GB2312" w:eastAsia="仿宋_GB2312"/>
          <w:color w:val="000000"/>
          <w:sz w:val="32"/>
          <w:szCs w:val="32"/>
        </w:rPr>
      </w:pPr>
      <w:r>
        <w:rPr>
          <w:rFonts w:ascii="仿宋" w:eastAsia="仿宋" w:hint="eastAsia"/>
          <w:b/>
          <w:color w:val="000000"/>
          <w:sz w:val="32"/>
          <w:szCs w:val="32"/>
        </w:rPr>
        <w:t>国内公务接待支出</w:t>
      </w:r>
      <w:r>
        <w:rPr>
          <w:rFonts w:ascii="仿宋" w:eastAsia="仿宋"/>
          <w:color w:val="000000"/>
          <w:sz w:val="32"/>
          <w:szCs w:val="32"/>
        </w:rPr>
        <w:t>0.29</w:t>
      </w:r>
      <w:r>
        <w:rPr>
          <w:rFonts w:ascii="仿宋_GB2312" w:eastAsia="仿宋_GB2312" w:hint="eastAsia"/>
          <w:color w:val="000000"/>
          <w:sz w:val="32"/>
          <w:szCs w:val="32"/>
        </w:rPr>
        <w:t>万元，主要用于执行公务、开展业务活动开支的用餐费。国内公务接待</w:t>
      </w:r>
      <w:r>
        <w:rPr>
          <w:rFonts w:ascii="仿宋_GB2312" w:eastAsia="仿宋_GB2312"/>
          <w:color w:val="000000"/>
          <w:sz w:val="32"/>
          <w:szCs w:val="32"/>
        </w:rPr>
        <w:t>6</w:t>
      </w:r>
      <w:r>
        <w:rPr>
          <w:rFonts w:ascii="仿宋_GB2312" w:eastAsia="仿宋_GB2312" w:hint="eastAsia"/>
          <w:color w:val="000000"/>
          <w:sz w:val="32"/>
          <w:szCs w:val="32"/>
        </w:rPr>
        <w:t>批次，</w:t>
      </w:r>
      <w:r>
        <w:rPr>
          <w:rFonts w:ascii="仿宋_GB2312" w:eastAsia="仿宋_GB2312"/>
          <w:color w:val="000000"/>
          <w:sz w:val="32"/>
          <w:szCs w:val="32"/>
        </w:rPr>
        <w:t>48</w:t>
      </w:r>
      <w:r>
        <w:rPr>
          <w:rFonts w:ascii="仿宋_GB2312" w:eastAsia="仿宋_GB2312" w:hint="eastAsia"/>
          <w:color w:val="000000"/>
          <w:sz w:val="32"/>
          <w:szCs w:val="32"/>
        </w:rPr>
        <w:t>人次（不包括陪同人员），共计支出</w:t>
      </w:r>
      <w:r>
        <w:rPr>
          <w:rFonts w:ascii="仿宋_GB2312" w:eastAsia="仿宋_GB2312"/>
          <w:color w:val="000000"/>
          <w:sz w:val="32"/>
          <w:szCs w:val="32"/>
        </w:rPr>
        <w:t>0.29</w:t>
      </w:r>
      <w:r>
        <w:rPr>
          <w:rFonts w:ascii="仿宋_GB2312" w:eastAsia="仿宋_GB2312" w:hint="eastAsia"/>
          <w:color w:val="000000"/>
          <w:sz w:val="32"/>
          <w:szCs w:val="32"/>
        </w:rPr>
        <w:t>万元，具体内容包括：省、州非洲猪瘟防控检查、畜牧工作检查、实验室检查等</w:t>
      </w:r>
      <w:r>
        <w:rPr>
          <w:rFonts w:ascii="仿宋_GB2312" w:eastAsia="仿宋_GB2312"/>
          <w:color w:val="000000"/>
          <w:sz w:val="32"/>
          <w:szCs w:val="32"/>
        </w:rPr>
        <w:t>6</w:t>
      </w:r>
      <w:r>
        <w:rPr>
          <w:rFonts w:ascii="仿宋_GB2312" w:eastAsia="仿宋_GB2312" w:hint="eastAsia"/>
          <w:color w:val="000000"/>
          <w:sz w:val="32"/>
          <w:szCs w:val="32"/>
        </w:rPr>
        <w:t>批次</w:t>
      </w:r>
      <w:r>
        <w:rPr>
          <w:rFonts w:ascii="仿宋_GB2312" w:eastAsia="仿宋_GB2312"/>
          <w:color w:val="000000"/>
          <w:sz w:val="32"/>
          <w:szCs w:val="32"/>
        </w:rPr>
        <w:t>48</w:t>
      </w:r>
      <w:r>
        <w:rPr>
          <w:rFonts w:ascii="仿宋_GB2312" w:eastAsia="仿宋_GB2312" w:hint="eastAsia"/>
          <w:color w:val="000000"/>
          <w:sz w:val="32"/>
          <w:szCs w:val="32"/>
        </w:rPr>
        <w:t>人。</w:t>
      </w:r>
    </w:p>
    <w:p>
      <w:pPr>
        <w:spacing w:line="600" w:lineRule="exact"/>
        <w:ind w:firstLine="640"/>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pPr>
        <w:spacing w:line="600" w:lineRule="exact"/>
        <w:ind w:firstLine="640"/>
        <w:outlineLvl w:val="1"/>
        <w:rPr>
          <w:rStyle w:val="2Char"/>
          <w:rFonts w:ascii="黑体" w:eastAsia="黑体"/>
        </w:rPr>
      </w:pPr>
      <w:bookmarkStart w:id="84" w:name="_Toc15396610"/>
      <w:bookmarkStart w:id="85" w:name="_Toc15377218"/>
      <w:bookmarkStart w:id="86" w:name="_Toc79163622"/>
      <w:bookmarkStart w:id="87" w:name="_Toc115080984"/>
      <w:r>
        <w:rPr>
          <w:rFonts w:ascii="黑体" w:eastAsia="黑体" w:hint="eastAsia"/>
          <w:color w:val="000000"/>
          <w:sz w:val="32"/>
          <w:szCs w:val="32"/>
        </w:rPr>
        <w:t>八、</w:t>
      </w:r>
      <w:r>
        <w:rPr>
          <w:rStyle w:val="2Char"/>
          <w:rFonts w:ascii="黑体" w:eastAsia="黑体" w:hint="eastAsia"/>
          <w:b w:val="0"/>
        </w:rPr>
        <w:t>政府性基金预算支出决算情况说明</w:t>
      </w:r>
      <w:bookmarkEnd w:id="84"/>
      <w:bookmarkEnd w:id="85"/>
      <w:bookmarkEnd w:id="86"/>
      <w:bookmarkEnd w:id="8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left="0" w:firstLine="640"/>
        <w:outlineLvl w:val="1"/>
        <w:rPr>
          <w:rStyle w:val="2Char"/>
          <w:rFonts w:ascii="黑体" w:eastAsia="黑体"/>
          <w:b w:val="0"/>
        </w:rPr>
      </w:pPr>
      <w:bookmarkStart w:id="88" w:name="_Toc15377219"/>
      <w:bookmarkStart w:id="89" w:name="_Toc15396611"/>
      <w:bookmarkStart w:id="90" w:name="_Toc79163623"/>
      <w:bookmarkStart w:id="91" w:name="_Toc115080985"/>
      <w:r>
        <w:rPr>
          <w:rStyle w:val="2Char"/>
          <w:rFonts w:ascii="黑体" w:eastAsia="黑体" w:hint="eastAsia"/>
          <w:b w:val="0"/>
        </w:rPr>
        <w:t>国有资本经营预算支出决算情况说明</w:t>
      </w:r>
      <w:bookmarkEnd w:id="88"/>
      <w:bookmarkEnd w:id="89"/>
      <w:bookmarkEnd w:id="90"/>
      <w:bookmarkEnd w:id="9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spacing w:line="580" w:lineRule="exact"/>
        <w:jc w:val="center"/>
        <w:rPr>
          <w:rFonts w:ascii="方正小标宋简体" w:eastAsia="方正小标宋简体" w:cs="方正小标宋简体"/>
          <w:sz w:val="44"/>
          <w:szCs w:val="44"/>
        </w:rPr>
      </w:pPr>
    </w:p>
    <w:p>
      <w:pPr>
        <w:spacing w:line="600" w:lineRule="exact"/>
        <w:ind w:firstLineChars="250" w:firstLine="800"/>
        <w:outlineLvl w:val="1"/>
        <w:rPr>
          <w:rStyle w:val="2Char"/>
          <w:rFonts w:ascii="黑体" w:eastAsia="黑体"/>
        </w:rPr>
      </w:pPr>
      <w:bookmarkStart w:id="92" w:name="_Toc15396612"/>
      <w:bookmarkStart w:id="93" w:name="_Toc15377221"/>
      <w:bookmarkStart w:id="94" w:name="_Toc79163624"/>
      <w:bookmarkStart w:id="95" w:name="_Toc115080986"/>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2"/>
      <w:bookmarkEnd w:id="93"/>
      <w:bookmarkEnd w:id="94"/>
      <w:bookmarkEnd w:id="95"/>
    </w:p>
    <w:p>
      <w:pPr>
        <w:spacing w:line="600" w:lineRule="exact"/>
        <w:ind w:firstLineChars="200" w:firstLine="640"/>
        <w:outlineLvl w:val="2"/>
        <w:rPr>
          <w:rFonts w:ascii="仿宋" w:eastAsia="仿宋"/>
          <w:color w:val="000000"/>
          <w:sz w:val="32"/>
          <w:szCs w:val="32"/>
        </w:rPr>
      </w:pPr>
      <w:bookmarkStart w:id="96" w:name="_Toc15377222"/>
      <w:bookmarkStart w:id="97" w:name="_Toc79163625"/>
      <w:bookmarkStart w:id="98" w:name="_Toc115080987"/>
      <w:r>
        <w:rPr>
          <w:rFonts w:ascii="仿宋" w:eastAsia="仿宋" w:hint="eastAsia"/>
          <w:b/>
          <w:color w:val="000000"/>
          <w:sz w:val="32"/>
          <w:szCs w:val="32"/>
        </w:rPr>
        <w:t>（一）机关运行经费支出情况</w:t>
      </w:r>
      <w:bookmarkEnd w:id="96"/>
      <w:bookmarkEnd w:id="97"/>
      <w:bookmarkEnd w:id="98"/>
    </w:p>
    <w:p>
      <w:pPr>
        <w:autoSpaceDN w:val="0"/>
        <w:spacing w:line="600" w:lineRule="exact"/>
        <w:ind w:firstLineChars="200" w:firstLine="640"/>
      </w:pPr>
      <w:r>
        <w:rPr>
          <w:rFonts w:ascii="仿宋_GB2312" w:eastAsia="仿宋_GB2312"/>
          <w:color w:val="000000"/>
          <w:sz w:val="32"/>
          <w:szCs w:val="32"/>
        </w:rPr>
        <w:t>2021</w:t>
      </w:r>
      <w:r>
        <w:rPr>
          <w:rFonts w:ascii="仿宋_GB2312" w:eastAsia="仿宋_GB2312" w:hint="eastAsia"/>
          <w:color w:val="000000"/>
          <w:sz w:val="32"/>
          <w:szCs w:val="32"/>
        </w:rPr>
        <w:t>年，茂县畜牧兽医服务中心畜牧工作站机关运行经费支出</w:t>
      </w:r>
      <w:r>
        <w:rPr>
          <w:rFonts w:ascii="仿宋_GB2312" w:eastAsia="仿宋_GB2312"/>
          <w:color w:val="000000"/>
          <w:sz w:val="32"/>
          <w:szCs w:val="32"/>
        </w:rPr>
        <w:t>0</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color w:val="000000"/>
          <w:sz w:val="32"/>
          <w:szCs w:val="32"/>
        </w:rPr>
        <w:t>0</w:t>
      </w:r>
      <w:r>
        <w:rPr>
          <w:rFonts w:ascii="仿宋_GB2312" w:eastAsia="仿宋_GB2312" w:hint="eastAsia"/>
          <w:color w:val="000000"/>
          <w:sz w:val="32"/>
          <w:szCs w:val="32"/>
        </w:rPr>
        <w:t>万元，与</w:t>
      </w:r>
      <w:r>
        <w:rPr>
          <w:rFonts w:ascii="仿宋_GB2312" w:eastAsia="仿宋_GB2312"/>
          <w:color w:val="000000"/>
          <w:sz w:val="32"/>
          <w:szCs w:val="32"/>
        </w:rPr>
        <w:t>2020</w:t>
      </w:r>
      <w:r>
        <w:rPr>
          <w:rFonts w:ascii="仿宋_GB2312" w:eastAsia="仿宋_GB2312" w:hint="eastAsia"/>
          <w:color w:val="000000"/>
          <w:sz w:val="32"/>
          <w:szCs w:val="32"/>
        </w:rPr>
        <w:t>年决算数持平。</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99" w:name="_Toc15377223"/>
      <w:bookmarkStart w:id="100" w:name="_Toc79163626"/>
      <w:bookmarkStart w:id="101" w:name="_Toc115080988"/>
      <w:r>
        <w:rPr>
          <w:rFonts w:ascii="仿宋" w:eastAsia="仿宋" w:hint="eastAsia"/>
          <w:b/>
          <w:color w:val="000000"/>
          <w:sz w:val="32"/>
          <w:szCs w:val="32"/>
        </w:rPr>
        <w:t>（二）政府采购支出情况</w:t>
      </w:r>
      <w:bookmarkEnd w:id="99"/>
      <w:bookmarkEnd w:id="100"/>
      <w:bookmarkEnd w:id="101"/>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年，茂县畜牧兽医服务中心畜牧工作站政府采购支出总额</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color w:val="000000"/>
          <w:sz w:val="32"/>
          <w:szCs w:val="32"/>
        </w:rPr>
        <w:t>0</w:t>
      </w:r>
      <w:r>
        <w:rPr>
          <w:rFonts w:ascii="仿宋_GB2312" w:eastAsia="仿宋_GB2312" w:hint="eastAsia"/>
          <w:color w:val="000000"/>
          <w:sz w:val="32"/>
          <w:szCs w:val="32"/>
        </w:rPr>
        <w:t>万元，其中：授予小微企业合同金额</w:t>
      </w:r>
      <w:r>
        <w:rPr>
          <w:rFonts w:ascii="仿宋_GB2312" w:eastAsia="仿宋_GB2312"/>
          <w:color w:val="000000"/>
          <w:sz w:val="32"/>
          <w:szCs w:val="32"/>
        </w:rPr>
        <w:t>0</w:t>
      </w:r>
      <w:r>
        <w:rPr>
          <w:rFonts w:ascii="仿宋_GB2312" w:eastAsia="仿宋_GB2312" w:hint="eastAsia"/>
          <w:color w:val="000000"/>
          <w:sz w:val="32"/>
          <w:szCs w:val="32"/>
        </w:rPr>
        <w:t>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2" w:name="_Toc15377224"/>
      <w:bookmarkStart w:id="103" w:name="_Toc79163627"/>
      <w:bookmarkStart w:id="104" w:name="_Toc115080989"/>
      <w:r>
        <w:rPr>
          <w:rFonts w:ascii="仿宋" w:eastAsia="仿宋" w:hint="eastAsia"/>
          <w:b/>
          <w:color w:val="000000"/>
          <w:sz w:val="32"/>
          <w:szCs w:val="32"/>
        </w:rPr>
        <w:t>（三）国有资产占有使用情况</w:t>
      </w:r>
      <w:bookmarkEnd w:id="102"/>
      <w:bookmarkEnd w:id="103"/>
      <w:bookmarkEnd w:id="104"/>
    </w:p>
    <w:p>
      <w:pPr>
        <w:autoSpaceDE w:val="0"/>
        <w:autoSpaceDN w:val="0"/>
        <w:adjustRightInd w:val="0"/>
        <w:spacing w:line="600" w:lineRule="exact"/>
        <w:ind w:firstLineChars="200" w:firstLine="640"/>
        <w:rPr>
          <w:rFonts w:ascii="仿宋" w:eastAsia="仿宋"/>
          <w:b/>
          <w:bCs/>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bookmarkStart w:id="105" w:name="_Toc79163628"/>
      <w:r>
        <w:rPr>
          <w:rFonts w:ascii="仿宋_GB2312" w:eastAsia="仿宋_GB2312" w:hint="eastAsia"/>
          <w:color w:val="000000"/>
          <w:sz w:val="32"/>
          <w:szCs w:val="32"/>
        </w:rPr>
        <w:t>茂县畜牧兽医服务中心畜牧工作站共有车辆</w:t>
      </w:r>
      <w:r>
        <w:rPr>
          <w:rFonts w:ascii="仿宋_GB2312" w:eastAsia="仿宋_GB2312"/>
          <w:color w:val="000000"/>
          <w:sz w:val="32"/>
          <w:szCs w:val="32"/>
        </w:rPr>
        <w:t>1</w:t>
      </w:r>
      <w:r>
        <w:rPr>
          <w:rFonts w:ascii="仿宋_GB2312" w:eastAsia="仿宋_GB2312" w:hint="eastAsia"/>
          <w:color w:val="000000"/>
          <w:sz w:val="32"/>
          <w:szCs w:val="32"/>
        </w:rPr>
        <w:t>辆，其中：主要领导干部用车0辆、机要通信用车0辆、应急保障用车</w:t>
      </w:r>
      <w:r>
        <w:rPr>
          <w:rFonts w:ascii="仿宋_GB2312" w:eastAsia="仿宋_GB2312"/>
          <w:color w:val="000000"/>
          <w:sz w:val="32"/>
          <w:szCs w:val="32"/>
        </w:rPr>
        <w:t>0</w:t>
      </w:r>
      <w:r>
        <w:rPr>
          <w:rFonts w:ascii="仿宋_GB2312" w:eastAsia="仿宋_GB2312" w:hint="eastAsia"/>
          <w:color w:val="000000"/>
          <w:sz w:val="32"/>
          <w:szCs w:val="32"/>
        </w:rPr>
        <w:t>辆、特种专业技术用车（动物冷链车）1辆，其他用车0辆。单价50万元以上通用设备0台（套），单价100万元以上专用设备0台（套）。</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6" w:name="_Toc115080990"/>
      <w:r>
        <w:rPr>
          <w:rFonts w:ascii="仿宋" w:eastAsia="仿宋" w:hint="eastAsia"/>
          <w:b/>
          <w:color w:val="000000"/>
          <w:sz w:val="32"/>
          <w:szCs w:val="32"/>
        </w:rPr>
        <w:t>（四）预算绩效管理情况</w:t>
      </w:r>
      <w:bookmarkEnd w:id="105"/>
      <w:bookmarkEnd w:id="106"/>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根据预算绩效管理要求，本单位在年初预算编制阶段未进行项目预算编制。</w:t>
      </w:r>
    </w:p>
    <w:p>
      <w:pPr>
        <w:autoSpaceDN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本单位按要求对</w:t>
      </w:r>
      <w:r>
        <w:rPr>
          <w:rFonts w:ascii="仿宋_GB2312" w:eastAsia="仿宋_GB2312" w:cs="仿宋_GB2312"/>
          <w:sz w:val="32"/>
          <w:szCs w:val="32"/>
        </w:rPr>
        <w:t>2021</w:t>
      </w:r>
      <w:r>
        <w:rPr>
          <w:rFonts w:ascii="仿宋_GB2312" w:eastAsia="仿宋_GB2312" w:cs="仿宋_GB2312" w:hint="eastAsia"/>
          <w:sz w:val="32"/>
          <w:szCs w:val="32"/>
        </w:rPr>
        <w:t>年单位整体支出开展绩效自评，从评价情况来看，2020年我单位整体支出绩效评价自查自评结果良好，全年基本支出保证了部门的正常运行和日常工作的正常开展，绩效目标得到较好实现，绩效管理水平不断提高，绩效指标体系逐级渐丰富和完善。</w:t>
      </w: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ascii="楷体_GB2312" w:eastAsia="楷体_GB2312" w:cs="楷体_GB2312" w:hint="eastAsia"/>
          <w:sz w:val="32"/>
          <w:szCs w:val="32"/>
        </w:rPr>
        <w:t>部门绩效评价结果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本单位按要求对</w:t>
      </w:r>
      <w:r>
        <w:rPr>
          <w:rFonts w:ascii="仿宋_GB2312" w:eastAsia="仿宋_GB2312" w:cs="仿宋_GB2312"/>
          <w:sz w:val="32"/>
          <w:szCs w:val="32"/>
        </w:rPr>
        <w:t>2021</w:t>
      </w:r>
      <w:r>
        <w:rPr>
          <w:rFonts w:ascii="仿宋_GB2312" w:eastAsia="仿宋_GB2312" w:cs="仿宋_GB2312" w:hint="eastAsia"/>
          <w:sz w:val="32"/>
          <w:szCs w:val="32"/>
        </w:rPr>
        <w:t>年部门单位支出绩效评价情况开展自评，《茂县畜牧兽医服务中心畜牧工作站</w:t>
      </w:r>
      <w:r>
        <w:rPr>
          <w:rFonts w:ascii="仿宋_GB2312" w:eastAsia="仿宋_GB2312" w:cs="仿宋_GB2312"/>
          <w:sz w:val="32"/>
          <w:szCs w:val="32"/>
        </w:rPr>
        <w:t>2021</w:t>
      </w:r>
      <w:r>
        <w:rPr>
          <w:rFonts w:ascii="仿宋_GB2312" w:eastAsia="仿宋_GB2312" w:cs="仿宋_GB2312" w:hint="eastAsia"/>
          <w:sz w:val="32"/>
          <w:szCs w:val="32"/>
        </w:rPr>
        <w:t>年单位整体支出绩效评价报告》见附件（附件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left="0" w:firstLineChars="150" w:firstLine="660"/>
        <w:jc w:val="center"/>
        <w:outlineLvl w:val="0"/>
        <w:rPr>
          <w:rStyle w:val="1Char"/>
          <w:rFonts w:ascii="黑体" w:eastAsia="黑体"/>
          <w:b w:val="0"/>
        </w:rPr>
      </w:pPr>
      <w:bookmarkStart w:id="107" w:name="_Toc15396613"/>
      <w:bookmarkStart w:id="108" w:name="_Toc15377225"/>
      <w:bookmarkStart w:id="109" w:name="_Toc79163629"/>
      <w:bookmarkStart w:id="110" w:name="_Toc115080991"/>
      <w:r>
        <w:rPr>
          <w:rFonts w:ascii="黑体" w:eastAsia="黑体" w:hint="eastAsia"/>
          <w:color w:val="000000"/>
          <w:sz w:val="44"/>
          <w:szCs w:val="44"/>
        </w:rPr>
        <w:t>名</w:t>
      </w:r>
      <w:r>
        <w:rPr>
          <w:rStyle w:val="1Char"/>
          <w:rFonts w:ascii="黑体" w:eastAsia="黑体" w:hint="eastAsia"/>
          <w:b w:val="0"/>
        </w:rPr>
        <w:t>词解释</w:t>
      </w:r>
      <w:bookmarkEnd w:id="107"/>
      <w:bookmarkEnd w:id="108"/>
      <w:bookmarkEnd w:id="109"/>
      <w:bookmarkEnd w:id="110"/>
    </w:p>
    <w:p>
      <w:pPr>
        <w:spacing w:line="600" w:lineRule="exact"/>
        <w:jc w:val="left"/>
        <w:rPr>
          <w:rFonts w:ascii="宋体"/>
          <w:b/>
          <w:color w:val="000000"/>
          <w:sz w:val="44"/>
          <w:szCs w:val="44"/>
        </w:rPr>
      </w:pPr>
    </w:p>
    <w:p>
      <w:pPr>
        <w:pStyle w:val="27"/>
        <w:spacing w:line="560" w:lineRule="exact"/>
        <w:ind w:firstLineChars="200" w:firstLine="640"/>
        <w:rPr>
          <w:rFonts w:ascii="仿宋_GB2312" w:eastAsia="仿宋_GB2312"/>
          <w:sz w:val="32"/>
          <w:szCs w:val="32"/>
        </w:rPr>
      </w:pPr>
      <w:bookmarkStart w:id="111" w:name="_Toc15377226"/>
      <w:r>
        <w:rPr>
          <w:rFonts w:ascii="仿宋_GB2312" w:eastAsia="仿宋_GB2312" w:hint="eastAsia"/>
          <w:sz w:val="32"/>
          <w:szCs w:val="32"/>
        </w:rPr>
        <w:t>1.财政拨款收入：指单位从同级财政部门取得的财政预算资金。</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2.事业收入：指事业单位开展专业业务活动及辅助活动取得的收入。</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4.其他收入：指单位取得的除上述收入以外的各项收入。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5.使用非财政拨款结余：指事业单位使用以前年度积累的非财政拨款结余弥补当年收支差额的金额。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6.年初结转和结余：指以前年度尚未完成、结转到本年按有关规定继续使用的资金。 </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7.结余分配：指事业单位按照会计制度规定缴纳的所得税、提取的专用结余以及转入非财政拨款结余的金额等。</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hint="eastAsia"/>
          <w:b w:val="0"/>
          <w:bCs/>
          <w:color w:val="000000"/>
          <w:sz w:val="32"/>
          <w:szCs w:val="32"/>
        </w:rPr>
        <w:t>9.科学技术支出（类）其他科学技术支出（款）其他科学技术支出（项）:指反映其他科学技术支出中除以上各项外用于科技方面的支出。</w:t>
      </w:r>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hint="eastAsia"/>
          <w:b w:val="0"/>
          <w:bCs/>
          <w:color w:val="000000"/>
          <w:sz w:val="32"/>
          <w:szCs w:val="32"/>
        </w:rPr>
        <w:t>2.社会保障和就业支出（类）行政事业单位养老支出（款）机关事业单位基本养老保险缴费支出（项）:反映机关事业单位实施养老保险制度由单位缴纳的基本养老保险支出。</w:t>
      </w:r>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hint="eastAsia"/>
          <w:b w:val="0"/>
          <w:bCs/>
          <w:color w:val="000000"/>
          <w:sz w:val="32"/>
          <w:szCs w:val="32"/>
        </w:rPr>
        <w:t>3.社会保障和就业支出（类）行政事业单位养老支出（款）机关事业单位职业年金缴费支出（项）:指反映机关事业单位实施养老保险制度由单位缴纳的基本养老保险费支出。</w:t>
      </w:r>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hint="eastAsia"/>
          <w:b w:val="0"/>
          <w:bCs/>
          <w:color w:val="000000"/>
          <w:sz w:val="32"/>
          <w:szCs w:val="32"/>
        </w:rPr>
        <w:t>4.卫生健康支出（类）公共卫生（款）重大公共卫生服务（项）:指反映重大疾病、重大传染病预防控制等重大公共卫生服务项目支出。</w:t>
      </w:r>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hint="eastAsia"/>
          <w:b w:val="0"/>
          <w:bCs/>
          <w:color w:val="000000"/>
          <w:sz w:val="32"/>
          <w:szCs w:val="32"/>
        </w:rPr>
        <w:t>5.卫生健康支出（类）行政事业单位医疗（款）行政单位医疗（项）:指反映财政部门安排的行政单位（包括实行公务员管理的事业单位，下同）基本医疗保险缴费经费，未参加医疗保险的行政单位的公费医疗经费，按国家规定享受离休人员、红军老战士待遇人员的医疗经费。</w:t>
      </w:r>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hint="eastAsia"/>
          <w:b w:val="0"/>
          <w:bCs/>
          <w:color w:val="000000"/>
          <w:sz w:val="32"/>
          <w:szCs w:val="32"/>
        </w:rPr>
        <w:t>6.</w:t>
      </w:r>
      <w:r>
        <w:rPr>
          <w:rFonts w:ascii="仿宋_GB2312" w:eastAsia="仿宋_GB2312" w:hint="eastAsia"/>
          <w:bCs/>
          <w:color w:val="000000"/>
          <w:sz w:val="32"/>
          <w:szCs w:val="32"/>
        </w:rPr>
        <w:t>卫生健康支出</w:t>
      </w:r>
      <w:r>
        <w:rPr>
          <w:rStyle w:val="25"/>
          <w:rFonts w:ascii="仿宋_GB2312" w:eastAsia="仿宋_GB2312" w:hint="eastAsia"/>
          <w:b w:val="0"/>
          <w:bCs/>
          <w:color w:val="000000"/>
          <w:sz w:val="32"/>
          <w:szCs w:val="32"/>
        </w:rPr>
        <w:t>（类）行政事业单位医疗（款）事业单位医疗（项）:指反映财政部门安排的事业单位基本医疗保险缴费经费，未参加医疗保险的事业单位的公费医疗经费，按国家规定享受离休人员待遇的医疗经费。</w:t>
      </w:r>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hint="eastAsia"/>
          <w:b w:val="0"/>
          <w:bCs/>
          <w:color w:val="000000"/>
          <w:sz w:val="32"/>
          <w:szCs w:val="32"/>
        </w:rPr>
        <w:t>7.</w:t>
      </w:r>
      <w:r>
        <w:rPr>
          <w:rFonts w:ascii="仿宋_GB2312" w:eastAsia="仿宋_GB2312" w:hint="eastAsia"/>
          <w:bCs/>
          <w:color w:val="000000"/>
          <w:sz w:val="32"/>
          <w:szCs w:val="32"/>
        </w:rPr>
        <w:t>农林水支出</w:t>
      </w:r>
      <w:r>
        <w:rPr>
          <w:rStyle w:val="25"/>
          <w:rFonts w:ascii="仿宋_GB2312" w:eastAsia="仿宋_GB2312" w:hint="eastAsia"/>
          <w:color w:val="000000"/>
          <w:sz w:val="32"/>
          <w:szCs w:val="32"/>
        </w:rPr>
        <w:t>（</w:t>
      </w:r>
      <w:r>
        <w:rPr>
          <w:rStyle w:val="25"/>
          <w:rFonts w:ascii="仿宋_GB2312" w:eastAsia="仿宋_GB2312" w:hint="eastAsia"/>
          <w:b w:val="0"/>
          <w:bCs/>
          <w:color w:val="000000"/>
          <w:sz w:val="32"/>
          <w:szCs w:val="32"/>
        </w:rPr>
        <w:t>类）农业农村（款）行政运行（项）:指反映行政单位（包括实行公务员管理的事业单位）的基本支出。</w:t>
      </w:r>
    </w:p>
    <w:p>
      <w:pPr>
        <w:autoSpaceDN w:val="0"/>
        <w:spacing w:line="600" w:lineRule="exact"/>
        <w:ind w:firstLineChars="200" w:firstLine="640"/>
        <w:rPr>
          <w:rStyle w:val="25"/>
        </w:rPr>
      </w:pPr>
      <w:r>
        <w:rPr>
          <w:rStyle w:val="25"/>
          <w:rFonts w:ascii="仿宋_GB2312" w:eastAsia="仿宋_GB2312" w:hint="eastAsia"/>
          <w:b w:val="0"/>
          <w:bCs/>
          <w:color w:val="000000"/>
          <w:sz w:val="32"/>
          <w:szCs w:val="32"/>
        </w:rPr>
        <w:t>8.</w:t>
      </w:r>
      <w:r>
        <w:rPr>
          <w:rFonts w:ascii="仿宋_GB2312" w:eastAsia="仿宋_GB2312" w:hint="eastAsia"/>
          <w:bCs/>
          <w:color w:val="000000"/>
          <w:sz w:val="32"/>
          <w:szCs w:val="32"/>
        </w:rPr>
        <w:t>农林水支出</w:t>
      </w:r>
      <w:r>
        <w:rPr>
          <w:rStyle w:val="25"/>
          <w:rFonts w:ascii="仿宋_GB2312" w:eastAsia="仿宋_GB2312" w:hint="eastAsia"/>
          <w:b w:val="0"/>
          <w:bCs/>
          <w:color w:val="000000"/>
          <w:sz w:val="32"/>
          <w:szCs w:val="32"/>
        </w:rPr>
        <w:t>（类）农业农村（款）事业运行（项）:指反映用于事业单位基本支出，事业单位设施、系统运行与资产维护等方面的支出。</w:t>
      </w:r>
    </w:p>
    <w:p>
      <w:pPr>
        <w:autoSpaceDN w:val="0"/>
        <w:spacing w:line="600" w:lineRule="exact"/>
        <w:ind w:firstLineChars="200" w:firstLine="640"/>
        <w:rPr>
          <w:b/>
          <w:bCs/>
        </w:rPr>
      </w:pPr>
      <w:r>
        <w:rPr>
          <w:rStyle w:val="25"/>
          <w:rFonts w:ascii="仿宋_GB2312" w:eastAsia="仿宋_GB2312" w:hint="eastAsia"/>
          <w:b w:val="0"/>
          <w:bCs/>
          <w:color w:val="000000"/>
          <w:sz w:val="32"/>
          <w:szCs w:val="32"/>
        </w:rPr>
        <w:t>9.</w:t>
      </w:r>
      <w:r>
        <w:rPr>
          <w:rFonts w:ascii="仿宋_GB2312" w:eastAsia="仿宋_GB2312" w:hint="eastAsia"/>
          <w:bCs/>
          <w:color w:val="000000"/>
          <w:sz w:val="32"/>
          <w:szCs w:val="32"/>
        </w:rPr>
        <w:t>农林水支出</w:t>
      </w:r>
      <w:r>
        <w:rPr>
          <w:rStyle w:val="25"/>
          <w:rFonts w:ascii="仿宋_GB2312" w:eastAsia="仿宋_GB2312" w:hint="eastAsia"/>
          <w:b w:val="0"/>
          <w:bCs/>
          <w:color w:val="000000"/>
          <w:sz w:val="32"/>
          <w:szCs w:val="32"/>
        </w:rPr>
        <w:t>（类）农业农村（款）病虫害控制（项）:指反映用于病虫鼠害及疫情监测、预报、预防、控制、检疫、防疫所需的仪器、设施、药物、疫苗、种苗、疫畜（禽、鱼、植物）防治、扑杀补偿及劳务、菌（毒）种保藏及动植物及其产品检疫、检测等方面的支出。</w:t>
      </w:r>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hint="eastAsia"/>
          <w:b w:val="0"/>
          <w:bCs/>
          <w:color w:val="000000"/>
          <w:sz w:val="32"/>
          <w:szCs w:val="32"/>
        </w:rPr>
        <w:t>10.</w:t>
      </w:r>
      <w:r>
        <w:rPr>
          <w:rFonts w:ascii="仿宋_GB2312" w:eastAsia="仿宋_GB2312" w:hint="eastAsia"/>
          <w:bCs/>
          <w:color w:val="000000"/>
          <w:sz w:val="32"/>
          <w:szCs w:val="32"/>
        </w:rPr>
        <w:t>农林水支出</w:t>
      </w:r>
      <w:r>
        <w:rPr>
          <w:rStyle w:val="25"/>
          <w:rFonts w:ascii="仿宋_GB2312" w:eastAsia="仿宋_GB2312" w:hint="eastAsia"/>
          <w:b w:val="0"/>
          <w:bCs/>
          <w:color w:val="000000"/>
          <w:sz w:val="32"/>
          <w:szCs w:val="32"/>
        </w:rPr>
        <w:t>（类）农业农村（款）其他农业农村支出（项）:指反映除上述项目以外其他用于农业农村方面的支出。</w:t>
      </w:r>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hint="eastAsia"/>
          <w:b w:val="0"/>
          <w:bCs/>
          <w:color w:val="000000"/>
          <w:sz w:val="32"/>
          <w:szCs w:val="32"/>
        </w:rPr>
        <w:t>11.</w:t>
      </w:r>
      <w:r>
        <w:rPr>
          <w:rFonts w:ascii="仿宋_GB2312" w:eastAsia="仿宋_GB2312" w:hint="eastAsia"/>
          <w:bCs/>
          <w:color w:val="000000"/>
          <w:sz w:val="32"/>
          <w:szCs w:val="32"/>
        </w:rPr>
        <w:t>农林水支出</w:t>
      </w:r>
      <w:r>
        <w:rPr>
          <w:rStyle w:val="25"/>
          <w:rFonts w:ascii="仿宋_GB2312" w:eastAsia="仿宋_GB2312" w:hint="eastAsia"/>
          <w:b w:val="0"/>
          <w:bCs/>
          <w:color w:val="000000"/>
          <w:sz w:val="32"/>
          <w:szCs w:val="32"/>
        </w:rPr>
        <w:t>（类）扶贫（款）其他扶贫支出（项）:指反映除上述项目以外其他用于扶贫方面的支出。</w:t>
      </w:r>
    </w:p>
    <w:p>
      <w:pPr>
        <w:autoSpaceDN w:val="0"/>
        <w:spacing w:line="600" w:lineRule="exact"/>
        <w:ind w:firstLineChars="200" w:firstLine="640"/>
        <w:rPr>
          <w:rFonts w:ascii="仿宋_GB2312" w:eastAsia="仿宋_GB2312"/>
          <w:b/>
          <w:bCs/>
          <w:color w:val="000000"/>
          <w:sz w:val="32"/>
          <w:szCs w:val="32"/>
        </w:rPr>
      </w:pPr>
      <w:r>
        <w:rPr>
          <w:rStyle w:val="25"/>
          <w:rFonts w:ascii="仿宋_GB2312" w:eastAsia="仿宋_GB2312" w:hint="eastAsia"/>
          <w:b w:val="0"/>
          <w:bCs/>
          <w:color w:val="000000"/>
          <w:sz w:val="32"/>
          <w:szCs w:val="32"/>
        </w:rPr>
        <w:t>12.</w:t>
      </w:r>
      <w:r>
        <w:rPr>
          <w:rFonts w:ascii="仿宋_GB2312" w:eastAsia="仿宋_GB2312" w:hint="eastAsia"/>
          <w:bCs/>
          <w:color w:val="000000"/>
          <w:sz w:val="32"/>
          <w:szCs w:val="32"/>
        </w:rPr>
        <w:t>农林水支出</w:t>
      </w:r>
      <w:r>
        <w:rPr>
          <w:rStyle w:val="25"/>
          <w:rFonts w:ascii="仿宋_GB2312" w:eastAsia="仿宋_GB2312" w:hint="eastAsia"/>
          <w:b w:val="0"/>
          <w:bCs/>
          <w:color w:val="000000"/>
          <w:sz w:val="32"/>
          <w:szCs w:val="32"/>
        </w:rPr>
        <w:t>（类）其他农林水支出（款）其他农林水支出（项）:指反映除化解债务支出以外其他用于农林水方面的支出。</w:t>
      </w:r>
    </w:p>
    <w:p>
      <w:pPr>
        <w:autoSpaceDN w:val="0"/>
        <w:spacing w:line="600" w:lineRule="exact"/>
        <w:ind w:firstLineChars="200" w:firstLine="640"/>
        <w:rPr>
          <w:rFonts w:ascii="仿宋" w:eastAsia="仿宋"/>
          <w:b/>
          <w:bCs/>
          <w:color w:val="000000"/>
          <w:sz w:val="32"/>
          <w:szCs w:val="32"/>
        </w:rPr>
      </w:pPr>
      <w:r>
        <w:rPr>
          <w:rStyle w:val="25"/>
          <w:rFonts w:ascii="仿宋_GB2312" w:eastAsia="仿宋_GB2312" w:hint="eastAsia"/>
          <w:b w:val="0"/>
          <w:bCs/>
          <w:color w:val="000000"/>
          <w:sz w:val="32"/>
          <w:szCs w:val="32"/>
        </w:rPr>
        <w:t>13.</w:t>
      </w:r>
      <w:r>
        <w:rPr>
          <w:rFonts w:ascii="仿宋_GB2312" w:eastAsia="仿宋_GB2312" w:hint="eastAsia"/>
          <w:bCs/>
          <w:color w:val="000000"/>
          <w:sz w:val="32"/>
          <w:szCs w:val="32"/>
        </w:rPr>
        <w:t>住房保障支出</w:t>
      </w:r>
      <w:r>
        <w:rPr>
          <w:rStyle w:val="25"/>
          <w:rFonts w:ascii="仿宋_GB2312" w:eastAsia="仿宋_GB2312" w:hint="eastAsia"/>
          <w:b w:val="0"/>
          <w:bCs/>
          <w:color w:val="000000"/>
          <w:sz w:val="32"/>
          <w:szCs w:val="32"/>
        </w:rPr>
        <w:t>（类）住房改革支出（款）住房公积金（项）:指反映行政事业单位按人力资源和社会保障部、财政部规定的基本工资和津贴以及规定比例为职工缴纳的</w:t>
      </w:r>
      <w:r>
        <w:rPr>
          <w:rStyle w:val="25"/>
          <w:rFonts w:ascii="仿宋" w:eastAsia="仿宋" w:hint="eastAsia"/>
          <w:b w:val="0"/>
          <w:bCs/>
          <w:color w:val="000000"/>
          <w:sz w:val="32"/>
          <w:szCs w:val="32"/>
        </w:rPr>
        <w:t>住房公积金。</w:t>
      </w:r>
    </w:p>
    <w:p>
      <w:pPr>
        <w:autoSpaceDN w:val="0"/>
        <w:ind w:firstLineChars="200" w:firstLine="640"/>
        <w:rPr>
          <w:rFonts w:ascii="仿宋_GB2312" w:eastAsia="仿宋_GB2312"/>
          <w:color w:val="000000"/>
          <w:sz w:val="32"/>
          <w:szCs w:val="32"/>
        </w:rPr>
      </w:pPr>
      <w:r>
        <w:rPr>
          <w:rFonts w:ascii="仿宋_GB2312" w:eastAsia="仿宋_GB2312" w:hint="eastAsia"/>
          <w:color w:val="000000"/>
          <w:sz w:val="32"/>
          <w:szCs w:val="32"/>
        </w:rPr>
        <w:t>14.基本支出：指为保障机构正常运转、完成日常工作任务而发生的人员支出和公用支出。</w:t>
      </w:r>
    </w:p>
    <w:p>
      <w:pPr>
        <w:autoSpaceDN w:val="0"/>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15.项目支出：指在基本支出之外为完成特定行政任务和事业发展目标所发生的支出。 </w:t>
      </w:r>
    </w:p>
    <w:p>
      <w:pPr>
        <w:autoSpaceDN w:val="0"/>
        <w:ind w:firstLineChars="200" w:firstLine="640"/>
        <w:rPr>
          <w:rFonts w:ascii="仿宋_GB2312" w:eastAsia="仿宋_GB2312"/>
          <w:color w:val="000000"/>
          <w:sz w:val="32"/>
          <w:szCs w:val="32"/>
        </w:rPr>
      </w:pPr>
      <w:r>
        <w:rPr>
          <w:rFonts w:ascii="仿宋_GB2312" w:eastAsia="仿宋_GB2312" w:hint="eastAsia"/>
          <w:color w:val="000000"/>
          <w:sz w:val="32"/>
          <w:szCs w:val="32"/>
        </w:rPr>
        <w:t>16.经营支出：指事业单位在专业业务活动及其辅助活动之外开展非独立核算经营活动发生的支出。</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Char"/>
          <w:rFonts w:ascii="黑体" w:eastAsia="黑体"/>
          <w:b w:val="0"/>
        </w:rPr>
      </w:pPr>
      <w:r>
        <w:rPr>
          <w:rFonts w:ascii="宋体"/>
          <w:b/>
          <w:color w:val="000000"/>
          <w:sz w:val="44"/>
          <w:szCs w:val="44"/>
        </w:rPr>
        <w:br w:type="page"/>
      </w:r>
      <w:bookmarkStart w:id="112" w:name="_Toc15396614"/>
      <w:bookmarkStart w:id="113" w:name="_Toc79163630"/>
      <w:bookmarkStart w:id="114" w:name="_Toc115080992"/>
      <w:r>
        <w:rPr>
          <w:rFonts w:ascii="黑体" w:eastAsia="黑体" w:hint="eastAsia"/>
          <w:color w:val="000000"/>
          <w:sz w:val="44"/>
          <w:szCs w:val="44"/>
        </w:rPr>
        <w:t>第</w:t>
      </w:r>
      <w:r>
        <w:rPr>
          <w:rStyle w:val="1Char"/>
          <w:rFonts w:ascii="黑体" w:eastAsia="黑体" w:hint="eastAsia"/>
          <w:b w:val="0"/>
        </w:rPr>
        <w:t>四部分</w:t>
      </w:r>
      <w:r>
        <w:rPr>
          <w:rStyle w:val="1Char"/>
          <w:rFonts w:ascii="黑体" w:eastAsia="黑体"/>
          <w:b w:val="0"/>
        </w:rPr>
        <w:t xml:space="preserve"> </w:t>
      </w:r>
      <w:r>
        <w:rPr>
          <w:rStyle w:val="1Char"/>
          <w:rFonts w:ascii="黑体" w:eastAsia="黑体" w:hint="eastAsia"/>
          <w:b w:val="0"/>
        </w:rPr>
        <w:t>附件</w:t>
      </w:r>
      <w:bookmarkEnd w:id="112"/>
      <w:bookmarkEnd w:id="113"/>
      <w:bookmarkEnd w:id="114"/>
    </w:p>
    <w:p>
      <w:pPr>
        <w:spacing w:line="600" w:lineRule="exact"/>
        <w:jc w:val="left"/>
        <w:outlineLvl w:val="0"/>
        <w:rPr>
          <w:rFonts w:ascii="方正小标宋简体" w:eastAsia="方正小标宋简体" w:cs="方正小标宋简体"/>
          <w:sz w:val="32"/>
          <w:szCs w:val="32"/>
        </w:rPr>
      </w:pPr>
      <w:bookmarkStart w:id="115" w:name="_Toc79163631"/>
      <w:bookmarkStart w:id="116" w:name="_Toc115080993"/>
      <w:r>
        <w:rPr>
          <w:rFonts w:ascii="黑体" w:eastAsia="黑体" w:cs="黑体" w:hint="eastAsia"/>
          <w:sz w:val="32"/>
          <w:szCs w:val="32"/>
        </w:rPr>
        <w:t>附件</w:t>
      </w:r>
      <w:r>
        <w:rPr>
          <w:rFonts w:ascii="黑体" w:eastAsia="黑体" w:cs="黑体"/>
          <w:sz w:val="32"/>
          <w:szCs w:val="32"/>
        </w:rPr>
        <w:t>1</w:t>
      </w:r>
      <w:bookmarkEnd w:id="115"/>
      <w:bookmarkEnd w:id="116"/>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117" w:name="_Toc79163632"/>
      <w:bookmarkStart w:id="118" w:name="_Toc115080994"/>
      <w:r>
        <w:rPr>
          <w:rFonts w:ascii="方正小标宋简体" w:eastAsia="方正小标宋简体" w:cs="黑体" w:hint="eastAsia"/>
          <w:sz w:val="44"/>
          <w:szCs w:val="44"/>
        </w:rPr>
        <w:t>茂县畜牧兽医服务中心畜牧工作站</w:t>
      </w:r>
      <w:r>
        <w:rPr>
          <w:rFonts w:ascii="方正小标宋简体" w:eastAsia="方正小标宋简体" w:cs="黑体"/>
          <w:sz w:val="44"/>
          <w:szCs w:val="44"/>
        </w:rPr>
        <w:t>2021</w:t>
      </w:r>
      <w:r>
        <w:rPr>
          <w:rFonts w:ascii="方正小标宋简体" w:eastAsia="方正小标宋简体" w:cs="黑体" w:hint="eastAsia"/>
          <w:sz w:val="44"/>
          <w:szCs w:val="44"/>
        </w:rPr>
        <w:t>年单位整体支出绩效评价报告</w:t>
      </w:r>
      <w:bookmarkEnd w:id="117"/>
      <w:bookmarkEnd w:id="118"/>
    </w:p>
    <w:p>
      <w:pPr>
        <w:widowControl/>
        <w:spacing w:line="580" w:lineRule="exact"/>
        <w:ind w:firstLineChars="200" w:firstLine="640"/>
        <w:contextualSpacing/>
        <w:jc w:val="center"/>
        <w:rPr>
          <w:rFonts w:ascii="仿宋_GB2312" w:eastAsia="仿宋_GB2312"/>
          <w:sz w:val="32"/>
          <w:szCs w:val="32"/>
          <w:shd w:val="clear" w:color="auto" w:fill="FFFFFF"/>
        </w:rPr>
      </w:pPr>
    </w:p>
    <w:p>
      <w:pPr>
        <w:widowControl/>
        <w:adjustRightInd w:val="0"/>
        <w:snapToGrid w:val="0"/>
        <w:spacing w:line="580" w:lineRule="exact"/>
        <w:ind w:firstLineChars="200" w:firstLine="48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单位概况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本单位是县科学技术和农业畜牧局下属事业单位。</w:t>
      </w:r>
    </w:p>
    <w:p>
      <w:pPr>
        <w:widowControl/>
        <w:adjustRightInd w:val="0"/>
        <w:snapToGrid w:val="0"/>
        <w:spacing w:line="560" w:lineRule="exact"/>
        <w:ind w:firstLineChars="200" w:firstLine="640"/>
        <w:contextualSpacing/>
        <w:jc w:val="left"/>
        <w:rPr>
          <w:rFonts w:ascii="仿宋_GB2312" w:eastAsia="仿宋" w:cs="宋体" w:hAnsi="仿宋_GB2312"/>
          <w:color w:val="000000"/>
          <w:kern w:val="0"/>
          <w:sz w:val="32"/>
          <w:szCs w:val="32"/>
          <w:shd w:val="clear" w:color="auto" w:fill="FFFFFF"/>
          <w:lang w:val="zh-CN"/>
        </w:rPr>
      </w:pPr>
      <w:r>
        <w:rPr>
          <w:rFonts w:ascii="仿宋_GB2312" w:eastAsia="仿宋" w:cs="宋体" w:hAnsi="仿宋_GB2312" w:hint="eastAsia"/>
          <w:color w:val="000000"/>
          <w:kern w:val="0"/>
          <w:sz w:val="32"/>
          <w:szCs w:val="32"/>
          <w:shd w:val="clear" w:color="auto" w:fill="FFFFFF"/>
          <w:lang w:val="zh-CN"/>
        </w:rPr>
        <w:t>（二）机构职能</w:t>
      </w:r>
    </w:p>
    <w:p>
      <w:pPr>
        <w:spacing w:line="560" w:lineRule="exact"/>
        <w:ind w:firstLineChars="200" w:firstLine="640"/>
        <w:rPr>
          <w:rFonts w:ascii="仿宋_GB2312" w:eastAsia="仿宋" w:hAnsi="仿宋_GB2312"/>
          <w:color w:val="313131"/>
          <w:kern w:val="0"/>
          <w:sz w:val="32"/>
          <w:szCs w:val="32"/>
        </w:rPr>
      </w:pPr>
      <w:r>
        <w:rPr>
          <w:rFonts w:ascii="仿宋_GB2312" w:eastAsia="仿宋" w:cs="仿宋_GB2312" w:hAnsi="仿宋_GB2312" w:hint="eastAsia"/>
          <w:color w:val="313131"/>
          <w:kern w:val="0"/>
          <w:sz w:val="32"/>
          <w:szCs w:val="32"/>
        </w:rPr>
        <w:t>1.宣传、贯彻、执行国家、省、州畜牧兽医行业的有关法律、法规。</w:t>
      </w:r>
    </w:p>
    <w:p>
      <w:pPr>
        <w:spacing w:line="560" w:lineRule="exact"/>
        <w:ind w:firstLineChars="199" w:firstLine="637"/>
        <w:rPr>
          <w:rFonts w:ascii="仿宋_GB2312" w:eastAsia="仿宋" w:hAnsi="仿宋_GB2312"/>
          <w:color w:val="313131"/>
          <w:kern w:val="0"/>
          <w:sz w:val="32"/>
          <w:szCs w:val="32"/>
        </w:rPr>
      </w:pPr>
      <w:r>
        <w:rPr>
          <w:rFonts w:ascii="仿宋_GB2312" w:eastAsia="仿宋" w:cs="仿宋_GB2312" w:hAnsi="仿宋_GB2312" w:hint="eastAsia"/>
          <w:color w:val="313131"/>
          <w:kern w:val="0"/>
          <w:sz w:val="32"/>
          <w:szCs w:val="32"/>
        </w:rPr>
        <w:t>2.研究拟定畜牧业有关产业政策，制定全县畜牧业经济发展的中长期规划，组织畜牧兽医科技项目研究和科技推广。</w:t>
      </w:r>
    </w:p>
    <w:p>
      <w:pPr>
        <w:spacing w:line="560" w:lineRule="exact"/>
        <w:ind w:firstLineChars="199" w:firstLine="637"/>
        <w:rPr>
          <w:rFonts w:ascii="仿宋_GB2312" w:eastAsia="仿宋" w:hAnsi="仿宋_GB2312"/>
          <w:color w:val="313131"/>
          <w:kern w:val="0"/>
          <w:sz w:val="32"/>
          <w:szCs w:val="32"/>
        </w:rPr>
      </w:pPr>
      <w:r>
        <w:rPr>
          <w:rFonts w:ascii="仿宋_GB2312" w:eastAsia="仿宋" w:cs="仿宋_GB2312" w:hAnsi="仿宋_GB2312" w:hint="eastAsia"/>
          <w:color w:val="313131"/>
          <w:kern w:val="0"/>
          <w:sz w:val="32"/>
          <w:szCs w:val="32"/>
        </w:rPr>
        <w:t>3.负责全县兽医医证工作；监督执行畜牧兽医、兽药、饲料的国家和地方标准；组织实施动物防疫、检疫工作和重大疫情的扑灭工作；开展动物防疫、检疫和兽药、饲料生产技术服务。</w:t>
      </w:r>
    </w:p>
    <w:p>
      <w:pPr>
        <w:spacing w:line="560" w:lineRule="exact"/>
        <w:ind w:firstLineChars="199" w:firstLine="637"/>
        <w:rPr>
          <w:rFonts w:ascii="仿宋_GB2312" w:eastAsia="仿宋" w:cs="仿宋_GB2312" w:hAnsi="仿宋_GB2312"/>
          <w:color w:val="313131"/>
          <w:kern w:val="0"/>
          <w:sz w:val="32"/>
          <w:szCs w:val="32"/>
        </w:rPr>
      </w:pPr>
      <w:r>
        <w:rPr>
          <w:rFonts w:ascii="仿宋_GB2312" w:eastAsia="仿宋" w:cs="仿宋_GB2312" w:hAnsi="仿宋_GB2312" w:hint="eastAsia"/>
          <w:color w:val="313131"/>
          <w:kern w:val="0"/>
          <w:sz w:val="32"/>
          <w:szCs w:val="32"/>
        </w:rPr>
        <w:t>4.负责饲草饲料工作，根据林草部门禁牧和草畜平衡考核情况兑付草原生态补奖资金，根据全县牲畜超载情况编制减畜规划。</w:t>
      </w:r>
    </w:p>
    <w:p>
      <w:pPr>
        <w:spacing w:line="560" w:lineRule="exact"/>
        <w:ind w:firstLineChars="199" w:firstLine="637"/>
        <w:rPr>
          <w:rFonts w:ascii="仿宋_GB2312" w:eastAsia="仿宋" w:hAnsi="仿宋_GB2312"/>
          <w:sz w:val="32"/>
          <w:szCs w:val="32"/>
        </w:rPr>
      </w:pPr>
      <w:r>
        <w:rPr>
          <w:rFonts w:ascii="仿宋_GB2312" w:eastAsia="仿宋" w:cs="仿宋_GB2312" w:hAnsi="仿宋_GB2312" w:hint="eastAsia"/>
          <w:color w:val="313131"/>
          <w:kern w:val="0"/>
          <w:sz w:val="32"/>
          <w:szCs w:val="32"/>
        </w:rPr>
        <w:t>5.负责良种畜禽监管工作，搞好畜种资源保护；推广畜</w:t>
      </w:r>
      <w:r>
        <w:rPr>
          <w:rFonts w:ascii="仿宋_GB2312" w:eastAsia="仿宋" w:cs="仿宋_GB2312" w:hAnsi="仿宋_GB2312" w:hint="eastAsia"/>
          <w:sz w:val="32"/>
          <w:szCs w:val="32"/>
        </w:rPr>
        <w:t>禽优良品种和畜禽繁育、饲养新技术。</w:t>
      </w:r>
    </w:p>
    <w:p>
      <w:pPr>
        <w:spacing w:line="560" w:lineRule="exact"/>
        <w:ind w:firstLineChars="200" w:firstLine="640"/>
        <w:rPr>
          <w:rFonts w:ascii="仿宋_GB2312" w:eastAsia="仿宋" w:hAnsi="仿宋_GB2312"/>
          <w:sz w:val="32"/>
          <w:szCs w:val="32"/>
        </w:rPr>
      </w:pPr>
      <w:r>
        <w:rPr>
          <w:rFonts w:ascii="仿宋_GB2312" w:eastAsia="仿宋" w:cs="仿宋_GB2312" w:hAnsi="仿宋_GB2312" w:hint="eastAsia"/>
          <w:sz w:val="32"/>
          <w:szCs w:val="32"/>
        </w:rPr>
        <w:t>6.推进畜牧业产业化进程，培育龙头企业，健全市场网络，开展畜牧经济技术交流与合作，积极引进资金和先进技术。</w:t>
      </w:r>
    </w:p>
    <w:p>
      <w:pPr>
        <w:spacing w:line="560" w:lineRule="exact"/>
        <w:ind w:firstLineChars="200" w:firstLine="640"/>
        <w:rPr>
          <w:rFonts w:ascii="仿宋_GB2312" w:eastAsia="仿宋" w:hAnsi="仿宋_GB2312"/>
          <w:sz w:val="32"/>
          <w:szCs w:val="32"/>
        </w:rPr>
      </w:pPr>
      <w:r>
        <w:rPr>
          <w:rFonts w:ascii="仿宋_GB2312" w:eastAsia="仿宋" w:cs="仿宋_GB2312" w:hAnsi="仿宋_GB2312" w:hint="eastAsia"/>
          <w:sz w:val="32"/>
          <w:szCs w:val="32"/>
        </w:rPr>
        <w:t>7.负责国家、省、州扶持畜牧业资金的统筹安排及监督管理；组织畜牧业建设项目的实施。</w:t>
      </w:r>
    </w:p>
    <w:p>
      <w:pPr>
        <w:spacing w:line="560" w:lineRule="exact"/>
        <w:ind w:firstLineChars="200" w:firstLine="640"/>
        <w:rPr>
          <w:rFonts w:ascii="仿宋_GB2312" w:eastAsia="仿宋" w:hAnsi="仿宋_GB2312"/>
          <w:sz w:val="32"/>
          <w:szCs w:val="32"/>
        </w:rPr>
      </w:pPr>
      <w:r>
        <w:rPr>
          <w:rFonts w:ascii="仿宋_GB2312" w:eastAsia="仿宋" w:cs="仿宋_GB2312" w:hAnsi="仿宋_GB2312" w:hint="eastAsia"/>
          <w:sz w:val="32"/>
          <w:szCs w:val="32"/>
        </w:rPr>
        <w:t>8.管理机关的人事、劳动工资、机构编制工作；指导全县各乡镇畜牧兽医站业务工作；指导、协调畜牧兽医科技队伍和技术服务体系建设；负责畜牧兽医科技人员业务培训及科技成果管理；指导畜牧兽医行业学会、协会工作。</w:t>
      </w:r>
    </w:p>
    <w:p>
      <w:pPr>
        <w:spacing w:line="560" w:lineRule="exact"/>
        <w:ind w:firstLineChars="200" w:firstLine="640"/>
        <w:rPr>
          <w:rFonts w:ascii="仿宋_GB2312" w:eastAsia="仿宋" w:hAnsi="仿宋_GB2312"/>
          <w:color w:val="000000"/>
          <w:sz w:val="32"/>
          <w:szCs w:val="32"/>
        </w:rPr>
      </w:pPr>
      <w:r>
        <w:rPr>
          <w:rFonts w:ascii="仿宋_GB2312" w:eastAsia="仿宋" w:cs="仿宋_GB2312" w:hAnsi="仿宋_GB2312" w:hint="eastAsia"/>
          <w:sz w:val="32"/>
          <w:szCs w:val="32"/>
        </w:rPr>
        <w:t>9.</w:t>
      </w:r>
      <w:r>
        <w:rPr>
          <w:rFonts w:ascii="仿宋_GB2312" w:eastAsia="仿宋" w:cs="仿宋_GB2312" w:hAnsi="仿宋_GB2312" w:hint="eastAsia"/>
          <w:kern w:val="0"/>
          <w:sz w:val="32"/>
          <w:szCs w:val="32"/>
          <w:lang w:val="zh-CN"/>
        </w:rPr>
        <w:t>承办县委县政府交办的其他工作。</w:t>
      </w:r>
    </w:p>
    <w:p>
      <w:pPr>
        <w:widowControl/>
        <w:adjustRightInd w:val="0"/>
        <w:snapToGrid w:val="0"/>
        <w:spacing w:line="560" w:lineRule="exact"/>
        <w:ind w:firstLineChars="200" w:firstLine="640"/>
        <w:contextualSpacing/>
        <w:jc w:val="left"/>
        <w:rPr>
          <w:rFonts w:ascii="仿宋_GB2312" w:eastAsia="仿宋" w:cs="宋体" w:hAnsi="仿宋_GB2312"/>
          <w:color w:val="000000"/>
          <w:kern w:val="0"/>
          <w:sz w:val="32"/>
          <w:szCs w:val="32"/>
          <w:shd w:val="clear" w:color="auto" w:fill="FFFFFF"/>
          <w:lang w:val="zh-CN"/>
        </w:rPr>
      </w:pPr>
      <w:r>
        <w:rPr>
          <w:rFonts w:ascii="仿宋_GB2312" w:eastAsia="仿宋" w:cs="宋体" w:hAnsi="仿宋_GB2312" w:hint="eastAsia"/>
          <w:color w:val="000000"/>
          <w:kern w:val="0"/>
          <w:sz w:val="32"/>
          <w:szCs w:val="32"/>
          <w:shd w:val="clear" w:color="auto" w:fill="FFFFFF"/>
          <w:lang w:val="zh-CN"/>
        </w:rPr>
        <w:t>（三）人员概况</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总编制</w:t>
      </w:r>
      <w:r>
        <w:rPr>
          <w:rFonts w:ascii="仿宋_GB2312" w:eastAsia="仿宋_GB2312"/>
          <w:sz w:val="32"/>
          <w:szCs w:val="32"/>
        </w:rPr>
        <w:t>22</w:t>
      </w:r>
      <w:r>
        <w:rPr>
          <w:rFonts w:ascii="仿宋_GB2312" w:eastAsia="仿宋_GB2312" w:hint="eastAsia"/>
          <w:sz w:val="32"/>
          <w:szCs w:val="32"/>
        </w:rPr>
        <w:t>名,其中:参照公务员法管理的事业编制</w:t>
      </w:r>
      <w:r>
        <w:rPr>
          <w:rFonts w:ascii="仿宋_GB2312" w:eastAsia="仿宋" w:hAnsi="仿宋_GB2312"/>
          <w:sz w:val="32"/>
          <w:szCs w:val="32"/>
        </w:rPr>
        <w:t>0</w:t>
      </w:r>
      <w:r>
        <w:rPr>
          <w:rFonts w:ascii="仿宋_GB2312" w:eastAsia="仿宋_GB2312" w:hint="eastAsia"/>
          <w:sz w:val="32"/>
          <w:szCs w:val="32"/>
        </w:rPr>
        <w:t>名，事业编制</w:t>
      </w:r>
      <w:r>
        <w:rPr>
          <w:rFonts w:ascii="仿宋_GB2312" w:eastAsia="仿宋" w:hAnsi="仿宋_GB2312"/>
          <w:sz w:val="32"/>
          <w:szCs w:val="32"/>
        </w:rPr>
        <w:t>22</w:t>
      </w:r>
      <w:r>
        <w:rPr>
          <w:rFonts w:ascii="仿宋_GB2312" w:eastAsia="仿宋_GB2312" w:hint="eastAsia"/>
          <w:sz w:val="32"/>
          <w:szCs w:val="32"/>
        </w:rPr>
        <w:t>名。在职人员总数</w:t>
      </w:r>
      <w:r>
        <w:rPr>
          <w:rFonts w:ascii="仿宋_GB2312" w:eastAsia="仿宋" w:hAnsi="仿宋_GB2312"/>
          <w:sz w:val="32"/>
          <w:szCs w:val="32"/>
        </w:rPr>
        <w:t>22</w:t>
      </w:r>
      <w:r>
        <w:rPr>
          <w:rFonts w:ascii="仿宋_GB2312" w:eastAsia="仿宋_GB2312" w:hint="eastAsia"/>
          <w:sz w:val="32"/>
          <w:szCs w:val="32"/>
        </w:rPr>
        <w:t>名，其中：参照公务员法管理的事业人员</w:t>
      </w:r>
      <w:r>
        <w:rPr>
          <w:rFonts w:ascii="仿宋_GB2312" w:eastAsia="仿宋" w:hAnsi="仿宋_GB2312"/>
          <w:sz w:val="32"/>
          <w:szCs w:val="32"/>
        </w:rPr>
        <w:t>0</w:t>
      </w:r>
      <w:r>
        <w:rPr>
          <w:rFonts w:ascii="仿宋_GB2312" w:eastAsia="仿宋_GB2312" w:hint="eastAsia"/>
          <w:sz w:val="32"/>
          <w:szCs w:val="32"/>
        </w:rPr>
        <w:t>名，事业人员</w:t>
      </w:r>
      <w:r>
        <w:rPr>
          <w:rFonts w:ascii="仿宋_GB2312" w:eastAsia="仿宋" w:hAnsi="仿宋_GB2312"/>
          <w:sz w:val="32"/>
          <w:szCs w:val="32"/>
        </w:rPr>
        <w:t>22</w:t>
      </w:r>
      <w:r>
        <w:rPr>
          <w:rFonts w:ascii="仿宋_GB2312" w:eastAsia="仿宋_GB2312" w:hint="eastAsia"/>
          <w:sz w:val="32"/>
          <w:szCs w:val="32"/>
        </w:rPr>
        <w:t>名。</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畜牧中心所属事业机构编制现状:</w:t>
      </w:r>
    </w:p>
    <w:p>
      <w:pPr>
        <w:spacing w:line="560" w:lineRule="exact"/>
        <w:ind w:firstLineChars="150" w:firstLine="480"/>
        <w:rPr>
          <w:rFonts w:ascii="仿宋_GB2312" w:eastAsia="仿宋_GB2312"/>
          <w:sz w:val="32"/>
          <w:szCs w:val="32"/>
        </w:rPr>
      </w:pPr>
      <w:r>
        <w:rPr>
          <w:rFonts w:ascii="仿宋_GB2312" w:eastAsia="仿宋_GB2312" w:hint="eastAsia"/>
          <w:sz w:val="32"/>
          <w:szCs w:val="32"/>
        </w:rPr>
        <w:t>（1）畜牧工作站：为公益服务单位，事业编制人员核定数为</w:t>
      </w:r>
      <w:r>
        <w:rPr>
          <w:rFonts w:ascii="仿宋_GB2312" w:eastAsia="仿宋" w:hAnsi="仿宋_GB2312"/>
          <w:sz w:val="32"/>
          <w:szCs w:val="32"/>
        </w:rPr>
        <w:t>11</w:t>
      </w:r>
      <w:r>
        <w:rPr>
          <w:rFonts w:ascii="仿宋_GB2312" w:eastAsia="仿宋_GB2312" w:hint="eastAsia"/>
          <w:sz w:val="32"/>
          <w:szCs w:val="32"/>
        </w:rPr>
        <w:t>人，实配</w:t>
      </w:r>
      <w:r>
        <w:rPr>
          <w:rFonts w:ascii="仿宋_GB2312" w:eastAsia="仿宋" w:hAnsi="仿宋_GB2312"/>
          <w:sz w:val="32"/>
          <w:szCs w:val="32"/>
        </w:rPr>
        <w:t>11</w:t>
      </w:r>
      <w:r>
        <w:rPr>
          <w:rFonts w:ascii="仿宋_GB2312" w:eastAsia="仿宋_GB2312" w:hint="eastAsia"/>
          <w:sz w:val="32"/>
          <w:szCs w:val="32"/>
        </w:rPr>
        <w:t>人，属全额财政拨款。</w:t>
      </w:r>
    </w:p>
    <w:p>
      <w:pPr>
        <w:adjustRightInd w:val="0"/>
        <w:snapToGrid w:val="0"/>
        <w:spacing w:line="560" w:lineRule="exact"/>
        <w:ind w:firstLineChars="150" w:firstLine="480"/>
        <w:contextualSpacing/>
        <w:rPr>
          <w:rFonts w:ascii="仿宋_GB2312" w:eastAsia="仿宋_GB2312" w:cs="宋体"/>
          <w:color w:val="000000"/>
          <w:kern w:val="0"/>
          <w:sz w:val="32"/>
          <w:szCs w:val="32"/>
          <w:shd w:val="clear" w:color="auto" w:fill="FFFFFF"/>
          <w:lang w:val="zh-CN"/>
        </w:rPr>
      </w:pPr>
      <w:r>
        <w:rPr>
          <w:rFonts w:ascii="仿宋_GB2312" w:eastAsia="仿宋_GB2312" w:hint="eastAsia"/>
          <w:sz w:val="32"/>
          <w:szCs w:val="32"/>
        </w:rPr>
        <w:t>（2）动物疫病预防控制中心：为公益服务单位，事业编制人员核定数为</w:t>
      </w:r>
      <w:r>
        <w:rPr>
          <w:rFonts w:ascii="仿宋_GB2312" w:eastAsia="仿宋" w:hAnsi="仿宋_GB2312"/>
          <w:sz w:val="32"/>
          <w:szCs w:val="32"/>
        </w:rPr>
        <w:t>11</w:t>
      </w:r>
      <w:r>
        <w:rPr>
          <w:rFonts w:ascii="仿宋_GB2312" w:eastAsia="仿宋_GB2312" w:hint="eastAsia"/>
          <w:sz w:val="32"/>
          <w:szCs w:val="32"/>
        </w:rPr>
        <w:t>人，实配</w:t>
      </w:r>
      <w:r>
        <w:rPr>
          <w:rFonts w:ascii="仿宋_GB2312" w:eastAsia="仿宋" w:hAnsi="仿宋_GB2312"/>
          <w:sz w:val="32"/>
          <w:szCs w:val="32"/>
        </w:rPr>
        <w:t>11</w:t>
      </w:r>
      <w:r>
        <w:rPr>
          <w:rFonts w:ascii="仿宋_GB2312" w:eastAsia="仿宋_GB2312" w:hint="eastAsia"/>
          <w:sz w:val="32"/>
          <w:szCs w:val="32"/>
        </w:rPr>
        <w:t>人，属全额财政拨款</w:t>
      </w:r>
      <w:r>
        <w:rPr>
          <w:rFonts w:ascii="仿宋_GB2312" w:eastAsia="仿宋_GB2312" w:cs="宋体" w:hint="eastAsia"/>
          <w:color w:val="000000"/>
          <w:kern w:val="0"/>
          <w:sz w:val="32"/>
          <w:szCs w:val="32"/>
          <w:shd w:val="clear" w:color="auto" w:fill="FFFFFF"/>
          <w:lang w:val="zh-CN"/>
        </w:rPr>
        <w:t>。</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（一）部门财政资金收入情况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color w:val="000000"/>
          <w:kern w:val="0"/>
          <w:sz w:val="32"/>
          <w:szCs w:val="32"/>
          <w:shd w:val="clear" w:color="auto" w:fill="FFFFFF"/>
        </w:rPr>
        <w:t>2021</w:t>
      </w:r>
      <w:r>
        <w:rPr>
          <w:rFonts w:ascii="仿宋_GB2312" w:eastAsia="仿宋_GB2312" w:cs="宋体" w:hint="eastAsia"/>
          <w:color w:val="000000"/>
          <w:kern w:val="0"/>
          <w:sz w:val="32"/>
          <w:szCs w:val="32"/>
          <w:shd w:val="clear" w:color="auto" w:fill="FFFFFF"/>
        </w:rPr>
        <w:t>年茂县畜牧兽医服务中心总收入</w:t>
      </w:r>
      <w:r>
        <w:rPr>
          <w:rFonts w:ascii="仿宋_GB2312" w:eastAsia="仿宋_GB2312" w:cs="宋体"/>
          <w:color w:val="000000"/>
          <w:kern w:val="0"/>
          <w:sz w:val="32"/>
          <w:szCs w:val="32"/>
          <w:shd w:val="clear" w:color="auto" w:fill="FFFFFF"/>
        </w:rPr>
        <w:t>418.43</w:t>
      </w:r>
      <w:r>
        <w:rPr>
          <w:rFonts w:ascii="仿宋_GB2312" w:eastAsia="仿宋_GB2312" w:cs="宋体" w:hint="eastAsia"/>
          <w:color w:val="000000"/>
          <w:kern w:val="0"/>
          <w:sz w:val="32"/>
          <w:szCs w:val="32"/>
          <w:shd w:val="clear" w:color="auto" w:fill="FFFFFF"/>
        </w:rPr>
        <w:t>万元，其中财政拨款收入</w:t>
      </w:r>
      <w:r>
        <w:rPr>
          <w:rFonts w:ascii="仿宋_GB2312" w:eastAsia="仿宋_GB2312" w:cs="宋体"/>
          <w:color w:val="000000"/>
          <w:kern w:val="0"/>
          <w:sz w:val="32"/>
          <w:szCs w:val="32"/>
          <w:shd w:val="clear" w:color="auto" w:fill="FFFFFF"/>
        </w:rPr>
        <w:t>418.43</w:t>
      </w:r>
      <w:r>
        <w:rPr>
          <w:rFonts w:ascii="仿宋_GB2312" w:eastAsia="仿宋_GB2312" w:cs="宋体" w:hint="eastAsia"/>
          <w:color w:val="000000"/>
          <w:kern w:val="0"/>
          <w:sz w:val="32"/>
          <w:szCs w:val="32"/>
          <w:shd w:val="clear" w:color="auto" w:fill="FFFFFF"/>
        </w:rPr>
        <w:t>万元,上年结转</w:t>
      </w:r>
      <w:r>
        <w:rPr>
          <w:rFonts w:ascii="仿宋_GB2312" w:eastAsia="仿宋_GB2312" w:cs="宋体"/>
          <w:color w:val="000000"/>
          <w:kern w:val="0"/>
          <w:sz w:val="32"/>
          <w:szCs w:val="32"/>
          <w:shd w:val="clear" w:color="auto" w:fill="FFFFFF"/>
        </w:rPr>
        <w:t>0</w:t>
      </w:r>
      <w:r>
        <w:rPr>
          <w:rFonts w:ascii="仿宋_GB2312" w:eastAsia="仿宋_GB2312" w:cs="宋体" w:hint="eastAsia"/>
          <w:color w:val="000000"/>
          <w:kern w:val="0"/>
          <w:sz w:val="32"/>
          <w:szCs w:val="32"/>
          <w:shd w:val="clear" w:color="auto" w:fill="FFFFFF"/>
        </w:rPr>
        <w:t>万元。</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color w:val="000000"/>
          <w:kern w:val="0"/>
          <w:sz w:val="32"/>
          <w:szCs w:val="32"/>
          <w:shd w:val="clear" w:color="auto" w:fill="FFFFFF"/>
        </w:rPr>
        <w:t>2022</w:t>
      </w:r>
      <w:r>
        <w:rPr>
          <w:rFonts w:ascii="仿宋_GB2312" w:eastAsia="仿宋_GB2312" w:cs="宋体" w:hint="eastAsia"/>
          <w:color w:val="000000"/>
          <w:kern w:val="0"/>
          <w:sz w:val="32"/>
          <w:szCs w:val="32"/>
          <w:shd w:val="clear" w:color="auto" w:fill="FFFFFF"/>
        </w:rPr>
        <w:t>年1</w:t>
      </w:r>
      <w:r>
        <w:rPr>
          <w:rFonts w:ascii="仿宋_GB2312" w:eastAsia="仿宋_GB2312" w:cs="宋体"/>
          <w:color w:val="000000"/>
          <w:kern w:val="0"/>
          <w:sz w:val="32"/>
          <w:szCs w:val="32"/>
          <w:shd w:val="clear" w:color="auto" w:fill="FFFFFF"/>
        </w:rPr>
        <w:t>-6</w:t>
      </w:r>
      <w:r>
        <w:rPr>
          <w:rFonts w:ascii="仿宋_GB2312" w:eastAsia="仿宋_GB2312" w:cs="宋体" w:hint="eastAsia"/>
          <w:color w:val="000000"/>
          <w:kern w:val="0"/>
          <w:sz w:val="32"/>
          <w:szCs w:val="32"/>
          <w:shd w:val="clear" w:color="auto" w:fill="FFFFFF"/>
        </w:rPr>
        <w:t>月财政拨款收入</w:t>
      </w:r>
      <w:r>
        <w:rPr>
          <w:rFonts w:ascii="仿宋_GB2312" w:eastAsia="仿宋_GB2312" w:cs="宋体"/>
          <w:color w:val="000000"/>
          <w:kern w:val="0"/>
          <w:sz w:val="32"/>
          <w:szCs w:val="32"/>
          <w:shd w:val="clear" w:color="auto" w:fill="FFFFFF"/>
        </w:rPr>
        <w:t>227.67</w:t>
      </w:r>
      <w:r>
        <w:rPr>
          <w:rFonts w:ascii="仿宋_GB2312" w:eastAsia="仿宋_GB2312" w:cs="宋体" w:hint="eastAsia"/>
          <w:color w:val="000000"/>
          <w:kern w:val="0"/>
          <w:sz w:val="32"/>
          <w:szCs w:val="32"/>
          <w:shd w:val="clear" w:color="auto" w:fill="FFFFFF"/>
        </w:rPr>
        <w:t>万元。</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（二）部门财政资金支出情况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color w:val="000000"/>
          <w:kern w:val="0"/>
          <w:sz w:val="32"/>
          <w:szCs w:val="32"/>
          <w:shd w:val="clear" w:color="auto" w:fill="FFFFFF"/>
        </w:rPr>
        <w:t>2021</w:t>
      </w:r>
      <w:r>
        <w:rPr>
          <w:rFonts w:ascii="仿宋_GB2312" w:eastAsia="仿宋_GB2312" w:cs="宋体" w:hint="eastAsia"/>
          <w:color w:val="000000"/>
          <w:kern w:val="0"/>
          <w:sz w:val="32"/>
          <w:szCs w:val="32"/>
          <w:shd w:val="clear" w:color="auto" w:fill="FFFFFF"/>
        </w:rPr>
        <w:t>年部门总支出</w:t>
      </w:r>
      <w:r>
        <w:rPr>
          <w:rFonts w:ascii="仿宋_GB2312" w:eastAsia="仿宋_GB2312" w:cs="宋体"/>
          <w:color w:val="000000"/>
          <w:kern w:val="0"/>
          <w:sz w:val="32"/>
          <w:szCs w:val="32"/>
          <w:shd w:val="clear" w:color="auto" w:fill="FFFFFF"/>
        </w:rPr>
        <w:t>418.43</w:t>
      </w:r>
      <w:r>
        <w:rPr>
          <w:rFonts w:ascii="仿宋_GB2312" w:eastAsia="仿宋_GB2312" w:cs="宋体" w:hint="eastAsia"/>
          <w:color w:val="000000"/>
          <w:kern w:val="0"/>
          <w:sz w:val="32"/>
          <w:szCs w:val="32"/>
          <w:shd w:val="clear" w:color="auto" w:fill="FFFFFF"/>
        </w:rPr>
        <w:t>万元，其中：</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1.本年财政补助支出按功能科目分类包括：社会保障和就业支出</w:t>
      </w:r>
      <w:r>
        <w:rPr>
          <w:rFonts w:ascii="仿宋_GB2312" w:eastAsia="仿宋_GB2312" w:cs="宋体"/>
          <w:color w:val="000000"/>
          <w:kern w:val="0"/>
          <w:sz w:val="32"/>
          <w:szCs w:val="32"/>
          <w:shd w:val="clear" w:color="auto" w:fill="FFFFFF"/>
        </w:rPr>
        <w:t>46.02</w:t>
      </w:r>
      <w:r>
        <w:rPr>
          <w:rFonts w:ascii="仿宋_GB2312" w:eastAsia="仿宋_GB2312" w:cs="宋体" w:hint="eastAsia"/>
          <w:color w:val="000000"/>
          <w:kern w:val="0"/>
          <w:sz w:val="32"/>
          <w:szCs w:val="32"/>
          <w:shd w:val="clear" w:color="auto" w:fill="FFFFFF"/>
        </w:rPr>
        <w:t>万元，卫生健康支出</w:t>
      </w:r>
      <w:r>
        <w:rPr>
          <w:rFonts w:ascii="仿宋_GB2312" w:eastAsia="仿宋_GB2312" w:cs="宋体"/>
          <w:color w:val="000000"/>
          <w:kern w:val="0"/>
          <w:sz w:val="32"/>
          <w:szCs w:val="32"/>
          <w:shd w:val="clear" w:color="auto" w:fill="FFFFFF"/>
        </w:rPr>
        <w:t>22.35</w:t>
      </w:r>
      <w:r>
        <w:rPr>
          <w:rFonts w:ascii="仿宋_GB2312" w:eastAsia="仿宋_GB2312" w:cs="宋体" w:hint="eastAsia"/>
          <w:color w:val="000000"/>
          <w:kern w:val="0"/>
          <w:sz w:val="32"/>
          <w:szCs w:val="32"/>
          <w:shd w:val="clear" w:color="auto" w:fill="FFFFFF"/>
        </w:rPr>
        <w:t>万元，农林水支出</w:t>
      </w:r>
      <w:r>
        <w:rPr>
          <w:rFonts w:ascii="仿宋_GB2312" w:eastAsia="仿宋_GB2312" w:cs="宋体"/>
          <w:color w:val="000000"/>
          <w:kern w:val="0"/>
          <w:sz w:val="32"/>
          <w:szCs w:val="32"/>
          <w:shd w:val="clear" w:color="auto" w:fill="FFFFFF"/>
        </w:rPr>
        <w:t>317.79</w:t>
      </w:r>
      <w:r>
        <w:rPr>
          <w:rFonts w:ascii="仿宋_GB2312" w:eastAsia="仿宋_GB2312" w:cs="宋体" w:hint="eastAsia"/>
          <w:color w:val="000000"/>
          <w:kern w:val="0"/>
          <w:sz w:val="32"/>
          <w:szCs w:val="32"/>
          <w:shd w:val="clear" w:color="auto" w:fill="FFFFFF"/>
        </w:rPr>
        <w:t>万元，住房保障支出</w:t>
      </w:r>
      <w:r>
        <w:rPr>
          <w:rFonts w:ascii="仿宋_GB2312" w:eastAsia="仿宋_GB2312" w:cs="宋体"/>
          <w:color w:val="000000"/>
          <w:kern w:val="0"/>
          <w:sz w:val="32"/>
          <w:szCs w:val="32"/>
          <w:shd w:val="clear" w:color="auto" w:fill="FFFFFF"/>
        </w:rPr>
        <w:t>32.27</w:t>
      </w:r>
      <w:r>
        <w:rPr>
          <w:rFonts w:ascii="仿宋_GB2312" w:eastAsia="仿宋_GB2312" w:cs="宋体" w:hint="eastAsia"/>
          <w:color w:val="000000"/>
          <w:kern w:val="0"/>
          <w:sz w:val="32"/>
          <w:szCs w:val="32"/>
          <w:shd w:val="clear" w:color="auto" w:fill="FFFFFF"/>
        </w:rPr>
        <w:t>万元。</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2.本年财政补助支出按支出性质分类包括：</w:t>
      </w:r>
    </w:p>
    <w:p>
      <w:pPr>
        <w:widowControl/>
        <w:adjustRightInd w:val="0"/>
        <w:snapToGrid w:val="0"/>
        <w:spacing w:line="580" w:lineRule="exact"/>
        <w:ind w:firstLineChars="250" w:firstLine="80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基本支出</w:t>
      </w:r>
      <w:r>
        <w:rPr>
          <w:rFonts w:ascii="仿宋_GB2312" w:eastAsia="仿宋_GB2312" w:cs="宋体"/>
          <w:color w:val="000000"/>
          <w:kern w:val="0"/>
          <w:sz w:val="32"/>
          <w:szCs w:val="32"/>
          <w:shd w:val="clear" w:color="auto" w:fill="FFFFFF"/>
        </w:rPr>
        <w:t>418.43</w:t>
      </w:r>
      <w:r>
        <w:rPr>
          <w:rFonts w:ascii="仿宋_GB2312" w:eastAsia="仿宋_GB2312" w:cs="宋体" w:hint="eastAsia"/>
          <w:color w:val="000000"/>
          <w:kern w:val="0"/>
          <w:sz w:val="32"/>
          <w:szCs w:val="32"/>
          <w:shd w:val="clear" w:color="auto" w:fill="FFFFFF"/>
        </w:rPr>
        <w:t>万元，占总支出的</w:t>
      </w:r>
      <w:r>
        <w:rPr>
          <w:rFonts w:ascii="仿宋_GB2312" w:eastAsia="仿宋_GB2312" w:cs="宋体"/>
          <w:color w:val="000000"/>
          <w:kern w:val="0"/>
          <w:sz w:val="32"/>
          <w:szCs w:val="32"/>
          <w:shd w:val="clear" w:color="auto" w:fill="FFFFFF"/>
        </w:rPr>
        <w:t>100%</w:t>
      </w:r>
      <w:r>
        <w:rPr>
          <w:rFonts w:ascii="仿宋_GB2312" w:eastAsia="仿宋_GB2312" w:cs="宋体" w:hint="eastAsia"/>
          <w:color w:val="000000"/>
          <w:kern w:val="0"/>
          <w:sz w:val="32"/>
          <w:szCs w:val="32"/>
          <w:shd w:val="clear" w:color="auto" w:fill="FFFFFF"/>
        </w:rPr>
        <w:t>，其中：工资福利支出</w:t>
      </w:r>
      <w:r>
        <w:rPr>
          <w:rFonts w:ascii="仿宋_GB2312" w:eastAsia="仿宋_GB2312" w:cs="宋体"/>
          <w:color w:val="000000"/>
          <w:kern w:val="0"/>
          <w:sz w:val="32"/>
          <w:szCs w:val="32"/>
          <w:shd w:val="clear" w:color="auto" w:fill="FFFFFF"/>
        </w:rPr>
        <w:t>399.7</w:t>
      </w:r>
      <w:r>
        <w:rPr>
          <w:rFonts w:ascii="仿宋_GB2312" w:eastAsia="仿宋_GB2312" w:cs="宋体" w:hint="eastAsia"/>
          <w:color w:val="000000"/>
          <w:kern w:val="0"/>
          <w:sz w:val="32"/>
          <w:szCs w:val="32"/>
          <w:shd w:val="clear" w:color="auto" w:fill="FFFFFF"/>
        </w:rPr>
        <w:t>万元；对家庭和个人补助</w:t>
      </w:r>
      <w:r>
        <w:rPr>
          <w:rFonts w:ascii="仿宋_GB2312" w:eastAsia="仿宋_GB2312" w:cs="宋体"/>
          <w:color w:val="000000"/>
          <w:kern w:val="0"/>
          <w:sz w:val="32"/>
          <w:szCs w:val="32"/>
          <w:shd w:val="clear" w:color="auto" w:fill="FFFFFF"/>
        </w:rPr>
        <w:t>2.75</w:t>
      </w:r>
      <w:r>
        <w:rPr>
          <w:rFonts w:ascii="仿宋_GB2312" w:eastAsia="仿宋_GB2312" w:cs="宋体" w:hint="eastAsia"/>
          <w:color w:val="000000"/>
          <w:kern w:val="0"/>
          <w:sz w:val="32"/>
          <w:szCs w:val="32"/>
          <w:shd w:val="clear" w:color="auto" w:fill="FFFFFF"/>
        </w:rPr>
        <w:t>元；商品和服务支出</w:t>
      </w:r>
      <w:r>
        <w:rPr>
          <w:rFonts w:ascii="仿宋_GB2312" w:eastAsia="仿宋_GB2312" w:cs="宋体"/>
          <w:color w:val="000000"/>
          <w:kern w:val="0"/>
          <w:sz w:val="32"/>
          <w:szCs w:val="32"/>
          <w:shd w:val="clear" w:color="auto" w:fill="FFFFFF"/>
        </w:rPr>
        <w:t>15.98</w:t>
      </w:r>
      <w:r>
        <w:rPr>
          <w:rFonts w:ascii="仿宋_GB2312" w:eastAsia="仿宋_GB2312" w:cs="宋体" w:hint="eastAsia"/>
          <w:color w:val="000000"/>
          <w:kern w:val="0"/>
          <w:sz w:val="32"/>
          <w:szCs w:val="32"/>
          <w:shd w:val="clear" w:color="auto" w:fill="FFFFFF"/>
        </w:rPr>
        <w:t>万元。</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color w:val="000000"/>
          <w:kern w:val="0"/>
          <w:sz w:val="32"/>
          <w:szCs w:val="32"/>
          <w:shd w:val="clear" w:color="auto" w:fill="FFFFFF"/>
        </w:rPr>
        <w:t>2022</w:t>
      </w:r>
      <w:r>
        <w:rPr>
          <w:rFonts w:ascii="仿宋_GB2312" w:eastAsia="仿宋_GB2312" w:cs="宋体" w:hint="eastAsia"/>
          <w:color w:val="000000"/>
          <w:kern w:val="0"/>
          <w:sz w:val="32"/>
          <w:szCs w:val="32"/>
          <w:shd w:val="clear" w:color="auto" w:fill="FFFFFF"/>
        </w:rPr>
        <w:t>年1</w:t>
      </w:r>
      <w:r>
        <w:rPr>
          <w:rFonts w:ascii="仿宋_GB2312" w:eastAsia="仿宋_GB2312" w:cs="宋体"/>
          <w:color w:val="000000"/>
          <w:kern w:val="0"/>
          <w:sz w:val="32"/>
          <w:szCs w:val="32"/>
          <w:shd w:val="clear" w:color="auto" w:fill="FFFFFF"/>
        </w:rPr>
        <w:t>-6</w:t>
      </w:r>
      <w:r>
        <w:rPr>
          <w:rFonts w:ascii="仿宋_GB2312" w:eastAsia="仿宋_GB2312" w:cs="宋体" w:hint="eastAsia"/>
          <w:color w:val="000000"/>
          <w:kern w:val="0"/>
          <w:sz w:val="32"/>
          <w:szCs w:val="32"/>
          <w:shd w:val="clear" w:color="auto" w:fill="FFFFFF"/>
        </w:rPr>
        <w:t>月一般公共财政拨款支出</w:t>
      </w:r>
      <w:r>
        <w:rPr>
          <w:rFonts w:ascii="仿宋_GB2312" w:eastAsia="仿宋_GB2312" w:cs="宋体"/>
          <w:color w:val="000000"/>
          <w:kern w:val="0"/>
          <w:sz w:val="32"/>
          <w:szCs w:val="32"/>
          <w:shd w:val="clear" w:color="auto" w:fill="FFFFFF"/>
        </w:rPr>
        <w:t>227.67</w:t>
      </w:r>
      <w:r>
        <w:rPr>
          <w:rFonts w:ascii="仿宋_GB2312" w:eastAsia="仿宋_GB2312" w:cs="宋体" w:hint="eastAsia"/>
          <w:color w:val="000000"/>
          <w:kern w:val="0"/>
          <w:sz w:val="32"/>
          <w:szCs w:val="32"/>
          <w:shd w:val="clear" w:color="auto" w:fill="FFFFFF"/>
        </w:rPr>
        <w:t>万元。</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（一）部门预算项目绩效管理</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单位严格按照县财政部门预算编制通知和有关文件要求，秉承强化规划约束、坚持限额控制、实时滚动管理、强化绩效管理的基本编制原则,在县财政部门规定的时间内于部门预算管理系统中,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绩效目标制定：根据预算绩效管理要求，本单位在年初预算编制阶段未进行项目预算编制。</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目标实现：加强项目经费支出进度管理，完善预算动态监控，绩效目标完成较好，发挥财政资金的最大效益。</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预算编制的准确：以预算编制为引领，以支出管理为核心，严格按照县财政局预算编制要求，扎实做好</w:t>
      </w:r>
      <w:r>
        <w:rPr>
          <w:rFonts w:ascii="仿宋_GB2312" w:eastAsia="仿宋_GB2312" w:cs="宋体"/>
          <w:color w:val="000000"/>
          <w:kern w:val="0"/>
          <w:sz w:val="32"/>
          <w:szCs w:val="32"/>
          <w:shd w:val="clear" w:color="auto" w:fill="FFFFFF"/>
        </w:rPr>
        <w:t>2021</w:t>
      </w:r>
      <w:r>
        <w:rPr>
          <w:rFonts w:ascii="仿宋_GB2312" w:eastAsia="仿宋_GB2312" w:cs="宋体" w:hint="eastAsia"/>
          <w:color w:val="000000"/>
          <w:kern w:val="0"/>
          <w:sz w:val="32"/>
          <w:szCs w:val="32"/>
          <w:shd w:val="clear" w:color="auto" w:fill="FFFFFF"/>
        </w:rPr>
        <w:t>预算执行工作，预、决算编制较为合理，规划明确。</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支出控制：认真贯彻落实中央八项规定和省市十项规定，无超预算或无预算安排支出，虚列支出、转嫁支出、转移或者套取预算资金情况，无超标准、超范围列支“三公”经费、会议费、培训费和差旅费，滥发工资、奖金、补贴等问题。</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预算动态调整：</w:t>
      </w:r>
      <w:r>
        <w:rPr>
          <w:rFonts w:ascii="仿宋_GB2312" w:eastAsia="仿宋_GB2312" w:cs="宋体"/>
          <w:color w:val="000000"/>
          <w:kern w:val="0"/>
          <w:sz w:val="32"/>
          <w:szCs w:val="32"/>
          <w:shd w:val="clear" w:color="auto" w:fill="FFFFFF"/>
        </w:rPr>
        <w:t>2021</w:t>
      </w:r>
      <w:r>
        <w:rPr>
          <w:rFonts w:ascii="仿宋_GB2312" w:eastAsia="仿宋_GB2312" w:cs="宋体" w:hint="eastAsia"/>
          <w:color w:val="000000"/>
          <w:kern w:val="0"/>
          <w:sz w:val="32"/>
          <w:szCs w:val="32"/>
          <w:shd w:val="clear" w:color="auto" w:fill="FFFFFF"/>
        </w:rPr>
        <w:t>年度，茂县畜牧兽医服务中心部门预算仅做了经济分类调整，无新增项目支出预算调整情况。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执行进度：根据本单位工作实际，在建立并实施内部监督和控制执行过程中，修订完善本单位内部控制制度，在保证各项工作顺利运转的同时，较好的完成各项预算进度。</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预算完成情况：</w:t>
      </w:r>
      <w:r>
        <w:rPr>
          <w:rFonts w:ascii="仿宋_GB2312" w:eastAsia="仿宋_GB2312" w:cs="宋体"/>
          <w:color w:val="000000"/>
          <w:kern w:val="0"/>
          <w:sz w:val="32"/>
          <w:szCs w:val="32"/>
          <w:shd w:val="clear" w:color="auto" w:fill="FFFFFF"/>
        </w:rPr>
        <w:t>2021</w:t>
      </w:r>
      <w:r>
        <w:rPr>
          <w:rFonts w:ascii="仿宋_GB2312" w:eastAsia="仿宋_GB2312" w:cs="宋体" w:hint="eastAsia"/>
          <w:color w:val="000000"/>
          <w:kern w:val="0"/>
          <w:sz w:val="32"/>
          <w:szCs w:val="32"/>
          <w:shd w:val="clear" w:color="auto" w:fill="FFFFFF"/>
        </w:rPr>
        <w:t>年度，茂县畜牧兽医服务中心部门预算执行了</w:t>
      </w:r>
      <w:r>
        <w:rPr>
          <w:rFonts w:ascii="仿宋_GB2312" w:eastAsia="仿宋_GB2312" w:cs="宋体"/>
          <w:color w:val="000000"/>
          <w:kern w:val="0"/>
          <w:sz w:val="32"/>
          <w:szCs w:val="32"/>
          <w:shd w:val="clear" w:color="auto" w:fill="FFFFFF"/>
        </w:rPr>
        <w:t>100%</w:t>
      </w:r>
      <w:r>
        <w:rPr>
          <w:rFonts w:ascii="仿宋_GB2312" w:eastAsia="仿宋_GB2312" w:cs="宋体" w:hint="eastAsia"/>
          <w:color w:val="000000"/>
          <w:kern w:val="0"/>
          <w:sz w:val="32"/>
          <w:szCs w:val="32"/>
          <w:shd w:val="clear" w:color="auto" w:fill="FFFFFF"/>
        </w:rPr>
        <w:t>。</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（二）结果应用情况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我单位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中心部门整体绩效管理水平不断提升。</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四、评价结论及建议</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（一）评价结论</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2021年度财政资金绩效总体评价良好。根据我单位年初工作规划，围绕县委、县政府全面建成小康社会的发展蓝图，积极履职，强化管理，较好的完成了上年度工作目标，不存在扣分情况。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（二）存在问题</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绩效目标设定有待更科学更合理。</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（三）改进建议</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通过加强预算收支管理，不断建立健全内部管理制度，梳理内部管理流程，单位整体支出管理情况得到提升。一是改进部门收支预算，夯实预算基础工作，提高预算编制质量；二是认真研究政策，加强项目绩效审核，力求科学合理；三是认真研究重点项目的执行，提早规划，提前实施，确保项目顺利实施，提高财政资金的使用效益；四是不断建立健全内部管理制度，梳理内部管理流程，单位整体支出管理情况得到提升。</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r>
        <w:rPr>
          <w:rFonts w:ascii="仿宋_GB2312" w:eastAsia="仿宋_GB2312" w:cs="仿宋_GB2312"/>
          <w:sz w:val="32"/>
          <w:szCs w:val="32"/>
        </w:rPr>
        <w:br w:type="page"/>
      </w:r>
    </w:p>
    <w:p>
      <w:pPr>
        <w:spacing w:line="600" w:lineRule="exact"/>
        <w:jc w:val="center"/>
        <w:outlineLvl w:val="0"/>
        <w:rPr>
          <w:rStyle w:val="1Char"/>
          <w:rFonts w:ascii="黑体" w:eastAsia="黑体"/>
          <w:b w:val="0"/>
        </w:rPr>
      </w:pPr>
      <w:bookmarkStart w:id="119" w:name="_Toc15396618"/>
      <w:bookmarkStart w:id="120" w:name="_Toc79163635"/>
      <w:bookmarkStart w:id="121" w:name="_Toc115080995"/>
      <w:r>
        <w:rPr>
          <w:rFonts w:ascii="黑体" w:eastAsia="黑体" w:hint="eastAsia"/>
          <w:color w:val="000000"/>
          <w:sz w:val="44"/>
          <w:szCs w:val="44"/>
        </w:rPr>
        <w:t>第</w:t>
      </w:r>
      <w:r>
        <w:rPr>
          <w:rStyle w:val="1Char"/>
          <w:rFonts w:ascii="黑体" w:eastAsia="黑体" w:hint="eastAsia"/>
          <w:b w:val="0"/>
        </w:rPr>
        <w:t>五部分</w:t>
      </w:r>
      <w:r>
        <w:rPr>
          <w:rStyle w:val="1Char"/>
          <w:rFonts w:ascii="黑体" w:eastAsia="黑体"/>
          <w:b w:val="0"/>
        </w:rPr>
        <w:t xml:space="preserve"> </w:t>
      </w:r>
      <w:r>
        <w:rPr>
          <w:rStyle w:val="1Char"/>
          <w:rFonts w:ascii="黑体" w:eastAsia="黑体" w:hint="eastAsia"/>
          <w:b w:val="0"/>
        </w:rPr>
        <w:t>附表</w:t>
      </w:r>
      <w:bookmarkEnd w:id="111"/>
      <w:bookmarkEnd w:id="119"/>
      <w:bookmarkEnd w:id="120"/>
      <w:bookmarkEnd w:id="121"/>
    </w:p>
    <w:p>
      <w:pPr>
        <w:pStyle w:val="2"/>
        <w:rPr>
          <w:rFonts w:ascii="仿宋" w:eastAsia="仿宋"/>
          <w:color w:val="000000"/>
        </w:rPr>
      </w:pPr>
      <w:bookmarkStart w:id="122" w:name="_Toc15396619"/>
      <w:bookmarkStart w:id="123" w:name="_Toc79163636"/>
      <w:bookmarkStart w:id="124" w:name="_Toc115080996"/>
      <w:r>
        <w:rPr>
          <w:rFonts w:ascii="仿宋" w:eastAsia="仿宋" w:hint="eastAsia"/>
          <w:b w:val="0"/>
          <w:color w:val="000000"/>
        </w:rPr>
        <w:t>一、收</w:t>
      </w:r>
      <w:r>
        <w:rPr>
          <w:rStyle w:val="2Char"/>
          <w:rFonts w:ascii="仿宋" w:eastAsia="仿宋" w:hint="eastAsia"/>
        </w:rPr>
        <w:t>入支出决算总表</w:t>
      </w:r>
      <w:bookmarkEnd w:id="122"/>
      <w:bookmarkEnd w:id="123"/>
      <w:bookmarkEnd w:id="124"/>
    </w:p>
    <w:p>
      <w:pPr>
        <w:pStyle w:val="2"/>
        <w:rPr>
          <w:rFonts w:ascii="仿宋" w:eastAsia="仿宋"/>
          <w:color w:val="000000"/>
        </w:rPr>
      </w:pPr>
      <w:bookmarkStart w:id="125" w:name="_Toc15396620"/>
      <w:bookmarkStart w:id="126" w:name="_Toc79163637"/>
      <w:bookmarkStart w:id="127" w:name="_Toc115080997"/>
      <w:r>
        <w:rPr>
          <w:rFonts w:ascii="仿宋" w:eastAsia="仿宋" w:hint="eastAsia"/>
          <w:b w:val="0"/>
          <w:color w:val="000000"/>
        </w:rPr>
        <w:t>二、收</w:t>
      </w:r>
      <w:r>
        <w:rPr>
          <w:rStyle w:val="2Char"/>
          <w:rFonts w:ascii="仿宋" w:eastAsia="仿宋" w:hint="eastAsia"/>
        </w:rPr>
        <w:t>入决算表</w:t>
      </w:r>
      <w:bookmarkEnd w:id="125"/>
      <w:bookmarkEnd w:id="126"/>
      <w:bookmarkEnd w:id="127"/>
    </w:p>
    <w:p>
      <w:pPr>
        <w:pStyle w:val="2"/>
        <w:rPr>
          <w:rFonts w:ascii="仿宋" w:eastAsia="仿宋"/>
          <w:color w:val="000000"/>
        </w:rPr>
      </w:pPr>
      <w:bookmarkStart w:id="128" w:name="_Toc15396621"/>
      <w:bookmarkStart w:id="129" w:name="_Toc79163638"/>
      <w:bookmarkStart w:id="130" w:name="_Toc115080998"/>
      <w:r>
        <w:rPr>
          <w:rStyle w:val="2Char"/>
          <w:rFonts w:ascii="仿宋" w:eastAsia="仿宋" w:hint="eastAsia"/>
        </w:rPr>
        <w:t>三、</w:t>
      </w:r>
      <w:r>
        <w:rPr>
          <w:rFonts w:ascii="仿宋" w:eastAsia="仿宋" w:hint="eastAsia"/>
          <w:b w:val="0"/>
          <w:color w:val="000000"/>
        </w:rPr>
        <w:t>支</w:t>
      </w:r>
      <w:r>
        <w:rPr>
          <w:rStyle w:val="2Char"/>
          <w:rFonts w:ascii="仿宋" w:eastAsia="仿宋" w:hint="eastAsia"/>
        </w:rPr>
        <w:t>出决算表</w:t>
      </w:r>
      <w:bookmarkEnd w:id="128"/>
      <w:bookmarkEnd w:id="129"/>
      <w:bookmarkEnd w:id="130"/>
    </w:p>
    <w:p>
      <w:pPr>
        <w:pStyle w:val="2"/>
        <w:rPr>
          <w:rFonts w:ascii="仿宋" w:eastAsia="仿宋"/>
          <w:b w:val="0"/>
          <w:color w:val="000000"/>
        </w:rPr>
      </w:pPr>
      <w:bookmarkStart w:id="131" w:name="_Toc15396622"/>
      <w:bookmarkStart w:id="132" w:name="_Toc79163639"/>
      <w:bookmarkStart w:id="133" w:name="_Toc115080999"/>
      <w:r>
        <w:rPr>
          <w:rStyle w:val="2Char"/>
          <w:rFonts w:ascii="仿宋" w:eastAsia="仿宋" w:hint="eastAsia"/>
        </w:rPr>
        <w:t>四、</w:t>
      </w:r>
      <w:r>
        <w:rPr>
          <w:rFonts w:ascii="仿宋" w:eastAsia="仿宋" w:hint="eastAsia"/>
          <w:b w:val="0"/>
          <w:color w:val="000000"/>
        </w:rPr>
        <w:t>财</w:t>
      </w:r>
      <w:r>
        <w:rPr>
          <w:rStyle w:val="2Char"/>
          <w:rFonts w:ascii="仿宋" w:eastAsia="仿宋" w:hint="eastAsia"/>
        </w:rPr>
        <w:t>政拨款收入支出决算总表</w:t>
      </w:r>
      <w:bookmarkEnd w:id="131"/>
      <w:bookmarkEnd w:id="132"/>
      <w:bookmarkEnd w:id="133"/>
    </w:p>
    <w:p>
      <w:pPr>
        <w:pStyle w:val="2"/>
        <w:rPr>
          <w:rStyle w:val="2Char"/>
          <w:rFonts w:ascii="仿宋" w:eastAsia="仿宋"/>
        </w:rPr>
      </w:pPr>
      <w:bookmarkStart w:id="134" w:name="_Toc15396623"/>
      <w:bookmarkStart w:id="135" w:name="_Toc79163640"/>
      <w:bookmarkStart w:id="136" w:name="_Toc115081000"/>
      <w:r>
        <w:rPr>
          <w:rStyle w:val="2Char"/>
          <w:rFonts w:ascii="仿宋" w:eastAsia="仿宋" w:hint="eastAsia"/>
        </w:rPr>
        <w:t>五、</w:t>
      </w:r>
      <w:r>
        <w:rPr>
          <w:rFonts w:ascii="仿宋" w:eastAsia="仿宋" w:hint="eastAsia"/>
          <w:b w:val="0"/>
          <w:color w:val="000000"/>
        </w:rPr>
        <w:t>财</w:t>
      </w:r>
      <w:r>
        <w:rPr>
          <w:rStyle w:val="2Char"/>
          <w:rFonts w:ascii="仿宋" w:eastAsia="仿宋" w:hint="eastAsia"/>
        </w:rPr>
        <w:t>政拨款支出决算明细表</w:t>
      </w:r>
      <w:bookmarkStart w:id="137" w:name="_Toc15396624"/>
      <w:bookmarkEnd w:id="134"/>
      <w:bookmarkEnd w:id="135"/>
      <w:bookmarkEnd w:id="136"/>
    </w:p>
    <w:p>
      <w:pPr>
        <w:pStyle w:val="2"/>
        <w:rPr>
          <w:rFonts w:ascii="仿宋" w:eastAsia="仿宋"/>
          <w:color w:val="000000"/>
        </w:rPr>
      </w:pPr>
      <w:bookmarkStart w:id="138" w:name="_Toc79163641"/>
      <w:bookmarkStart w:id="139" w:name="_Toc115081001"/>
      <w:r>
        <w:rPr>
          <w:rStyle w:val="2Char"/>
          <w:rFonts w:ascii="仿宋" w:eastAsia="仿宋" w:hint="eastAsia"/>
        </w:rPr>
        <w:t>六、</w:t>
      </w:r>
      <w:r>
        <w:rPr>
          <w:rFonts w:ascii="仿宋" w:eastAsia="仿宋" w:hint="eastAsia"/>
          <w:b w:val="0"/>
          <w:color w:val="000000"/>
        </w:rPr>
        <w:t>一</w:t>
      </w:r>
      <w:r>
        <w:rPr>
          <w:rStyle w:val="2Char"/>
          <w:rFonts w:ascii="仿宋" w:eastAsia="仿宋" w:hint="eastAsia"/>
        </w:rPr>
        <w:t>般公共预算财政拨款支出决算表</w:t>
      </w:r>
      <w:bookmarkEnd w:id="137"/>
      <w:bookmarkEnd w:id="138"/>
      <w:bookmarkEnd w:id="139"/>
    </w:p>
    <w:p>
      <w:pPr>
        <w:pStyle w:val="2"/>
        <w:rPr>
          <w:rFonts w:ascii="仿宋" w:eastAsia="仿宋"/>
          <w:color w:val="000000"/>
        </w:rPr>
      </w:pPr>
      <w:bookmarkStart w:id="140" w:name="_Toc15396625"/>
      <w:bookmarkStart w:id="141" w:name="_Toc79163642"/>
      <w:bookmarkStart w:id="142" w:name="_Toc115081002"/>
      <w:r>
        <w:rPr>
          <w:rStyle w:val="2Char"/>
          <w:rFonts w:ascii="仿宋" w:eastAsia="仿宋" w:hint="eastAsia"/>
        </w:rPr>
        <w:t>七、</w:t>
      </w:r>
      <w:r>
        <w:rPr>
          <w:rFonts w:ascii="仿宋" w:eastAsia="仿宋" w:hint="eastAsia"/>
          <w:b w:val="0"/>
          <w:color w:val="000000"/>
        </w:rPr>
        <w:t>一</w:t>
      </w:r>
      <w:r>
        <w:rPr>
          <w:rStyle w:val="2Char"/>
          <w:rFonts w:ascii="仿宋" w:eastAsia="仿宋" w:hint="eastAsia"/>
        </w:rPr>
        <w:t>般公共预算财政拨款支出决算明细表</w:t>
      </w:r>
      <w:bookmarkEnd w:id="140"/>
      <w:bookmarkEnd w:id="141"/>
      <w:bookmarkEnd w:id="142"/>
    </w:p>
    <w:p>
      <w:pPr>
        <w:pStyle w:val="2"/>
        <w:rPr>
          <w:rFonts w:ascii="仿宋" w:eastAsia="仿宋"/>
          <w:color w:val="000000"/>
        </w:rPr>
      </w:pPr>
      <w:bookmarkStart w:id="143" w:name="_Toc15396626"/>
      <w:bookmarkStart w:id="144" w:name="_Toc79163643"/>
      <w:bookmarkStart w:id="145" w:name="_Toc115081003"/>
      <w:r>
        <w:rPr>
          <w:rStyle w:val="2Char"/>
          <w:rFonts w:ascii="仿宋" w:eastAsia="仿宋" w:hint="eastAsia"/>
        </w:rPr>
        <w:t>八、</w:t>
      </w:r>
      <w:r>
        <w:rPr>
          <w:rFonts w:ascii="仿宋" w:eastAsia="仿宋" w:hint="eastAsia"/>
          <w:b w:val="0"/>
          <w:color w:val="000000"/>
        </w:rPr>
        <w:t>一</w:t>
      </w:r>
      <w:r>
        <w:rPr>
          <w:rStyle w:val="2Char"/>
          <w:rFonts w:ascii="仿宋" w:eastAsia="仿宋" w:hint="eastAsia"/>
        </w:rPr>
        <w:t>般公共预算财政拨款基本支出决算表</w:t>
      </w:r>
      <w:bookmarkEnd w:id="143"/>
      <w:bookmarkEnd w:id="144"/>
      <w:bookmarkEnd w:id="145"/>
    </w:p>
    <w:p>
      <w:pPr>
        <w:pStyle w:val="2"/>
        <w:rPr>
          <w:rFonts w:ascii="仿宋" w:eastAsia="仿宋"/>
          <w:color w:val="000000"/>
        </w:rPr>
      </w:pPr>
      <w:bookmarkStart w:id="146" w:name="_Toc15396627"/>
      <w:bookmarkStart w:id="147" w:name="_Toc79163644"/>
      <w:bookmarkStart w:id="148" w:name="_Toc115081004"/>
      <w:r>
        <w:rPr>
          <w:rStyle w:val="2Char"/>
          <w:rFonts w:ascii="仿宋" w:eastAsia="仿宋" w:hint="eastAsia"/>
        </w:rPr>
        <w:t>九、</w:t>
      </w:r>
      <w:r>
        <w:rPr>
          <w:rFonts w:ascii="仿宋" w:eastAsia="仿宋" w:hint="eastAsia"/>
          <w:b w:val="0"/>
          <w:color w:val="000000"/>
        </w:rPr>
        <w:t>一</w:t>
      </w:r>
      <w:r>
        <w:rPr>
          <w:rStyle w:val="2Char"/>
          <w:rFonts w:ascii="仿宋" w:eastAsia="仿宋" w:hint="eastAsia"/>
        </w:rPr>
        <w:t>般公共预算财政拨款项目支出决算表</w:t>
      </w:r>
      <w:bookmarkEnd w:id="146"/>
      <w:bookmarkEnd w:id="147"/>
      <w:bookmarkEnd w:id="148"/>
    </w:p>
    <w:p>
      <w:pPr>
        <w:pStyle w:val="2"/>
        <w:rPr>
          <w:rFonts w:ascii="仿宋" w:eastAsia="仿宋"/>
          <w:color w:val="000000"/>
        </w:rPr>
      </w:pPr>
      <w:bookmarkStart w:id="149" w:name="_Toc15396628"/>
      <w:bookmarkStart w:id="150" w:name="_Toc79163645"/>
      <w:bookmarkStart w:id="151" w:name="_Toc115081005"/>
      <w:r>
        <w:rPr>
          <w:rStyle w:val="2Char"/>
          <w:rFonts w:ascii="仿宋" w:eastAsia="仿宋" w:hint="eastAsia"/>
        </w:rPr>
        <w:t>十、</w:t>
      </w:r>
      <w:r>
        <w:rPr>
          <w:rFonts w:ascii="仿宋" w:eastAsia="仿宋" w:hint="eastAsia"/>
          <w:b w:val="0"/>
          <w:color w:val="000000"/>
        </w:rPr>
        <w:t>一</w:t>
      </w:r>
      <w:r>
        <w:rPr>
          <w:rStyle w:val="2Char"/>
          <w:rFonts w:ascii="仿宋" w:eastAsia="仿宋" w:hint="eastAsia"/>
        </w:rPr>
        <w:t>般公共预算财政拨款“三公”经费支出决算表</w:t>
      </w:r>
      <w:bookmarkEnd w:id="149"/>
      <w:bookmarkEnd w:id="150"/>
      <w:bookmarkEnd w:id="151"/>
    </w:p>
    <w:p>
      <w:pPr>
        <w:pStyle w:val="2"/>
        <w:rPr>
          <w:rFonts w:ascii="仿宋" w:eastAsia="仿宋"/>
          <w:color w:val="000000"/>
        </w:rPr>
      </w:pPr>
      <w:bookmarkStart w:id="152" w:name="_Toc15396629"/>
      <w:bookmarkStart w:id="153" w:name="_Toc79163646"/>
      <w:bookmarkStart w:id="154" w:name="_Toc115081006"/>
      <w:r>
        <w:rPr>
          <w:rStyle w:val="2Char"/>
          <w:rFonts w:ascii="仿宋" w:eastAsia="仿宋" w:hint="eastAsia"/>
        </w:rPr>
        <w:t>十一、</w:t>
      </w:r>
      <w:r>
        <w:rPr>
          <w:rFonts w:ascii="仿宋" w:eastAsia="仿宋" w:hint="eastAsia"/>
          <w:b w:val="0"/>
          <w:color w:val="000000"/>
        </w:rPr>
        <w:t>政</w:t>
      </w:r>
      <w:r>
        <w:rPr>
          <w:rStyle w:val="2Char"/>
          <w:rFonts w:ascii="仿宋" w:eastAsia="仿宋" w:hint="eastAsia"/>
        </w:rPr>
        <w:t>府性基金预算财政拨款收入支出决算表</w:t>
      </w:r>
      <w:bookmarkEnd w:id="152"/>
      <w:bookmarkEnd w:id="153"/>
      <w:bookmarkEnd w:id="154"/>
    </w:p>
    <w:p>
      <w:pPr>
        <w:pStyle w:val="2"/>
        <w:rPr>
          <w:rFonts w:ascii="仿宋" w:eastAsia="仿宋"/>
          <w:color w:val="000000"/>
        </w:rPr>
      </w:pPr>
      <w:bookmarkStart w:id="155" w:name="_Toc15396630"/>
      <w:bookmarkStart w:id="156" w:name="_Toc79163647"/>
      <w:bookmarkStart w:id="157" w:name="_Toc115081007"/>
      <w:r>
        <w:rPr>
          <w:rStyle w:val="2Char"/>
          <w:rFonts w:ascii="仿宋" w:eastAsia="仿宋" w:hint="eastAsia"/>
        </w:rPr>
        <w:t>十二、</w:t>
      </w:r>
      <w:r>
        <w:rPr>
          <w:rFonts w:ascii="仿宋" w:eastAsia="仿宋" w:hint="eastAsia"/>
          <w:b w:val="0"/>
          <w:color w:val="000000"/>
        </w:rPr>
        <w:t>政</w:t>
      </w:r>
      <w:r>
        <w:rPr>
          <w:rStyle w:val="2Char"/>
          <w:rFonts w:ascii="仿宋" w:eastAsia="仿宋" w:hint="eastAsia"/>
        </w:rPr>
        <w:t>府性基金预算财政拨款“三公”经费支出决算表</w:t>
      </w:r>
      <w:bookmarkEnd w:id="155"/>
      <w:bookmarkEnd w:id="156"/>
      <w:bookmarkEnd w:id="157"/>
    </w:p>
    <w:p>
      <w:pPr>
        <w:pStyle w:val="2"/>
        <w:rPr>
          <w:rStyle w:val="2Char"/>
          <w:rFonts w:ascii="仿宋" w:eastAsia="仿宋"/>
        </w:rPr>
      </w:pPr>
      <w:bookmarkStart w:id="158" w:name="_Toc15396631"/>
      <w:bookmarkStart w:id="159" w:name="_Toc79163648"/>
      <w:bookmarkStart w:id="160" w:name="_Toc115081008"/>
      <w:r>
        <w:rPr>
          <w:rStyle w:val="2Char"/>
          <w:rFonts w:ascii="仿宋" w:eastAsia="仿宋" w:hint="eastAsia"/>
        </w:rPr>
        <w:t>十三、</w:t>
      </w:r>
      <w:r>
        <w:rPr>
          <w:rFonts w:ascii="仿宋" w:eastAsia="仿宋" w:hint="eastAsia"/>
          <w:b w:val="0"/>
          <w:color w:val="000000"/>
        </w:rPr>
        <w:t>国</w:t>
      </w:r>
      <w:r>
        <w:rPr>
          <w:rStyle w:val="2Char"/>
          <w:rFonts w:ascii="仿宋" w:eastAsia="仿宋" w:hint="eastAsia"/>
        </w:rPr>
        <w:t>有资本经营预算财政拨款支出决算表</w:t>
      </w:r>
      <w:bookmarkEnd w:id="158"/>
      <w:bookmarkEnd w:id="159"/>
      <w:bookmarkEnd w:id="160"/>
    </w:p>
    <w:p>
      <w:pPr>
        <w:pStyle w:val="2"/>
        <w:rPr>
          <w:rStyle w:val="2Char"/>
          <w:rFonts w:ascii="仿宋" w:eastAsia="仿宋"/>
        </w:rPr>
      </w:pPr>
      <w:bookmarkStart w:id="161" w:name="_Toc79163649"/>
      <w:bookmarkStart w:id="162" w:name="_Toc115081009"/>
      <w:r>
        <w:rPr>
          <w:rStyle w:val="2Char"/>
          <w:rFonts w:ascii="仿宋" w:eastAsia="仿宋" w:hint="eastAsia"/>
        </w:rPr>
        <w:t>十四、国有资本经营预算财政拨款支出决算表</w:t>
      </w:r>
      <w:bookmarkEnd w:id="161"/>
      <w:bookmarkEnd w:id="162"/>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ial Unicode MS"/>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Arial">
    <w:altName w:val="DejaVu Sans"/>
    <w:panose1 w:val="020B0604020202020204"/>
    <w:charset w:val="00"/>
    <w:family w:val="auto"/>
    <w:pitch w:val="variable"/>
    <w:sig w:usb0="00007A87" w:usb1="80000000" w:usb2="00000008"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楷体_GB2312">
    <w:altName w:val="楷体"/>
    <w:panose1 w:val="00000000000000000000"/>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mbria">
    <w:altName w:val="DejaVu Sans"/>
    <w:panose1 w:val="02040503050406030204"/>
    <w:charset w:val="00"/>
    <w:family w:val="roman"/>
    <w:pitch w:val="variable"/>
    <w:sig w:usb0="E00006FF" w:usb1="420024FF" w:usb2="02000000" w:usb3="00000000" w:csb0="0000019F" w:csb1="00000000"/>
  </w:font>
  <w:font w:name="等线">
    <w:altName w:val="宋体"/>
    <w:panose1 w:val="02010600030101010101"/>
    <w:charset w:val="86"/>
    <w:family w:val="auto"/>
    <w:pitch w:val="variable"/>
    <w:sig w:usb0="A00002BF" w:usb1="38CF7CFA" w:usb2="00000016" w:usb3="00000000" w:csb0="0004000F" w:csb1="00000000"/>
  </w:font>
  <w:font w:name="Calibri">
    <w:altName w:val="Times New Roman"/>
    <w:panose1 w:val="020F0502020204030204"/>
    <w:charset w:val="00"/>
    <w:family w:val="swiss"/>
    <w:pitch w:val="variable"/>
    <w:sig w:usb0="E4002EFF" w:usb1="C000247B" w:usb2="00000009" w:usb3="00000000" w:csb0="000001FF" w:csb1="00000000"/>
  </w:font>
  <w:font w:name="等线 Light">
    <w:altName w:val="宋体"/>
    <w:panose1 w:val="02010600030101010101"/>
    <w:charset w:val="86"/>
    <w:family w:val="auto"/>
    <w:pitch w:val="variable"/>
    <w:sig w:usb0="A00002BF" w:usb1="38CF7CFA"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jc w:val="center"/>
    </w:pPr>
    <w:r>
      <w:fldChar w:fldCharType="begin"/>
    </w:r>
    <w:r>
      <w:instrText>PAGE   \* MERGEFORMAT</w:instrText>
    </w:r>
    <w:r>
      <w:fldChar w:fldCharType="separate"/>
    </w:r>
    <w:r>
      <w:rPr>
        <w:lang w:val="zh-CN"/>
      </w:rPr>
      <w:t>3</w:t>
    </w:r>
    <w:r>
      <w:fldChar w:fldCharType="end"/>
    </w:r>
  </w:p>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24"/>
      <w:szCs w:val="20"/>
    </w:rPr>
  </w:style>
  <w:style w:type="character" w:customStyle="1" w:styleId="16">
    <w:name w:val="Body Text Char"/>
    <w:basedOn w:val="10"/>
    <w:rPr>
      <w:rFonts w:ascii="Times New Roman" w:cs="Times New Roman" w:hAnsi="Times New Roman"/>
      <w:sz w:val="24"/>
      <w:szCs w:val="24"/>
    </w:rPr>
  </w:style>
  <w:style w:type="paragraph" w:styleId="17">
    <w:name w:val="toc 3"/>
    <w:basedOn w:val="0"/>
    <w:next w:val="0"/>
    <w:pPr>
      <w:ind w:left="420"/>
      <w:jc w:val="left"/>
    </w:pPr>
    <w:rPr>
      <w:rFonts w:ascii="等线" w:eastAsia="等线"/>
      <w:i/>
      <w:iCs/>
      <w:sz w:val="20"/>
      <w:szCs w:val="20"/>
    </w:r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20"/>
    </w:rPr>
  </w:style>
  <w:style w:type="character" w:customStyle="1" w:styleId="20">
    <w:name w:val="Footer Char"/>
    <w:basedOn w:val="10"/>
    <w:rPr>
      <w:rFonts w:ascii="Times New Roman" w:cs="Times New Roman" w:hAnsi="Times New Roman"/>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22">
    <w:name w:val="Header Char"/>
    <w:basedOn w:val="10"/>
    <w:rPr>
      <w:rFonts w:ascii="Times New Roman" w:cs="Times New Roman" w:hAnsi="Times New Roman"/>
      <w:sz w:val="18"/>
      <w:szCs w:val="18"/>
    </w:rPr>
  </w:style>
  <w:style w:type="paragraph" w:styleId="23">
    <w:name w:val="toc 1"/>
    <w:basedOn w:val="0"/>
    <w:next w:val="0"/>
    <w:pPr>
      <w:spacing w:before="120" w:after="120"/>
      <w:jc w:val="left"/>
    </w:pPr>
    <w:rPr>
      <w:rFonts w:ascii="等线" w:eastAsia="等线"/>
      <w:b/>
      <w:bCs/>
      <w:caps/>
      <w:smallCaps w:val="0"/>
      <w:sz w:val="20"/>
      <w:szCs w:val="20"/>
    </w:rPr>
  </w:style>
  <w:style w:type="paragraph" w:styleId="24">
    <w:name w:val="toc 2"/>
    <w:basedOn w:val="0"/>
    <w:next w:val="0"/>
    <w:pPr>
      <w:ind w:left="210"/>
      <w:jc w:val="left"/>
    </w:pPr>
    <w:rPr>
      <w:rFonts w:ascii="等线" w:eastAsia="等线"/>
      <w:caps w:val="0"/>
      <w:smallCaps/>
      <w:sz w:val="20"/>
      <w:szCs w:val="20"/>
    </w:rPr>
  </w:style>
  <w:style w:type="character" w:styleId="25">
    <w:name w:val="Strong"/>
    <w:basedOn w:val="10"/>
    <w:rPr>
      <w:rFonts w:cs="Times New Roman"/>
      <w:b/>
    </w:rPr>
  </w:style>
  <w:style w:type="character" w:styleId="26">
    <w:name w:val="Hyperlink"/>
    <w:basedOn w:val="10"/>
    <w:rPr>
      <w:rFonts w:cs="Times New Roman"/>
      <w:color w:val="0000FF"/>
      <w:u w:val="single"/>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8">
    <w:name w:val="列表段落1"/>
    <w:basedOn w:val="0"/>
    <w:pPr>
      <w:ind w:firstLineChars="200" w:firstLine="200"/>
    </w:pPr>
  </w:style>
  <w:style w:type="paragraph" w:customStyle="1" w:styleId="29">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styleId="31">
    <w:name w:val="toc 4"/>
    <w:basedOn w:val="0"/>
    <w:autoRedefine/>
    <w:next w:val="0"/>
    <w:pPr>
      <w:ind w:left="630"/>
      <w:jc w:val="left"/>
    </w:pPr>
    <w:rPr>
      <w:rFonts w:ascii="等线" w:eastAsia="等线"/>
      <w:sz w:val="18"/>
      <w:szCs w:val="18"/>
    </w:rPr>
  </w:style>
  <w:style w:type="paragraph" w:styleId="32">
    <w:name w:val="toc 5"/>
    <w:basedOn w:val="0"/>
    <w:autoRedefine/>
    <w:next w:val="0"/>
    <w:pPr>
      <w:ind w:left="840"/>
      <w:jc w:val="left"/>
    </w:pPr>
    <w:rPr>
      <w:rFonts w:ascii="等线" w:eastAsia="等线"/>
      <w:sz w:val="18"/>
      <w:szCs w:val="18"/>
    </w:rPr>
  </w:style>
  <w:style w:type="paragraph" w:styleId="33">
    <w:name w:val="toc 6"/>
    <w:basedOn w:val="0"/>
    <w:autoRedefine/>
    <w:next w:val="0"/>
    <w:pPr>
      <w:ind w:left="1050"/>
      <w:jc w:val="left"/>
    </w:pPr>
    <w:rPr>
      <w:rFonts w:ascii="等线" w:eastAsia="等线"/>
      <w:sz w:val="18"/>
      <w:szCs w:val="18"/>
    </w:rPr>
  </w:style>
  <w:style w:type="paragraph" w:styleId="34">
    <w:name w:val="toc 7"/>
    <w:basedOn w:val="0"/>
    <w:autoRedefine/>
    <w:next w:val="0"/>
    <w:pPr>
      <w:ind w:left="1260"/>
      <w:jc w:val="left"/>
    </w:pPr>
    <w:rPr>
      <w:rFonts w:ascii="等线" w:eastAsia="等线"/>
      <w:sz w:val="18"/>
      <w:szCs w:val="18"/>
    </w:rPr>
  </w:style>
  <w:style w:type="paragraph" w:styleId="35">
    <w:name w:val="toc 8"/>
    <w:basedOn w:val="0"/>
    <w:autoRedefine/>
    <w:next w:val="0"/>
    <w:pPr>
      <w:ind w:left="1470"/>
      <w:jc w:val="left"/>
    </w:pPr>
    <w:rPr>
      <w:rFonts w:ascii="等线" w:eastAsia="等线"/>
      <w:sz w:val="18"/>
      <w:szCs w:val="18"/>
    </w:rPr>
  </w:style>
  <w:style w:type="paragraph" w:styleId="36">
    <w:name w:val="toc 9"/>
    <w:basedOn w:val="0"/>
    <w:autoRedefine/>
    <w:next w:val="0"/>
    <w:pPr>
      <w:ind w:left="1680"/>
      <w:jc w:val="left"/>
    </w:pPr>
    <w:rPr>
      <w:rFonts w:ascii="等线" w:eastAsia="等线"/>
      <w:sz w:val="18"/>
      <w:szCs w:val="18"/>
    </w:rPr>
  </w:style>
  <w:style w:type="paragraph" w:styleId="37">
    <w:name w:val="TOC Heading"/>
    <w:basedOn w:val="1"/>
    <w:next w:val="0"/>
    <w:pPr>
      <w:keepNext/>
      <w:keepLines/>
      <w:widowControl/>
      <w:spacing w:before="240" w:after="0" w:line="259" w:lineRule="auto"/>
      <w:jc w:val="left"/>
      <w:outlineLvl w:val="9"/>
    </w:pPr>
    <w:rPr>
      <w:rFonts w:ascii="等线 Light" w:eastAsia="等线 Light"/>
      <w:b w:val="0"/>
      <w:bCs w:val="0"/>
      <w:color w:val="2F5496"/>
      <w:kern w:val="0"/>
      <w:sz w:val="32"/>
      <w:szCs w:val="32"/>
    </w:rPr>
  </w:style>
  <w:style w:type="paragraph" w:styleId="38">
    <w:name w:val="Normal (Web)"/>
    <w:basedOn w:val="0"/>
    <w:pPr>
      <w:widowControl/>
      <w:spacing w:before="100" w:beforeAutospacing="1" w:after="100" w:afterAutospacing="1"/>
      <w:jc w:val="left"/>
    </w:pPr>
    <w:rPr>
      <w:rFonts w:ascii="宋体" w:cs="宋体"/>
      <w:kern w:val="0"/>
      <w:sz w:val="24"/>
    </w:rPr>
  </w:style>
  <w:style w:type="paragraph" w:customStyle="1" w:styleId="39">
    <w:name w:val="p0"/>
    <w:basedOn w:val="0"/>
    <w:pPr>
      <w:widowControl/>
    </w:pPr>
    <w:rPr>
      <w:kern w:val="0"/>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image" Target="media/8.png"/><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46981"/>
          <c:y val="0.11666667"/>
          <c:w val="0.87753016"/>
          <c:h val="0.71243876"/>
        </c:manualLayout>
      </c:layout>
      <c:barChart>
        <c:barDir val="col"/>
        <c:grouping val="clustered"/>
        <c:varyColors val="0"/>
        <c:ser>
          <c:idx val="0"/>
          <c:order val="0"/>
          <c:tx>
            <c:strRef>
              <c:f>'一、收支总计柱图 '!$B$5</c:f>
              <c:strCache>
                <c:ptCount val="1"/>
                <c:pt idx="0">
                  <c:v>收支总计（万元）</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inEnd"/>
            <c:showLegendKey val="0"/>
            <c:showVal val="1"/>
            <c:showCatName val="0"/>
            <c:showSerName val="0"/>
            <c:showPercent val="0"/>
            <c:showBubbleSize val="0"/>
            <c:showLeaderLines val="0"/>
          </c:dLbls>
          <c:cat>
            <c:strRef>
              <c:f>'一、收支总计柱图 '!$C$4:$D$4</c:f>
              <c:strCache>
                <c:ptCount val="2"/>
                <c:pt idx="0">
                  <c:v>2020年</c:v>
                </c:pt>
                <c:pt idx="1">
                  <c:v>2021年</c:v>
                </c:pt>
              </c:strCache>
            </c:strRef>
          </c:cat>
          <c:val>
            <c:numRef>
              <c:f>'一、收支总计柱图 '!$C$7:$D$7</c:f>
              <c:numCache>
                <c:formatCode>General</c:formatCode>
                <c:ptCount val="2"/>
                <c:pt idx="0">
                  <c:v>350.23</c:v>
                </c:pt>
                <c:pt idx="1">
                  <c:v>418.43</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本年收入合计(万元)</a:t>
            </a:r>
          </a:p>
        </c:rich>
      </c:tx>
      <c:layout/>
      <c:overlay val="0"/>
      <c:spPr>
        <a:noFill/>
        <a:ln>
          <a:noFill/>
        </a:ln>
      </c:spPr>
    </c:title>
    <c:autoTitleDeleted val="1"/>
    <c:plotArea>
      <c:layout/>
      <c:pieChart>
        <c:varyColors val="1"/>
        <c:ser>
          <c:idx val="0"/>
          <c:order val="0"/>
          <c:spPr>
            <a:solidFill>
              <a:srgbClr val="4F81BD"/>
            </a:solidFill>
            <a:ln>
              <a:noFill/>
            </a:ln>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5B9BD5"/>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64478"/>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
              <c:idx val="1"/>
              <c:layout>
                <c:manualLayout>
                  <c:x val="-0.0055406424"/>
                  <c:y val="0.006806188"/>
                </c:manualLayout>
              </c:layout>
              <c:numFmt formatCode="0%"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0"/>
              <c:showBubbleSize val="0"/>
            </c:dLbl>
            <c:dLbl>
              <c:idx val="2"/>
              <c:numFmt formatCode="0%"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elete val="1"/>
            </c:dLbl>
            <c:dLbl>
              <c:idx val="3"/>
              <c:numFmt formatCode="0%"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elete val="1"/>
            </c:dLbl>
            <c:dLbl>
              <c:idx val="4"/>
              <c:numFmt formatCode="0%"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elete val="1"/>
            </c:dLbl>
            <c:dLbl>
              <c:idx val="5"/>
              <c:numFmt formatCode="0%"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elete val="1"/>
            </c:dLbl>
            <c:dLbl>
              <c:idx val="6"/>
              <c:numFmt formatCode="0%"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elete val="1"/>
            </c:dLbl>
            <c:dLbl>
              <c:idx val="7"/>
              <c:numFmt formatCode="0%"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elete val="1"/>
            </c:dLbl>
            <c:showLegendKey val="0"/>
            <c:showVal val="1"/>
            <c:showCatName val="0"/>
            <c:showSerName val="0"/>
            <c:showPercent val="0"/>
            <c:showBubbleSize val="0"/>
            <c:showLeaderLines val="1"/>
          </c:dLbls>
          <c:cat>
            <c:strLit>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Lit>
          </c:cat>
          <c:val>
            <c:numRef>
              <c:f/>
              <c:numCache>
                <c:formatCode>General</c:formatCode>
                <c:ptCount val="7"/>
                <c:pt idx="0">
                  <c:v>1.0</c:v>
                </c:pt>
                <c:pt idx="1">
                  <c:v>0.0</c:v>
                </c:pt>
                <c:pt idx="2">
                  <c:v>0.0</c:v>
                </c:pt>
                <c:pt idx="3">
                  <c:v>0.0</c:v>
                </c:pt>
                <c:pt idx="5">
                  <c:v>0.0</c:v>
                </c:pt>
                <c:pt idx="6">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本年支出合计</a:t>
            </a:r>
          </a:p>
        </c:rich>
      </c:tx>
      <c:layout/>
      <c:overlay val="0"/>
      <c:spPr>
        <a:noFill/>
        <a:ln>
          <a:noFill/>
        </a:ln>
      </c:spPr>
    </c:title>
    <c:autoTitleDeleted val="1"/>
    <c:plotArea>
      <c:layout/>
      <c:pieChart>
        <c:varyColors val="1"/>
        <c:ser>
          <c:idx val="0"/>
          <c:order val="0"/>
          <c:spPr>
            <a:solidFill>
              <a:srgbClr val="4F81BD"/>
            </a:solidFill>
          </c:spPr>
          <c:dPt>
            <c:idx val="0"/>
            <c:bubble3D val="0"/>
            <c:spPr>
              <a:solidFill>
                <a:srgbClr val="70AD47"/>
              </a:solidFill>
              <a:ln w="19050">
                <a:solidFill>
                  <a:srgbClr val="FFFFFF"/>
                </a:solidFill>
                <a:prstDash val="solid"/>
              </a:ln>
            </c:spPr>
          </c:dPt>
          <c:dPt>
            <c:idx val="1"/>
            <c:bubble3D val="0"/>
            <c:spPr>
              <a:solidFill>
                <a:srgbClr val="5B9BD5"/>
              </a:solidFill>
              <a:ln w="19050">
                <a:solidFill>
                  <a:srgbClr val="FFFFFF"/>
                </a:solidFill>
                <a:prstDash val="solid"/>
              </a:ln>
            </c:spPr>
          </c:dPt>
          <c:dPt>
            <c:idx val="2"/>
            <c:bubble3D val="0"/>
            <c:spPr>
              <a:solidFill>
                <a:srgbClr val="FFC000"/>
              </a:solidFill>
              <a:ln w="19050">
                <a:solidFill>
                  <a:srgbClr val="FFFFFF"/>
                </a:solidFill>
                <a:prstDash val="solid"/>
              </a:ln>
            </c:spPr>
          </c:dPt>
          <c:dPt>
            <c:idx val="3"/>
            <c:bubble3D val="0"/>
            <c:spPr>
              <a:solidFill>
                <a:srgbClr val="43682B"/>
              </a:solidFill>
              <a:ln w="19050">
                <a:solidFill>
                  <a:srgbClr val="FFFFFF"/>
                </a:solidFill>
                <a:prstDash val="solid"/>
              </a:ln>
            </c:spPr>
          </c:dPt>
          <c:dPt>
            <c:idx val="4"/>
            <c:bubble3D val="0"/>
            <c:spPr>
              <a:solidFill>
                <a:srgbClr val="255E91"/>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2"/>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elete val="1"/>
            </c:dLbl>
            <c:dLbl>
              <c:idx val="3"/>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elete val="1"/>
            </c:dLbl>
            <c:dLbl>
              <c:idx val="4"/>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elete val="1"/>
            </c:dLbl>
            <c:showLegendKey val="0"/>
            <c:showVal val="1"/>
            <c:showCatName val="0"/>
            <c:showSerName val="0"/>
            <c:showPercent val="0"/>
            <c:showBubbleSize val="0"/>
            <c:showLeaderLines val="1"/>
          </c:dLbls>
          <c:cat>
            <c:strRef>
              <c:f>'三、支出饼状图 (2)'!$A$5:$A$9</c:f>
              <c:strCache>
                <c:ptCount val="5"/>
                <c:pt idx="0">
                  <c:v>基本支出</c:v>
                </c:pt>
                <c:pt idx="1">
                  <c:v>项目支出</c:v>
                </c:pt>
                <c:pt idx="2">
                  <c:v>上缴上级支出</c:v>
                </c:pt>
                <c:pt idx="3">
                  <c:v>经营支出</c:v>
                </c:pt>
                <c:pt idx="4">
                  <c:v>对附属单位补助支出</c:v>
                </c:pt>
              </c:strCache>
            </c:strRef>
          </c:cat>
          <c:val>
            <c:numRef>
              <c:f>'三、支出饼状图 (2)'!$F$5:$F$9</c:f>
              <c:numCache>
                <c:formatCode>General</c:formatCode>
                <c:ptCount val="5"/>
                <c:pt idx="0">
                  <c:v>1.0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'四、财政拨款收支 (3)'!$B$6</c:f>
              <c:strCache>
                <c:ptCount val="1"/>
                <c:pt idx="0">
                  <c:v>财政拨款收支总计（万元）</c:v>
                </c:pt>
              </c:strCache>
            </c:strRef>
          </c:tx>
          <c:spPr>
            <a:solidFill>
              <a:srgbClr val="4472C4"/>
            </a:solidFill>
            <a:ln w="6350">
              <a:solidFill>
                <a:srgbClr val="00B0F0"/>
              </a:solidFill>
              <a:prstDash val="solid"/>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layout>
                <c:manualLayout>
                  <c:x val="-0.00625"/>
                  <c:y val="0.11111111"/>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LegendKey val="0"/>
              <c:showVal val="1"/>
              <c:showCatName val="0"/>
              <c:showSerName val="0"/>
              <c:showPercent val="0"/>
              <c:showBubbleSize val="0"/>
            </c:dLbl>
            <c:dLbl>
              <c:idx val="1"/>
              <c:layout>
                <c:manualLayout>
                  <c:x val="0.0"/>
                  <c:y val="0.10763889"/>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'四、财政拨款收支 (3)'!$C$3:$D$3</c:f>
              <c:strCache>
                <c:ptCount val="2"/>
                <c:pt idx="0">
                  <c:v>2020年</c:v>
                </c:pt>
                <c:pt idx="1">
                  <c:v>2021年</c:v>
                </c:pt>
              </c:strCache>
            </c:strRef>
          </c:cat>
          <c:val>
            <c:numRef>
              <c:f>'四、财政拨款收支 (3)'!$C$6:$D$6</c:f>
              <c:numCache>
                <c:formatCode>General</c:formatCode>
                <c:ptCount val="2"/>
                <c:pt idx="0">
                  <c:v>350.23</c:v>
                </c:pt>
                <c:pt idx="1">
                  <c:v>418.43</c:v>
                </c:pt>
              </c:numCache>
            </c:numRef>
          </c:val>
        </c:ser>
        <c:gapWidth val="150"/>
        <c:axId val="0"/>
        <c:axId val="1"/>
      </c:barChart>
      <c:catAx>
        <c:axId val="0"/>
        <c:scaling>
          <c:orientation val="minMax"/>
        </c:scaling>
        <c:delete val="0"/>
        <c:axPos val="b"/>
        <c:numFmt formatCode="General" sourceLinked="0"/>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out"/>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'五、一般公共预算财政支出 (4)'!$B$7</c:f>
              <c:strCache>
                <c:ptCount val="1"/>
                <c:pt idx="0">
                  <c:v>一般公共预算财政拨款支出（万元）</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layout>
                <c:manualLayout>
                  <c:x val="-0.004166667"/>
                  <c:y val="0.12847222"/>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LegendKey val="0"/>
              <c:showVal val="1"/>
              <c:showCatName val="0"/>
              <c:showSerName val="0"/>
              <c:showPercent val="0"/>
              <c:showBubbleSize val="0"/>
            </c:dLbl>
            <c:dLbl>
              <c:idx val="1"/>
              <c:layout>
                <c:manualLayout>
                  <c:x val="0.0"/>
                  <c:y val="0.125"/>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'五、一般公共预算财政支出 (4)'!$C$4:$D$4</c:f>
              <c:strCache>
                <c:ptCount val="2"/>
                <c:pt idx="0">
                  <c:v>2020年</c:v>
                </c:pt>
                <c:pt idx="1">
                  <c:v>2021年</c:v>
                </c:pt>
              </c:strCache>
            </c:strRef>
          </c:cat>
          <c:val>
            <c:numRef>
              <c:f>'五、一般公共预算财政支出 (4)'!$C$7:$D$7</c:f>
              <c:numCache>
                <c:formatCode>General</c:formatCode>
                <c:ptCount val="2"/>
                <c:pt idx="0">
                  <c:v>350.24</c:v>
                </c:pt>
                <c:pt idx="1">
                  <c:v>418.43</c:v>
                </c:pt>
              </c:numCache>
            </c:numRef>
          </c:val>
        </c:ser>
        <c:gapWidth val="150"/>
        <c:axId val="0"/>
        <c:axId val="1"/>
      </c:barChart>
      <c:catAx>
        <c:axId val="0"/>
        <c:scaling>
          <c:orientation val="minMax"/>
        </c:scaling>
        <c:delete val="0"/>
        <c:axPos val="b"/>
        <c:numFmt formatCode="General" sourceLinked="0"/>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out"/>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a:t>
            </a:r>
          </a:p>
        </c:rich>
      </c:tx>
      <c:layout/>
      <c:overlay val="0"/>
      <c:spPr>
        <a:noFill/>
        <a:ln>
          <a:noFill/>
        </a:ln>
      </c:spPr>
    </c:title>
    <c:autoTitleDeleted val="1"/>
    <c:plotArea>
      <c:layout/>
      <c:pieChart>
        <c:varyColors val="1"/>
        <c:ser>
          <c:idx val="0"/>
          <c:order val="0"/>
          <c:spPr>
            <a:solidFill>
              <a:srgbClr val="4F81BD"/>
            </a:solidFill>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00%" sourceLinked="1"/>
            <c:dLbl>
              <c:idx val="1"/>
              <c:layout>
                <c:manualLayout>
                  <c:x val="0.03541317"/>
                  <c:y val="0.035311315"/>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0"/>
              <c:showBubbleSize val="0"/>
            </c:dLbl>
            <c:dLbl>
              <c:idx val="3"/>
              <c:layout>
                <c:manualLayout>
                  <c:x val="-0.0745888"/>
                  <c:y val="0.01638014"/>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'六、财政拨款饼状图 (5)'!$A$5:$A$8</c:f>
              <c:strCache>
                <c:ptCount val="4"/>
                <c:pt idx="0">
                  <c:v>社会保障和就业支出</c:v>
                </c:pt>
                <c:pt idx="1">
                  <c:v>卫生健康支出</c:v>
                </c:pt>
                <c:pt idx="2">
                  <c:v>农林水支出</c:v>
                </c:pt>
                <c:pt idx="3">
                  <c:v>住房保障支出</c:v>
                </c:pt>
              </c:strCache>
            </c:strRef>
          </c:cat>
          <c:val>
            <c:numRef>
              <c:f>'六、财政拨款饼状图 (5)'!$F$5:$F$8</c:f>
              <c:numCache>
                <c:formatCode>0.00%</c:formatCode>
                <c:ptCount val="4"/>
                <c:pt idx="0">
                  <c:v>0.10998255383218221</c:v>
                </c:pt>
                <c:pt idx="1">
                  <c:v>0.05341395215448223</c:v>
                </c:pt>
                <c:pt idx="2">
                  <c:v>0.7594818727146716</c:v>
                </c:pt>
                <c:pt idx="3">
                  <c:v>0.07712162129866405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582</TotalTime>
  <Application>Yozo_Office27021597764231179</Application>
  <Pages>25</Pages>
  <Words>8086</Words>
  <Characters>8603</Characters>
  <Lines>506</Lines>
  <Paragraphs>217</Paragraphs>
  <CharactersWithSpaces>8673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361</cp:revision>
  <cp:lastPrinted>2022-09-26T02:52:00Z</cp:lastPrinted>
  <dcterms:created xsi:type="dcterms:W3CDTF">2021-08-06T09:38:00Z</dcterms:created>
  <dcterms:modified xsi:type="dcterms:W3CDTF">2026-09-02T08:03:58Z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2052-11.8.2.8361</vt:lpwstr>
  </property>
</Properties>
</file>