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172" w:name="_GoBack"/>
      <w:bookmarkEnd w:id="172"/>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ind w:firstLine="220" w:firstLineChars="50"/>
        <w:jc w:val="center"/>
        <w:rPr>
          <w:rFonts w:ascii="方正小标宋简体" w:eastAsia="方正小标宋简体"/>
          <w:sz w:val="44"/>
          <w:szCs w:val="44"/>
        </w:rPr>
      </w:pPr>
      <w:bookmarkStart w:id="1" w:name="_Toc15396475"/>
      <w:bookmarkStart w:id="2" w:name="_Toc15396597"/>
      <w:bookmarkStart w:id="3" w:name="_Toc15377193"/>
      <w:bookmarkStart w:id="4" w:name="_Toc15377425"/>
      <w:bookmarkStart w:id="5" w:name="_Toc15378441"/>
      <w:r>
        <w:rPr>
          <w:rFonts w:hint="eastAsia" w:ascii="方正小标宋简体" w:eastAsia="方正小标宋简体"/>
          <w:sz w:val="44"/>
          <w:szCs w:val="44"/>
        </w:rPr>
        <w:t>2021年度</w:t>
      </w:r>
      <w:bookmarkEnd w:id="1"/>
      <w:bookmarkEnd w:id="2"/>
      <w:bookmarkEnd w:id="3"/>
      <w:bookmarkEnd w:id="4"/>
      <w:bookmarkEnd w:id="5"/>
      <w:bookmarkStart w:id="6" w:name="_Toc15377426"/>
      <w:bookmarkStart w:id="7" w:name="_Toc15396598"/>
      <w:bookmarkStart w:id="8" w:name="_Toc15396476"/>
      <w:bookmarkStart w:id="9" w:name="_Toc15378442"/>
      <w:bookmarkStart w:id="10" w:name="_Toc15377194"/>
      <w:r>
        <w:rPr>
          <w:rFonts w:hint="eastAsia" w:ascii="方正小标宋简体" w:eastAsia="方正小标宋简体"/>
          <w:sz w:val="44"/>
          <w:szCs w:val="44"/>
        </w:rPr>
        <w:t>四川省阿坝州</w:t>
      </w:r>
    </w:p>
    <w:p>
      <w:pPr>
        <w:jc w:val="center"/>
        <w:rPr>
          <w:rFonts w:ascii="方正小标宋简体" w:eastAsia="方正小标宋简体"/>
          <w:sz w:val="44"/>
          <w:szCs w:val="44"/>
        </w:rPr>
      </w:pPr>
      <w:r>
        <w:rPr>
          <w:rFonts w:hint="eastAsia" w:ascii="方正小标宋简体" w:eastAsia="方正小标宋简体"/>
          <w:sz w:val="44"/>
          <w:szCs w:val="44"/>
        </w:rPr>
        <w:t>茂县</w:t>
      </w:r>
      <w:bookmarkEnd w:id="0"/>
      <w:bookmarkStart w:id="11" w:name="_Toc15306268"/>
      <w:r>
        <w:rPr>
          <w:rFonts w:hint="eastAsia" w:ascii="方正小标宋简体" w:eastAsia="方正小标宋简体"/>
          <w:sz w:val="44"/>
          <w:szCs w:val="44"/>
        </w:rPr>
        <w:t>畜牧兽医服务中心(本级</w:t>
      </w:r>
      <w:r>
        <w:rPr>
          <w:rFonts w:ascii="方正小标宋简体" w:eastAsia="方正小标宋简体"/>
          <w:sz w:val="44"/>
          <w:szCs w:val="44"/>
        </w:rPr>
        <w:t>)</w:t>
      </w:r>
      <w:r>
        <w:rPr>
          <w:rFonts w:hint="eastAsia" w:ascii="方正小标宋简体" w:eastAsia="方正小标宋简体"/>
          <w:sz w:val="44"/>
          <w:szCs w:val="44"/>
        </w:rPr>
        <w:t>单位决算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r>
        <w:rPr>
          <w:rFonts w:ascii="宋体"/>
          <w:sz w:val="32"/>
          <w:szCs w:val="32"/>
        </w:rPr>
        <w:t xml:space="preserve"> </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rFonts w:ascii="仿宋_GB2312" w:eastAsia="仿宋_GB2312"/>
          <w:b w:val="0"/>
          <w:bCs w:val="0"/>
          <w:sz w:val="28"/>
          <w:szCs w:val="28"/>
        </w:rPr>
      </w:pPr>
      <w:r>
        <w:rPr>
          <w:rFonts w:hint="eastAsia" w:ascii="仿宋_GB2312" w:eastAsia="仿宋_GB2312"/>
          <w:b w:val="0"/>
          <w:bCs w:val="0"/>
          <w:sz w:val="28"/>
          <w:szCs w:val="28"/>
        </w:rPr>
        <w:t>公开时间：2022年9月27日</w:t>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TOC \o \u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sz w:val="32"/>
          <w:szCs w:val="32"/>
        </w:rPr>
        <w:t>第一部分 部门概况</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_Toc115081027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1</w:t>
      </w:r>
      <w:r>
        <w:rPr>
          <w:rFonts w:hint="eastAsia" w:ascii="仿宋_GB2312" w:eastAsia="仿宋_GB2312"/>
          <w:b w:val="0"/>
          <w:b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一、基</w:t>
      </w:r>
      <w:r>
        <w:rPr>
          <w:rFonts w:hint="eastAsia" w:ascii="仿宋_GB2312" w:eastAsia="仿宋_GB2312"/>
          <w:sz w:val="32"/>
          <w:szCs w:val="32"/>
        </w:rPr>
        <w:t>本职能及主要工作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_Toc115081028 \h </w:instrText>
      </w:r>
      <w:r>
        <w:rPr>
          <w:rFonts w:hint="eastAsia" w:ascii="仿宋_GB2312" w:eastAsia="仿宋_GB2312"/>
          <w:sz w:val="32"/>
          <w:szCs w:val="32"/>
        </w:rPr>
        <w:fldChar w:fldCharType="separate"/>
      </w:r>
      <w:r>
        <w:rPr>
          <w:rFonts w:ascii="仿宋_GB2312" w:eastAsia="仿宋_GB2312"/>
          <w:sz w:val="32"/>
          <w:szCs w:val="32"/>
        </w:rPr>
        <w:t>1</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（一）主要职能</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_Toc115081029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（二）2021年重点工作完成情况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_Toc115081030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2</w:t>
      </w:r>
      <w:r>
        <w:rPr>
          <w:rFonts w:hint="eastAsia" w:ascii="仿宋_GB2312" w:eastAsia="仿宋_GB2312"/>
          <w:i w:val="0"/>
          <w:i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二、机</w:t>
      </w:r>
      <w:r>
        <w:rPr>
          <w:rFonts w:hint="eastAsia" w:ascii="仿宋_GB2312" w:eastAsia="仿宋_GB2312"/>
          <w:sz w:val="32"/>
          <w:szCs w:val="32"/>
        </w:rPr>
        <w:t>构设置</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_Toc115081031 \h </w:instrText>
      </w:r>
      <w:r>
        <w:rPr>
          <w:rFonts w:hint="eastAsia" w:ascii="仿宋_GB2312" w:eastAsia="仿宋_GB2312"/>
          <w:sz w:val="32"/>
          <w:szCs w:val="32"/>
        </w:rPr>
        <w:fldChar w:fldCharType="separate"/>
      </w:r>
      <w:r>
        <w:rPr>
          <w:rFonts w:ascii="仿宋_GB2312" w:eastAsia="仿宋_GB2312"/>
          <w:sz w:val="32"/>
          <w:szCs w:val="32"/>
        </w:rPr>
        <w:t>2</w:t>
      </w:r>
      <w:r>
        <w:rPr>
          <w:rFonts w:hint="eastAsia" w:ascii="仿宋_GB2312" w:eastAsia="仿宋_GB2312"/>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olor w:val="000000"/>
          <w:sz w:val="32"/>
          <w:szCs w:val="32"/>
        </w:rPr>
        <w:t xml:space="preserve">第二部分 </w:t>
      </w:r>
      <w:r>
        <w:rPr>
          <w:rFonts w:hint="eastAsia" w:ascii="仿宋_GB2312" w:eastAsia="仿宋_GB2312"/>
          <w:b w:val="0"/>
          <w:bCs w:val="0"/>
          <w:sz w:val="32"/>
          <w:szCs w:val="32"/>
        </w:rPr>
        <w:t>2021年度部门决算情况说明</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_Toc115081032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w:t>
      </w:r>
      <w:r>
        <w:rPr>
          <w:rFonts w:hint="eastAsia" w:ascii="仿宋_GB2312" w:eastAsia="仿宋_GB2312"/>
          <w:b w:val="0"/>
          <w:bCs w:val="0"/>
          <w:sz w:val="32"/>
          <w:szCs w:val="32"/>
        </w:rPr>
        <w:fldChar w:fldCharType="end"/>
      </w:r>
    </w:p>
    <w:p>
      <w:pPr>
        <w:pStyle w:val="16"/>
        <w:tabs>
          <w:tab w:val="left" w:pos="840"/>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一、</w:t>
      </w:r>
      <w:r>
        <w:rPr>
          <w:rFonts w:hint="eastAsia" w:ascii="仿宋_GB2312" w:eastAsia="仿宋_GB2312"/>
          <w:color w:val="000000"/>
          <w:sz w:val="32"/>
          <w:szCs w:val="32"/>
        </w:rPr>
        <w:t>收</w:t>
      </w:r>
      <w:r>
        <w:rPr>
          <w:rFonts w:hint="eastAsia" w:ascii="仿宋_GB2312" w:hAnsi="Cambria" w:eastAsia="仿宋_GB2312"/>
          <w:sz w:val="32"/>
          <w:szCs w:val="32"/>
        </w:rPr>
        <w:t>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_Toc115081033 \h </w:instrText>
      </w:r>
      <w:r>
        <w:rPr>
          <w:rFonts w:hint="eastAsia" w:ascii="仿宋_GB2312" w:eastAsia="仿宋_GB2312"/>
          <w:sz w:val="32"/>
          <w:szCs w:val="32"/>
        </w:rPr>
        <w:fldChar w:fldCharType="separate"/>
      </w:r>
      <w:r>
        <w:rPr>
          <w:rFonts w:ascii="仿宋_GB2312" w:eastAsia="仿宋_GB2312"/>
          <w:sz w:val="32"/>
          <w:szCs w:val="32"/>
        </w:rPr>
        <w:t>3</w:t>
      </w:r>
      <w:r>
        <w:rPr>
          <w:rFonts w:hint="eastAsia" w:ascii="仿宋_GB2312" w:eastAsia="仿宋_GB2312"/>
          <w:sz w:val="32"/>
          <w:szCs w:val="32"/>
        </w:rPr>
        <w:fldChar w:fldCharType="end"/>
      </w:r>
    </w:p>
    <w:p>
      <w:pPr>
        <w:pStyle w:val="16"/>
        <w:tabs>
          <w:tab w:val="left" w:pos="840"/>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二、</w:t>
      </w:r>
      <w:r>
        <w:rPr>
          <w:rFonts w:hint="eastAsia" w:ascii="仿宋_GB2312" w:eastAsia="仿宋_GB2312"/>
          <w:color w:val="000000"/>
          <w:sz w:val="32"/>
          <w:szCs w:val="32"/>
        </w:rPr>
        <w:t>收</w:t>
      </w:r>
      <w:r>
        <w:rPr>
          <w:rFonts w:hint="eastAsia" w:ascii="仿宋_GB2312" w:hAnsi="Cambria" w:eastAsia="仿宋_GB2312"/>
          <w:sz w:val="32"/>
          <w:szCs w:val="32"/>
        </w:rPr>
        <w:t>入决算情况说明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_Toc115081034 \h </w:instrText>
      </w:r>
      <w:r>
        <w:rPr>
          <w:rFonts w:hint="eastAsia" w:ascii="仿宋_GB2312" w:eastAsia="仿宋_GB2312"/>
          <w:sz w:val="32"/>
          <w:szCs w:val="32"/>
        </w:rPr>
        <w:fldChar w:fldCharType="separate"/>
      </w:r>
      <w:r>
        <w:rPr>
          <w:rFonts w:ascii="仿宋_GB2312" w:eastAsia="仿宋_GB2312"/>
          <w:sz w:val="32"/>
          <w:szCs w:val="32"/>
        </w:rPr>
        <w:t>3</w:t>
      </w:r>
      <w:r>
        <w:rPr>
          <w:rFonts w:hint="eastAsia" w:ascii="仿宋_GB2312" w:eastAsia="仿宋_GB2312"/>
          <w:sz w:val="32"/>
          <w:szCs w:val="32"/>
        </w:rPr>
        <w:fldChar w:fldCharType="end"/>
      </w:r>
    </w:p>
    <w:p>
      <w:pPr>
        <w:pStyle w:val="16"/>
        <w:tabs>
          <w:tab w:val="left" w:pos="840"/>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三、</w:t>
      </w:r>
      <w:r>
        <w:rPr>
          <w:rFonts w:hint="eastAsia" w:ascii="仿宋_GB2312" w:eastAsia="仿宋_GB2312"/>
          <w:color w:val="000000"/>
          <w:sz w:val="32"/>
          <w:szCs w:val="32"/>
        </w:rPr>
        <w:t>支</w:t>
      </w:r>
      <w:r>
        <w:rPr>
          <w:rFonts w:hint="eastAsia" w:ascii="仿宋_GB2312" w:hAnsi="Cambria" w:eastAsia="仿宋_GB2312"/>
          <w:sz w:val="32"/>
          <w:szCs w:val="32"/>
        </w:rPr>
        <w:t>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_Toc115081035 \h </w:instrText>
      </w:r>
      <w:r>
        <w:rPr>
          <w:rFonts w:hint="eastAsia" w:ascii="仿宋_GB2312" w:eastAsia="仿宋_GB2312"/>
          <w:sz w:val="32"/>
          <w:szCs w:val="32"/>
        </w:rPr>
        <w:fldChar w:fldCharType="separate"/>
      </w:r>
      <w:r>
        <w:rPr>
          <w:rFonts w:ascii="仿宋_GB2312" w:eastAsia="仿宋_GB2312"/>
          <w:sz w:val="32"/>
          <w:szCs w:val="32"/>
        </w:rPr>
        <w:t>4</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四、财</w:t>
      </w:r>
      <w:r>
        <w:rPr>
          <w:rFonts w:hint="eastAsia" w:ascii="仿宋_GB2312" w:hAnsi="Cambria" w:eastAsia="仿宋_GB2312"/>
          <w:sz w:val="32"/>
          <w:szCs w:val="32"/>
        </w:rPr>
        <w:t>政拨款收入支出决算总体情况说明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_Toc115081036 \h </w:instrText>
      </w:r>
      <w:r>
        <w:rPr>
          <w:rFonts w:hint="eastAsia" w:ascii="仿宋_GB2312" w:eastAsia="仿宋_GB2312"/>
          <w:sz w:val="32"/>
          <w:szCs w:val="32"/>
        </w:rPr>
        <w:fldChar w:fldCharType="separate"/>
      </w:r>
      <w:r>
        <w:rPr>
          <w:rFonts w:ascii="仿宋_GB2312" w:eastAsia="仿宋_GB2312"/>
          <w:sz w:val="32"/>
          <w:szCs w:val="32"/>
        </w:rPr>
        <w:t>5</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五、一</w:t>
      </w:r>
      <w:r>
        <w:rPr>
          <w:rFonts w:hint="eastAsia" w:ascii="仿宋_GB2312" w:hAnsi="Cambria" w:eastAsia="仿宋_GB2312"/>
          <w:sz w:val="32"/>
          <w:szCs w:val="32"/>
        </w:rPr>
        <w:t>般公共预算财政拨款支出决算情况说明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_Toc115081037 \h </w:instrText>
      </w:r>
      <w:r>
        <w:rPr>
          <w:rFonts w:hint="eastAsia" w:ascii="仿宋_GB2312" w:eastAsia="仿宋_GB2312"/>
          <w:sz w:val="32"/>
          <w:szCs w:val="32"/>
        </w:rPr>
        <w:fldChar w:fldCharType="separate"/>
      </w:r>
      <w:r>
        <w:rPr>
          <w:rFonts w:ascii="仿宋_GB2312" w:eastAsia="仿宋_GB2312"/>
          <w:sz w:val="32"/>
          <w:szCs w:val="32"/>
        </w:rPr>
        <w:t>5</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（一）一般公共预算财政拨款支出决算总体情况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_Toc115081038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5</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（二）一般公共预算财政拨款支出决算结构情况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_Toc115081039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6</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（三）一般公共预算财政拨款支出决算具体情况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_Toc115081040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7</w:t>
      </w:r>
      <w:r>
        <w:rPr>
          <w:rFonts w:hint="eastAsia" w:ascii="仿宋_GB2312" w:eastAsia="仿宋_GB2312"/>
          <w:i w:val="0"/>
          <w:i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六、一</w:t>
      </w:r>
      <w:r>
        <w:rPr>
          <w:rFonts w:hint="eastAsia" w:ascii="仿宋_GB2312" w:hAnsi="Cambria" w:eastAsia="仿宋_GB2312"/>
          <w:sz w:val="32"/>
          <w:szCs w:val="32"/>
        </w:rPr>
        <w:t>般公共预算财政拨款基本支出决算情况说明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_Toc115081041 \h </w:instrText>
      </w:r>
      <w:r>
        <w:rPr>
          <w:rFonts w:hint="eastAsia" w:ascii="仿宋_GB2312" w:eastAsia="仿宋_GB2312"/>
          <w:sz w:val="32"/>
          <w:szCs w:val="32"/>
        </w:rPr>
        <w:fldChar w:fldCharType="separate"/>
      </w:r>
      <w:r>
        <w:rPr>
          <w:rFonts w:ascii="仿宋_GB2312" w:eastAsia="仿宋_GB2312"/>
          <w:sz w:val="32"/>
          <w:szCs w:val="32"/>
        </w:rPr>
        <w:t>8</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七、</w:t>
      </w:r>
      <w:r>
        <w:rPr>
          <w:rFonts w:hint="eastAsia" w:ascii="仿宋_GB2312" w:hAnsi="Cambria" w:eastAsia="仿宋_GB2312"/>
          <w:sz w:val="32"/>
          <w:szCs w:val="32"/>
        </w:rPr>
        <w:t>“三公”经费财政拨款支出决算情况说明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_Toc115081042 \h </w:instrText>
      </w:r>
      <w:r>
        <w:rPr>
          <w:rFonts w:hint="eastAsia" w:ascii="仿宋_GB2312" w:eastAsia="仿宋_GB2312"/>
          <w:sz w:val="32"/>
          <w:szCs w:val="32"/>
        </w:rPr>
        <w:fldChar w:fldCharType="separate"/>
      </w:r>
      <w:r>
        <w:rPr>
          <w:rFonts w:ascii="仿宋_GB2312" w:eastAsia="仿宋_GB2312"/>
          <w:sz w:val="32"/>
          <w:szCs w:val="32"/>
        </w:rPr>
        <w:t>8</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（一）“三公”经费财政拨款支出决算总体情况说明</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_Toc115081043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8</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（二）“三公”经费财政拨款支出决算具体情况说明</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_Toc115081044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9</w:t>
      </w:r>
      <w:r>
        <w:rPr>
          <w:rFonts w:hint="eastAsia" w:ascii="仿宋_GB2312" w:eastAsia="仿宋_GB2312"/>
          <w:i w:val="0"/>
          <w:i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八、</w:t>
      </w:r>
      <w:r>
        <w:rPr>
          <w:rFonts w:hint="eastAsia" w:ascii="仿宋_GB2312" w:hAnsi="Cambria" w:eastAsia="仿宋_GB2312"/>
          <w:sz w:val="32"/>
          <w:szCs w:val="32"/>
        </w:rPr>
        <w:t>政府性基金预算支出决算情况说明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_Toc115081045 \h </w:instrText>
      </w:r>
      <w:r>
        <w:rPr>
          <w:rFonts w:hint="eastAsia" w:ascii="仿宋_GB2312" w:eastAsia="仿宋_GB2312"/>
          <w:sz w:val="32"/>
          <w:szCs w:val="32"/>
        </w:rPr>
        <w:fldChar w:fldCharType="separate"/>
      </w:r>
      <w:r>
        <w:rPr>
          <w:rFonts w:ascii="仿宋_GB2312" w:eastAsia="仿宋_GB2312"/>
          <w:sz w:val="32"/>
          <w:szCs w:val="32"/>
        </w:rPr>
        <w:t>10</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hAnsi="Cambria" w:eastAsia="仿宋_GB2312"/>
          <w:sz w:val="32"/>
          <w:szCs w:val="32"/>
        </w:rPr>
        <w:t>九、 国有资本经营预算支出决算情况说明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_Toc115081046 \h </w:instrText>
      </w:r>
      <w:r>
        <w:rPr>
          <w:rFonts w:hint="eastAsia" w:ascii="仿宋_GB2312" w:eastAsia="仿宋_GB2312"/>
          <w:sz w:val="32"/>
          <w:szCs w:val="32"/>
        </w:rPr>
        <w:fldChar w:fldCharType="separate"/>
      </w:r>
      <w:r>
        <w:rPr>
          <w:rFonts w:ascii="仿宋_GB2312" w:eastAsia="仿宋_GB2312"/>
          <w:sz w:val="32"/>
          <w:szCs w:val="32"/>
        </w:rPr>
        <w:t>10</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十</w:t>
      </w:r>
      <w:r>
        <w:rPr>
          <w:rFonts w:hint="eastAsia" w:ascii="仿宋_GB2312" w:hAnsi="Cambria" w:eastAsia="仿宋_GB2312"/>
          <w:sz w:val="32"/>
          <w:szCs w:val="32"/>
        </w:rPr>
        <w:t>、其他重要事项的情况说明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_Toc115081047 \h </w:instrText>
      </w:r>
      <w:r>
        <w:rPr>
          <w:rFonts w:hint="eastAsia" w:ascii="仿宋_GB2312" w:eastAsia="仿宋_GB2312"/>
          <w:sz w:val="32"/>
          <w:szCs w:val="32"/>
        </w:rPr>
        <w:fldChar w:fldCharType="separate"/>
      </w:r>
      <w:r>
        <w:rPr>
          <w:rFonts w:ascii="仿宋_GB2312" w:eastAsia="仿宋_GB2312"/>
          <w:sz w:val="32"/>
          <w:szCs w:val="32"/>
        </w:rPr>
        <w:t>11</w:t>
      </w:r>
      <w:r>
        <w:rPr>
          <w:rFonts w:hint="eastAsia" w:ascii="仿宋_GB2312" w:eastAsia="仿宋_GB2312"/>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（一）机关运行经费支出情况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_Toc115081048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（二）政府采购支出情况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_Toc115081049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（三）国有资产占有使用情况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_Toc115081050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8"/>
        <w:tabs>
          <w:tab w:val="right" w:leader="dot" w:pos="8296"/>
        </w:tabs>
        <w:rPr>
          <w:rFonts w:ascii="仿宋_GB2312" w:eastAsia="仿宋_GB2312" w:hAnsiTheme="minorHAnsi" w:cstheme="minorBidi"/>
          <w:i w:val="0"/>
          <w:iCs w:val="0"/>
          <w:sz w:val="32"/>
          <w:szCs w:val="32"/>
        </w:rPr>
      </w:pPr>
      <w:r>
        <w:rPr>
          <w:rFonts w:hint="eastAsia" w:ascii="仿宋_GB2312" w:eastAsia="仿宋_GB2312"/>
          <w:i w:val="0"/>
          <w:iCs w:val="0"/>
          <w:color w:val="000000"/>
          <w:sz w:val="32"/>
          <w:szCs w:val="32"/>
        </w:rPr>
        <w:t>（四）预算绩效管理情况</w:t>
      </w:r>
      <w:r>
        <w:rPr>
          <w:rFonts w:hint="eastAsia" w:ascii="仿宋_GB2312" w:eastAsia="仿宋_GB2312"/>
          <w:i w:val="0"/>
          <w:iCs w:val="0"/>
          <w:sz w:val="32"/>
          <w:szCs w:val="32"/>
        </w:rPr>
        <w:tab/>
      </w:r>
      <w:r>
        <w:rPr>
          <w:rFonts w:hint="eastAsia" w:ascii="仿宋_GB2312" w:eastAsia="仿宋_GB2312"/>
          <w:i w:val="0"/>
          <w:iCs w:val="0"/>
          <w:sz w:val="32"/>
          <w:szCs w:val="32"/>
        </w:rPr>
        <w:fldChar w:fldCharType="begin"/>
      </w:r>
      <w:r>
        <w:rPr>
          <w:rFonts w:hint="eastAsia" w:ascii="仿宋_GB2312" w:eastAsia="仿宋_GB2312"/>
          <w:i w:val="0"/>
          <w:iCs w:val="0"/>
          <w:sz w:val="32"/>
          <w:szCs w:val="32"/>
        </w:rPr>
        <w:instrText xml:space="preserve"> PAGEREF _Toc115081051 \h </w:instrText>
      </w:r>
      <w:r>
        <w:rPr>
          <w:rFonts w:hint="eastAsia" w:ascii="仿宋_GB2312" w:eastAsia="仿宋_GB2312"/>
          <w:i w:val="0"/>
          <w:iCs w:val="0"/>
          <w:sz w:val="32"/>
          <w:szCs w:val="32"/>
        </w:rPr>
        <w:fldChar w:fldCharType="separate"/>
      </w:r>
      <w:r>
        <w:rPr>
          <w:rFonts w:ascii="仿宋_GB2312" w:eastAsia="仿宋_GB2312"/>
          <w:i w:val="0"/>
          <w:iCs w:val="0"/>
          <w:sz w:val="32"/>
          <w:szCs w:val="32"/>
        </w:rPr>
        <w:t>11</w:t>
      </w:r>
      <w:r>
        <w:rPr>
          <w:rFonts w:hint="eastAsia" w:ascii="仿宋_GB2312" w:eastAsia="仿宋_GB2312"/>
          <w:i w:val="0"/>
          <w:i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kern w:val="44"/>
          <w:sz w:val="32"/>
          <w:szCs w:val="32"/>
        </w:rPr>
        <w:t>第三部分</w:t>
      </w:r>
      <w:r>
        <w:rPr>
          <w:rFonts w:hint="eastAsia" w:ascii="仿宋_GB2312" w:eastAsia="仿宋_GB2312"/>
          <w:b w:val="0"/>
          <w:bCs w:val="0"/>
          <w:color w:val="000000"/>
          <w:sz w:val="32"/>
          <w:szCs w:val="32"/>
        </w:rPr>
        <w:t xml:space="preserve"> 名</w:t>
      </w:r>
      <w:r>
        <w:rPr>
          <w:rFonts w:hint="eastAsia" w:ascii="仿宋_GB2312" w:eastAsia="仿宋_GB2312"/>
          <w:b w:val="0"/>
          <w:bCs w:val="0"/>
          <w:kern w:val="44"/>
          <w:sz w:val="32"/>
          <w:szCs w:val="32"/>
        </w:rPr>
        <w:t>词解释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_Toc115081052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17</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olor w:val="000000"/>
          <w:sz w:val="32"/>
          <w:szCs w:val="32"/>
        </w:rPr>
        <w:t>第</w:t>
      </w:r>
      <w:r>
        <w:rPr>
          <w:rFonts w:hint="eastAsia" w:ascii="仿宋_GB2312" w:eastAsia="仿宋_GB2312"/>
          <w:b w:val="0"/>
          <w:bCs w:val="0"/>
          <w:kern w:val="44"/>
          <w:sz w:val="32"/>
          <w:szCs w:val="32"/>
        </w:rPr>
        <w:t>四部分 附件</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_Toc115081053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附件1</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_Toc115081054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28"/>
          <w:szCs w:val="28"/>
        </w:rPr>
      </w:pPr>
      <w:r>
        <w:rPr>
          <w:rFonts w:hint="eastAsia" w:ascii="仿宋_GB2312" w:eastAsia="仿宋_GB2312" w:cs="黑体"/>
          <w:b w:val="0"/>
          <w:bCs w:val="0"/>
          <w:sz w:val="28"/>
          <w:szCs w:val="28"/>
        </w:rPr>
        <w:t>茂县畜牧兽医服务中心(本级)2021年部门整体支出绩效评价报告</w:t>
      </w:r>
      <w:r>
        <w:rPr>
          <w:rFonts w:hint="eastAsia" w:ascii="仿宋_GB2312" w:eastAsia="仿宋_GB2312"/>
          <w:b w:val="0"/>
          <w:bCs w:val="0"/>
          <w:sz w:val="28"/>
          <w:szCs w:val="28"/>
        </w:rPr>
        <w:tab/>
      </w:r>
      <w:r>
        <w:rPr>
          <w:rFonts w:hint="eastAsia" w:ascii="仿宋_GB2312" w:eastAsia="仿宋_GB2312"/>
          <w:b w:val="0"/>
          <w:bCs w:val="0"/>
          <w:sz w:val="28"/>
          <w:szCs w:val="28"/>
        </w:rPr>
        <w:fldChar w:fldCharType="begin"/>
      </w:r>
      <w:r>
        <w:rPr>
          <w:rFonts w:hint="eastAsia" w:ascii="仿宋_GB2312" w:eastAsia="仿宋_GB2312"/>
          <w:b w:val="0"/>
          <w:bCs w:val="0"/>
          <w:sz w:val="28"/>
          <w:szCs w:val="28"/>
        </w:rPr>
        <w:instrText xml:space="preserve"> PAGEREF _Toc115081055 \h </w:instrText>
      </w:r>
      <w:r>
        <w:rPr>
          <w:rFonts w:hint="eastAsia" w:ascii="仿宋_GB2312" w:eastAsia="仿宋_GB2312"/>
          <w:b w:val="0"/>
          <w:bCs w:val="0"/>
          <w:sz w:val="28"/>
          <w:szCs w:val="28"/>
        </w:rPr>
        <w:fldChar w:fldCharType="separate"/>
      </w:r>
      <w:r>
        <w:rPr>
          <w:rFonts w:ascii="仿宋_GB2312" w:eastAsia="仿宋_GB2312"/>
          <w:b w:val="0"/>
          <w:bCs w:val="0"/>
          <w:sz w:val="28"/>
          <w:szCs w:val="28"/>
        </w:rPr>
        <w:t>21</w:t>
      </w:r>
      <w:r>
        <w:rPr>
          <w:rFonts w:hint="eastAsia" w:ascii="仿宋_GB2312" w:eastAsia="仿宋_GB2312"/>
          <w:b w:val="0"/>
          <w:bCs w:val="0"/>
          <w:sz w:val="28"/>
          <w:szCs w:val="28"/>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附件2</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_Toc115081056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26</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草原生态保护补助奖励政策项目2021年绩效评价报告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_Toc115081057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26</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附件3</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_Toc115081058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cs="黑体"/>
          <w:b w:val="0"/>
          <w:bCs w:val="0"/>
          <w:sz w:val="32"/>
          <w:szCs w:val="32"/>
        </w:rPr>
        <w:t>中央动物防疫经费项目2021年绩效评价报告</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_Toc115081059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31</w:t>
      </w:r>
      <w:r>
        <w:rPr>
          <w:rFonts w:hint="eastAsia" w:ascii="仿宋_GB2312" w:eastAsia="仿宋_GB2312"/>
          <w:b w:val="0"/>
          <w:bCs w:val="0"/>
          <w:sz w:val="32"/>
          <w:szCs w:val="32"/>
        </w:rPr>
        <w:fldChar w:fldCharType="end"/>
      </w:r>
    </w:p>
    <w:p>
      <w:pPr>
        <w:pStyle w:val="13"/>
        <w:tabs>
          <w:tab w:val="right" w:leader="dot" w:pos="8296"/>
        </w:tabs>
        <w:rPr>
          <w:rFonts w:ascii="仿宋_GB2312" w:eastAsia="仿宋_GB2312" w:hAnsiTheme="minorHAnsi" w:cstheme="minorBidi"/>
          <w:b w:val="0"/>
          <w:bCs w:val="0"/>
          <w:caps w:val="0"/>
          <w:sz w:val="32"/>
          <w:szCs w:val="32"/>
        </w:rPr>
      </w:pPr>
      <w:r>
        <w:rPr>
          <w:rFonts w:hint="eastAsia" w:ascii="仿宋_GB2312" w:eastAsia="仿宋_GB2312"/>
          <w:b w:val="0"/>
          <w:bCs w:val="0"/>
          <w:color w:val="000000"/>
          <w:sz w:val="32"/>
          <w:szCs w:val="32"/>
        </w:rPr>
        <w:t>第</w:t>
      </w:r>
      <w:r>
        <w:rPr>
          <w:rFonts w:hint="eastAsia" w:ascii="仿宋_GB2312" w:eastAsia="仿宋_GB2312"/>
          <w:b w:val="0"/>
          <w:bCs w:val="0"/>
          <w:kern w:val="44"/>
          <w:sz w:val="32"/>
          <w:szCs w:val="32"/>
        </w:rPr>
        <w:t>五部分 附表</w:t>
      </w:r>
      <w:r>
        <w:rPr>
          <w:rFonts w:hint="eastAsia" w:ascii="仿宋_GB2312" w:eastAsia="仿宋_GB2312"/>
          <w:b w:val="0"/>
          <w:bCs w:val="0"/>
          <w:sz w:val="32"/>
          <w:szCs w:val="32"/>
        </w:rPr>
        <w:tab/>
      </w:r>
      <w:r>
        <w:rPr>
          <w:rFonts w:hint="eastAsia" w:ascii="仿宋_GB2312" w:eastAsia="仿宋_GB2312"/>
          <w:b w:val="0"/>
          <w:bCs w:val="0"/>
          <w:sz w:val="32"/>
          <w:szCs w:val="32"/>
        </w:rPr>
        <w:fldChar w:fldCharType="begin"/>
      </w:r>
      <w:r>
        <w:rPr>
          <w:rFonts w:hint="eastAsia" w:ascii="仿宋_GB2312" w:eastAsia="仿宋_GB2312"/>
          <w:b w:val="0"/>
          <w:bCs w:val="0"/>
          <w:sz w:val="32"/>
          <w:szCs w:val="32"/>
        </w:rPr>
        <w:instrText xml:space="preserve"> PAGEREF _Toc115081060 \h </w:instrText>
      </w:r>
      <w:r>
        <w:rPr>
          <w:rFonts w:hint="eastAsia" w:ascii="仿宋_GB2312" w:eastAsia="仿宋_GB2312"/>
          <w:b w:val="0"/>
          <w:bCs w:val="0"/>
          <w:sz w:val="32"/>
          <w:szCs w:val="32"/>
        </w:rPr>
        <w:fldChar w:fldCharType="separate"/>
      </w:r>
      <w:r>
        <w:rPr>
          <w:rFonts w:ascii="仿宋_GB2312" w:eastAsia="仿宋_GB2312"/>
          <w:b w:val="0"/>
          <w:bCs w:val="0"/>
          <w:sz w:val="32"/>
          <w:szCs w:val="32"/>
        </w:rPr>
        <w:t>36</w:t>
      </w:r>
      <w:r>
        <w:rPr>
          <w:rFonts w:hint="eastAsia" w:ascii="仿宋_GB2312" w:eastAsia="仿宋_GB2312"/>
          <w:b w:val="0"/>
          <w:bCs w:val="0"/>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一、收</w:t>
      </w:r>
      <w:r>
        <w:rPr>
          <w:rFonts w:hint="eastAsia" w:ascii="仿宋_GB2312" w:eastAsia="仿宋_GB2312"/>
          <w:sz w:val="32"/>
          <w:szCs w:val="32"/>
        </w:rPr>
        <w:t>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_Toc115081061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color w:val="000000"/>
          <w:sz w:val="32"/>
          <w:szCs w:val="32"/>
        </w:rPr>
        <w:t>二、收</w:t>
      </w:r>
      <w:r>
        <w:rPr>
          <w:rFonts w:hint="eastAsia" w:ascii="仿宋_GB2312" w:eastAsia="仿宋_GB2312"/>
          <w:sz w:val="32"/>
          <w:szCs w:val="32"/>
        </w:rPr>
        <w:t>入决算表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_Toc115081062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三、</w:t>
      </w:r>
      <w:r>
        <w:rPr>
          <w:rFonts w:hint="eastAsia" w:ascii="仿宋_GB2312" w:eastAsia="仿宋_GB2312"/>
          <w:color w:val="000000"/>
          <w:sz w:val="32"/>
          <w:szCs w:val="32"/>
        </w:rPr>
        <w:t>支</w:t>
      </w:r>
      <w:r>
        <w:rPr>
          <w:rFonts w:hint="eastAsia" w:ascii="仿宋_GB2312" w:eastAsia="仿宋_GB2312"/>
          <w:sz w:val="32"/>
          <w:szCs w:val="32"/>
        </w:rPr>
        <w:t>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_Toc115081063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四、</w:t>
      </w:r>
      <w:r>
        <w:rPr>
          <w:rFonts w:hint="eastAsia" w:ascii="仿宋_GB2312" w:eastAsia="仿宋_GB2312"/>
          <w:color w:val="000000"/>
          <w:sz w:val="32"/>
          <w:szCs w:val="32"/>
        </w:rPr>
        <w:t>财</w:t>
      </w:r>
      <w:r>
        <w:rPr>
          <w:rFonts w:hint="eastAsia" w:ascii="仿宋_GB2312" w:eastAsia="仿宋_GB2312"/>
          <w:sz w:val="32"/>
          <w:szCs w:val="32"/>
        </w:rPr>
        <w:t>政拨款收入支出决算总表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_Toc115081064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五、</w:t>
      </w:r>
      <w:r>
        <w:rPr>
          <w:rFonts w:hint="eastAsia" w:ascii="仿宋_GB2312" w:eastAsia="仿宋_GB2312"/>
          <w:color w:val="000000"/>
          <w:sz w:val="32"/>
          <w:szCs w:val="32"/>
        </w:rPr>
        <w:t>财</w:t>
      </w:r>
      <w:r>
        <w:rPr>
          <w:rFonts w:hint="eastAsia" w:ascii="仿宋_GB2312" w:eastAsia="仿宋_GB2312"/>
          <w:sz w:val="32"/>
          <w:szCs w:val="32"/>
        </w:rPr>
        <w:t>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_Toc115081065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六、</w:t>
      </w:r>
      <w:r>
        <w:rPr>
          <w:rFonts w:hint="eastAsia" w:ascii="仿宋_GB2312" w:eastAsia="仿宋_GB2312"/>
          <w:color w:val="000000"/>
          <w:sz w:val="32"/>
          <w:szCs w:val="32"/>
        </w:rPr>
        <w:t>一</w:t>
      </w:r>
      <w:r>
        <w:rPr>
          <w:rFonts w:hint="eastAsia" w:ascii="仿宋_GB2312" w:eastAsia="仿宋_GB2312"/>
          <w:sz w:val="32"/>
          <w:szCs w:val="32"/>
        </w:rPr>
        <w:t>般公共预算财政拨款支出决算表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_Toc115081066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七、</w:t>
      </w:r>
      <w:r>
        <w:rPr>
          <w:rFonts w:hint="eastAsia" w:ascii="仿宋_GB2312" w:eastAsia="仿宋_GB2312"/>
          <w:color w:val="000000"/>
          <w:sz w:val="32"/>
          <w:szCs w:val="32"/>
        </w:rPr>
        <w:t>一</w:t>
      </w:r>
      <w:r>
        <w:rPr>
          <w:rFonts w:hint="eastAsia" w:ascii="仿宋_GB2312" w:eastAsia="仿宋_GB2312"/>
          <w:sz w:val="32"/>
          <w:szCs w:val="32"/>
        </w:rPr>
        <w:t>般公共预算财政拨款支出决算明细表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_Toc115081067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八、</w:t>
      </w:r>
      <w:r>
        <w:rPr>
          <w:rFonts w:hint="eastAsia" w:ascii="仿宋_GB2312" w:eastAsia="仿宋_GB2312"/>
          <w:color w:val="000000"/>
          <w:sz w:val="32"/>
          <w:szCs w:val="32"/>
        </w:rPr>
        <w:t>一</w:t>
      </w:r>
      <w:r>
        <w:rPr>
          <w:rFonts w:hint="eastAsia" w:ascii="仿宋_GB2312" w:eastAsia="仿宋_GB2312"/>
          <w:sz w:val="32"/>
          <w:szCs w:val="32"/>
        </w:rPr>
        <w:t>般公共预算财政拨款基本支出决算表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_Toc115081068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九、</w:t>
      </w:r>
      <w:r>
        <w:rPr>
          <w:rFonts w:hint="eastAsia" w:ascii="仿宋_GB2312" w:eastAsia="仿宋_GB2312"/>
          <w:color w:val="000000"/>
          <w:sz w:val="32"/>
          <w:szCs w:val="32"/>
        </w:rPr>
        <w:t>一</w:t>
      </w:r>
      <w:r>
        <w:rPr>
          <w:rFonts w:hint="eastAsia" w:ascii="仿宋_GB2312" w:eastAsia="仿宋_GB2312"/>
          <w:sz w:val="32"/>
          <w:szCs w:val="32"/>
        </w:rPr>
        <w:t>般公共预算财政拨款项目支出决算表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_Toc115081069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w:t>
      </w:r>
      <w:r>
        <w:rPr>
          <w:rFonts w:hint="eastAsia" w:ascii="仿宋_GB2312" w:eastAsia="仿宋_GB2312"/>
          <w:color w:val="000000"/>
          <w:sz w:val="32"/>
          <w:szCs w:val="32"/>
        </w:rPr>
        <w:t>一</w:t>
      </w:r>
      <w:r>
        <w:rPr>
          <w:rFonts w:hint="eastAsia" w:ascii="仿宋_GB2312" w:eastAsia="仿宋_GB2312"/>
          <w:sz w:val="32"/>
          <w:szCs w:val="32"/>
        </w:rPr>
        <w:t>般公共预算财政拨款“三公”经费支出决算表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_Toc115081070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十一、</w:t>
      </w:r>
      <w:r>
        <w:rPr>
          <w:rFonts w:hint="eastAsia" w:ascii="仿宋_GB2312" w:eastAsia="仿宋_GB2312"/>
          <w:color w:val="000000"/>
          <w:sz w:val="32"/>
          <w:szCs w:val="32"/>
        </w:rPr>
        <w:t>政</w:t>
      </w:r>
      <w:r>
        <w:rPr>
          <w:rFonts w:hint="eastAsia" w:ascii="仿宋_GB2312" w:eastAsia="仿宋_GB2312"/>
          <w:sz w:val="32"/>
          <w:szCs w:val="32"/>
        </w:rPr>
        <w:t>府性基金预算财政拨款收入支出决算表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_Toc115081071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十二、</w:t>
      </w:r>
      <w:r>
        <w:rPr>
          <w:rFonts w:hint="eastAsia" w:ascii="仿宋_GB2312" w:eastAsia="仿宋_GB2312"/>
          <w:color w:val="000000"/>
          <w:sz w:val="32"/>
          <w:szCs w:val="32"/>
        </w:rPr>
        <w:t>政</w:t>
      </w:r>
      <w:r>
        <w:rPr>
          <w:rFonts w:hint="eastAsia" w:ascii="仿宋_GB2312" w:eastAsia="仿宋_GB2312"/>
          <w:sz w:val="32"/>
          <w:szCs w:val="32"/>
        </w:rPr>
        <w:t>府性基金预算财政拨款“三公”经费支出决算表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_Toc115081072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十三、</w:t>
      </w:r>
      <w:r>
        <w:rPr>
          <w:rFonts w:hint="eastAsia" w:ascii="仿宋_GB2312" w:eastAsia="仿宋_GB2312"/>
          <w:color w:val="000000"/>
          <w:sz w:val="32"/>
          <w:szCs w:val="32"/>
        </w:rPr>
        <w:t>国</w:t>
      </w:r>
      <w:r>
        <w:rPr>
          <w:rFonts w:hint="eastAsia" w:ascii="仿宋_GB2312" w:eastAsia="仿宋_GB2312"/>
          <w:sz w:val="32"/>
          <w:szCs w:val="32"/>
        </w:rPr>
        <w:t>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_Toc115081073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pStyle w:val="16"/>
        <w:tabs>
          <w:tab w:val="right" w:leader="dot" w:pos="8296"/>
        </w:tabs>
        <w:rPr>
          <w:rFonts w:ascii="仿宋_GB2312" w:eastAsia="仿宋_GB2312" w:hAnsiTheme="minorHAnsi" w:cstheme="minorBidi"/>
          <w:smallCaps w:val="0"/>
          <w:sz w:val="32"/>
          <w:szCs w:val="32"/>
        </w:rPr>
      </w:pPr>
      <w:r>
        <w:rPr>
          <w:rFonts w:hint="eastAsia" w:ascii="仿宋_GB2312" w:eastAsia="仿宋_GB2312"/>
          <w:sz w:val="32"/>
          <w:szCs w:val="32"/>
        </w:rPr>
        <w:t>十四、国有资本经营预算财政拨款支出决算表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_Toc115081074 \h </w:instrText>
      </w:r>
      <w:r>
        <w:rPr>
          <w:rFonts w:hint="eastAsia" w:ascii="仿宋_GB2312" w:eastAsia="仿宋_GB2312"/>
          <w:sz w:val="32"/>
          <w:szCs w:val="32"/>
        </w:rPr>
        <w:fldChar w:fldCharType="separate"/>
      </w:r>
      <w:r>
        <w:rPr>
          <w:rFonts w:ascii="仿宋_GB2312" w:eastAsia="仿宋_GB2312"/>
          <w:sz w:val="32"/>
          <w:szCs w:val="32"/>
        </w:rPr>
        <w:t>36</w:t>
      </w:r>
      <w:r>
        <w:rPr>
          <w:rFonts w:hint="eastAsia" w:ascii="仿宋_GB2312" w:eastAsia="仿宋_GB2312"/>
          <w:sz w:val="32"/>
          <w:szCs w:val="32"/>
        </w:rPr>
        <w:fldChar w:fldCharType="end"/>
      </w:r>
    </w:p>
    <w:p>
      <w:pPr>
        <w:rPr>
          <w:rFonts w:ascii="仿宋_GB2312" w:eastAsia="仿宋_GB2312"/>
          <w:sz w:val="32"/>
          <w:szCs w:val="32"/>
        </w:rPr>
      </w:pPr>
      <w:r>
        <w:rPr>
          <w:rFonts w:hint="eastAsia" w:ascii="仿宋_GB2312" w:eastAsia="仿宋_GB2312"/>
          <w:smallCaps/>
          <w:sz w:val="32"/>
          <w:szCs w:val="32"/>
        </w:rPr>
        <w:fldChar w:fldCharType="end"/>
      </w:r>
    </w:p>
    <w:p>
      <w:pPr>
        <w:widowControl/>
        <w:spacing w:line="440" w:lineRule="exact"/>
        <w:jc w:val="left"/>
        <w:rPr>
          <w:rFonts w:ascii="仿宋" w:eastAsia="仿宋"/>
          <w:b/>
          <w:sz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titlePg/>
          <w:docGrid w:type="lines" w:linePitch="312" w:charSpace="0"/>
        </w:sectPr>
      </w:pPr>
      <w:bookmarkStart w:id="12" w:name="_Toc15377196"/>
      <w:bookmarkStart w:id="13" w:name="_Toc15396599"/>
      <w:r>
        <w:rPr>
          <w:rFonts w:ascii="仿宋" w:eastAsia="仿宋"/>
          <w:b/>
          <w:sz w:val="24"/>
        </w:rPr>
        <w:br w:type="page"/>
      </w:r>
    </w:p>
    <w:p>
      <w:pPr>
        <w:widowControl/>
        <w:spacing w:line="440" w:lineRule="exact"/>
        <w:jc w:val="left"/>
        <w:rPr>
          <w:rFonts w:ascii="仿宋" w:eastAsia="仿宋"/>
          <w:bCs/>
          <w:kern w:val="44"/>
          <w:sz w:val="24"/>
        </w:rPr>
      </w:pPr>
    </w:p>
    <w:p>
      <w:pPr>
        <w:pStyle w:val="2"/>
        <w:jc w:val="center"/>
        <w:rPr>
          <w:rFonts w:ascii="黑体" w:eastAsia="黑体"/>
          <w:bCs w:val="0"/>
        </w:rPr>
      </w:pPr>
      <w:bookmarkStart w:id="14" w:name="_Toc79163601"/>
      <w:bookmarkStart w:id="15" w:name="_Toc115081027"/>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pStyle w:val="3"/>
        <w:spacing w:line="576" w:lineRule="exact"/>
        <w:rPr>
          <w:rStyle w:val="24"/>
          <w:rFonts w:ascii="仿宋" w:eastAsia="仿宋"/>
          <w:b w:val="0"/>
          <w:bCs w:val="0"/>
        </w:rPr>
      </w:pPr>
      <w:bookmarkStart w:id="16" w:name="_Toc15396600"/>
      <w:bookmarkStart w:id="17" w:name="_Toc79163602"/>
      <w:bookmarkStart w:id="18" w:name="_Toc15377197"/>
      <w:bookmarkStart w:id="19" w:name="_Toc115081028"/>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pStyle w:val="6"/>
        <w:adjustRightInd w:val="0"/>
        <w:snapToGrid w:val="0"/>
        <w:spacing w:before="93" w:beforeLines="0" w:line="576" w:lineRule="exact"/>
        <w:ind w:firstLine="665" w:firstLineChars="208"/>
        <w:outlineLvl w:val="2"/>
        <w:rPr>
          <w:rFonts w:ascii="仿宋" w:eastAsia="仿宋"/>
          <w:bCs/>
          <w:color w:val="000000"/>
          <w:sz w:val="32"/>
          <w:szCs w:val="32"/>
        </w:rPr>
      </w:pPr>
      <w:bookmarkStart w:id="20" w:name="_Toc79163603"/>
      <w:bookmarkStart w:id="21" w:name="_Toc115081029"/>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autoSpaceDN w:val="0"/>
        <w:spacing w:line="576" w:lineRule="exact"/>
        <w:ind w:firstLine="640" w:firstLineChars="200"/>
        <w:rPr>
          <w:rFonts w:ascii="仿宋_GB2312" w:eastAsia="仿宋_GB2312"/>
          <w:color w:val="313131"/>
          <w:kern w:val="0"/>
          <w:sz w:val="32"/>
          <w:szCs w:val="32"/>
        </w:rPr>
      </w:pPr>
      <w:bookmarkStart w:id="24" w:name="_Toc15378446"/>
      <w:bookmarkStart w:id="25" w:name="_Toc79163604"/>
      <w:bookmarkStart w:id="26" w:name="_Toc15377199"/>
      <w:r>
        <w:rPr>
          <w:rFonts w:hint="eastAsia" w:ascii="仿宋_GB2312" w:eastAsia="仿宋_GB2312" w:cs="仿宋_GB2312"/>
          <w:color w:val="313131"/>
          <w:kern w:val="0"/>
          <w:sz w:val="32"/>
          <w:szCs w:val="32"/>
        </w:rPr>
        <w:t>1.宣传、贯彻、执行国家、省、州畜牧兽医行业的有关法律、法规。</w:t>
      </w:r>
    </w:p>
    <w:p>
      <w:pPr>
        <w:autoSpaceDN w:val="0"/>
        <w:spacing w:line="576" w:lineRule="exact"/>
        <w:ind w:firstLine="636" w:firstLineChars="199"/>
        <w:rPr>
          <w:rFonts w:ascii="仿宋_GB2312" w:eastAsia="仿宋_GB2312"/>
          <w:color w:val="313131"/>
          <w:kern w:val="0"/>
          <w:sz w:val="32"/>
          <w:szCs w:val="32"/>
        </w:rPr>
      </w:pPr>
      <w:r>
        <w:rPr>
          <w:rFonts w:hint="eastAsia" w:ascii="仿宋_GB2312" w:eastAsia="仿宋_GB2312" w:cs="仿宋_GB2312"/>
          <w:color w:val="313131"/>
          <w:kern w:val="0"/>
          <w:sz w:val="32"/>
          <w:szCs w:val="32"/>
        </w:rPr>
        <w:t>2.研究拟定畜牧业有关产业政策，制定全县畜牧业经济发展的中长期规划，组织畜牧兽医科技项目研究和科技推广。</w:t>
      </w:r>
    </w:p>
    <w:p>
      <w:pPr>
        <w:autoSpaceDN w:val="0"/>
        <w:spacing w:line="576" w:lineRule="exact"/>
        <w:ind w:firstLine="636" w:firstLineChars="199"/>
        <w:rPr>
          <w:rFonts w:ascii="仿宋_GB2312" w:eastAsia="仿宋_GB2312"/>
          <w:color w:val="313131"/>
          <w:kern w:val="0"/>
          <w:sz w:val="32"/>
          <w:szCs w:val="32"/>
        </w:rPr>
      </w:pPr>
      <w:r>
        <w:rPr>
          <w:rFonts w:hint="eastAsia" w:ascii="仿宋_GB2312" w:eastAsia="仿宋_GB2312" w:cs="仿宋_GB2312"/>
          <w:color w:val="313131"/>
          <w:kern w:val="0"/>
          <w:sz w:val="32"/>
          <w:szCs w:val="32"/>
        </w:rPr>
        <w:t>3.负责全县兽医医证工作；监督</w:t>
      </w:r>
      <w:bookmarkStart w:id="27" w:name="_Hlk82615883"/>
      <w:r>
        <w:rPr>
          <w:rFonts w:hint="eastAsia" w:ascii="仿宋_GB2312" w:eastAsia="仿宋_GB2312" w:cs="仿宋_GB2312"/>
          <w:color w:val="313131"/>
          <w:kern w:val="0"/>
          <w:sz w:val="32"/>
          <w:szCs w:val="32"/>
        </w:rPr>
        <w:t>执行畜牧兽医、兽药、饲料的国家和地方标准</w:t>
      </w:r>
      <w:bookmarkEnd w:id="27"/>
      <w:r>
        <w:rPr>
          <w:rFonts w:hint="eastAsia" w:ascii="仿宋_GB2312" w:eastAsia="仿宋_GB2312" w:cs="仿宋_GB2312"/>
          <w:color w:val="313131"/>
          <w:kern w:val="0"/>
          <w:sz w:val="32"/>
          <w:szCs w:val="32"/>
        </w:rPr>
        <w:t>；组织实施动物防疫、检疫工作和重大疫情的扑灭工作；开展动物防疫、检疫和兽药、饲料生产技术服务。</w:t>
      </w:r>
    </w:p>
    <w:p>
      <w:pPr>
        <w:autoSpaceDN w:val="0"/>
        <w:spacing w:line="576" w:lineRule="exact"/>
        <w:ind w:firstLine="636" w:firstLineChars="199"/>
        <w:rPr>
          <w:rFonts w:ascii="仿宋_GB2312" w:eastAsia="仿宋_GB2312" w:cs="仿宋_GB2312"/>
          <w:color w:val="313131"/>
          <w:kern w:val="0"/>
          <w:sz w:val="32"/>
          <w:szCs w:val="32"/>
        </w:rPr>
      </w:pPr>
      <w:r>
        <w:rPr>
          <w:rFonts w:hint="eastAsia" w:ascii="仿宋_GB2312" w:eastAsia="仿宋_GB2312" w:cs="仿宋_GB2312"/>
          <w:color w:val="313131"/>
          <w:kern w:val="0"/>
          <w:sz w:val="32"/>
          <w:szCs w:val="32"/>
        </w:rPr>
        <w:t>4.负责饲草饲料工作，根据林草部门禁牧和草畜平衡考核情况兑付草原生态补奖资金，根据全县牲畜超载情况编制减畜规划。</w:t>
      </w:r>
    </w:p>
    <w:p>
      <w:pPr>
        <w:autoSpaceDN w:val="0"/>
        <w:spacing w:line="576" w:lineRule="exact"/>
        <w:ind w:firstLine="636" w:firstLineChars="199"/>
        <w:rPr>
          <w:rFonts w:ascii="仿宋_GB2312" w:eastAsia="仿宋_GB2312"/>
          <w:sz w:val="32"/>
          <w:szCs w:val="32"/>
        </w:rPr>
      </w:pPr>
      <w:r>
        <w:rPr>
          <w:rFonts w:hint="eastAsia" w:ascii="仿宋_GB2312" w:eastAsia="仿宋_GB2312" w:cs="仿宋_GB2312"/>
          <w:color w:val="313131"/>
          <w:kern w:val="0"/>
          <w:sz w:val="32"/>
          <w:szCs w:val="32"/>
        </w:rPr>
        <w:t>5.负责良种畜禽监管工作，搞好畜种资源保护；推广畜</w:t>
      </w:r>
      <w:r>
        <w:rPr>
          <w:rFonts w:hint="eastAsia" w:ascii="仿宋_GB2312" w:eastAsia="仿宋_GB2312" w:cs="仿宋_GB2312"/>
          <w:sz w:val="32"/>
          <w:szCs w:val="32"/>
        </w:rPr>
        <w:t>禽优良品种和畜禽繁育、饲养新技术。</w:t>
      </w:r>
    </w:p>
    <w:p>
      <w:pPr>
        <w:autoSpaceDN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6.推进畜牧业产业化进程，培育龙头企业，健全市场网络，开展畜牧经济技术交流与合作，积极引进资金和先进技术。</w:t>
      </w:r>
    </w:p>
    <w:p>
      <w:pPr>
        <w:autoSpaceDN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7.负责国家、省、州扶持畜牧业资金的统筹安排及监督管理；组织畜牧业建设项目的实施。</w:t>
      </w:r>
    </w:p>
    <w:p>
      <w:pPr>
        <w:autoSpaceDN w:val="0"/>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autoSpaceDN w:val="0"/>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rPr>
        <w:t>9.</w:t>
      </w:r>
      <w:r>
        <w:rPr>
          <w:rFonts w:hint="eastAsia" w:ascii="仿宋_GB2312" w:eastAsia="仿宋_GB2312" w:cs="仿宋_GB2312"/>
          <w:kern w:val="0"/>
          <w:sz w:val="32"/>
          <w:szCs w:val="32"/>
          <w:lang w:val="zh-CN"/>
        </w:rPr>
        <w:t>承办县委县政府交办的其他工作。</w:t>
      </w:r>
    </w:p>
    <w:p>
      <w:pPr>
        <w:pStyle w:val="6"/>
        <w:adjustRightInd w:val="0"/>
        <w:snapToGrid w:val="0"/>
        <w:spacing w:before="93" w:beforeLines="0" w:line="576" w:lineRule="exact"/>
        <w:ind w:firstLine="665" w:firstLineChars="208"/>
        <w:outlineLvl w:val="2"/>
        <w:rPr>
          <w:rFonts w:ascii="仿宋" w:eastAsia="仿宋"/>
          <w:bCs/>
          <w:color w:val="000000"/>
          <w:sz w:val="32"/>
          <w:szCs w:val="32"/>
        </w:rPr>
      </w:pPr>
      <w:bookmarkStart w:id="28" w:name="_Toc115081030"/>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8"/>
    </w:p>
    <w:p>
      <w:pPr>
        <w:autoSpaceDN w:val="0"/>
        <w:spacing w:line="576"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在县人民政府的正确领导下，认真开展了各项工作。一是完成农牧民补助奖励工作；二是继续扎实做好非洲猪瘟防控工作；三是认真做好养殖场修建技术指导及补贴兑现工作；四是动物疫病防控及村防疫员补助兑现工作；五是加强养殖技术宣传，</w:t>
      </w:r>
      <w:r>
        <w:rPr>
          <w:rFonts w:hint="eastAsia" w:ascii="仿宋_GB2312" w:eastAsia="仿宋_GB2312" w:cs="仿宋_GB2312"/>
          <w:color w:val="313131"/>
          <w:kern w:val="0"/>
          <w:sz w:val="32"/>
          <w:szCs w:val="32"/>
        </w:rPr>
        <w:t>推广畜</w:t>
      </w:r>
      <w:r>
        <w:rPr>
          <w:rFonts w:hint="eastAsia" w:ascii="仿宋_GB2312" w:eastAsia="仿宋_GB2312" w:cs="仿宋_GB2312"/>
          <w:sz w:val="32"/>
          <w:szCs w:val="32"/>
        </w:rPr>
        <w:t>禽优良品种和畜禽繁育、饲养新技术</w:t>
      </w:r>
      <w:r>
        <w:rPr>
          <w:rFonts w:hint="eastAsia" w:ascii="仿宋_GB2312" w:eastAsia="仿宋_GB2312"/>
          <w:sz w:val="32"/>
          <w:szCs w:val="32"/>
        </w:rPr>
        <w:t>；六是为保障畜牧产品安全，严格依法执行畜牧兽医、兽药、饲料的国家和地方标准，进一步完善畜牧市场的监管。</w:t>
      </w:r>
    </w:p>
    <w:p>
      <w:pPr>
        <w:pStyle w:val="3"/>
        <w:spacing w:line="576" w:lineRule="exact"/>
        <w:rPr>
          <w:rStyle w:val="24"/>
          <w:b w:val="0"/>
          <w:bCs w:val="0"/>
        </w:rPr>
      </w:pPr>
      <w:bookmarkStart w:id="29" w:name="_Toc79163605"/>
      <w:bookmarkStart w:id="30" w:name="_Toc115081031"/>
      <w:bookmarkStart w:id="31" w:name="_Toc15377200"/>
      <w:bookmarkStart w:id="32" w:name="_Toc15396601"/>
      <w:r>
        <w:rPr>
          <w:rFonts w:hint="eastAsia" w:ascii="黑体" w:eastAsia="黑体"/>
          <w:b w:val="0"/>
          <w:color w:val="000000"/>
        </w:rPr>
        <w:t>二、机</w:t>
      </w:r>
      <w:r>
        <w:rPr>
          <w:rStyle w:val="24"/>
          <w:rFonts w:hint="eastAsia" w:ascii="黑体" w:eastAsia="黑体"/>
          <w:b w:val="0"/>
          <w:bCs w:val="0"/>
        </w:rPr>
        <w:t>构设置</w:t>
      </w:r>
      <w:bookmarkEnd w:id="29"/>
      <w:bookmarkEnd w:id="30"/>
      <w:bookmarkEnd w:id="31"/>
      <w:bookmarkEnd w:id="32"/>
    </w:p>
    <w:p>
      <w:pPr>
        <w:autoSpaceDN w:val="0"/>
        <w:spacing w:line="576" w:lineRule="exact"/>
        <w:ind w:firstLine="640" w:firstLineChars="200"/>
        <w:rPr>
          <w:rFonts w:ascii="仿宋_GB2312" w:eastAsia="仿宋_GB2312"/>
          <w:sz w:val="32"/>
          <w:szCs w:val="32"/>
        </w:rPr>
      </w:pPr>
      <w:r>
        <w:rPr>
          <w:rFonts w:hint="eastAsia" w:ascii="仿宋_GB2312" w:eastAsia="仿宋_GB2312"/>
          <w:sz w:val="32"/>
          <w:szCs w:val="32"/>
        </w:rPr>
        <w:t>茂县畜牧兽医服务中心（本级）是参照公务员法管理的事业单位，下属二级单位0个，其中行政单位0个，其他事业单位0个。</w:t>
      </w:r>
    </w:p>
    <w:p>
      <w:pPr>
        <w:autoSpaceDN w:val="0"/>
        <w:spacing w:line="576" w:lineRule="exact"/>
        <w:ind w:firstLine="640" w:firstLineChars="200"/>
        <w:rPr>
          <w:rFonts w:ascii="仿宋_GB2312" w:eastAsia="仿宋_GB2312"/>
          <w:sz w:val="32"/>
          <w:szCs w:val="32"/>
        </w:rPr>
      </w:pPr>
      <w:r>
        <w:rPr>
          <w:rFonts w:ascii="仿宋_GB2312" w:eastAsia="仿宋_GB2312"/>
          <w:sz w:val="32"/>
          <w:szCs w:val="32"/>
        </w:rPr>
        <w:br w:type="page"/>
      </w:r>
    </w:p>
    <w:p>
      <w:pPr>
        <w:pStyle w:val="2"/>
        <w:ind w:right="440"/>
        <w:jc w:val="right"/>
        <w:rPr>
          <w:rStyle w:val="23"/>
          <w:rFonts w:ascii="黑体" w:eastAsia="黑体"/>
          <w:b w:val="0"/>
          <w:bCs w:val="0"/>
        </w:rPr>
      </w:pPr>
      <w:bookmarkStart w:id="33" w:name="_Toc15396602"/>
      <w:bookmarkStart w:id="34" w:name="_Toc79163609"/>
      <w:bookmarkStart w:id="35" w:name="_Toc15377204"/>
      <w:bookmarkStart w:id="36" w:name="_Toc115081032"/>
      <w:r>
        <w:rPr>
          <w:rFonts w:hint="eastAsia" w:ascii="黑体" w:eastAsia="黑体"/>
          <w:b w:val="0"/>
          <w:color w:val="000000"/>
        </w:rPr>
        <w:t>第二部分</w:t>
      </w:r>
      <w:r>
        <w:rPr>
          <w:rFonts w:ascii="黑体" w:eastAsia="黑体"/>
          <w:color w:val="000000"/>
        </w:rPr>
        <w:t xml:space="preserve"> </w:t>
      </w:r>
      <w:r>
        <w:rPr>
          <w:rStyle w:val="23"/>
          <w:rFonts w:ascii="黑体" w:eastAsia="黑体"/>
          <w:b w:val="0"/>
          <w:bCs w:val="0"/>
        </w:rPr>
        <w:t>2021</w:t>
      </w:r>
      <w:r>
        <w:rPr>
          <w:rStyle w:val="23"/>
          <w:rFonts w:hint="eastAsia" w:ascii="黑体" w:eastAsia="黑体"/>
          <w:b w:val="0"/>
          <w:bCs w:val="0"/>
        </w:rPr>
        <w:t>年度部门决算情况说明</w:t>
      </w:r>
      <w:bookmarkEnd w:id="33"/>
      <w:bookmarkEnd w:id="34"/>
      <w:bookmarkEnd w:id="35"/>
      <w:bookmarkEnd w:id="36"/>
    </w:p>
    <w:p/>
    <w:p>
      <w:pPr>
        <w:pStyle w:val="29"/>
        <w:numPr>
          <w:ilvl w:val="0"/>
          <w:numId w:val="1"/>
        </w:numPr>
        <w:spacing w:line="600" w:lineRule="exact"/>
        <w:ind w:firstLineChars="0"/>
        <w:outlineLvl w:val="1"/>
        <w:rPr>
          <w:rStyle w:val="24"/>
          <w:rFonts w:ascii="黑体" w:eastAsia="黑体"/>
          <w:b w:val="0"/>
        </w:rPr>
      </w:pPr>
      <w:bookmarkStart w:id="37" w:name="_Toc15396603"/>
      <w:bookmarkStart w:id="38" w:name="_Toc115081033"/>
      <w:bookmarkStart w:id="39" w:name="_Toc15377205"/>
      <w:bookmarkStart w:id="40" w:name="_Toc79163610"/>
      <w:r>
        <w:rPr>
          <w:rFonts w:hint="eastAsia" w:ascii="黑体" w:eastAsia="黑体"/>
          <w:color w:val="000000"/>
          <w:sz w:val="32"/>
          <w:szCs w:val="32"/>
        </w:rPr>
        <w:t>收</w:t>
      </w:r>
      <w:r>
        <w:rPr>
          <w:rStyle w:val="24"/>
          <w:rFonts w:hint="eastAsia" w:ascii="黑体" w:eastAsia="黑体"/>
          <w:b w:val="0"/>
        </w:rPr>
        <w:t>入支出决算总体情况说明</w:t>
      </w:r>
      <w:bookmarkEnd w:id="37"/>
      <w:bookmarkEnd w:id="38"/>
      <w:bookmarkEnd w:id="39"/>
      <w:bookmarkEnd w:id="40"/>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848.72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ascii="仿宋" w:eastAsia="仿宋"/>
          <w:color w:val="000000"/>
          <w:sz w:val="32"/>
          <w:szCs w:val="32"/>
        </w:rPr>
        <w:t>190.42</w:t>
      </w:r>
      <w:r>
        <w:rPr>
          <w:rFonts w:hint="eastAsia" w:ascii="仿宋" w:eastAsia="仿宋"/>
          <w:color w:val="000000"/>
          <w:sz w:val="32"/>
          <w:szCs w:val="32"/>
        </w:rPr>
        <w:t>万元，下降</w:t>
      </w:r>
      <w:r>
        <w:rPr>
          <w:rFonts w:ascii="仿宋" w:eastAsia="仿宋"/>
          <w:color w:val="000000"/>
          <w:sz w:val="32"/>
          <w:szCs w:val="32"/>
        </w:rPr>
        <w:t>18.32%</w:t>
      </w:r>
      <w:r>
        <w:rPr>
          <w:rFonts w:hint="eastAsia" w:ascii="仿宋" w:eastAsia="仿宋"/>
          <w:color w:val="000000"/>
          <w:sz w:val="32"/>
          <w:szCs w:val="32"/>
        </w:rPr>
        <w:t>。主要变动原因是项目减少。</w:t>
      </w:r>
    </w:p>
    <w:p>
      <w:pPr>
        <w:spacing w:line="600" w:lineRule="exact"/>
        <w:ind w:firstLine="420" w:firstLineChars="200"/>
        <w:rPr>
          <w:rFonts w:ascii="仿宋" w:eastAsia="仿宋"/>
          <w:color w:val="000000"/>
          <w:sz w:val="32"/>
          <w:szCs w:val="32"/>
        </w:rPr>
      </w:pPr>
      <w:r>
        <w:drawing>
          <wp:anchor distT="0" distB="0" distL="114300" distR="114300" simplePos="0" relativeHeight="251663360" behindDoc="1" locked="0" layoutInCell="1" allowOverlap="1">
            <wp:simplePos x="0" y="0"/>
            <wp:positionH relativeFrom="column">
              <wp:posOffset>280035</wp:posOffset>
            </wp:positionH>
            <wp:positionV relativeFrom="paragraph">
              <wp:posOffset>87630</wp:posOffset>
            </wp:positionV>
            <wp:extent cx="4572000" cy="2743200"/>
            <wp:effectExtent l="0" t="0" r="0" b="0"/>
            <wp:wrapTight wrapText="bothSides">
              <wp:wrapPolygon>
                <wp:start x="0" y="0"/>
                <wp:lineTo x="0" y="21450"/>
                <wp:lineTo x="21510" y="21450"/>
                <wp:lineTo x="21510"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1440" w:firstLineChars="4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w:t>
      </w:r>
    </w:p>
    <w:p>
      <w:pPr>
        <w:spacing w:line="600" w:lineRule="exact"/>
        <w:ind w:firstLine="1440" w:firstLineChars="450"/>
        <w:rPr>
          <w:rFonts w:ascii="仿宋" w:eastAsia="仿宋"/>
          <w:color w:val="000000"/>
          <w:sz w:val="32"/>
          <w:szCs w:val="32"/>
        </w:rPr>
      </w:pPr>
    </w:p>
    <w:p>
      <w:pPr>
        <w:pStyle w:val="29"/>
        <w:numPr>
          <w:ilvl w:val="0"/>
          <w:numId w:val="1"/>
        </w:numPr>
        <w:spacing w:line="600" w:lineRule="exact"/>
        <w:ind w:firstLineChars="0"/>
        <w:outlineLvl w:val="1"/>
        <w:rPr>
          <w:rStyle w:val="24"/>
          <w:rFonts w:ascii="黑体" w:eastAsia="黑体"/>
          <w:b w:val="0"/>
        </w:rPr>
      </w:pPr>
      <w:bookmarkStart w:id="41" w:name="_Toc79163611"/>
      <w:bookmarkStart w:id="42" w:name="_Toc15396604"/>
      <w:bookmarkStart w:id="43" w:name="_Toc15377206"/>
      <w:bookmarkStart w:id="44" w:name="_Toc115081034"/>
      <w:r>
        <w:rPr>
          <w:rFonts w:hint="eastAsia" w:ascii="黑体" w:eastAsia="黑体"/>
          <w:color w:val="000000"/>
          <w:sz w:val="32"/>
          <w:szCs w:val="32"/>
        </w:rPr>
        <w:t>收</w:t>
      </w:r>
      <w:r>
        <w:rPr>
          <w:rStyle w:val="24"/>
          <w:rFonts w:hint="eastAsia" w:ascii="黑体" w:eastAsia="黑体"/>
          <w:b w:val="0"/>
        </w:rPr>
        <w:t>入决算情况说明</w:t>
      </w:r>
      <w:bookmarkEnd w:id="41"/>
      <w:bookmarkEnd w:id="42"/>
      <w:bookmarkEnd w:id="43"/>
      <w:bookmarkEnd w:id="44"/>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824.02</w:t>
      </w:r>
      <w:r>
        <w:rPr>
          <w:rFonts w:hint="eastAsia" w:ascii="仿宋" w:eastAsia="仿宋"/>
          <w:color w:val="000000"/>
          <w:sz w:val="32"/>
          <w:szCs w:val="32"/>
        </w:rPr>
        <w:t>万元，其中：一般公共预算财政拨款收入</w:t>
      </w:r>
      <w:r>
        <w:rPr>
          <w:rFonts w:ascii="仿宋" w:eastAsia="仿宋"/>
          <w:color w:val="000000"/>
          <w:sz w:val="32"/>
          <w:szCs w:val="32"/>
        </w:rPr>
        <w:t>824.02</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p>
    <w:p>
      <w:pPr>
        <w:spacing w:line="600" w:lineRule="exact"/>
        <w:ind w:firstLine="1365" w:firstLineChars="650"/>
        <w:rPr>
          <w:rFonts w:ascii="仿宋" w:eastAsia="仿宋"/>
          <w:color w:val="000000"/>
          <w:sz w:val="32"/>
          <w:szCs w:val="32"/>
        </w:rPr>
      </w:pPr>
      <w:r>
        <w:drawing>
          <wp:anchor distT="0" distB="0" distL="114300" distR="114300" simplePos="0" relativeHeight="251665408" behindDoc="1" locked="0" layoutInCell="1" allowOverlap="1">
            <wp:simplePos x="0" y="0"/>
            <wp:positionH relativeFrom="column">
              <wp:posOffset>334010</wp:posOffset>
            </wp:positionH>
            <wp:positionV relativeFrom="paragraph">
              <wp:posOffset>309880</wp:posOffset>
            </wp:positionV>
            <wp:extent cx="4579620" cy="2527935"/>
            <wp:effectExtent l="0" t="0" r="11430" b="5715"/>
            <wp:wrapTight wrapText="bothSides">
              <wp:wrapPolygon>
                <wp:start x="0" y="0"/>
                <wp:lineTo x="0" y="21486"/>
                <wp:lineTo x="21564" y="21486"/>
                <wp:lineTo x="21564" y="0"/>
                <wp:lineTo x="0" y="0"/>
              </wp:wrapPolygon>
            </wp:wrapTight>
            <wp:docPr id="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2080" w:firstLineChars="6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spacing w:line="600" w:lineRule="exact"/>
        <w:ind w:firstLine="640" w:firstLineChars="200"/>
        <w:rPr>
          <w:rFonts w:ascii="仿宋_GB2312" w:eastAsia="仿宋_GB2312"/>
          <w:color w:val="FF0000"/>
          <w:sz w:val="32"/>
          <w:szCs w:val="32"/>
        </w:rPr>
      </w:pPr>
    </w:p>
    <w:p>
      <w:pPr>
        <w:pStyle w:val="29"/>
        <w:numPr>
          <w:ilvl w:val="0"/>
          <w:numId w:val="1"/>
        </w:numPr>
        <w:spacing w:line="600" w:lineRule="exact"/>
        <w:ind w:firstLineChars="0"/>
        <w:outlineLvl w:val="1"/>
        <w:rPr>
          <w:rStyle w:val="24"/>
          <w:rFonts w:ascii="黑体" w:eastAsia="黑体"/>
          <w:b w:val="0"/>
        </w:rPr>
      </w:pPr>
      <w:bookmarkStart w:id="45" w:name="_Toc15396605"/>
      <w:bookmarkStart w:id="46" w:name="_Toc15377207"/>
      <w:bookmarkStart w:id="47" w:name="_Toc79163612"/>
      <w:bookmarkStart w:id="48" w:name="_Toc115081035"/>
      <w:r>
        <w:rPr>
          <w:rFonts w:hint="eastAsia" w:ascii="黑体" w:eastAsia="黑体"/>
          <w:color w:val="000000"/>
          <w:sz w:val="32"/>
          <w:szCs w:val="32"/>
        </w:rPr>
        <w:t>支</w:t>
      </w:r>
      <w:r>
        <w:rPr>
          <w:rStyle w:val="24"/>
          <w:rFonts w:hint="eastAsia" w:ascii="黑体" w:eastAsia="黑体"/>
          <w:b w:val="0"/>
        </w:rPr>
        <w:t>出决算情况说明</w:t>
      </w:r>
      <w:bookmarkEnd w:id="45"/>
      <w:bookmarkEnd w:id="46"/>
      <w:bookmarkEnd w:id="47"/>
      <w:bookmarkEnd w:id="48"/>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848.72</w:t>
      </w:r>
      <w:r>
        <w:rPr>
          <w:rFonts w:hint="eastAsia" w:ascii="仿宋_GB2312" w:eastAsia="仿宋_GB2312"/>
          <w:sz w:val="32"/>
          <w:szCs w:val="32"/>
        </w:rPr>
        <w:t>万元，其中：基本支出</w:t>
      </w:r>
      <w:r>
        <w:rPr>
          <w:rFonts w:ascii="仿宋_GB2312" w:eastAsia="仿宋_GB2312"/>
          <w:sz w:val="32"/>
          <w:szCs w:val="32"/>
        </w:rPr>
        <w:t>209.73</w:t>
      </w:r>
      <w:r>
        <w:rPr>
          <w:rFonts w:hint="eastAsia" w:ascii="仿宋_GB2312" w:eastAsia="仿宋_GB2312"/>
          <w:sz w:val="32"/>
          <w:szCs w:val="32"/>
        </w:rPr>
        <w:t>万元，占</w:t>
      </w:r>
      <w:r>
        <w:rPr>
          <w:rFonts w:ascii="仿宋_GB2312" w:eastAsia="仿宋_GB2312"/>
          <w:sz w:val="32"/>
          <w:szCs w:val="32"/>
        </w:rPr>
        <w:t>24.71%</w:t>
      </w:r>
      <w:r>
        <w:rPr>
          <w:rFonts w:hint="eastAsia" w:ascii="仿宋_GB2312" w:eastAsia="仿宋_GB2312"/>
          <w:sz w:val="32"/>
          <w:szCs w:val="32"/>
        </w:rPr>
        <w:t>；项目支出</w:t>
      </w:r>
      <w:r>
        <w:rPr>
          <w:rFonts w:ascii="仿宋_GB2312" w:eastAsia="仿宋_GB2312"/>
          <w:sz w:val="32"/>
          <w:szCs w:val="32"/>
        </w:rPr>
        <w:t>638.99</w:t>
      </w:r>
      <w:r>
        <w:rPr>
          <w:rFonts w:hint="eastAsia" w:ascii="仿宋_GB2312" w:eastAsia="仿宋_GB2312"/>
          <w:sz w:val="32"/>
          <w:szCs w:val="32"/>
        </w:rPr>
        <w:t>万元，占</w:t>
      </w:r>
      <w:r>
        <w:rPr>
          <w:rFonts w:ascii="仿宋_GB2312" w:eastAsia="仿宋_GB2312"/>
          <w:sz w:val="32"/>
          <w:szCs w:val="32"/>
        </w:rPr>
        <w:t>75.29%</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420" w:firstLineChars="200"/>
        <w:rPr>
          <w:rFonts w:ascii="仿宋_GB2312" w:eastAsia="仿宋_GB2312"/>
          <w:sz w:val="32"/>
          <w:szCs w:val="32"/>
        </w:rPr>
      </w:pPr>
      <w:r>
        <w:drawing>
          <wp:anchor distT="0" distB="0" distL="114300" distR="114300" simplePos="0" relativeHeight="251660288" behindDoc="1" locked="0" layoutInCell="1" allowOverlap="1">
            <wp:simplePos x="0" y="0"/>
            <wp:positionH relativeFrom="column">
              <wp:posOffset>386715</wp:posOffset>
            </wp:positionH>
            <wp:positionV relativeFrom="paragraph">
              <wp:posOffset>115570</wp:posOffset>
            </wp:positionV>
            <wp:extent cx="4572000" cy="2743200"/>
            <wp:effectExtent l="0" t="0" r="0" b="0"/>
            <wp:wrapTight wrapText="bothSides">
              <wp:wrapPolygon>
                <wp:start x="0" y="0"/>
                <wp:lineTo x="0" y="21450"/>
                <wp:lineTo x="21510" y="21450"/>
                <wp:lineTo x="21510" y="0"/>
                <wp:lineTo x="0" y="0"/>
              </wp:wrapPolygon>
            </wp:wrapTight>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1920" w:firstLineChars="6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4"/>
          <w:rFonts w:ascii="黑体" w:eastAsia="黑体"/>
          <w:b w:val="0"/>
        </w:rPr>
      </w:pPr>
      <w:bookmarkStart w:id="49" w:name="_Toc15377208"/>
      <w:bookmarkStart w:id="50" w:name="_Toc115081036"/>
      <w:bookmarkStart w:id="51" w:name="_Toc79163613"/>
      <w:bookmarkStart w:id="52" w:name="_Toc15396606"/>
      <w:r>
        <w:rPr>
          <w:rFonts w:hint="eastAsia" w:ascii="黑体" w:eastAsia="黑体"/>
          <w:color w:val="000000"/>
          <w:sz w:val="32"/>
          <w:szCs w:val="32"/>
        </w:rPr>
        <w:t>四、财</w:t>
      </w:r>
      <w:r>
        <w:rPr>
          <w:rStyle w:val="24"/>
          <w:rFonts w:hint="eastAsia" w:ascii="黑体" w:eastAsia="黑体"/>
          <w:b w:val="0"/>
        </w:rPr>
        <w:t>政拨款收入支出决算总体情况说明</w:t>
      </w:r>
      <w:bookmarkEnd w:id="49"/>
      <w:bookmarkEnd w:id="50"/>
      <w:bookmarkEnd w:id="51"/>
      <w:bookmarkEnd w:id="52"/>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年财政拨款收、支总计</w:t>
      </w:r>
      <w:r>
        <w:rPr>
          <w:rFonts w:ascii="仿宋" w:eastAsia="仿宋"/>
          <w:color w:val="000000"/>
          <w:sz w:val="32"/>
          <w:szCs w:val="32"/>
        </w:rPr>
        <w:t>848.72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ascii="仿宋" w:eastAsia="仿宋"/>
          <w:color w:val="000000"/>
          <w:sz w:val="32"/>
          <w:szCs w:val="32"/>
        </w:rPr>
        <w:t>190.42</w:t>
      </w:r>
      <w:r>
        <w:rPr>
          <w:rFonts w:hint="eastAsia" w:ascii="仿宋" w:eastAsia="仿宋"/>
          <w:color w:val="000000"/>
          <w:sz w:val="32"/>
          <w:szCs w:val="32"/>
        </w:rPr>
        <w:t>万元，下降</w:t>
      </w:r>
      <w:r>
        <w:rPr>
          <w:rFonts w:ascii="仿宋" w:eastAsia="仿宋"/>
          <w:color w:val="000000"/>
          <w:sz w:val="32"/>
          <w:szCs w:val="32"/>
        </w:rPr>
        <w:t>18.32%</w:t>
      </w:r>
      <w:r>
        <w:rPr>
          <w:rFonts w:hint="eastAsia" w:ascii="仿宋" w:eastAsia="仿宋"/>
          <w:color w:val="000000"/>
          <w:sz w:val="32"/>
          <w:szCs w:val="32"/>
        </w:rPr>
        <w:t>。主要变动原因是</w:t>
      </w:r>
      <w:r>
        <w:rPr>
          <w:rFonts w:ascii="仿宋" w:eastAsia="仿宋"/>
          <w:color w:val="000000"/>
          <w:sz w:val="32"/>
          <w:szCs w:val="32"/>
        </w:rPr>
        <w:t>项目减少。</w:t>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r>
        <w:drawing>
          <wp:anchor distT="0" distB="0" distL="114300" distR="114300" simplePos="0" relativeHeight="251659264" behindDoc="1" locked="0" layoutInCell="1" allowOverlap="1">
            <wp:simplePos x="0" y="0"/>
            <wp:positionH relativeFrom="column">
              <wp:posOffset>407035</wp:posOffset>
            </wp:positionH>
            <wp:positionV relativeFrom="paragraph">
              <wp:posOffset>-485140</wp:posOffset>
            </wp:positionV>
            <wp:extent cx="4572000" cy="2743200"/>
            <wp:effectExtent l="0" t="0" r="0" b="0"/>
            <wp:wrapTight wrapText="bothSides">
              <wp:wrapPolygon>
                <wp:start x="0" y="0"/>
                <wp:lineTo x="0" y="21450"/>
                <wp:lineTo x="21510" y="21450"/>
                <wp:lineTo x="21510" y="0"/>
                <wp:lineTo x="0" y="0"/>
              </wp:wrapPolygon>
            </wp:wrapTight>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spacing w:line="600" w:lineRule="exact"/>
        <w:ind w:firstLine="640"/>
        <w:rPr>
          <w:rFonts w:ascii="仿宋" w:eastAsia="仿宋"/>
          <w:b/>
          <w:color w:val="00B050"/>
          <w:sz w:val="32"/>
          <w:szCs w:val="32"/>
        </w:rPr>
      </w:pPr>
    </w:p>
    <w:p>
      <w:pPr>
        <w:spacing w:line="600" w:lineRule="exact"/>
        <w:ind w:firstLine="640" w:firstLineChars="200"/>
        <w:outlineLvl w:val="1"/>
        <w:rPr>
          <w:rStyle w:val="24"/>
          <w:rFonts w:ascii="黑体" w:eastAsia="黑体"/>
          <w:b w:val="0"/>
        </w:rPr>
      </w:pPr>
      <w:bookmarkStart w:id="53" w:name="_Toc15377209"/>
      <w:bookmarkStart w:id="54" w:name="_Toc115081037"/>
      <w:bookmarkStart w:id="55" w:name="_Toc15396607"/>
      <w:bookmarkStart w:id="56" w:name="_Toc79163614"/>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53"/>
      <w:bookmarkEnd w:id="54"/>
      <w:bookmarkEnd w:id="55"/>
      <w:bookmarkEnd w:id="56"/>
    </w:p>
    <w:p>
      <w:pPr>
        <w:spacing w:line="600" w:lineRule="exact"/>
        <w:ind w:firstLine="642" w:firstLineChars="200"/>
        <w:outlineLvl w:val="2"/>
        <w:rPr>
          <w:rFonts w:ascii="仿宋" w:eastAsia="仿宋"/>
          <w:b/>
          <w:color w:val="000000"/>
          <w:sz w:val="32"/>
          <w:szCs w:val="32"/>
        </w:rPr>
      </w:pPr>
      <w:bookmarkStart w:id="57" w:name="_Toc15377210"/>
      <w:bookmarkStart w:id="58" w:name="_Toc79163615"/>
      <w:bookmarkStart w:id="59" w:name="_Toc115081038"/>
      <w:r>
        <w:rPr>
          <w:rFonts w:hint="eastAsia" w:ascii="仿宋" w:eastAsia="仿宋"/>
          <w:b/>
          <w:color w:val="000000"/>
          <w:sz w:val="32"/>
          <w:szCs w:val="32"/>
        </w:rPr>
        <w:t>（一）一般公共预算财政拨款支出决算总体情况</w:t>
      </w:r>
      <w:bookmarkEnd w:id="57"/>
      <w:bookmarkEnd w:id="58"/>
      <w:bookmarkEnd w:id="59"/>
    </w:p>
    <w:p>
      <w:pPr>
        <w:spacing w:line="600"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848.72</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年相比，一般公共预算财政拨款减少</w:t>
      </w:r>
      <w:r>
        <w:rPr>
          <w:rFonts w:ascii="仿宋" w:eastAsia="仿宋"/>
          <w:color w:val="000000"/>
          <w:sz w:val="32"/>
          <w:szCs w:val="32"/>
        </w:rPr>
        <w:t>132.66</w:t>
      </w:r>
      <w:r>
        <w:rPr>
          <w:rFonts w:hint="eastAsia" w:ascii="仿宋" w:eastAsia="仿宋"/>
          <w:color w:val="000000"/>
          <w:sz w:val="32"/>
          <w:szCs w:val="32"/>
        </w:rPr>
        <w:t>万元，下降</w:t>
      </w:r>
      <w:r>
        <w:rPr>
          <w:rFonts w:ascii="仿宋" w:eastAsia="仿宋"/>
          <w:color w:val="000000"/>
          <w:sz w:val="32"/>
          <w:szCs w:val="32"/>
        </w:rPr>
        <w:t>13.52%</w:t>
      </w:r>
      <w:r>
        <w:rPr>
          <w:rFonts w:hint="eastAsia" w:ascii="仿宋" w:eastAsia="仿宋"/>
          <w:color w:val="000000"/>
          <w:sz w:val="32"/>
          <w:szCs w:val="32"/>
        </w:rPr>
        <w:t>。主要变动原因是</w:t>
      </w:r>
      <w:r>
        <w:rPr>
          <w:rFonts w:ascii="仿宋" w:eastAsia="仿宋"/>
          <w:color w:val="000000"/>
          <w:sz w:val="32"/>
          <w:szCs w:val="32"/>
        </w:rPr>
        <w:t>项目减少。</w:t>
      </w: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420" w:firstLineChars="200"/>
        <w:rPr>
          <w:rFonts w:ascii="仿宋" w:eastAsia="仿宋"/>
          <w:color w:val="000000"/>
          <w:sz w:val="32"/>
          <w:szCs w:val="32"/>
        </w:rPr>
      </w:pPr>
      <w:r>
        <w:drawing>
          <wp:anchor distT="0" distB="0" distL="114300" distR="114300" simplePos="0" relativeHeight="251661312" behindDoc="1" locked="0" layoutInCell="1" allowOverlap="1">
            <wp:simplePos x="0" y="0"/>
            <wp:positionH relativeFrom="column">
              <wp:posOffset>264160</wp:posOffset>
            </wp:positionH>
            <wp:positionV relativeFrom="paragraph">
              <wp:posOffset>-2434590</wp:posOffset>
            </wp:positionV>
            <wp:extent cx="4572000" cy="2743200"/>
            <wp:effectExtent l="0" t="0" r="0" b="0"/>
            <wp:wrapTight wrapText="bothSides">
              <wp:wrapPolygon>
                <wp:start x="0" y="0"/>
                <wp:lineTo x="0" y="21450"/>
                <wp:lineTo x="21510" y="21450"/>
                <wp:lineTo x="21510" y="0"/>
                <wp:lineTo x="0" y="0"/>
              </wp:wrapPolygon>
            </wp:wrapTight>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0" w:name="_Toc15377211"/>
      <w:bookmarkStart w:id="61" w:name="_Toc79163616"/>
      <w:bookmarkStart w:id="62" w:name="_Toc115081039"/>
      <w:r>
        <w:rPr>
          <w:rFonts w:hint="eastAsia" w:ascii="仿宋" w:eastAsia="仿宋"/>
          <w:b/>
          <w:color w:val="000000"/>
          <w:sz w:val="32"/>
          <w:szCs w:val="32"/>
        </w:rPr>
        <w:t>（二）一般公共预算财政拨款支出决算结构情况</w:t>
      </w:r>
      <w:bookmarkEnd w:id="60"/>
      <w:bookmarkEnd w:id="61"/>
      <w:bookmarkEnd w:id="62"/>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848.72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 w:eastAsia="仿宋"/>
          <w:b/>
          <w:color w:val="000000"/>
          <w:sz w:val="32"/>
          <w:szCs w:val="32"/>
        </w:rPr>
        <w:t>（类）</w:t>
      </w:r>
      <w:r>
        <w:rPr>
          <w:rFonts w:ascii="仿宋" w:eastAsia="仿宋"/>
          <w:color w:val="000000"/>
          <w:sz w:val="32"/>
          <w:szCs w:val="32"/>
        </w:rPr>
        <w:t>14.71</w:t>
      </w:r>
      <w:r>
        <w:rPr>
          <w:rFonts w:hint="eastAsia" w:ascii="仿宋" w:eastAsia="仿宋"/>
          <w:color w:val="000000"/>
          <w:sz w:val="32"/>
          <w:szCs w:val="32"/>
        </w:rPr>
        <w:t>万元，占</w:t>
      </w:r>
      <w:r>
        <w:rPr>
          <w:rFonts w:ascii="仿宋" w:eastAsia="仿宋"/>
          <w:color w:val="000000"/>
          <w:sz w:val="32"/>
          <w:szCs w:val="32"/>
        </w:rPr>
        <w:t>1.73%</w:t>
      </w:r>
      <w:r>
        <w:rPr>
          <w:rFonts w:hint="eastAsia" w:ascii="仿宋" w:eastAsia="仿宋"/>
          <w:color w:val="000000"/>
          <w:sz w:val="32"/>
          <w:szCs w:val="32"/>
        </w:rPr>
        <w:t>；</w:t>
      </w:r>
      <w:r>
        <w:rPr>
          <w:rFonts w:hint="eastAsia" w:ascii="仿宋" w:eastAsia="仿宋"/>
          <w:b/>
          <w:bCs/>
          <w:color w:val="000000"/>
          <w:sz w:val="32"/>
          <w:szCs w:val="32"/>
        </w:rPr>
        <w:t>卫生健康支出（类）</w:t>
      </w:r>
      <w:r>
        <w:rPr>
          <w:rFonts w:ascii="仿宋" w:eastAsia="仿宋"/>
          <w:color w:val="000000"/>
          <w:sz w:val="32"/>
          <w:szCs w:val="32"/>
        </w:rPr>
        <w:t>25.95</w:t>
      </w:r>
      <w:r>
        <w:rPr>
          <w:rFonts w:hint="eastAsia" w:ascii="仿宋" w:eastAsia="仿宋"/>
          <w:color w:val="000000"/>
          <w:sz w:val="32"/>
          <w:szCs w:val="32"/>
        </w:rPr>
        <w:t>万元，占</w:t>
      </w:r>
      <w:r>
        <w:rPr>
          <w:rFonts w:ascii="仿宋" w:eastAsia="仿宋"/>
          <w:color w:val="000000"/>
          <w:sz w:val="32"/>
          <w:szCs w:val="32"/>
        </w:rPr>
        <w:t>3.06%</w:t>
      </w:r>
      <w:r>
        <w:rPr>
          <w:rFonts w:hint="eastAsia" w:ascii="仿宋" w:eastAsia="仿宋"/>
          <w:color w:val="000000"/>
          <w:sz w:val="32"/>
          <w:szCs w:val="32"/>
        </w:rPr>
        <w:t>；</w:t>
      </w:r>
      <w:r>
        <w:rPr>
          <w:rFonts w:hint="eastAsia" w:ascii="仿宋" w:eastAsia="仿宋"/>
          <w:b/>
          <w:bCs/>
          <w:color w:val="000000"/>
          <w:sz w:val="32"/>
          <w:szCs w:val="32"/>
        </w:rPr>
        <w:t>农林水支出（类）</w:t>
      </w:r>
      <w:r>
        <w:rPr>
          <w:rFonts w:ascii="仿宋" w:eastAsia="仿宋"/>
          <w:color w:val="000000"/>
          <w:sz w:val="32"/>
          <w:szCs w:val="32"/>
        </w:rPr>
        <w:t>798.94</w:t>
      </w:r>
      <w:r>
        <w:rPr>
          <w:rFonts w:hint="eastAsia" w:ascii="仿宋" w:eastAsia="仿宋"/>
          <w:color w:val="000000"/>
          <w:sz w:val="32"/>
          <w:szCs w:val="32"/>
        </w:rPr>
        <w:t>万元，占</w:t>
      </w:r>
      <w:r>
        <w:rPr>
          <w:rFonts w:ascii="仿宋" w:eastAsia="仿宋"/>
          <w:color w:val="000000"/>
          <w:sz w:val="32"/>
          <w:szCs w:val="32"/>
        </w:rPr>
        <w:t>94.13%</w:t>
      </w:r>
      <w:r>
        <w:rPr>
          <w:rFonts w:hint="eastAsia" w:ascii="仿宋" w:eastAsia="仿宋"/>
          <w:color w:val="000000"/>
          <w:sz w:val="32"/>
          <w:szCs w:val="32"/>
        </w:rPr>
        <w:t>；</w:t>
      </w:r>
      <w:r>
        <w:rPr>
          <w:rFonts w:hint="eastAsia" w:ascii="仿宋" w:eastAsia="仿宋"/>
          <w:b/>
          <w:bCs/>
          <w:color w:val="000000"/>
          <w:sz w:val="32"/>
          <w:szCs w:val="32"/>
        </w:rPr>
        <w:t>住房保障支出（类）</w:t>
      </w:r>
      <w:r>
        <w:rPr>
          <w:rFonts w:ascii="仿宋" w:eastAsia="仿宋"/>
          <w:color w:val="000000"/>
          <w:sz w:val="32"/>
          <w:szCs w:val="32"/>
        </w:rPr>
        <w:t>9.12</w:t>
      </w:r>
      <w:r>
        <w:rPr>
          <w:rFonts w:hint="eastAsia" w:ascii="仿宋" w:eastAsia="仿宋"/>
          <w:color w:val="000000"/>
          <w:sz w:val="32"/>
          <w:szCs w:val="32"/>
        </w:rPr>
        <w:t>万元，占</w:t>
      </w:r>
      <w:r>
        <w:rPr>
          <w:rFonts w:ascii="仿宋" w:eastAsia="仿宋"/>
          <w:color w:val="000000"/>
          <w:sz w:val="32"/>
          <w:szCs w:val="32"/>
        </w:rPr>
        <w:t>1.07%</w:t>
      </w:r>
      <w:r>
        <w:rPr>
          <w:rFonts w:hint="eastAsia" w:ascii="仿宋" w:eastAsia="仿宋"/>
          <w:color w:val="000000"/>
          <w:sz w:val="32"/>
          <w:szCs w:val="32"/>
        </w:rPr>
        <w:t>。</w:t>
      </w:r>
    </w:p>
    <w:p>
      <w:pPr>
        <w:spacing w:line="600" w:lineRule="exact"/>
        <w:rPr>
          <w:rFonts w:ascii="仿宋" w:eastAsia="仿宋"/>
          <w:color w:val="000000"/>
          <w:sz w:val="32"/>
          <w:szCs w:val="32"/>
        </w:rPr>
      </w:pPr>
      <w:r>
        <w:drawing>
          <wp:anchor distT="0" distB="0" distL="114300" distR="114300" simplePos="0" relativeHeight="251664384" behindDoc="1" locked="0" layoutInCell="1" allowOverlap="1">
            <wp:simplePos x="0" y="0"/>
            <wp:positionH relativeFrom="column">
              <wp:posOffset>271780</wp:posOffset>
            </wp:positionH>
            <wp:positionV relativeFrom="paragraph">
              <wp:posOffset>203200</wp:posOffset>
            </wp:positionV>
            <wp:extent cx="4572000" cy="2743200"/>
            <wp:effectExtent l="0" t="0" r="0" b="0"/>
            <wp:wrapTight wrapText="bothSides">
              <wp:wrapPolygon>
                <wp:start x="0" y="0"/>
                <wp:lineTo x="0" y="21450"/>
                <wp:lineTo x="21510" y="21450"/>
                <wp:lineTo x="21510" y="0"/>
                <wp:lineTo x="0" y="0"/>
              </wp:wrapPolygon>
            </wp:wrapTight>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p>
    <w:p>
      <w:pPr>
        <w:spacing w:line="600" w:lineRule="exact"/>
        <w:ind w:firstLine="640" w:firstLineChars="200"/>
        <w:rPr>
          <w:rFonts w:ascii="仿宋" w:eastAsia="仿宋"/>
          <w:color w:val="000000"/>
          <w:sz w:val="32"/>
          <w:szCs w:val="32"/>
        </w:rPr>
      </w:pPr>
    </w:p>
    <w:p>
      <w:pPr>
        <w:spacing w:line="600" w:lineRule="exact"/>
        <w:ind w:firstLine="642" w:firstLineChars="200"/>
        <w:outlineLvl w:val="2"/>
        <w:rPr>
          <w:rFonts w:ascii="仿宋" w:eastAsia="仿宋"/>
          <w:b/>
          <w:color w:val="000000"/>
          <w:sz w:val="32"/>
          <w:szCs w:val="32"/>
        </w:rPr>
      </w:pPr>
      <w:bookmarkStart w:id="63" w:name="_Toc79163617"/>
      <w:bookmarkStart w:id="64" w:name="_Toc15377212"/>
      <w:bookmarkStart w:id="65" w:name="_Toc115081040"/>
      <w:r>
        <w:rPr>
          <w:rFonts w:hint="eastAsia" w:ascii="仿宋" w:eastAsia="仿宋"/>
          <w:b/>
          <w:color w:val="000000"/>
          <w:sz w:val="32"/>
          <w:szCs w:val="32"/>
        </w:rPr>
        <w:t>（三）一般公共预算财政拨款支出决算具体情况</w:t>
      </w:r>
      <w:bookmarkEnd w:id="63"/>
      <w:bookmarkEnd w:id="64"/>
      <w:bookmarkEnd w:id="65"/>
    </w:p>
    <w:p>
      <w:pPr>
        <w:spacing w:line="600" w:lineRule="exact"/>
        <w:ind w:firstLine="642" w:firstLineChars="200"/>
        <w:rPr>
          <w:rFonts w:ascii="仿宋_GB2312" w:eastAsia="仿宋_GB2312"/>
          <w:b/>
          <w:bCs/>
          <w:sz w:val="32"/>
          <w:szCs w:val="32"/>
        </w:rPr>
      </w:pPr>
      <w:bookmarkStart w:id="66" w:name="_Toc15377444"/>
      <w:bookmarkStart w:id="67" w:name="_Toc15378460"/>
      <w:bookmarkStart w:id="68"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848.72</w:t>
      </w:r>
      <w:r>
        <w:rPr>
          <w:rFonts w:hint="eastAsia" w:ascii="仿宋_GB2312" w:eastAsia="仿宋_GB2312"/>
          <w:b/>
          <w:bCs/>
          <w:sz w:val="32"/>
          <w:szCs w:val="32"/>
        </w:rPr>
        <w:t>万元，完成预算</w:t>
      </w:r>
      <w:r>
        <w:rPr>
          <w:rFonts w:ascii="仿宋_GB2312" w:eastAsia="仿宋_GB2312"/>
          <w:b/>
          <w:bCs/>
          <w:sz w:val="32"/>
          <w:szCs w:val="32"/>
        </w:rPr>
        <w:t>97.09%</w:t>
      </w:r>
      <w:r>
        <w:rPr>
          <w:rFonts w:hint="eastAsia" w:ascii="仿宋_GB2312" w:eastAsia="仿宋_GB2312"/>
          <w:b/>
          <w:bCs/>
          <w:sz w:val="32"/>
          <w:szCs w:val="32"/>
        </w:rPr>
        <w:t>。其中：</w:t>
      </w:r>
      <w:bookmarkEnd w:id="66"/>
      <w:bookmarkEnd w:id="67"/>
      <w:bookmarkEnd w:id="68"/>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1</w:t>
      </w:r>
      <w:r>
        <w:rPr>
          <w:rStyle w:val="21"/>
          <w:rFonts w:hint="eastAsia" w:ascii="仿宋_GB2312" w:eastAsia="仿宋_GB2312"/>
          <w:b w:val="0"/>
          <w:bCs/>
          <w:color w:val="000000"/>
          <w:sz w:val="32"/>
          <w:szCs w:val="32"/>
        </w:rPr>
        <w:t>.社会保障和就业支出（类）行政事业单位养老支出（款）机关事业单位基本养老保险缴费支出（项）: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9.81</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100</w:t>
      </w:r>
      <w:r>
        <w:rPr>
          <w:rStyle w:val="21"/>
          <w:rFonts w:hint="eastAsia" w:ascii="仿宋_GB2312" w:eastAsia="仿宋_GB2312"/>
          <w:b w:val="0"/>
          <w:color w:val="000000"/>
          <w:sz w:val="32"/>
          <w:szCs w:val="32"/>
        </w:rPr>
        <w:t>%。</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2</w:t>
      </w:r>
      <w:r>
        <w:rPr>
          <w:rStyle w:val="21"/>
          <w:rFonts w:hint="eastAsia" w:ascii="仿宋_GB2312" w:eastAsia="仿宋_GB2312"/>
          <w:b w:val="0"/>
          <w:bCs/>
          <w:color w:val="000000"/>
          <w:sz w:val="32"/>
          <w:szCs w:val="32"/>
        </w:rPr>
        <w:t>.社会保障和就业支出（类）行政事业单位养老支出（款）机关事业单位职业年金缴费支出（项）: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4.9</w:t>
      </w:r>
      <w:r>
        <w:rPr>
          <w:rStyle w:val="21"/>
          <w:rFonts w:hint="eastAsia" w:ascii="仿宋_GB2312" w:eastAsia="仿宋_GB2312"/>
          <w:b w:val="0"/>
          <w:color w:val="000000"/>
          <w:sz w:val="32"/>
          <w:szCs w:val="32"/>
        </w:rPr>
        <w:t>万元，完成预算100%。</w:t>
      </w:r>
    </w:p>
    <w:p>
      <w:pPr>
        <w:autoSpaceDN w:val="0"/>
        <w:spacing w:line="576" w:lineRule="exact"/>
        <w:ind w:firstLine="640" w:firstLineChars="200"/>
        <w:rPr>
          <w:rFonts w:ascii="仿宋_GB2312" w:eastAsia="仿宋_GB2312"/>
          <w:sz w:val="32"/>
          <w:szCs w:val="32"/>
        </w:rPr>
      </w:pPr>
      <w:r>
        <w:rPr>
          <w:rStyle w:val="21"/>
          <w:rFonts w:ascii="仿宋_GB2312" w:eastAsia="仿宋_GB2312"/>
          <w:b w:val="0"/>
          <w:bCs/>
          <w:color w:val="000000"/>
          <w:sz w:val="32"/>
          <w:szCs w:val="32"/>
        </w:rPr>
        <w:t>3</w:t>
      </w:r>
      <w:r>
        <w:rPr>
          <w:rStyle w:val="21"/>
          <w:rFonts w:hint="eastAsia" w:ascii="仿宋_GB2312" w:eastAsia="仿宋_GB2312"/>
          <w:b w:val="0"/>
          <w:bCs/>
          <w:color w:val="000000"/>
          <w:sz w:val="32"/>
          <w:szCs w:val="32"/>
        </w:rPr>
        <w:t>.卫生健康支出（类）公共卫生（款）重大公共卫生服务（项）: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19.19</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81.76</w:t>
      </w:r>
      <w:r>
        <w:rPr>
          <w:rStyle w:val="21"/>
          <w:rFonts w:hint="eastAsia" w:ascii="仿宋_GB2312" w:eastAsia="仿宋_GB2312"/>
          <w:b w:val="0"/>
          <w:color w:val="000000"/>
          <w:sz w:val="32"/>
          <w:szCs w:val="32"/>
        </w:rPr>
        <w:t>%，</w:t>
      </w:r>
      <w:r>
        <w:rPr>
          <w:rFonts w:hint="eastAsia" w:ascii="仿宋_GB2312" w:eastAsia="仿宋_GB2312" w:cs="仿宋_GB2312"/>
          <w:sz w:val="32"/>
          <w:szCs w:val="32"/>
        </w:rPr>
        <w:t>决算数小于预算数的主要原因是由于部分项目跨年度实施，当年未实施完成项目资金结转至下一年度继续实施。</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4</w:t>
      </w:r>
      <w:r>
        <w:rPr>
          <w:rStyle w:val="21"/>
          <w:rFonts w:hint="eastAsia" w:ascii="仿宋_GB2312" w:eastAsia="仿宋_GB2312"/>
          <w:b w:val="0"/>
          <w:bCs/>
          <w:color w:val="000000"/>
          <w:sz w:val="32"/>
          <w:szCs w:val="32"/>
        </w:rPr>
        <w:t>.卫生健康支出（类）行政事业单位医疗（款）行政单位医疗（项）: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6.76</w:t>
      </w:r>
      <w:r>
        <w:rPr>
          <w:rStyle w:val="21"/>
          <w:rFonts w:hint="eastAsia" w:ascii="仿宋_GB2312" w:eastAsia="仿宋_GB2312"/>
          <w:b w:val="0"/>
          <w:color w:val="000000"/>
          <w:sz w:val="32"/>
          <w:szCs w:val="32"/>
        </w:rPr>
        <w:t>万元，完成预算100%。</w:t>
      </w:r>
    </w:p>
    <w:p>
      <w:pPr>
        <w:autoSpaceDN w:val="0"/>
        <w:spacing w:line="600" w:lineRule="exact"/>
        <w:ind w:firstLine="640" w:firstLineChars="200"/>
        <w:rPr>
          <w:rFonts w:ascii="仿宋_GB2312" w:eastAsia="仿宋_GB2312"/>
          <w:b/>
          <w:bCs/>
          <w:color w:val="000000"/>
          <w:sz w:val="32"/>
          <w:szCs w:val="32"/>
        </w:rPr>
      </w:pPr>
      <w:r>
        <w:rPr>
          <w:rStyle w:val="21"/>
          <w:rFonts w:ascii="仿宋_GB2312" w:eastAsia="仿宋_GB2312"/>
          <w:b w:val="0"/>
          <w:bCs/>
          <w:color w:val="000000"/>
          <w:sz w:val="32"/>
          <w:szCs w:val="32"/>
        </w:rPr>
        <w:t>5</w:t>
      </w:r>
      <w:r>
        <w:rPr>
          <w:rStyle w:val="21"/>
          <w:rFonts w:hint="eastAsia" w:ascii="仿宋_GB2312" w:eastAsia="仿宋_GB2312"/>
          <w:b w:val="0"/>
          <w:bCs/>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（类）农业农村（款）行政运行（项）: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179.14</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100</w:t>
      </w:r>
      <w:r>
        <w:rPr>
          <w:rStyle w:val="21"/>
          <w:rFonts w:hint="eastAsia" w:ascii="仿宋_GB2312" w:eastAsia="仿宋_GB2312"/>
          <w:b w:val="0"/>
          <w:color w:val="000000"/>
          <w:sz w:val="32"/>
          <w:szCs w:val="32"/>
        </w:rPr>
        <w:t>%。</w:t>
      </w:r>
    </w:p>
    <w:p>
      <w:pPr>
        <w:autoSpaceDN w:val="0"/>
        <w:spacing w:line="600" w:lineRule="exact"/>
        <w:ind w:firstLine="640" w:firstLineChars="200"/>
        <w:rPr>
          <w:b/>
        </w:rPr>
      </w:pPr>
      <w:r>
        <w:rPr>
          <w:rStyle w:val="21"/>
          <w:rFonts w:ascii="仿宋_GB2312" w:eastAsia="仿宋_GB2312"/>
          <w:b w:val="0"/>
          <w:bCs/>
          <w:color w:val="000000"/>
          <w:sz w:val="32"/>
          <w:szCs w:val="32"/>
        </w:rPr>
        <w:t>6</w:t>
      </w:r>
      <w:r>
        <w:rPr>
          <w:rStyle w:val="21"/>
          <w:rFonts w:hint="eastAsia" w:ascii="仿宋_GB2312" w:eastAsia="仿宋_GB2312"/>
          <w:b w:val="0"/>
          <w:bCs/>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（类）农业农村（款）病虫害控制（项）: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2.99</w:t>
      </w:r>
      <w:r>
        <w:rPr>
          <w:rStyle w:val="21"/>
          <w:rFonts w:hint="eastAsia" w:ascii="仿宋_GB2312" w:eastAsia="仿宋_GB2312"/>
          <w:b w:val="0"/>
          <w:color w:val="000000"/>
          <w:sz w:val="32"/>
          <w:szCs w:val="32"/>
        </w:rPr>
        <w:t>万元，完成预算100%。</w:t>
      </w:r>
    </w:p>
    <w:p>
      <w:pPr>
        <w:autoSpaceDN w:val="0"/>
        <w:spacing w:line="576" w:lineRule="exact"/>
        <w:ind w:firstLine="640" w:firstLineChars="200"/>
        <w:rPr>
          <w:rFonts w:ascii="仿宋_GB2312" w:eastAsia="仿宋_GB2312"/>
          <w:sz w:val="32"/>
          <w:szCs w:val="32"/>
        </w:rPr>
      </w:pPr>
      <w:r>
        <w:rPr>
          <w:rStyle w:val="21"/>
          <w:rFonts w:ascii="仿宋_GB2312" w:eastAsia="仿宋_GB2312"/>
          <w:b w:val="0"/>
          <w:bCs/>
          <w:color w:val="000000"/>
          <w:sz w:val="32"/>
          <w:szCs w:val="32"/>
        </w:rPr>
        <w:t>7</w:t>
      </w:r>
      <w:r>
        <w:rPr>
          <w:rStyle w:val="21"/>
          <w:rFonts w:hint="eastAsia" w:ascii="仿宋_GB2312" w:eastAsia="仿宋_GB2312"/>
          <w:color w:val="000000"/>
          <w:sz w:val="32"/>
          <w:szCs w:val="32"/>
        </w:rPr>
        <w:t>.</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（类）农业农村（款）其他农业农村支出（项）: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616.81</w:t>
      </w:r>
      <w:r>
        <w:rPr>
          <w:rStyle w:val="21"/>
          <w:rFonts w:hint="eastAsia" w:ascii="仿宋_GB2312" w:eastAsia="仿宋_GB2312"/>
          <w:b w:val="0"/>
          <w:color w:val="000000"/>
          <w:sz w:val="32"/>
          <w:szCs w:val="32"/>
        </w:rPr>
        <w:t>万元，完成预算</w:t>
      </w:r>
      <w:r>
        <w:rPr>
          <w:rStyle w:val="21"/>
          <w:rFonts w:ascii="仿宋_GB2312" w:eastAsia="仿宋_GB2312"/>
          <w:b w:val="0"/>
          <w:color w:val="000000"/>
          <w:sz w:val="32"/>
          <w:szCs w:val="32"/>
        </w:rPr>
        <w:t>96.56</w:t>
      </w:r>
      <w:r>
        <w:rPr>
          <w:rStyle w:val="21"/>
          <w:rFonts w:hint="eastAsia" w:ascii="仿宋_GB2312" w:eastAsia="仿宋_GB2312"/>
          <w:b w:val="0"/>
          <w:color w:val="000000"/>
          <w:sz w:val="32"/>
          <w:szCs w:val="32"/>
        </w:rPr>
        <w:t>%，</w:t>
      </w:r>
      <w:r>
        <w:rPr>
          <w:rFonts w:hint="eastAsia" w:ascii="仿宋_GB2312" w:eastAsia="仿宋_GB2312" w:cs="仿宋_GB2312"/>
          <w:sz w:val="32"/>
          <w:szCs w:val="32"/>
        </w:rPr>
        <w:t>决算数小于预算数的主要原因是由于部分项目跨年度实施，当年未实施完成项目资金结转至下一年度继续实施。</w:t>
      </w:r>
    </w:p>
    <w:p>
      <w:pPr>
        <w:autoSpaceDN w:val="0"/>
        <w:spacing w:line="600" w:lineRule="exact"/>
        <w:ind w:firstLine="640" w:firstLineChars="200"/>
      </w:pPr>
      <w:r>
        <w:rPr>
          <w:rStyle w:val="21"/>
          <w:rFonts w:ascii="仿宋_GB2312" w:eastAsia="仿宋_GB2312"/>
          <w:b w:val="0"/>
          <w:bCs/>
          <w:color w:val="000000"/>
          <w:sz w:val="32"/>
          <w:szCs w:val="32"/>
        </w:rPr>
        <w:t>8</w:t>
      </w:r>
      <w:r>
        <w:rPr>
          <w:rStyle w:val="21"/>
          <w:rFonts w:hint="eastAsia" w:ascii="仿宋_GB2312" w:eastAsia="仿宋_GB2312"/>
          <w:color w:val="000000"/>
          <w:sz w:val="32"/>
          <w:szCs w:val="32"/>
        </w:rPr>
        <w:t>.</w:t>
      </w:r>
      <w:r>
        <w:rPr>
          <w:rFonts w:hint="eastAsia" w:ascii="仿宋_GB2312" w:eastAsia="仿宋_GB2312"/>
          <w:bCs/>
          <w:color w:val="000000"/>
          <w:sz w:val="32"/>
          <w:szCs w:val="32"/>
        </w:rPr>
        <w:t>住房保障支出</w:t>
      </w:r>
      <w:r>
        <w:rPr>
          <w:rStyle w:val="21"/>
          <w:rFonts w:hint="eastAsia" w:ascii="仿宋_GB2312" w:eastAsia="仿宋_GB2312"/>
          <w:b w:val="0"/>
          <w:bCs/>
          <w:color w:val="000000"/>
          <w:sz w:val="32"/>
          <w:szCs w:val="32"/>
        </w:rPr>
        <w:t>（类）住房改革支出（款）住房公积金（项）:</w:t>
      </w:r>
      <w:r>
        <w:rPr>
          <w:rStyle w:val="21"/>
          <w:rFonts w:hint="eastAsia" w:ascii="仿宋_GB2312" w:eastAsia="仿宋_GB2312"/>
          <w:b w:val="0"/>
          <w:color w:val="000000"/>
          <w:sz w:val="32"/>
          <w:szCs w:val="32"/>
        </w:rPr>
        <w:t>支出决算为</w:t>
      </w:r>
      <w:r>
        <w:rPr>
          <w:rStyle w:val="21"/>
          <w:rFonts w:ascii="仿宋_GB2312" w:eastAsia="仿宋_GB2312"/>
          <w:b w:val="0"/>
          <w:color w:val="000000"/>
          <w:sz w:val="32"/>
          <w:szCs w:val="32"/>
        </w:rPr>
        <w:t>9.12</w:t>
      </w:r>
      <w:r>
        <w:rPr>
          <w:rStyle w:val="21"/>
          <w:rFonts w:hint="eastAsia" w:ascii="仿宋_GB2312" w:eastAsia="仿宋_GB2312"/>
          <w:b w:val="0"/>
          <w:color w:val="000000"/>
          <w:sz w:val="32"/>
          <w:szCs w:val="32"/>
        </w:rPr>
        <w:t>万元，完成预算100%。</w:t>
      </w:r>
    </w:p>
    <w:p>
      <w:pPr>
        <w:spacing w:line="600" w:lineRule="exact"/>
        <w:ind w:firstLine="640"/>
        <w:rPr>
          <w:rFonts w:ascii="仿宋" w:eastAsia="仿宋"/>
          <w:b/>
          <w:color w:val="000000"/>
          <w:sz w:val="32"/>
          <w:szCs w:val="32"/>
        </w:rPr>
      </w:pPr>
    </w:p>
    <w:p>
      <w:pPr>
        <w:tabs>
          <w:tab w:val="right" w:pos="8306"/>
        </w:tabs>
        <w:spacing w:line="600" w:lineRule="exact"/>
        <w:ind w:firstLine="640"/>
        <w:outlineLvl w:val="1"/>
        <w:rPr>
          <w:rStyle w:val="24"/>
        </w:rPr>
      </w:pPr>
      <w:bookmarkStart w:id="69" w:name="_Toc15396608"/>
      <w:bookmarkStart w:id="70" w:name="_Toc15377214"/>
      <w:bookmarkStart w:id="71" w:name="_Toc79163618"/>
      <w:bookmarkStart w:id="72" w:name="_Toc115081041"/>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9"/>
      <w:bookmarkEnd w:id="70"/>
      <w:bookmarkEnd w:id="71"/>
      <w:bookmarkEnd w:id="72"/>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ascii="仿宋" w:eastAsia="仿宋"/>
          <w:color w:val="000000"/>
          <w:sz w:val="32"/>
          <w:szCs w:val="32"/>
        </w:rPr>
        <w:t>209.73</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200.16</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w:t>
      </w:r>
      <w:r>
        <w:rPr>
          <w:rFonts w:ascii="仿宋" w:eastAsia="仿宋"/>
          <w:color w:val="000000"/>
          <w:sz w:val="32"/>
          <w:szCs w:val="32"/>
        </w:rPr>
        <w:t>9.57</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eastAsia="仿宋"/>
          <w:b/>
          <w:color w:val="FF0000"/>
          <w:sz w:val="32"/>
          <w:szCs w:val="32"/>
        </w:rPr>
      </w:pPr>
    </w:p>
    <w:p>
      <w:pPr>
        <w:spacing w:line="600" w:lineRule="exact"/>
        <w:ind w:firstLine="640"/>
        <w:outlineLvl w:val="1"/>
        <w:rPr>
          <w:rStyle w:val="24"/>
          <w:rFonts w:ascii="黑体" w:eastAsia="黑体"/>
          <w:b w:val="0"/>
        </w:rPr>
      </w:pPr>
      <w:bookmarkStart w:id="73" w:name="_Toc15396609"/>
      <w:bookmarkStart w:id="74" w:name="_Toc15377215"/>
      <w:bookmarkStart w:id="75" w:name="_Toc79163619"/>
      <w:bookmarkStart w:id="76" w:name="_Toc115081042"/>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73"/>
      <w:bookmarkEnd w:id="74"/>
      <w:bookmarkEnd w:id="75"/>
      <w:bookmarkEnd w:id="76"/>
    </w:p>
    <w:p>
      <w:pPr>
        <w:spacing w:line="600" w:lineRule="exact"/>
        <w:ind w:firstLine="640"/>
        <w:outlineLvl w:val="2"/>
        <w:rPr>
          <w:rFonts w:ascii="仿宋" w:eastAsia="仿宋"/>
          <w:b/>
          <w:color w:val="000000"/>
          <w:sz w:val="32"/>
          <w:szCs w:val="32"/>
        </w:rPr>
      </w:pPr>
      <w:bookmarkStart w:id="77" w:name="_Toc15377216"/>
      <w:bookmarkStart w:id="78" w:name="_Toc79163620"/>
      <w:bookmarkStart w:id="79" w:name="_Toc115081043"/>
      <w:r>
        <w:rPr>
          <w:rFonts w:hint="eastAsia" w:ascii="仿宋" w:eastAsia="仿宋"/>
          <w:b/>
          <w:color w:val="000000"/>
          <w:sz w:val="32"/>
          <w:szCs w:val="32"/>
        </w:rPr>
        <w:t>（一）“三公”经费财政拨款支出决算总体情况说明</w:t>
      </w:r>
      <w:bookmarkEnd w:id="77"/>
      <w:bookmarkEnd w:id="78"/>
      <w:bookmarkEnd w:id="79"/>
    </w:p>
    <w:p>
      <w:pPr>
        <w:autoSpaceDN w:val="0"/>
        <w:spacing w:line="600" w:lineRule="exact"/>
        <w:ind w:firstLine="640"/>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4.10</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w:t>
      </w:r>
      <w:r>
        <w:rPr>
          <w:rFonts w:hint="eastAsia" w:ascii="仿宋_GB2312" w:eastAsia="仿宋_GB2312"/>
          <w:color w:val="000000"/>
          <w:sz w:val="32"/>
          <w:szCs w:val="32"/>
        </w:rPr>
        <w:t>决算数与预算数持平。</w:t>
      </w:r>
    </w:p>
    <w:p>
      <w:pPr>
        <w:spacing w:line="600" w:lineRule="exact"/>
        <w:ind w:firstLine="640"/>
        <w:outlineLvl w:val="2"/>
        <w:rPr>
          <w:rFonts w:ascii="仿宋" w:eastAsia="仿宋"/>
          <w:b/>
          <w:color w:val="000000"/>
          <w:sz w:val="32"/>
          <w:szCs w:val="32"/>
        </w:rPr>
      </w:pPr>
      <w:bookmarkStart w:id="80" w:name="_Toc15377217"/>
      <w:bookmarkStart w:id="81" w:name="_Toc79163621"/>
      <w:bookmarkStart w:id="82" w:name="_Toc115081044"/>
      <w:r>
        <w:rPr>
          <w:rFonts w:hint="eastAsia" w:ascii="仿宋" w:eastAsia="仿宋"/>
          <w:b/>
          <w:color w:val="000000"/>
          <w:sz w:val="32"/>
          <w:szCs w:val="32"/>
        </w:rPr>
        <w:t>（二）“三公”经费财政拨款支出决算具体情况说明</w:t>
      </w:r>
      <w:bookmarkEnd w:id="80"/>
      <w:bookmarkEnd w:id="81"/>
      <w:bookmarkEnd w:id="82"/>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w:t>
      </w:r>
      <w:r>
        <w:rPr>
          <w:rFonts w:ascii="仿宋" w:eastAsia="仿宋"/>
          <w:color w:val="000000"/>
          <w:sz w:val="32"/>
          <w:szCs w:val="32"/>
        </w:rPr>
        <w:t>3.99</w:t>
      </w:r>
      <w:r>
        <w:rPr>
          <w:rFonts w:hint="eastAsia" w:ascii="仿宋" w:eastAsia="仿宋"/>
          <w:color w:val="000000"/>
          <w:sz w:val="32"/>
          <w:szCs w:val="32"/>
        </w:rPr>
        <w:t>万元，占</w:t>
      </w:r>
      <w:r>
        <w:rPr>
          <w:rFonts w:ascii="仿宋" w:eastAsia="仿宋"/>
          <w:color w:val="000000"/>
          <w:sz w:val="32"/>
          <w:szCs w:val="32"/>
        </w:rPr>
        <w:t>97.32%</w:t>
      </w:r>
      <w:r>
        <w:rPr>
          <w:rFonts w:hint="eastAsia" w:ascii="仿宋" w:eastAsia="仿宋"/>
          <w:color w:val="000000"/>
          <w:sz w:val="32"/>
          <w:szCs w:val="32"/>
        </w:rPr>
        <w:t>；公务接待费支出决算</w:t>
      </w:r>
      <w:r>
        <w:rPr>
          <w:rFonts w:ascii="仿宋" w:eastAsia="仿宋"/>
          <w:color w:val="000000"/>
          <w:sz w:val="32"/>
          <w:szCs w:val="32"/>
        </w:rPr>
        <w:t>0.11</w:t>
      </w:r>
      <w:r>
        <w:rPr>
          <w:rFonts w:hint="eastAsia" w:ascii="仿宋" w:eastAsia="仿宋"/>
          <w:color w:val="000000"/>
          <w:sz w:val="32"/>
          <w:szCs w:val="32"/>
        </w:rPr>
        <w:t>万元，占</w:t>
      </w:r>
      <w:r>
        <w:rPr>
          <w:rFonts w:ascii="仿宋" w:eastAsia="仿宋"/>
          <w:color w:val="000000"/>
          <w:sz w:val="32"/>
          <w:szCs w:val="32"/>
        </w:rPr>
        <w:t>2.68%</w:t>
      </w:r>
      <w:r>
        <w:rPr>
          <w:rFonts w:hint="eastAsia" w:ascii="仿宋" w:eastAsia="仿宋"/>
          <w:color w:val="000000"/>
          <w:sz w:val="32"/>
          <w:szCs w:val="32"/>
        </w:rPr>
        <w:t>。具体情况如下：</w:t>
      </w:r>
    </w:p>
    <w:p>
      <w:pPr>
        <w:spacing w:line="600" w:lineRule="exact"/>
        <w:rPr>
          <w:rFonts w:ascii="仿宋" w:eastAsia="仿宋"/>
          <w:color w:val="000000"/>
          <w:sz w:val="32"/>
          <w:szCs w:val="32"/>
        </w:rPr>
      </w:pPr>
      <w:r>
        <w:drawing>
          <wp:anchor distT="0" distB="0" distL="114300" distR="114300" simplePos="0" relativeHeight="251662336" behindDoc="1" locked="0" layoutInCell="1" allowOverlap="1">
            <wp:simplePos x="0" y="0"/>
            <wp:positionH relativeFrom="column">
              <wp:posOffset>192405</wp:posOffset>
            </wp:positionH>
            <wp:positionV relativeFrom="paragraph">
              <wp:posOffset>231140</wp:posOffset>
            </wp:positionV>
            <wp:extent cx="4572000" cy="2743200"/>
            <wp:effectExtent l="0" t="0" r="0" b="0"/>
            <wp:wrapTight wrapText="bothSides">
              <wp:wrapPolygon>
                <wp:start x="0" y="0"/>
                <wp:lineTo x="0" y="21450"/>
                <wp:lineTo x="21510" y="21450"/>
                <wp:lineTo x="21510" y="0"/>
                <wp:lineTo x="0" y="0"/>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1120" w:firstLineChars="35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 xml:space="preserve">：“三公”经费财政拨款支出结构） </w:t>
      </w:r>
    </w:p>
    <w:p>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2020</w:t>
      </w:r>
      <w:r>
        <w:rPr>
          <w:rFonts w:hint="eastAsia" w:ascii="仿宋_GB2312" w:eastAsia="仿宋_GB2312"/>
          <w:color w:val="000000"/>
          <w:sz w:val="32"/>
          <w:szCs w:val="32"/>
        </w:rPr>
        <w:t>年增加0万元，没有变动。</w:t>
      </w:r>
    </w:p>
    <w:p>
      <w:pPr>
        <w:autoSpaceDN w:val="0"/>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3.99</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5.09</w:t>
      </w:r>
      <w:r>
        <w:rPr>
          <w:rFonts w:hint="eastAsia" w:ascii="仿宋_GB2312" w:eastAsia="仿宋_GB2312"/>
          <w:color w:val="000000"/>
          <w:sz w:val="32"/>
          <w:szCs w:val="32"/>
        </w:rPr>
        <w:t>万元，下降</w:t>
      </w:r>
      <w:r>
        <w:rPr>
          <w:rFonts w:ascii="仿宋_GB2312" w:eastAsia="仿宋_GB2312"/>
          <w:color w:val="000000"/>
          <w:sz w:val="32"/>
          <w:szCs w:val="32"/>
        </w:rPr>
        <w:t>56.06%</w:t>
      </w:r>
      <w:r>
        <w:rPr>
          <w:rFonts w:hint="eastAsia" w:ascii="仿宋_GB2312" w:eastAsia="仿宋_GB2312"/>
          <w:color w:val="000000"/>
          <w:sz w:val="32"/>
          <w:szCs w:val="32"/>
        </w:rPr>
        <w:t>。主要原因是项目减少导致用车减少。</w:t>
      </w:r>
    </w:p>
    <w:p>
      <w:pPr>
        <w:autoSpaceDN w:val="0"/>
        <w:spacing w:line="600" w:lineRule="exact"/>
        <w:ind w:firstLine="640" w:firstLineChars="200"/>
        <w:rPr>
          <w:rFonts w:ascii="仿宋_GB2312" w:eastAsia="仿宋_GB2312"/>
          <w:b/>
          <w:bCs/>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4</w:t>
      </w:r>
      <w:r>
        <w:rPr>
          <w:rFonts w:hint="eastAsia" w:ascii="仿宋_GB2312" w:eastAsia="仿宋_GB2312"/>
          <w:color w:val="000000"/>
          <w:sz w:val="32"/>
          <w:szCs w:val="32"/>
        </w:rPr>
        <w:t>辆，其中：轿车0辆、越野车4辆、其他车辆0辆。</w:t>
      </w:r>
    </w:p>
    <w:p>
      <w:pPr>
        <w:autoSpaceDN w:val="0"/>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3.99</w:t>
      </w:r>
      <w:r>
        <w:rPr>
          <w:rFonts w:hint="eastAsia" w:ascii="仿宋_GB2312" w:eastAsia="仿宋_GB2312"/>
          <w:color w:val="000000"/>
          <w:sz w:val="32"/>
          <w:szCs w:val="32"/>
        </w:rPr>
        <w:t>万元。主要用于开展畜牧业工作等所需的公务用车燃料费、维修费、过路过桥费、保险费等支出。</w:t>
      </w:r>
    </w:p>
    <w:p>
      <w:pPr>
        <w:autoSpaceDN w:val="0"/>
        <w:spacing w:line="600" w:lineRule="exact"/>
        <w:ind w:firstLine="640"/>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0.11</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0.07</w:t>
      </w:r>
      <w:r>
        <w:rPr>
          <w:rFonts w:hint="eastAsia" w:ascii="仿宋_GB2312" w:eastAsia="仿宋_GB2312"/>
          <w:color w:val="000000"/>
          <w:sz w:val="32"/>
          <w:szCs w:val="32"/>
        </w:rPr>
        <w:t>万元，下降</w:t>
      </w:r>
      <w:r>
        <w:rPr>
          <w:rFonts w:ascii="仿宋_GB2312" w:eastAsia="仿宋_GB2312"/>
          <w:color w:val="000000"/>
          <w:sz w:val="32"/>
          <w:szCs w:val="32"/>
        </w:rPr>
        <w:t>38.89%</w:t>
      </w:r>
      <w:r>
        <w:rPr>
          <w:rFonts w:hint="eastAsia" w:ascii="仿宋_GB2312" w:eastAsia="仿宋_GB2312"/>
          <w:color w:val="000000"/>
          <w:sz w:val="32"/>
          <w:szCs w:val="32"/>
        </w:rPr>
        <w:t>。主要原因是上级检查接待减少。</w:t>
      </w:r>
    </w:p>
    <w:p>
      <w:pPr>
        <w:autoSpaceDN w:val="0"/>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ascii="仿宋" w:eastAsia="仿宋"/>
          <w:color w:val="000000"/>
          <w:sz w:val="32"/>
          <w:szCs w:val="32"/>
        </w:rPr>
        <w:t>0.11</w:t>
      </w:r>
      <w:r>
        <w:rPr>
          <w:rFonts w:hint="eastAsia" w:ascii="仿宋_GB2312" w:eastAsia="仿宋_GB2312"/>
          <w:color w:val="000000"/>
          <w:sz w:val="32"/>
          <w:szCs w:val="32"/>
        </w:rPr>
        <w:t>万元，主要用于执行公务、开展业务活动开支的用餐费。国内公务接待</w:t>
      </w:r>
      <w:r>
        <w:rPr>
          <w:rFonts w:ascii="仿宋_GB2312" w:eastAsia="仿宋_GB2312"/>
          <w:color w:val="000000"/>
          <w:sz w:val="32"/>
          <w:szCs w:val="32"/>
        </w:rPr>
        <w:t>3</w:t>
      </w:r>
      <w:r>
        <w:rPr>
          <w:rFonts w:hint="eastAsia" w:ascii="仿宋_GB2312" w:eastAsia="仿宋_GB2312"/>
          <w:color w:val="000000"/>
          <w:sz w:val="32"/>
          <w:szCs w:val="32"/>
        </w:rPr>
        <w:t>批次，</w:t>
      </w:r>
      <w:r>
        <w:rPr>
          <w:rFonts w:ascii="仿宋_GB2312" w:eastAsia="仿宋_GB2312"/>
          <w:color w:val="000000"/>
          <w:sz w:val="32"/>
          <w:szCs w:val="32"/>
        </w:rPr>
        <w:t>18</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0.11</w:t>
      </w:r>
      <w:r>
        <w:rPr>
          <w:rFonts w:hint="eastAsia" w:ascii="仿宋_GB2312" w:eastAsia="仿宋_GB2312"/>
          <w:color w:val="000000"/>
          <w:sz w:val="32"/>
          <w:szCs w:val="32"/>
        </w:rPr>
        <w:t>万元，具体内容包括：省、州非洲猪瘟防控检查、畜牧工作检查、实验室检查等</w:t>
      </w:r>
      <w:r>
        <w:rPr>
          <w:rFonts w:ascii="仿宋_GB2312" w:eastAsia="仿宋_GB2312"/>
          <w:color w:val="000000"/>
          <w:sz w:val="32"/>
          <w:szCs w:val="32"/>
        </w:rPr>
        <w:t>3</w:t>
      </w:r>
      <w:r>
        <w:rPr>
          <w:rFonts w:hint="eastAsia" w:ascii="仿宋_GB2312" w:eastAsia="仿宋_GB2312"/>
          <w:color w:val="000000"/>
          <w:sz w:val="32"/>
          <w:szCs w:val="32"/>
        </w:rPr>
        <w:t>批次</w:t>
      </w:r>
      <w:r>
        <w:rPr>
          <w:rFonts w:ascii="仿宋_GB2312" w:eastAsia="仿宋_GB2312"/>
          <w:color w:val="000000"/>
          <w:sz w:val="32"/>
          <w:szCs w:val="32"/>
        </w:rPr>
        <w:t>18</w:t>
      </w:r>
      <w:r>
        <w:rPr>
          <w:rFonts w:hint="eastAsia" w:ascii="仿宋_GB2312" w:eastAsia="仿宋_GB2312"/>
          <w:color w:val="000000"/>
          <w:sz w:val="32"/>
          <w:szCs w:val="32"/>
        </w:rPr>
        <w:t>人。</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4"/>
          <w:rFonts w:ascii="黑体" w:eastAsia="黑体"/>
        </w:rPr>
      </w:pPr>
      <w:bookmarkStart w:id="83" w:name="_Toc15396610"/>
      <w:bookmarkStart w:id="84" w:name="_Toc15377218"/>
      <w:bookmarkStart w:id="85" w:name="_Toc79163622"/>
      <w:bookmarkStart w:id="86" w:name="_Toc115081045"/>
      <w:r>
        <w:rPr>
          <w:rFonts w:hint="eastAsia" w:ascii="黑体" w:eastAsia="黑体"/>
          <w:color w:val="000000"/>
          <w:sz w:val="32"/>
          <w:szCs w:val="32"/>
        </w:rPr>
        <w:t>八、</w:t>
      </w:r>
      <w:r>
        <w:rPr>
          <w:rStyle w:val="24"/>
          <w:rFonts w:hint="eastAsia" w:asci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4"/>
          <w:rFonts w:ascii="黑体" w:eastAsia="黑体"/>
          <w:b w:val="0"/>
        </w:rPr>
      </w:pPr>
      <w:bookmarkStart w:id="87" w:name="_Toc15377219"/>
      <w:bookmarkStart w:id="88" w:name="_Toc15396611"/>
      <w:bookmarkStart w:id="89" w:name="_Toc79163623"/>
      <w:bookmarkStart w:id="90" w:name="_Toc115081046"/>
      <w:r>
        <w:rPr>
          <w:rStyle w:val="24"/>
          <w:rFonts w:hint="eastAsia" w:ascii="黑体" w:eastAsia="黑体"/>
          <w:b w:val="0"/>
        </w:rPr>
        <w:t>国有资本经营预算支出决算情况说明</w:t>
      </w:r>
      <w:bookmarkEnd w:id="87"/>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80" w:lineRule="exact"/>
        <w:jc w:val="center"/>
        <w:rPr>
          <w:rFonts w:ascii="方正小标宋简体" w:eastAsia="方正小标宋简体" w:cs="方正小标宋简体"/>
          <w:sz w:val="44"/>
          <w:szCs w:val="44"/>
        </w:rPr>
      </w:pPr>
    </w:p>
    <w:p>
      <w:pPr>
        <w:spacing w:line="600" w:lineRule="exact"/>
        <w:ind w:firstLine="800" w:firstLineChars="250"/>
        <w:outlineLvl w:val="1"/>
        <w:rPr>
          <w:rStyle w:val="24"/>
          <w:rFonts w:ascii="黑体" w:eastAsia="黑体"/>
        </w:rPr>
      </w:pPr>
      <w:bookmarkStart w:id="91" w:name="_Toc15396612"/>
      <w:bookmarkStart w:id="92" w:name="_Toc15377221"/>
      <w:bookmarkStart w:id="93" w:name="_Toc79163624"/>
      <w:bookmarkStart w:id="94" w:name="_Toc115081047"/>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91"/>
      <w:bookmarkEnd w:id="92"/>
      <w:bookmarkEnd w:id="93"/>
      <w:bookmarkEnd w:id="94"/>
    </w:p>
    <w:p>
      <w:pPr>
        <w:spacing w:line="600" w:lineRule="exact"/>
        <w:ind w:firstLine="642" w:firstLineChars="200"/>
        <w:outlineLvl w:val="2"/>
        <w:rPr>
          <w:rFonts w:ascii="仿宋" w:eastAsia="仿宋"/>
          <w:color w:val="000000"/>
          <w:sz w:val="32"/>
          <w:szCs w:val="32"/>
        </w:rPr>
      </w:pPr>
      <w:bookmarkStart w:id="95" w:name="_Toc15377222"/>
      <w:bookmarkStart w:id="96" w:name="_Toc79163625"/>
      <w:bookmarkStart w:id="97" w:name="_Toc115081048"/>
      <w:r>
        <w:rPr>
          <w:rFonts w:hint="eastAsia" w:ascii="仿宋" w:eastAsia="仿宋"/>
          <w:b/>
          <w:color w:val="000000"/>
          <w:sz w:val="32"/>
          <w:szCs w:val="32"/>
        </w:rPr>
        <w:t>（一）机关运行经费支出情况</w:t>
      </w:r>
      <w:bookmarkEnd w:id="95"/>
      <w:bookmarkEnd w:id="96"/>
      <w:bookmarkEnd w:id="97"/>
    </w:p>
    <w:p>
      <w:pPr>
        <w:autoSpaceDN w:val="0"/>
        <w:spacing w:line="600" w:lineRule="exact"/>
        <w:ind w:firstLine="640" w:firstLineChars="200"/>
      </w:pPr>
      <w:r>
        <w:rPr>
          <w:rFonts w:ascii="仿宋_GB2312" w:eastAsia="仿宋_GB2312"/>
          <w:color w:val="000000"/>
          <w:sz w:val="32"/>
          <w:szCs w:val="32"/>
        </w:rPr>
        <w:t>2021</w:t>
      </w:r>
      <w:r>
        <w:rPr>
          <w:rFonts w:hint="eastAsia" w:ascii="仿宋_GB2312" w:eastAsia="仿宋_GB2312"/>
          <w:color w:val="000000"/>
          <w:sz w:val="32"/>
          <w:szCs w:val="32"/>
        </w:rPr>
        <w:t>年，茂县畜牧兽医服务中心(本级)机关运行经费支出</w:t>
      </w:r>
      <w:r>
        <w:rPr>
          <w:rFonts w:ascii="仿宋_GB2312" w:eastAsia="仿宋_GB2312"/>
          <w:color w:val="000000"/>
          <w:sz w:val="32"/>
          <w:szCs w:val="32"/>
        </w:rPr>
        <w:t>9.56</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3.77</w:t>
      </w:r>
      <w:r>
        <w:rPr>
          <w:rFonts w:hint="eastAsia" w:ascii="仿宋_GB2312" w:eastAsia="仿宋_GB2312"/>
          <w:color w:val="000000"/>
          <w:sz w:val="32"/>
          <w:szCs w:val="32"/>
        </w:rPr>
        <w:t>万元，下降2</w:t>
      </w:r>
      <w:r>
        <w:rPr>
          <w:rFonts w:ascii="仿宋_GB2312" w:eastAsia="仿宋_GB2312"/>
          <w:color w:val="000000"/>
          <w:sz w:val="32"/>
          <w:szCs w:val="32"/>
        </w:rPr>
        <w:t>8.28%</w:t>
      </w:r>
      <w:r>
        <w:rPr>
          <w:rFonts w:hint="eastAsia" w:ascii="仿宋_GB2312" w:eastAsia="仿宋_GB2312"/>
          <w:color w:val="000000"/>
          <w:sz w:val="32"/>
          <w:szCs w:val="32"/>
        </w:rPr>
        <w:t>。主要原因是开源节流。</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8" w:name="_Toc15377223"/>
      <w:bookmarkStart w:id="99" w:name="_Toc115081049"/>
      <w:bookmarkStart w:id="100" w:name="_Toc79163626"/>
      <w:r>
        <w:rPr>
          <w:rFonts w:hint="eastAsia" w:asci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年，茂县畜牧兽医服务中心（本级）政府采购支出总额</w:t>
      </w:r>
      <w:r>
        <w:rPr>
          <w:rFonts w:ascii="仿宋_GB2312" w:eastAsia="仿宋_GB2312"/>
          <w:color w:val="000000"/>
          <w:sz w:val="32"/>
          <w:szCs w:val="32"/>
        </w:rPr>
        <w:t>9.86</w:t>
      </w:r>
      <w:r>
        <w:rPr>
          <w:rFonts w:hint="eastAsia" w:ascii="仿宋_GB2312" w:eastAsia="仿宋_GB2312"/>
          <w:color w:val="000000"/>
          <w:sz w:val="32"/>
          <w:szCs w:val="32"/>
        </w:rPr>
        <w:t>万元，其中：政府采购货物支出</w:t>
      </w:r>
      <w:r>
        <w:rPr>
          <w:rFonts w:ascii="仿宋_GB2312" w:eastAsia="仿宋_GB2312"/>
          <w:color w:val="000000"/>
          <w:sz w:val="32"/>
          <w:szCs w:val="32"/>
        </w:rPr>
        <w:t>9.86</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万元。主要用于实验室设备。授予中小企业合同金额</w:t>
      </w:r>
      <w:r>
        <w:rPr>
          <w:rFonts w:ascii="仿宋_GB2312" w:eastAsia="仿宋_GB2312"/>
          <w:color w:val="000000"/>
          <w:sz w:val="32"/>
          <w:szCs w:val="32"/>
        </w:rPr>
        <w:t>9.86</w:t>
      </w:r>
      <w:r>
        <w:rPr>
          <w:rFonts w:hint="eastAsia" w:ascii="仿宋_GB2312" w:eastAsia="仿宋_GB2312"/>
          <w:color w:val="000000"/>
          <w:sz w:val="32"/>
          <w:szCs w:val="32"/>
        </w:rPr>
        <w:t>万元，占政府采购支出总额的</w:t>
      </w:r>
      <w:r>
        <w:rPr>
          <w:rFonts w:ascii="仿宋_GB2312" w:eastAsia="仿宋_GB2312"/>
          <w:color w:val="000000"/>
          <w:sz w:val="32"/>
          <w:szCs w:val="32"/>
        </w:rPr>
        <w:t>100%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1" w:name="_Toc115081050"/>
      <w:bookmarkStart w:id="102" w:name="_Toc79163627"/>
      <w:bookmarkStart w:id="103" w:name="_Toc15377224"/>
      <w:r>
        <w:rPr>
          <w:rFonts w:hint="eastAsia" w:ascii="仿宋" w:eastAsia="仿宋"/>
          <w:b/>
          <w:color w:val="000000"/>
          <w:sz w:val="32"/>
          <w:szCs w:val="32"/>
        </w:rPr>
        <w:t>（三）国有资产占有使用情况</w:t>
      </w:r>
      <w:bookmarkEnd w:id="101"/>
      <w:bookmarkEnd w:id="102"/>
      <w:bookmarkEnd w:id="103"/>
    </w:p>
    <w:p>
      <w:pPr>
        <w:autoSpaceDE w:val="0"/>
        <w:autoSpaceDN w:val="0"/>
        <w:adjustRightInd w:val="0"/>
        <w:spacing w:line="600" w:lineRule="exact"/>
        <w:ind w:firstLine="640" w:firstLineChars="200"/>
        <w:rPr>
          <w:rFonts w:ascii="仿宋" w:eastAsia="仿宋"/>
          <w:b/>
          <w:bCs/>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04" w:name="_Toc79163628"/>
      <w:r>
        <w:rPr>
          <w:rFonts w:hint="eastAsia" w:ascii="仿宋_GB2312" w:eastAsia="仿宋_GB2312"/>
          <w:color w:val="000000"/>
          <w:sz w:val="32"/>
          <w:szCs w:val="32"/>
        </w:rPr>
        <w:t>茂县畜牧兽医服务中心（本级）共有车辆</w:t>
      </w:r>
      <w:r>
        <w:rPr>
          <w:rFonts w:ascii="仿宋_GB2312" w:eastAsia="仿宋_GB2312"/>
          <w:color w:val="000000"/>
          <w:sz w:val="32"/>
          <w:szCs w:val="32"/>
        </w:rPr>
        <w:t>4</w:t>
      </w:r>
      <w:r>
        <w:rPr>
          <w:rFonts w:hint="eastAsia" w:ascii="仿宋_GB2312" w:eastAsia="仿宋_GB2312"/>
          <w:color w:val="000000"/>
          <w:sz w:val="32"/>
          <w:szCs w:val="32"/>
        </w:rPr>
        <w:t>辆，其中：主要领导干部用车0辆、机要通信用车0辆、应急保障用车4辆、其他用车0辆。单价50万元以上通用设备0台（套），单价100万元以上专用设备0台（套）。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105" w:name="_Toc115081051"/>
      <w:r>
        <w:rPr>
          <w:rFonts w:hint="eastAsia" w:ascii="仿宋" w:eastAsia="仿宋"/>
          <w:b/>
          <w:color w:val="000000"/>
          <w:sz w:val="32"/>
          <w:szCs w:val="32"/>
        </w:rPr>
        <w:t>（四）预算绩效管理情况</w:t>
      </w:r>
      <w:bookmarkEnd w:id="104"/>
      <w:bookmarkEnd w:id="105"/>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根据预算绩效管理要求，本单位在年初预算编制阶段，组织对“草原生态保护补助奖励政策项目”、“中央动物防疫经费”等项目开展了预算事前绩效评估，对</w:t>
      </w:r>
      <w:r>
        <w:rPr>
          <w:rFonts w:ascii="仿宋_GB2312" w:eastAsia="仿宋_GB2312" w:cs="仿宋_GB2312"/>
          <w:sz w:val="32"/>
          <w:szCs w:val="32"/>
        </w:rPr>
        <w:t>2</w:t>
      </w:r>
      <w:r>
        <w:rPr>
          <w:rFonts w:hint="eastAsia" w:ascii="仿宋_GB2312" w:eastAsia="仿宋_GB2312" w:cs="仿宋_GB2312"/>
          <w:sz w:val="32"/>
          <w:szCs w:val="32"/>
        </w:rPr>
        <w:t>个项目编制了绩效目标，预算执行过程中，选取</w:t>
      </w:r>
      <w:r>
        <w:rPr>
          <w:rFonts w:ascii="仿宋_GB2312" w:eastAsia="仿宋_GB2312" w:cs="仿宋_GB2312"/>
          <w:sz w:val="32"/>
          <w:szCs w:val="32"/>
        </w:rPr>
        <w:t>2</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2</w:t>
      </w:r>
      <w:r>
        <w:rPr>
          <w:rFonts w:hint="eastAsia" w:ascii="仿宋_GB2312" w:eastAsia="仿宋_GB2312" w:cs="仿宋_GB2312"/>
          <w:sz w:val="32"/>
          <w:szCs w:val="32"/>
        </w:rPr>
        <w:t>个项目开展了绩效目标完成情况自评。</w:t>
      </w:r>
    </w:p>
    <w:p>
      <w:pPr>
        <w:autoSpaceDN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本单位按要求对</w:t>
      </w:r>
      <w:r>
        <w:rPr>
          <w:rFonts w:ascii="仿宋_GB2312" w:eastAsia="仿宋_GB2312" w:cs="仿宋_GB2312"/>
          <w:sz w:val="32"/>
          <w:szCs w:val="32"/>
        </w:rPr>
        <w:t>2021</w:t>
      </w:r>
      <w:r>
        <w:rPr>
          <w:rFonts w:hint="eastAsia" w:ascii="仿宋_GB2312" w:eastAsia="仿宋_GB2312" w:cs="仿宋_GB2312"/>
          <w:sz w:val="32"/>
          <w:szCs w:val="32"/>
        </w:rPr>
        <w:t>年部门整体支出开展绩效自评，从评价情况来看，</w:t>
      </w:r>
      <w:r>
        <w:rPr>
          <w:rFonts w:ascii="仿宋_GB2312" w:eastAsia="仿宋_GB2312" w:cs="仿宋_GB2312"/>
          <w:sz w:val="32"/>
          <w:szCs w:val="32"/>
        </w:rPr>
        <w:t>2021</w:t>
      </w:r>
      <w:r>
        <w:rPr>
          <w:rFonts w:hint="eastAsia" w:ascii="仿宋_GB2312" w:eastAsia="仿宋_GB2312" w:cs="仿宋_GB2312"/>
          <w:sz w:val="32"/>
          <w:szCs w:val="32"/>
        </w:rPr>
        <w:t>年我单位整体支出绩效评价自查自评结果良好，全年基本支出保证了部门的正常运行和日常工作的正常开展，绩效目标得到较好实现，绩效管理水平不断提高，绩效指标体系逐级渐丰富和完善。</w:t>
      </w:r>
    </w:p>
    <w:p>
      <w:pPr>
        <w:spacing w:line="580" w:lineRule="exact"/>
        <w:ind w:firstLine="640" w:firstLineChars="200"/>
        <w:rPr>
          <w:rFonts w:ascii="仿宋_GB2312" w:eastAsia="仿宋_GB2312" w:cs="仿宋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r>
        <w:rPr>
          <w:rFonts w:ascii="楷体_GB2312" w:eastAsia="楷体_GB2312" w:cs="楷体_GB2312"/>
          <w:sz w:val="32"/>
          <w:szCs w:val="32"/>
        </w:rPr>
        <w:br w:type="textWrapping"/>
      </w:r>
      <w:r>
        <w:rPr>
          <w:rFonts w:ascii="仿宋_GB2312" w:eastAsia="仿宋_GB2312" w:cs="仿宋_GB2312"/>
          <w:sz w:val="32"/>
          <w:szCs w:val="32"/>
        </w:rPr>
        <w:t xml:space="preserve">    </w:t>
      </w:r>
      <w:r>
        <w:rPr>
          <w:rFonts w:hint="eastAsia" w:ascii="仿宋_GB2312" w:eastAsia="仿宋_GB2312" w:cs="仿宋_GB2312"/>
          <w:sz w:val="32"/>
          <w:szCs w:val="32"/>
        </w:rPr>
        <w:t>本单位在</w:t>
      </w:r>
      <w:r>
        <w:rPr>
          <w:rFonts w:ascii="仿宋_GB2312" w:eastAsia="仿宋_GB2312" w:cs="仿宋_GB2312"/>
          <w:sz w:val="32"/>
          <w:szCs w:val="32"/>
        </w:rPr>
        <w:t>2021</w:t>
      </w:r>
      <w:r>
        <w:rPr>
          <w:rFonts w:hint="eastAsia" w:ascii="仿宋_GB2312" w:eastAsia="仿宋_GB2312" w:cs="仿宋_GB2312"/>
          <w:sz w:val="32"/>
          <w:szCs w:val="32"/>
        </w:rPr>
        <w:t>年度部门决算中反映“草原生态保护补助奖励政策项目”、“中央动物防疫经费”等</w:t>
      </w:r>
      <w:r>
        <w:rPr>
          <w:rFonts w:ascii="仿宋_GB2312" w:eastAsia="仿宋_GB2312" w:cs="仿宋_GB2312"/>
          <w:sz w:val="32"/>
          <w:szCs w:val="32"/>
        </w:rPr>
        <w:t>2</w:t>
      </w:r>
      <w:r>
        <w:rPr>
          <w:rFonts w:hint="eastAsia" w:ascii="仿宋_GB2312" w:eastAsia="仿宋_GB2312" w:cs="仿宋_GB2312"/>
          <w:sz w:val="32"/>
          <w:szCs w:val="32"/>
        </w:rPr>
        <w:t>个项目绩效目标实际完成情况。</w:t>
      </w:r>
    </w:p>
    <w:p>
      <w:pPr>
        <w:autoSpaceDN w:val="0"/>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w:t>
      </w:r>
      <w:bookmarkStart w:id="106" w:name="_Hlk114555487"/>
      <w:r>
        <w:rPr>
          <w:rFonts w:hint="eastAsia" w:ascii="仿宋_GB2312" w:eastAsia="仿宋_GB2312" w:cs="仿宋_GB2312"/>
          <w:sz w:val="32"/>
          <w:szCs w:val="32"/>
        </w:rPr>
        <w:t>草原生态保护补助奖励政策项目</w:t>
      </w:r>
      <w:bookmarkEnd w:id="106"/>
      <w:r>
        <w:rPr>
          <w:rFonts w:hint="eastAsia" w:ascii="仿宋_GB2312" w:eastAsia="仿宋_GB2312" w:cs="仿宋_GB2312"/>
          <w:sz w:val="32"/>
          <w:szCs w:val="32"/>
        </w:rPr>
        <w:t>”绩效目标完成情况综述。项目全年预算数</w:t>
      </w:r>
      <w:r>
        <w:rPr>
          <w:rFonts w:ascii="仿宋_GB2312" w:eastAsia="仿宋_GB2312" w:cs="仿宋_GB2312"/>
          <w:sz w:val="32"/>
          <w:szCs w:val="32"/>
        </w:rPr>
        <w:t>468.35</w:t>
      </w:r>
      <w:r>
        <w:rPr>
          <w:rFonts w:hint="eastAsia" w:ascii="仿宋_GB2312" w:eastAsia="仿宋_GB2312" w:cs="仿宋_GB2312"/>
          <w:sz w:val="32"/>
          <w:szCs w:val="32"/>
        </w:rPr>
        <w:t>万元，执行数为</w:t>
      </w:r>
      <w:r>
        <w:rPr>
          <w:rFonts w:ascii="仿宋_GB2312" w:eastAsia="仿宋_GB2312" w:cs="仿宋_GB2312"/>
          <w:sz w:val="32"/>
          <w:szCs w:val="32"/>
        </w:rPr>
        <w:t>468.35</w:t>
      </w:r>
      <w:r>
        <w:rPr>
          <w:rFonts w:hint="eastAsia" w:ascii="仿宋_GB2312" w:eastAsia="仿宋_GB2312" w:cs="仿宋_GB2312"/>
          <w:sz w:val="32"/>
          <w:szCs w:val="32"/>
        </w:rPr>
        <w:t>万元，完成预算的100%。通过项目实施，保进一步落实禁牧休牧、草畜平衡制度，草原植被进一步恢复，草畜动态平衡进一步巩固，畜牧业生产方式加快转变，牧民群众收入稳步增加，确保草原补奖政策平稳有效运行，没有偏离绩效目标。资金使用没有出现截留挪用、违规冒领等问题。</w:t>
      </w:r>
    </w:p>
    <w:p>
      <w:pPr>
        <w:autoSpaceDN w:val="0"/>
        <w:spacing w:line="580" w:lineRule="exact"/>
        <w:ind w:firstLine="640" w:firstLineChars="200"/>
        <w:rPr>
          <w:rFonts w:ascii="仿宋_GB2312" w:hAnsi="仿宋" w:eastAsia="仿宋_GB2312"/>
          <w:color w:val="000000"/>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）“中央动物防疫经费”绩效目标完成情况综述。项目全年预算数</w:t>
      </w:r>
      <w:r>
        <w:rPr>
          <w:rFonts w:ascii="仿宋_GB2312" w:eastAsia="仿宋_GB2312" w:cs="仿宋_GB2312"/>
          <w:sz w:val="32"/>
          <w:szCs w:val="32"/>
        </w:rPr>
        <w:t>64.7</w:t>
      </w:r>
      <w:r>
        <w:rPr>
          <w:rFonts w:hint="eastAsia" w:ascii="仿宋_GB2312" w:eastAsia="仿宋_GB2312" w:cs="仿宋_GB2312"/>
          <w:sz w:val="32"/>
          <w:szCs w:val="32"/>
        </w:rPr>
        <w:t>万元，执行数为</w:t>
      </w:r>
      <w:r>
        <w:rPr>
          <w:rFonts w:ascii="仿宋_GB2312" w:eastAsia="仿宋_GB2312" w:cs="仿宋_GB2312"/>
          <w:sz w:val="32"/>
          <w:szCs w:val="32"/>
        </w:rPr>
        <w:t>64.7</w:t>
      </w:r>
      <w:r>
        <w:rPr>
          <w:rFonts w:hint="eastAsia" w:ascii="仿宋_GB2312" w:eastAsia="仿宋_GB2312" w:cs="仿宋_GB2312"/>
          <w:sz w:val="32"/>
          <w:szCs w:val="32"/>
        </w:rPr>
        <w:t>万元，完成预算的</w:t>
      </w:r>
      <w:r>
        <w:rPr>
          <w:rFonts w:ascii="仿宋_GB2312" w:eastAsia="仿宋_GB2312" w:cs="仿宋_GB2312"/>
          <w:sz w:val="32"/>
          <w:szCs w:val="32"/>
        </w:rPr>
        <w:t>100%</w:t>
      </w:r>
      <w:r>
        <w:rPr>
          <w:rFonts w:hint="eastAsia" w:ascii="仿宋_GB2312" w:eastAsia="仿宋_GB2312" w:cs="仿宋_GB2312"/>
          <w:sz w:val="32"/>
          <w:szCs w:val="32"/>
        </w:rPr>
        <w:t>。通过项目实施，</w:t>
      </w:r>
      <w:r>
        <w:rPr>
          <w:rFonts w:hint="eastAsia" w:ascii="仿宋_GB2312" w:hAnsi="仿宋" w:eastAsia="仿宋_GB2312"/>
          <w:color w:val="000000"/>
          <w:sz w:val="32"/>
          <w:szCs w:val="32"/>
        </w:rPr>
        <w:t>提高了高致病性禽流感、牛羊猪口蹄疫、小反刍兽疫强制免疫病种的群体免疫，免疫密度维持在90%以上，其中应免畜禽免疫密度达到100%，免疫抗体合格率常年保持在70%以上。</w:t>
      </w:r>
      <w:r>
        <w:rPr>
          <w:rFonts w:hint="eastAsia" w:ascii="仿宋_GB2312" w:eastAsia="仿宋_GB2312" w:cs="仿宋_GB2312"/>
          <w:sz w:val="32"/>
          <w:szCs w:val="32"/>
        </w:rPr>
        <w:t>资金使用没有出现截留挪用、违规冒领等问题。</w:t>
      </w: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8"/>
                <w:szCs w:val="28"/>
              </w:rPr>
            </w:pPr>
            <w:bookmarkStart w:id="107" w:name="_Hlk114820751"/>
            <w:r>
              <w:rPr>
                <w:rFonts w:hint="eastAsia" w:ascii="仿宋_GB2312" w:eastAsia="仿宋_GB2312" w:cs="仿宋_GB2312"/>
                <w:sz w:val="28"/>
                <w:szCs w:val="28"/>
              </w:rPr>
              <w:t>草原生态保护补助奖励政策项目</w:t>
            </w:r>
            <w:bookmarkEnd w:id="107"/>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茂县畜牧兽医服务中心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468.35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总资金468.35万元，其中：实施草原禁牧补助221.85万元，实施草畜平衡补助246.5万元。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完成兑现补奖资金468.35万元，资金兑现率100%。其中：兑现禁牧补助221.85万元，兑现草畜平衡补助资金246.5万元。</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禁牧补助</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221.85</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221.85</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草畜平衡补助</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246.5</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24"/>
              </w:rPr>
            </w:pPr>
            <w:r>
              <w:rPr>
                <w:rFonts w:hint="eastAsia" w:ascii="仿宋_GB2312" w:eastAsia="仿宋_GB2312"/>
                <w:sz w:val="24"/>
              </w:rPr>
              <w:t>246.5</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总补奖资金</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468.35</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24"/>
              </w:rPr>
            </w:pPr>
            <w:r>
              <w:rPr>
                <w:rFonts w:hint="eastAsia" w:ascii="仿宋_GB2312" w:eastAsia="仿宋_GB2312"/>
                <w:sz w:val="24"/>
              </w:rPr>
              <w:t>468.35</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质量指标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补贴资金到户率</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≥90%</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1</w:t>
            </w:r>
            <w:r>
              <w:rPr>
                <w:rFonts w:ascii="仿宋_GB2312" w:hAnsi="仿宋_GB2312" w:cs="仿宋_GB2312"/>
                <w:color w:val="000000"/>
                <w:kern w:val="0"/>
                <w:sz w:val="24"/>
                <w:lang w:bidi="ar"/>
              </w:rPr>
              <w:t>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补贴资金发放到位时间12月前</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农牧民满意度</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≥80%</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tbl>
      <w:tblPr>
        <w:tblStyle w:val="19"/>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bookmarkStart w:id="108" w:name="_Hlk114236861"/>
            <w:r>
              <w:rPr>
                <w:rFonts w:hint="eastAsia" w:ascii="仿宋_GB2312" w:eastAsia="仿宋_GB2312" w:cs="仿宋_GB2312"/>
                <w:sz w:val="28"/>
                <w:szCs w:val="28"/>
              </w:rPr>
              <w:t>中央动物防疫经费</w:t>
            </w:r>
            <w:bookmarkEnd w:id="108"/>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茂县畜牧兽医服务中心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hAnsi="宋体" w:cs="宋体"/>
                <w:color w:val="000000"/>
                <w:sz w:val="24"/>
              </w:rPr>
              <w:t>64.7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64.7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2"/>
                <w:szCs w:val="22"/>
              </w:rPr>
              <w:t>全面加强动物疫病防控，主要是开展动物强制免疫、防疫消毒、疫病监测、实验室检测等工作。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firstLine="330" w:firstLineChars="150"/>
              <w:jc w:val="left"/>
              <w:textAlignment w:val="top"/>
              <w:rPr>
                <w:rFonts w:ascii="宋体" w:hAnsi="宋体" w:cs="宋体"/>
                <w:color w:val="000000"/>
                <w:sz w:val="22"/>
                <w:szCs w:val="22"/>
              </w:rPr>
            </w:pPr>
            <w:r>
              <w:rPr>
                <w:rFonts w:hint="eastAsia" w:ascii="宋体" w:hAnsi="宋体" w:cs="宋体"/>
                <w:color w:val="000000"/>
                <w:sz w:val="22"/>
                <w:szCs w:val="22"/>
              </w:rPr>
              <w:t xml:space="preserve">1.完成全年牲畜春秋两防免疫。 </w:t>
            </w:r>
            <w:r>
              <w:rPr>
                <w:rFonts w:ascii="宋体" w:hAnsi="宋体" w:cs="宋体"/>
                <w:color w:val="000000"/>
                <w:sz w:val="22"/>
                <w:szCs w:val="22"/>
              </w:rPr>
              <w:t xml:space="preserve">      </w:t>
            </w:r>
          </w:p>
          <w:p>
            <w:pPr>
              <w:widowControl/>
              <w:spacing w:line="320" w:lineRule="exact"/>
              <w:ind w:firstLine="330" w:firstLineChars="150"/>
              <w:jc w:val="left"/>
              <w:textAlignment w:val="top"/>
              <w:rPr>
                <w:rFonts w:ascii="宋体" w:hAnsi="宋体" w:cs="宋体"/>
                <w:color w:val="000000"/>
                <w:sz w:val="22"/>
                <w:szCs w:val="22"/>
              </w:rPr>
            </w:pPr>
            <w:r>
              <w:rPr>
                <w:rFonts w:hint="eastAsia" w:ascii="宋体" w:hAnsi="宋体" w:cs="宋体"/>
                <w:color w:val="000000"/>
                <w:sz w:val="22"/>
                <w:szCs w:val="22"/>
              </w:rPr>
              <w:t>2.完成实验室疫病检测等工作。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2"/>
                <w:szCs w:val="22"/>
              </w:rPr>
            </w:pPr>
            <w:r>
              <w:rPr>
                <w:rFonts w:hint="eastAsia" w:ascii="仿宋_GB2312" w:hAnsi="仿宋_GB2312" w:cs="仿宋_GB2312"/>
                <w:color w:val="000000"/>
                <w:sz w:val="22"/>
                <w:szCs w:val="22"/>
              </w:rPr>
              <w:t>全县共聘用149名村级动物防疫员，每人年平均0.11万元，资金共16.35万元。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用于全县149名村级防疫员补助</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完成149名村级防疫员补助1</w:t>
            </w:r>
            <w:r>
              <w:rPr>
                <w:rFonts w:ascii="仿宋_GB2312" w:eastAsia="仿宋_GB2312"/>
                <w:sz w:val="24"/>
              </w:rPr>
              <w:t>6.35</w:t>
            </w:r>
            <w:r>
              <w:rPr>
                <w:rFonts w:hint="eastAsia" w:ascii="仿宋_GB2312" w:eastAsia="仿宋_GB2312"/>
                <w:sz w:val="24"/>
              </w:rPr>
              <w:t>万</w:t>
            </w:r>
          </w:p>
          <w:p>
            <w:pPr>
              <w:jc w:val="center"/>
              <w:rPr>
                <w:rFonts w:ascii="仿宋_GB2312" w:eastAsia="仿宋_GB2312"/>
                <w:sz w:val="24"/>
              </w:rPr>
            </w:pPr>
            <w:r>
              <w:rPr>
                <w:rFonts w:hint="eastAsia" w:ascii="仿宋_GB2312" w:eastAsia="仿宋_GB2312"/>
                <w:sz w:val="24"/>
              </w:rPr>
              <w:t>元</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聘用专职驾驶员两名，为全县动物防疫工作服务，每人每年劳务费3万元，共6万元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驾驶员补助</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24"/>
              </w:rPr>
            </w:pPr>
            <w:r>
              <w:rPr>
                <w:rFonts w:hint="eastAsia" w:ascii="仿宋_GB2312" w:eastAsia="仿宋_GB2312"/>
                <w:sz w:val="24"/>
              </w:rPr>
              <w:t>完成驾驶员补助6万元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村防员包虫病、布病防疫补助全县149名村级动物防疫员兼任，每人年平均0.15万元，共22.35万元。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用于全县149名村级防疫员补助</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eastAsia="仿宋_GB2312"/>
                <w:sz w:val="24"/>
              </w:rPr>
            </w:pPr>
            <w:r>
              <w:rPr>
                <w:rFonts w:hint="eastAsia" w:ascii="仿宋_GB2312" w:eastAsia="仿宋_GB2312"/>
                <w:sz w:val="24"/>
              </w:rPr>
              <w:t>完成149名村级防疫员补助</w:t>
            </w:r>
            <w:r>
              <w:rPr>
                <w:rFonts w:ascii="仿宋_GB2312" w:eastAsia="仿宋_GB2312"/>
                <w:sz w:val="24"/>
              </w:rPr>
              <w:t>22.35</w:t>
            </w:r>
            <w:r>
              <w:rPr>
                <w:rFonts w:hint="eastAsia" w:ascii="仿宋_GB2312" w:eastAsia="仿宋_GB2312"/>
                <w:sz w:val="24"/>
              </w:rPr>
              <w:t>万</w:t>
            </w:r>
          </w:p>
          <w:p>
            <w:pPr>
              <w:jc w:val="center"/>
              <w:rPr>
                <w:rFonts w:ascii="仿宋_GB2312" w:hAnsi="仿宋_GB2312" w:eastAsia="仿宋_GB2312" w:cs="仿宋_GB2312"/>
                <w:color w:val="000000"/>
                <w:sz w:val="24"/>
              </w:rPr>
            </w:pPr>
            <w:r>
              <w:rPr>
                <w:rFonts w:hint="eastAsia" w:ascii="仿宋_GB2312" w:eastAsia="仿宋_GB2312"/>
                <w:sz w:val="24"/>
              </w:rPr>
              <w:t>元</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数量指标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用于疫病监测、流行病学调查、免疫抗体和实验室疫病检测等耗材共20万元</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实验室检测</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1</w:t>
            </w:r>
            <w:r>
              <w:rPr>
                <w:rFonts w:ascii="仿宋_GB2312" w:hAnsi="仿宋_GB2312" w:cs="仿宋_GB2312"/>
                <w:color w:val="000000"/>
                <w:kern w:val="0"/>
                <w:sz w:val="24"/>
                <w:lang w:bidi="ar"/>
              </w:rPr>
              <w:t>00%</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时效指标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补贴资金发放到位时间12月前</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2</w:t>
            </w:r>
            <w:r>
              <w:rPr>
                <w:rFonts w:ascii="仿宋_GB2312" w:hAnsi="仿宋_GB2312" w:cs="仿宋_GB2312"/>
                <w:color w:val="000000"/>
                <w:sz w:val="24"/>
              </w:rPr>
              <w:t>021</w:t>
            </w:r>
            <w:r>
              <w:rPr>
                <w:rFonts w:hint="eastAsia" w:ascii="仿宋_GB2312" w:hAnsi="仿宋_GB2312" w:cs="仿宋_GB2312"/>
                <w:color w:val="000000"/>
                <w:sz w:val="24"/>
              </w:rPr>
              <w:t>年1</w:t>
            </w:r>
            <w:r>
              <w:rPr>
                <w:rFonts w:ascii="仿宋_GB2312" w:hAnsi="仿宋_GB2312" w:cs="仿宋_GB2312"/>
                <w:color w:val="000000"/>
                <w:sz w:val="24"/>
              </w:rPr>
              <w:t>2</w:t>
            </w:r>
            <w:r>
              <w:rPr>
                <w:rFonts w:hint="eastAsia" w:ascii="仿宋_GB2312" w:hAnsi="仿宋_GB2312" w:cs="仿宋_GB2312"/>
                <w:color w:val="000000"/>
                <w:sz w:val="24"/>
              </w:rPr>
              <w:t>月2</w:t>
            </w:r>
            <w:r>
              <w:rPr>
                <w:rFonts w:ascii="仿宋_GB2312" w:hAnsi="仿宋_GB2312" w:cs="仿宋_GB2312"/>
                <w:color w:val="000000"/>
                <w:sz w:val="24"/>
              </w:rPr>
              <w:t>0</w:t>
            </w:r>
            <w:r>
              <w:rPr>
                <w:rFonts w:hint="eastAsia" w:ascii="仿宋_GB2312" w:hAnsi="仿宋_GB2312" w:cs="仿宋_GB2312"/>
                <w:color w:val="000000"/>
                <w:sz w:val="24"/>
              </w:rPr>
              <w:t>日</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社会效益  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资金使用无重大违规违纪问题</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无</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kern w:val="0"/>
                <w:sz w:val="24"/>
                <w:lang w:bidi="ar"/>
              </w:rPr>
            </w:pPr>
            <w:r>
              <w:rPr>
                <w:rFonts w:hint="eastAsia" w:ascii="仿宋_GB2312" w:hAnsi="仿宋_GB2312" w:cs="仿宋_GB2312"/>
                <w:color w:val="000000"/>
                <w:kern w:val="0"/>
                <w:sz w:val="24"/>
                <w:lang w:bidi="ar"/>
              </w:rPr>
              <w:t>满意度</w:t>
            </w:r>
          </w:p>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农牧民满意度</w:t>
            </w:r>
          </w:p>
        </w:tc>
        <w:tc>
          <w:tcPr>
            <w:tcW w:w="23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w:t>
            </w:r>
            <w:r>
              <w:rPr>
                <w:rFonts w:ascii="仿宋_GB2312" w:hAnsi="仿宋_GB2312" w:cs="仿宋_GB2312"/>
                <w:color w:val="000000"/>
                <w:sz w:val="24"/>
              </w:rPr>
              <w:t>90</w:t>
            </w:r>
            <w:r>
              <w:rPr>
                <w:rFonts w:hint="eastAsia" w:ascii="仿宋_GB2312" w:hAnsi="仿宋_GB2312" w:cs="仿宋_GB2312"/>
                <w:color w:val="000000"/>
                <w:sz w:val="24"/>
              </w:rPr>
              <w:t>%</w:t>
            </w:r>
          </w:p>
        </w:tc>
        <w:tc>
          <w:tcPr>
            <w:tcW w:w="23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sz w:val="24"/>
              </w:rPr>
            </w:pPr>
            <w:r>
              <w:rPr>
                <w:rFonts w:hint="eastAsia" w:ascii="仿宋_GB2312" w:hAnsi="仿宋_GB2312" w:cs="仿宋_GB2312"/>
                <w:color w:val="000000"/>
                <w:sz w:val="24"/>
              </w:rPr>
              <w:t>≥95%</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本单位按要求对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年部门整体支出绩效评价情况开展自评，《茂县畜牧兽医服务中心（本级）</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本单位自行组织对“草原生态保护补助奖励政策项目”、“中央动物防疫经费”开展了绩效评价，《草原生态保护补助奖励政策项目</w:t>
      </w:r>
      <w:r>
        <w:rPr>
          <w:rFonts w:ascii="仿宋_GB2312" w:eastAsia="仿宋_GB2312" w:cs="仿宋_GB2312"/>
          <w:sz w:val="32"/>
          <w:szCs w:val="32"/>
        </w:rPr>
        <w:t>2021</w:t>
      </w:r>
      <w:r>
        <w:rPr>
          <w:rFonts w:hint="eastAsia" w:ascii="仿宋_GB2312" w:eastAsia="仿宋_GB2312" w:cs="仿宋_GB2312"/>
          <w:sz w:val="32"/>
          <w:szCs w:val="32"/>
        </w:rPr>
        <w:t>年绩效评价报告》、《中央动物防疫经费项目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2-3</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3"/>
          <w:rFonts w:ascii="黑体" w:eastAsia="黑体"/>
          <w:b w:val="0"/>
        </w:rPr>
      </w:pPr>
      <w:bookmarkStart w:id="109" w:name="_Toc79163629"/>
      <w:bookmarkStart w:id="110" w:name="_Toc115081052"/>
      <w:bookmarkStart w:id="111" w:name="_Toc15377225"/>
      <w:bookmarkStart w:id="112" w:name="_Toc15396613"/>
      <w:r>
        <w:rPr>
          <w:rFonts w:hint="eastAsia" w:ascii="黑体" w:eastAsia="黑体"/>
          <w:color w:val="000000"/>
          <w:sz w:val="44"/>
          <w:szCs w:val="44"/>
        </w:rPr>
        <w:t>名</w:t>
      </w:r>
      <w:r>
        <w:rPr>
          <w:rStyle w:val="23"/>
          <w:rFonts w:hint="eastAsia" w:ascii="黑体" w:eastAsia="黑体"/>
          <w:b w:val="0"/>
        </w:rPr>
        <w:t>词解释</w:t>
      </w:r>
      <w:bookmarkEnd w:id="109"/>
      <w:bookmarkEnd w:id="110"/>
      <w:bookmarkEnd w:id="111"/>
      <w:bookmarkEnd w:id="112"/>
    </w:p>
    <w:p>
      <w:pPr>
        <w:spacing w:line="600" w:lineRule="exact"/>
        <w:jc w:val="left"/>
        <w:rPr>
          <w:rFonts w:ascii="宋体"/>
          <w:b/>
          <w:color w:val="000000"/>
          <w:sz w:val="44"/>
          <w:szCs w:val="44"/>
        </w:rPr>
      </w:pPr>
    </w:p>
    <w:p>
      <w:pPr>
        <w:pStyle w:val="28"/>
        <w:spacing w:line="560" w:lineRule="exact"/>
        <w:ind w:firstLine="640" w:firstLineChars="200"/>
        <w:rPr>
          <w:rFonts w:ascii="仿宋_GB2312" w:eastAsia="仿宋_GB2312"/>
          <w:sz w:val="32"/>
          <w:szCs w:val="32"/>
        </w:rPr>
      </w:pPr>
      <w:bookmarkStart w:id="113" w:name="_Toc15377226"/>
      <w:r>
        <w:rPr>
          <w:rFonts w:hint="eastAsia" w:ascii="仿宋_GB2312" w:eastAsia="仿宋_GB2312"/>
          <w:sz w:val="32"/>
          <w:szCs w:val="32"/>
        </w:rPr>
        <w:t>1.财政拨款收入：指单位从同级财政部门取得的财政预算资金。</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5.使用非财政拨款结余：指事业单位使用以前年度积累的非财政拨款结余弥补当年收支差额的金额。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9.科学技术支出（类）其他科学技术支出（款）其他科学技术支出（项）:指反映其他科学技术支出中除以上各项外用于科技方面的支出。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2.社会保障和就业支出（类）行政事业单位养老支出（款）机关事业单位基本养老保险缴费支出（项）:反映机关事业单位实施养老保险制度由单位缴纳的基本养老保险支出。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3.社会保障和就业支出（类）行政事业单位养老支出（款）机关事业单位职业年金缴费支出（项）:指反映机关事业单位实施养老保险制度由单位缴纳的基本养老保险费支出。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4.卫生健康支出（类）公共卫生（款）重大公共卫生服务（项）:指反映重大疾病、重大传染病预防控制等重大公共卫生服务项目支出。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5.卫生健康支出（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人员的医疗经费。</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6.</w:t>
      </w:r>
      <w:r>
        <w:rPr>
          <w:rFonts w:hint="eastAsia" w:ascii="仿宋_GB2312" w:eastAsia="仿宋_GB2312"/>
          <w:bCs/>
          <w:color w:val="000000"/>
          <w:sz w:val="32"/>
          <w:szCs w:val="32"/>
        </w:rPr>
        <w:t>卫生健康支出</w:t>
      </w:r>
      <w:r>
        <w:rPr>
          <w:rStyle w:val="21"/>
          <w:rFonts w:hint="eastAsia" w:ascii="仿宋_GB2312" w:eastAsia="仿宋_GB2312"/>
          <w:b w:val="0"/>
          <w:bCs/>
          <w:color w:val="000000"/>
          <w:sz w:val="32"/>
          <w:szCs w:val="32"/>
        </w:rPr>
        <w:t>（类）行政事业单位医疗（款）事业单位医疗（项）:指反映财政部门安排的事业单位基本医疗保险缴费经费，未参加医疗保险的事业单位的公费医疗经费，按国家规定享受离休人员待遇的医疗经费。</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7.</w:t>
      </w:r>
      <w:r>
        <w:rPr>
          <w:rFonts w:hint="eastAsia" w:ascii="仿宋_GB2312" w:eastAsia="仿宋_GB2312"/>
          <w:bCs/>
          <w:color w:val="000000"/>
          <w:sz w:val="32"/>
          <w:szCs w:val="32"/>
        </w:rPr>
        <w:t>农林水支出</w:t>
      </w:r>
      <w:r>
        <w:rPr>
          <w:rStyle w:val="21"/>
          <w:rFonts w:hint="eastAsia" w:ascii="仿宋_GB2312" w:eastAsia="仿宋_GB2312"/>
          <w:color w:val="000000"/>
          <w:sz w:val="32"/>
          <w:szCs w:val="32"/>
        </w:rPr>
        <w:t>（</w:t>
      </w:r>
      <w:r>
        <w:rPr>
          <w:rStyle w:val="21"/>
          <w:rFonts w:hint="eastAsia" w:ascii="仿宋_GB2312" w:eastAsia="仿宋_GB2312"/>
          <w:b w:val="0"/>
          <w:bCs/>
          <w:color w:val="000000"/>
          <w:sz w:val="32"/>
          <w:szCs w:val="32"/>
        </w:rPr>
        <w:t>类）农业农村（款）行政运行（项）:指反映行政单位（包括实行公务员管理的事业单位）的基本支出。</w:t>
      </w:r>
    </w:p>
    <w:p>
      <w:pPr>
        <w:autoSpaceDN w:val="0"/>
        <w:spacing w:line="600" w:lineRule="exact"/>
        <w:ind w:firstLine="640" w:firstLineChars="200"/>
        <w:rPr>
          <w:rStyle w:val="21"/>
        </w:rPr>
      </w:pPr>
      <w:r>
        <w:rPr>
          <w:rStyle w:val="21"/>
          <w:rFonts w:hint="eastAsia" w:ascii="仿宋_GB2312" w:eastAsia="仿宋_GB2312"/>
          <w:b w:val="0"/>
          <w:bCs/>
          <w:color w:val="000000"/>
          <w:sz w:val="32"/>
          <w:szCs w:val="32"/>
        </w:rPr>
        <w:t>8.</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（类）农业农村（款）事业运行（项）:指反映用于事业单位基本支出，事业单位设施、系统运行与资产维护等方面的支出。</w:t>
      </w:r>
    </w:p>
    <w:p>
      <w:pPr>
        <w:autoSpaceDN w:val="0"/>
        <w:spacing w:line="600" w:lineRule="exact"/>
        <w:ind w:firstLine="640" w:firstLineChars="200"/>
        <w:rPr>
          <w:b/>
          <w:bCs/>
        </w:rPr>
      </w:pPr>
      <w:r>
        <w:rPr>
          <w:rStyle w:val="21"/>
          <w:rFonts w:hint="eastAsia" w:ascii="仿宋_GB2312" w:eastAsia="仿宋_GB2312"/>
          <w:b w:val="0"/>
          <w:bCs/>
          <w:color w:val="000000"/>
          <w:sz w:val="32"/>
          <w:szCs w:val="32"/>
        </w:rPr>
        <w:t>9.</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病虫害控制（项）:指反映用于病虫鼠害及疫情监测、预报、预防、控制、检疫、防疫所需的仪器、设施、药物、疫苗、种苗、疫畜（禽、鱼、植物）防治、扑杀补偿及劳务、菌（毒）种保藏及动植物及其产品检疫、检测等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10.</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（类）农业农村（款）其他农业农村支出（项）:指反映除上述项目以外其他用于农业农村方面的支出。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11.</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（类）扶贫（款）其他扶贫支出（项）:指反映除上述项目以外其他用于扶贫方面的支出。</w:t>
      </w:r>
    </w:p>
    <w:p>
      <w:pPr>
        <w:autoSpaceDN w:val="0"/>
        <w:spacing w:line="600" w:lineRule="exact"/>
        <w:ind w:firstLine="640" w:firstLineChars="200"/>
        <w:rPr>
          <w:rFonts w:ascii="仿宋_GB2312" w:eastAsia="仿宋_GB2312"/>
          <w:b/>
          <w:bCs/>
          <w:color w:val="000000"/>
          <w:sz w:val="32"/>
          <w:szCs w:val="32"/>
        </w:rPr>
      </w:pPr>
      <w:r>
        <w:rPr>
          <w:rStyle w:val="21"/>
          <w:rFonts w:hint="eastAsia" w:ascii="仿宋_GB2312" w:eastAsia="仿宋_GB2312"/>
          <w:b w:val="0"/>
          <w:bCs/>
          <w:color w:val="000000"/>
          <w:sz w:val="32"/>
          <w:szCs w:val="32"/>
        </w:rPr>
        <w:t>12.</w:t>
      </w:r>
      <w:r>
        <w:rPr>
          <w:rFonts w:hint="eastAsia" w:ascii="仿宋_GB2312" w:eastAsia="仿宋_GB2312"/>
          <w:bCs/>
          <w:color w:val="000000"/>
          <w:sz w:val="32"/>
          <w:szCs w:val="32"/>
        </w:rPr>
        <w:t>农林水支出</w:t>
      </w:r>
      <w:r>
        <w:rPr>
          <w:rStyle w:val="21"/>
          <w:rFonts w:hint="eastAsia" w:ascii="仿宋_GB2312" w:eastAsia="仿宋_GB2312"/>
          <w:b w:val="0"/>
          <w:bCs/>
          <w:color w:val="000000"/>
          <w:sz w:val="32"/>
          <w:szCs w:val="32"/>
        </w:rPr>
        <w:t>（类）其他农林水支出（款）其他农林水支出（项）:指反映除化解债务支出以外其他用于农林水方面的支出。</w:t>
      </w:r>
    </w:p>
    <w:p>
      <w:pPr>
        <w:autoSpaceDN w:val="0"/>
        <w:spacing w:line="600" w:lineRule="exact"/>
        <w:ind w:firstLine="640" w:firstLineChars="200"/>
        <w:rPr>
          <w:rFonts w:ascii="仿宋" w:hAnsi="仿宋" w:eastAsia="仿宋"/>
          <w:b/>
          <w:bCs/>
          <w:color w:val="000000"/>
          <w:sz w:val="32"/>
          <w:szCs w:val="32"/>
        </w:rPr>
      </w:pPr>
      <w:r>
        <w:rPr>
          <w:rStyle w:val="21"/>
          <w:rFonts w:hint="eastAsia" w:ascii="仿宋_GB2312" w:eastAsia="仿宋_GB2312"/>
          <w:b w:val="0"/>
          <w:bCs/>
          <w:color w:val="000000"/>
          <w:sz w:val="32"/>
          <w:szCs w:val="32"/>
        </w:rPr>
        <w:t>13.</w:t>
      </w:r>
      <w:r>
        <w:rPr>
          <w:rFonts w:hint="eastAsia" w:ascii="仿宋_GB2312" w:eastAsia="仿宋_GB2312"/>
          <w:bCs/>
          <w:color w:val="000000"/>
          <w:sz w:val="32"/>
          <w:szCs w:val="32"/>
        </w:rPr>
        <w:t>住房保障支出</w:t>
      </w:r>
      <w:r>
        <w:rPr>
          <w:rStyle w:val="21"/>
          <w:rFonts w:hint="eastAsia" w:ascii="仿宋_GB2312" w:eastAsia="仿宋_GB2312"/>
          <w:b w:val="0"/>
          <w:bCs/>
          <w:color w:val="000000"/>
          <w:sz w:val="32"/>
          <w:szCs w:val="32"/>
        </w:rPr>
        <w:t>（类）住房改革支出（款）住房公积金（项）:指反映行政事业单位按人力资源和社会保障部、财政部规定的基本工资和津贴以及规定比例为职工缴纳的</w:t>
      </w:r>
      <w:r>
        <w:rPr>
          <w:rStyle w:val="21"/>
          <w:rFonts w:hint="eastAsia" w:ascii="仿宋" w:hAnsi="仿宋" w:eastAsia="仿宋"/>
          <w:b w:val="0"/>
          <w:bCs/>
          <w:color w:val="000000"/>
          <w:sz w:val="32"/>
          <w:szCs w:val="32"/>
        </w:rPr>
        <w:t>住房公积金。</w:t>
      </w:r>
    </w:p>
    <w:p>
      <w:pPr>
        <w:autoSpaceDN w:val="0"/>
        <w:ind w:firstLine="640" w:firstLineChars="200"/>
        <w:rPr>
          <w:rFonts w:ascii="仿宋_GB2312" w:eastAsia="仿宋_GB2312"/>
          <w:color w:val="000000"/>
          <w:sz w:val="32"/>
          <w:szCs w:val="32"/>
        </w:rPr>
      </w:pPr>
      <w:r>
        <w:rPr>
          <w:rFonts w:hint="eastAsia" w:ascii="仿宋_GB2312" w:eastAsia="仿宋_GB2312"/>
          <w:color w:val="000000"/>
          <w:sz w:val="32"/>
          <w:szCs w:val="32"/>
        </w:rPr>
        <w:t>14.基本支出：指为保障机构正常运转、完成日常工作任务而发生的人员支出和公用支出。</w:t>
      </w:r>
    </w:p>
    <w:p>
      <w:pPr>
        <w:autoSpaceDN w:val="0"/>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15.项目支出：指在基本支出之外为完成特定行政任务和事业发展目标所发生的支出。 </w:t>
      </w:r>
    </w:p>
    <w:p>
      <w:pPr>
        <w:autoSpaceDN w:val="0"/>
        <w:ind w:firstLine="640" w:firstLineChars="200"/>
        <w:rPr>
          <w:rFonts w:ascii="仿宋_GB2312" w:eastAsia="仿宋_GB2312"/>
          <w:color w:val="000000"/>
          <w:sz w:val="32"/>
          <w:szCs w:val="32"/>
        </w:rPr>
      </w:pPr>
      <w:r>
        <w:rPr>
          <w:rFonts w:hint="eastAsia" w:ascii="仿宋_GB2312" w:eastAsia="仿宋_GB2312"/>
          <w:color w:val="000000"/>
          <w:sz w:val="32"/>
          <w:szCs w:val="32"/>
        </w:rPr>
        <w:t>16.经营支出：指事业单位在专业业务活动及其辅助活动之外开展非独立核算经营活动发生的支出。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ascii="黑体" w:eastAsia="黑体"/>
          <w:b w:val="0"/>
        </w:rPr>
      </w:pPr>
      <w:r>
        <w:rPr>
          <w:rFonts w:ascii="宋体"/>
          <w:b/>
          <w:color w:val="000000"/>
          <w:sz w:val="44"/>
          <w:szCs w:val="44"/>
        </w:rPr>
        <w:br w:type="page"/>
      </w:r>
      <w:bookmarkStart w:id="114" w:name="_Toc15396614"/>
      <w:bookmarkStart w:id="115" w:name="_Toc79163630"/>
      <w:bookmarkStart w:id="116" w:name="_Toc115081053"/>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14"/>
      <w:bookmarkEnd w:id="115"/>
      <w:bookmarkEnd w:id="116"/>
    </w:p>
    <w:p>
      <w:pPr>
        <w:spacing w:line="600" w:lineRule="exact"/>
        <w:jc w:val="left"/>
        <w:outlineLvl w:val="0"/>
        <w:rPr>
          <w:rFonts w:ascii="方正小标宋简体" w:eastAsia="方正小标宋简体" w:cs="方正小标宋简体"/>
          <w:sz w:val="32"/>
          <w:szCs w:val="32"/>
        </w:rPr>
      </w:pPr>
      <w:bookmarkStart w:id="117" w:name="_Toc115081054"/>
      <w:bookmarkStart w:id="118" w:name="_Toc79163631"/>
      <w:r>
        <w:rPr>
          <w:rFonts w:hint="eastAsia" w:ascii="黑体" w:eastAsia="黑体" w:cs="黑体"/>
          <w:sz w:val="32"/>
          <w:szCs w:val="32"/>
        </w:rPr>
        <w:t>附件</w:t>
      </w:r>
      <w:r>
        <w:rPr>
          <w:rFonts w:ascii="黑体" w:eastAsia="黑体" w:cs="黑体"/>
          <w:sz w:val="32"/>
          <w:szCs w:val="32"/>
        </w:rPr>
        <w:t>1</w:t>
      </w:r>
      <w:bookmarkEnd w:id="117"/>
      <w:bookmarkEnd w:id="118"/>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9" w:name="_Toc79163632"/>
      <w:bookmarkStart w:id="120" w:name="_Toc115081055"/>
      <w:r>
        <w:rPr>
          <w:rFonts w:hint="eastAsia" w:ascii="方正小标宋简体" w:eastAsia="方正小标宋简体" w:cs="黑体"/>
          <w:sz w:val="44"/>
          <w:szCs w:val="44"/>
        </w:rPr>
        <w:t>茂县畜牧兽医服务中心(本级)</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9"/>
      <w:bookmarkEnd w:id="120"/>
    </w:p>
    <w:p>
      <w:pPr>
        <w:widowControl/>
        <w:adjustRightInd w:val="0"/>
        <w:snapToGrid w:val="0"/>
        <w:spacing w:line="580" w:lineRule="exact"/>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本单位是县科学技术和农业畜牧局下属正科级参公事业单位，是一级预算单位。代管动物卫生综合服务中心、畜牧工作站、动物疫病预防控制中心。</w:t>
      </w:r>
    </w:p>
    <w:p>
      <w:pPr>
        <w:widowControl/>
        <w:adjustRightInd w:val="0"/>
        <w:snapToGrid w:val="0"/>
        <w:spacing w:line="560" w:lineRule="exact"/>
        <w:ind w:firstLine="640" w:firstLineChars="200"/>
        <w:contextualSpacing/>
        <w:jc w:val="left"/>
        <w:rPr>
          <w:rFonts w:ascii="仿宋_GB2312" w:eastAsia="仿宋" w:cs="宋体"/>
          <w:color w:val="000000"/>
          <w:kern w:val="0"/>
          <w:sz w:val="32"/>
          <w:szCs w:val="32"/>
          <w:shd w:val="clear" w:color="auto" w:fill="FFFFFF"/>
          <w:lang w:val="zh-CN"/>
        </w:rPr>
      </w:pPr>
      <w:r>
        <w:rPr>
          <w:rFonts w:hint="eastAsia" w:ascii="仿宋_GB2312" w:eastAsia="仿宋" w:cs="宋体"/>
          <w:color w:val="000000"/>
          <w:kern w:val="0"/>
          <w:sz w:val="32"/>
          <w:szCs w:val="32"/>
          <w:shd w:val="clear" w:color="auto" w:fill="FFFFFF"/>
          <w:lang w:val="zh-CN"/>
        </w:rPr>
        <w:t>（二）机构职能</w:t>
      </w:r>
    </w:p>
    <w:p>
      <w:pPr>
        <w:spacing w:line="560" w:lineRule="exact"/>
        <w:ind w:firstLine="640" w:firstLineChars="200"/>
        <w:rPr>
          <w:rFonts w:ascii="仿宋_GB2312" w:hAnsi="仿宋_GB2312" w:eastAsia="仿宋"/>
          <w:color w:val="313131"/>
          <w:kern w:val="0"/>
          <w:sz w:val="32"/>
          <w:szCs w:val="32"/>
        </w:rPr>
      </w:pPr>
      <w:r>
        <w:rPr>
          <w:rFonts w:hint="eastAsia" w:ascii="仿宋_GB2312" w:hAnsi="仿宋_GB2312" w:eastAsia="仿宋" w:cs="仿宋_GB2312"/>
          <w:color w:val="313131"/>
          <w:kern w:val="0"/>
          <w:sz w:val="32"/>
          <w:szCs w:val="32"/>
        </w:rPr>
        <w:t>1.宣传、贯彻、执行国家、省、州畜牧兽医行业的有关法律、法规。</w:t>
      </w:r>
    </w:p>
    <w:p>
      <w:pPr>
        <w:spacing w:line="560" w:lineRule="exact"/>
        <w:ind w:firstLine="636" w:firstLineChars="199"/>
        <w:rPr>
          <w:rFonts w:ascii="仿宋_GB2312" w:hAnsi="仿宋_GB2312" w:eastAsia="仿宋"/>
          <w:color w:val="313131"/>
          <w:kern w:val="0"/>
          <w:sz w:val="32"/>
          <w:szCs w:val="32"/>
        </w:rPr>
      </w:pPr>
      <w:r>
        <w:rPr>
          <w:rFonts w:hint="eastAsia" w:ascii="仿宋_GB2312" w:hAnsi="仿宋_GB2312" w:eastAsia="仿宋" w:cs="仿宋_GB2312"/>
          <w:color w:val="313131"/>
          <w:kern w:val="0"/>
          <w:sz w:val="32"/>
          <w:szCs w:val="32"/>
        </w:rPr>
        <w:t>2.研究拟定畜牧业有关产业政策，制定全县畜牧业经济发展的中长期规划，组织畜牧兽医科技项目研究和科技推广。</w:t>
      </w:r>
    </w:p>
    <w:p>
      <w:pPr>
        <w:spacing w:line="560" w:lineRule="exact"/>
        <w:ind w:firstLine="636" w:firstLineChars="199"/>
        <w:rPr>
          <w:rFonts w:ascii="仿宋_GB2312" w:hAnsi="仿宋_GB2312" w:eastAsia="仿宋"/>
          <w:color w:val="313131"/>
          <w:kern w:val="0"/>
          <w:sz w:val="32"/>
          <w:szCs w:val="32"/>
        </w:rPr>
      </w:pPr>
      <w:r>
        <w:rPr>
          <w:rFonts w:hint="eastAsia" w:ascii="仿宋_GB2312" w:hAnsi="仿宋_GB2312" w:eastAsia="仿宋" w:cs="仿宋_GB2312"/>
          <w:color w:val="313131"/>
          <w:kern w:val="0"/>
          <w:sz w:val="32"/>
          <w:szCs w:val="32"/>
        </w:rPr>
        <w:t>3.负责全县兽医医证工作；监督执行畜牧兽医、兽药、饲料的国家和地方标准；组织实施动物防疫、检疫工作和重大疫情的扑灭工作；开展动物防疫、检疫和兽药、饲料生产技术服务。</w:t>
      </w:r>
    </w:p>
    <w:p>
      <w:pPr>
        <w:spacing w:line="560" w:lineRule="exact"/>
        <w:ind w:firstLine="636" w:firstLineChars="199"/>
        <w:rPr>
          <w:rFonts w:ascii="仿宋_GB2312" w:hAnsi="仿宋_GB2312" w:eastAsia="仿宋" w:cs="仿宋_GB2312"/>
          <w:color w:val="313131"/>
          <w:kern w:val="0"/>
          <w:sz w:val="32"/>
          <w:szCs w:val="32"/>
        </w:rPr>
      </w:pPr>
      <w:r>
        <w:rPr>
          <w:rFonts w:hint="eastAsia" w:ascii="仿宋_GB2312" w:hAnsi="仿宋_GB2312" w:eastAsia="仿宋" w:cs="仿宋_GB2312"/>
          <w:color w:val="313131"/>
          <w:kern w:val="0"/>
          <w:sz w:val="32"/>
          <w:szCs w:val="32"/>
        </w:rPr>
        <w:t>4.负责饲草饲料工作，根据林草部门禁牧和草畜平衡考核情况兑付草原生态补奖资金，根据全县牲畜超载情况编制减畜规划。</w:t>
      </w:r>
    </w:p>
    <w:p>
      <w:pPr>
        <w:spacing w:line="560" w:lineRule="exact"/>
        <w:ind w:firstLine="636" w:firstLineChars="199"/>
        <w:rPr>
          <w:rFonts w:ascii="仿宋_GB2312" w:hAnsi="仿宋_GB2312" w:eastAsia="仿宋"/>
          <w:sz w:val="32"/>
          <w:szCs w:val="32"/>
        </w:rPr>
      </w:pPr>
      <w:r>
        <w:rPr>
          <w:rFonts w:hint="eastAsia" w:ascii="仿宋_GB2312" w:hAnsi="仿宋_GB2312" w:eastAsia="仿宋" w:cs="仿宋_GB2312"/>
          <w:color w:val="313131"/>
          <w:kern w:val="0"/>
          <w:sz w:val="32"/>
          <w:szCs w:val="32"/>
        </w:rPr>
        <w:t>5.负责良种畜禽监管工作，搞好畜种资源保护；推广畜</w:t>
      </w:r>
      <w:r>
        <w:rPr>
          <w:rFonts w:hint="eastAsia" w:ascii="仿宋_GB2312" w:hAnsi="仿宋_GB2312" w:eastAsia="仿宋" w:cs="仿宋_GB2312"/>
          <w:sz w:val="32"/>
          <w:szCs w:val="32"/>
        </w:rPr>
        <w:t>禽优良品种和畜禽繁育、饲养新技术。</w:t>
      </w:r>
    </w:p>
    <w:p>
      <w:pPr>
        <w:spacing w:line="560" w:lineRule="exact"/>
        <w:ind w:firstLine="640" w:firstLineChars="200"/>
        <w:rPr>
          <w:rFonts w:ascii="仿宋_GB2312" w:hAnsi="仿宋_GB2312" w:eastAsia="仿宋"/>
          <w:sz w:val="32"/>
          <w:szCs w:val="32"/>
        </w:rPr>
      </w:pPr>
      <w:r>
        <w:rPr>
          <w:rFonts w:hint="eastAsia" w:ascii="仿宋_GB2312" w:hAnsi="仿宋_GB2312" w:eastAsia="仿宋" w:cs="仿宋_GB2312"/>
          <w:sz w:val="32"/>
          <w:szCs w:val="32"/>
        </w:rPr>
        <w:t>6.推进畜牧业产业化进程，培育龙头企业，健全市场网络，开展畜牧经济技术交流与合作，积极引进资金和先进技术。</w:t>
      </w:r>
    </w:p>
    <w:p>
      <w:pPr>
        <w:spacing w:line="560" w:lineRule="exact"/>
        <w:ind w:firstLine="640" w:firstLineChars="200"/>
        <w:rPr>
          <w:rFonts w:ascii="仿宋_GB2312" w:hAnsi="仿宋_GB2312" w:eastAsia="仿宋"/>
          <w:sz w:val="32"/>
          <w:szCs w:val="32"/>
        </w:rPr>
      </w:pPr>
      <w:r>
        <w:rPr>
          <w:rFonts w:hint="eastAsia" w:ascii="仿宋_GB2312" w:hAnsi="仿宋_GB2312" w:eastAsia="仿宋" w:cs="仿宋_GB2312"/>
          <w:sz w:val="32"/>
          <w:szCs w:val="32"/>
        </w:rPr>
        <w:t>7.负责国家、省、州扶持畜牧业资金的统筹安排及监督管理；组织畜牧业建设项目的实施。</w:t>
      </w:r>
    </w:p>
    <w:p>
      <w:pPr>
        <w:spacing w:line="560" w:lineRule="exact"/>
        <w:ind w:firstLine="640" w:firstLineChars="200"/>
        <w:rPr>
          <w:rFonts w:ascii="仿宋_GB2312" w:hAnsi="仿宋_GB2312" w:eastAsia="仿宋"/>
          <w:sz w:val="32"/>
          <w:szCs w:val="32"/>
        </w:rPr>
      </w:pPr>
      <w:r>
        <w:rPr>
          <w:rFonts w:hint="eastAsia" w:ascii="仿宋_GB2312" w:hAnsi="仿宋_GB2312" w:eastAsia="仿宋" w:cs="仿宋_GB2312"/>
          <w:sz w:val="32"/>
          <w:szCs w:val="32"/>
        </w:rPr>
        <w:t>8.管理机关的人事、劳动工资、机构编制工作；指导全县各乡镇畜牧兽医站业务工作；指导、协调畜牧兽医科技队伍和技术服务体系建设；负责畜牧兽医科技人员业务培训及科技成果管理；指导畜牧兽医行业学会、协会工作。</w:t>
      </w:r>
    </w:p>
    <w:p>
      <w:pPr>
        <w:spacing w:line="560" w:lineRule="exact"/>
        <w:ind w:firstLine="640" w:firstLineChars="200"/>
        <w:rPr>
          <w:rFonts w:ascii="仿宋_GB2312" w:hAnsi="仿宋_GB2312" w:eastAsia="仿宋"/>
          <w:color w:val="000000"/>
          <w:sz w:val="32"/>
          <w:szCs w:val="32"/>
        </w:rPr>
      </w:pPr>
      <w:r>
        <w:rPr>
          <w:rFonts w:hint="eastAsia" w:ascii="仿宋_GB2312" w:hAnsi="仿宋_GB2312" w:eastAsia="仿宋" w:cs="仿宋_GB2312"/>
          <w:sz w:val="32"/>
          <w:szCs w:val="32"/>
        </w:rPr>
        <w:t>9.</w:t>
      </w:r>
      <w:r>
        <w:rPr>
          <w:rFonts w:hint="eastAsia" w:ascii="仿宋_GB2312" w:hAnsi="仿宋_GB2312" w:eastAsia="仿宋" w:cs="仿宋_GB2312"/>
          <w:kern w:val="0"/>
          <w:sz w:val="32"/>
          <w:szCs w:val="32"/>
          <w:lang w:val="zh-CN"/>
        </w:rPr>
        <w:t>承办县委县政府交办的其他工作。</w:t>
      </w:r>
    </w:p>
    <w:p>
      <w:pPr>
        <w:widowControl/>
        <w:adjustRightInd w:val="0"/>
        <w:snapToGrid w:val="0"/>
        <w:spacing w:line="560" w:lineRule="exact"/>
        <w:ind w:firstLine="640" w:firstLineChars="200"/>
        <w:contextualSpacing/>
        <w:jc w:val="left"/>
        <w:rPr>
          <w:rFonts w:ascii="仿宋_GB2312" w:hAnsi="宋体" w:eastAsia="仿宋" w:cs="宋体"/>
          <w:color w:val="000000"/>
          <w:kern w:val="0"/>
          <w:sz w:val="32"/>
          <w:szCs w:val="32"/>
          <w:shd w:val="clear" w:color="auto" w:fill="FFFFFF"/>
          <w:lang w:val="zh-CN"/>
        </w:rPr>
      </w:pPr>
      <w:r>
        <w:rPr>
          <w:rFonts w:hint="eastAsia" w:ascii="仿宋_GB2312" w:hAnsi="宋体" w:eastAsia="仿宋" w:cs="宋体"/>
          <w:color w:val="000000"/>
          <w:kern w:val="0"/>
          <w:sz w:val="32"/>
          <w:szCs w:val="32"/>
          <w:shd w:val="clear" w:color="auto" w:fill="FFFFFF"/>
          <w:lang w:val="zh-CN"/>
        </w:rPr>
        <w:t>（三）人员概况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总编制</w:t>
      </w:r>
      <w:r>
        <w:rPr>
          <w:rFonts w:ascii="仿宋_GB2312" w:eastAsia="仿宋_GB2312"/>
          <w:sz w:val="32"/>
          <w:szCs w:val="32"/>
        </w:rPr>
        <w:t>10</w:t>
      </w:r>
      <w:r>
        <w:rPr>
          <w:rFonts w:hint="eastAsia" w:ascii="仿宋_GB2312" w:eastAsia="仿宋_GB2312"/>
          <w:sz w:val="32"/>
          <w:szCs w:val="32"/>
        </w:rPr>
        <w:t>名,其中:参照公务员法管理的事业编制</w:t>
      </w:r>
      <w:r>
        <w:rPr>
          <w:rFonts w:ascii="仿宋_GB2312" w:eastAsia="仿宋"/>
          <w:sz w:val="32"/>
          <w:szCs w:val="32"/>
        </w:rPr>
        <w:t>10</w:t>
      </w:r>
      <w:r>
        <w:rPr>
          <w:rFonts w:hint="eastAsia" w:ascii="仿宋_GB2312" w:eastAsia="仿宋_GB2312"/>
          <w:sz w:val="32"/>
          <w:szCs w:val="32"/>
        </w:rPr>
        <w:t>名，事业编制</w:t>
      </w:r>
      <w:r>
        <w:rPr>
          <w:rFonts w:ascii="仿宋_GB2312" w:eastAsia="仿宋"/>
          <w:sz w:val="32"/>
          <w:szCs w:val="32"/>
        </w:rPr>
        <w:t>0</w:t>
      </w:r>
      <w:r>
        <w:rPr>
          <w:rFonts w:hint="eastAsia" w:ascii="仿宋_GB2312" w:eastAsia="仿宋_GB2312"/>
          <w:sz w:val="32"/>
          <w:szCs w:val="32"/>
        </w:rPr>
        <w:t>名。在职人员总数</w:t>
      </w:r>
      <w:r>
        <w:rPr>
          <w:rFonts w:ascii="仿宋_GB2312" w:eastAsia="仿宋"/>
          <w:sz w:val="32"/>
          <w:szCs w:val="32"/>
        </w:rPr>
        <w:t>7</w:t>
      </w:r>
      <w:r>
        <w:rPr>
          <w:rFonts w:hint="eastAsia" w:ascii="仿宋_GB2312" w:eastAsia="仿宋_GB2312"/>
          <w:sz w:val="32"/>
          <w:szCs w:val="32"/>
        </w:rPr>
        <w:t>名，其中：参照公务员法管理的事业人员</w:t>
      </w:r>
      <w:r>
        <w:rPr>
          <w:rFonts w:ascii="仿宋_GB2312" w:eastAsia="仿宋"/>
          <w:sz w:val="32"/>
          <w:szCs w:val="32"/>
        </w:rPr>
        <w:t>6</w:t>
      </w:r>
      <w:r>
        <w:rPr>
          <w:rFonts w:hint="eastAsia" w:ascii="仿宋_GB2312" w:eastAsia="仿宋_GB2312"/>
          <w:sz w:val="32"/>
          <w:szCs w:val="32"/>
        </w:rPr>
        <w:t>名，事业人员</w:t>
      </w:r>
      <w:r>
        <w:rPr>
          <w:rFonts w:ascii="仿宋_GB2312" w:eastAsia="仿宋"/>
          <w:sz w:val="32"/>
          <w:szCs w:val="32"/>
        </w:rPr>
        <w:t>1</w:t>
      </w:r>
      <w:r>
        <w:rPr>
          <w:rFonts w:hint="eastAsia" w:ascii="仿宋_GB2312" w:eastAsia="仿宋_GB2312"/>
          <w:sz w:val="32"/>
          <w:szCs w:val="32"/>
        </w:rPr>
        <w:t>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畜牧中心所属参公机构编制现状：</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（1）畜牧兽医服务中心参公事业编制人员核定数为</w:t>
      </w:r>
      <w:r>
        <w:rPr>
          <w:rFonts w:ascii="仿宋_GB2312" w:eastAsia="仿宋"/>
          <w:sz w:val="32"/>
          <w:szCs w:val="32"/>
        </w:rPr>
        <w:t>6</w:t>
      </w:r>
      <w:r>
        <w:rPr>
          <w:rFonts w:hint="eastAsia" w:ascii="仿宋_GB2312" w:eastAsia="仿宋_GB2312"/>
          <w:sz w:val="32"/>
          <w:szCs w:val="32"/>
        </w:rPr>
        <w:t>人，实有</w:t>
      </w:r>
      <w:r>
        <w:rPr>
          <w:rFonts w:ascii="仿宋_GB2312" w:eastAsia="仿宋"/>
          <w:sz w:val="32"/>
          <w:szCs w:val="32"/>
        </w:rPr>
        <w:t>7</w:t>
      </w:r>
      <w:r>
        <w:rPr>
          <w:rFonts w:hint="eastAsia" w:ascii="仿宋_GB2312" w:eastAsia="仿宋_GB2312"/>
          <w:sz w:val="32"/>
          <w:szCs w:val="32"/>
        </w:rPr>
        <w:t>人（含工勤1名），属全额财政拨款。</w:t>
      </w:r>
    </w:p>
    <w:p>
      <w:pPr>
        <w:spacing w:line="560" w:lineRule="exact"/>
        <w:ind w:firstLine="480" w:firstLineChars="150"/>
        <w:rPr>
          <w:rFonts w:ascii="仿宋_GB2312" w:eastAsia="仿宋_GB2312"/>
          <w:sz w:val="32"/>
          <w:szCs w:val="32"/>
        </w:rPr>
      </w:pPr>
      <w:r>
        <w:rPr>
          <w:rFonts w:hint="eastAsia" w:ascii="仿宋_GB2312" w:eastAsia="仿宋_GB2312"/>
          <w:sz w:val="32"/>
          <w:szCs w:val="32"/>
        </w:rPr>
        <w:t>（2）动物卫生服务中心核定数为</w:t>
      </w:r>
      <w:r>
        <w:rPr>
          <w:rFonts w:ascii="仿宋_GB2312" w:eastAsia="仿宋_GB2312"/>
          <w:sz w:val="32"/>
          <w:szCs w:val="32"/>
        </w:rPr>
        <w:t>4</w:t>
      </w:r>
      <w:r>
        <w:rPr>
          <w:rFonts w:hint="eastAsia" w:ascii="仿宋_GB2312" w:eastAsia="仿宋_GB2312"/>
          <w:sz w:val="32"/>
          <w:szCs w:val="32"/>
        </w:rPr>
        <w:t>人，实有</w:t>
      </w:r>
      <w:r>
        <w:rPr>
          <w:rFonts w:ascii="仿宋_GB2312" w:eastAsia="仿宋_GB2312"/>
          <w:sz w:val="32"/>
          <w:szCs w:val="32"/>
        </w:rPr>
        <w:t>0</w:t>
      </w:r>
      <w:r>
        <w:rPr>
          <w:rFonts w:hint="eastAsia" w:ascii="仿宋_GB2312" w:eastAsia="仿宋_GB2312"/>
          <w:sz w:val="32"/>
          <w:szCs w:val="32"/>
        </w:rPr>
        <w:t>人，属全额财政拨款，已纳入参公管理。</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年茂县畜牧兽医服务中心（本级）总收入</w:t>
      </w:r>
      <w:r>
        <w:rPr>
          <w:rFonts w:ascii="仿宋_GB2312" w:eastAsia="仿宋_GB2312" w:cs="宋体"/>
          <w:color w:val="000000"/>
          <w:kern w:val="0"/>
          <w:sz w:val="32"/>
          <w:szCs w:val="32"/>
          <w:shd w:val="clear" w:color="auto" w:fill="FFFFFF"/>
        </w:rPr>
        <w:t>848.72</w:t>
      </w:r>
      <w:r>
        <w:rPr>
          <w:rFonts w:hint="eastAsia" w:ascii="仿宋_GB2312" w:eastAsia="仿宋_GB2312" w:cs="宋体"/>
          <w:color w:val="000000"/>
          <w:kern w:val="0"/>
          <w:sz w:val="32"/>
          <w:szCs w:val="32"/>
          <w:shd w:val="clear" w:color="auto" w:fill="FFFFFF"/>
        </w:rPr>
        <w:t>万元，其中财政拨款收入</w:t>
      </w:r>
      <w:r>
        <w:rPr>
          <w:rFonts w:ascii="仿宋_GB2312" w:eastAsia="仿宋_GB2312" w:cs="宋体"/>
          <w:color w:val="000000"/>
          <w:kern w:val="0"/>
          <w:sz w:val="32"/>
          <w:szCs w:val="32"/>
          <w:shd w:val="clear" w:color="auto" w:fill="FFFFFF"/>
        </w:rPr>
        <w:t>824.02</w:t>
      </w:r>
      <w:r>
        <w:rPr>
          <w:rFonts w:hint="eastAsia" w:ascii="仿宋_GB2312" w:eastAsia="仿宋_GB2312" w:cs="宋体"/>
          <w:color w:val="000000"/>
          <w:kern w:val="0"/>
          <w:sz w:val="32"/>
          <w:szCs w:val="32"/>
          <w:shd w:val="clear" w:color="auto" w:fill="FFFFFF"/>
        </w:rPr>
        <w:t>万元,上年结转</w:t>
      </w:r>
      <w:r>
        <w:rPr>
          <w:rFonts w:ascii="仿宋_GB2312" w:eastAsia="仿宋_GB2312" w:cs="宋体"/>
          <w:color w:val="000000"/>
          <w:kern w:val="0"/>
          <w:sz w:val="32"/>
          <w:szCs w:val="32"/>
          <w:shd w:val="clear" w:color="auto" w:fill="FFFFFF"/>
        </w:rPr>
        <w:t>24.70</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2022</w:t>
      </w:r>
      <w:r>
        <w:rPr>
          <w:rFonts w:hint="eastAsia" w:ascii="仿宋_GB2312" w:eastAsia="仿宋_GB2312" w:cs="宋体"/>
          <w:color w:val="000000"/>
          <w:kern w:val="0"/>
          <w:sz w:val="32"/>
          <w:szCs w:val="32"/>
          <w:shd w:val="clear" w:color="auto" w:fill="FFFFFF"/>
        </w:rPr>
        <w:t>年1</w:t>
      </w:r>
      <w:r>
        <w:rPr>
          <w:rFonts w:ascii="仿宋_GB2312" w:eastAsia="仿宋_GB2312" w:cs="宋体"/>
          <w:color w:val="000000"/>
          <w:kern w:val="0"/>
          <w:sz w:val="32"/>
          <w:szCs w:val="32"/>
          <w:shd w:val="clear" w:color="auto" w:fill="FFFFFF"/>
        </w:rPr>
        <w:t>-6</w:t>
      </w:r>
      <w:r>
        <w:rPr>
          <w:rFonts w:hint="eastAsia" w:ascii="仿宋_GB2312" w:eastAsia="仿宋_GB2312" w:cs="宋体"/>
          <w:color w:val="000000"/>
          <w:kern w:val="0"/>
          <w:sz w:val="32"/>
          <w:szCs w:val="32"/>
          <w:shd w:val="clear" w:color="auto" w:fill="FFFFFF"/>
        </w:rPr>
        <w:t>月财政拨款收入</w:t>
      </w:r>
      <w:r>
        <w:rPr>
          <w:rFonts w:ascii="仿宋_GB2312" w:eastAsia="仿宋_GB2312" w:cs="宋体"/>
          <w:color w:val="000000"/>
          <w:kern w:val="0"/>
          <w:sz w:val="32"/>
          <w:szCs w:val="32"/>
          <w:shd w:val="clear" w:color="auto" w:fill="FFFFFF"/>
        </w:rPr>
        <w:t>82.16</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年部门总支出</w:t>
      </w:r>
      <w:r>
        <w:rPr>
          <w:rFonts w:ascii="仿宋_GB2312" w:eastAsia="仿宋_GB2312" w:cs="宋体"/>
          <w:color w:val="000000"/>
          <w:kern w:val="0"/>
          <w:sz w:val="32"/>
          <w:szCs w:val="32"/>
          <w:shd w:val="clear" w:color="auto" w:fill="FFFFFF"/>
        </w:rPr>
        <w:t>848.72</w:t>
      </w:r>
      <w:r>
        <w:rPr>
          <w:rFonts w:hint="eastAsia" w:ascii="仿宋_GB2312" w:eastAsia="仿宋_GB2312" w:cs="宋体"/>
          <w:color w:val="000000"/>
          <w:kern w:val="0"/>
          <w:sz w:val="32"/>
          <w:szCs w:val="32"/>
          <w:shd w:val="clear" w:color="auto" w:fill="FFFFFF"/>
        </w:rPr>
        <w:t>万元，其中：</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1.本年财政补助支出按功能科目分类包括：社会保障和就业支出</w:t>
      </w:r>
      <w:r>
        <w:rPr>
          <w:rFonts w:ascii="仿宋_GB2312" w:eastAsia="仿宋_GB2312" w:cs="宋体"/>
          <w:color w:val="000000"/>
          <w:kern w:val="0"/>
          <w:sz w:val="32"/>
          <w:szCs w:val="32"/>
          <w:shd w:val="clear" w:color="auto" w:fill="FFFFFF"/>
        </w:rPr>
        <w:t>14.71</w:t>
      </w:r>
      <w:r>
        <w:rPr>
          <w:rFonts w:hint="eastAsia" w:ascii="仿宋_GB2312" w:eastAsia="仿宋_GB2312" w:cs="宋体"/>
          <w:color w:val="000000"/>
          <w:kern w:val="0"/>
          <w:sz w:val="32"/>
          <w:szCs w:val="32"/>
          <w:shd w:val="clear" w:color="auto" w:fill="FFFFFF"/>
        </w:rPr>
        <w:t>万元，卫生健康支出</w:t>
      </w:r>
      <w:r>
        <w:rPr>
          <w:rFonts w:ascii="仿宋_GB2312" w:eastAsia="仿宋_GB2312" w:cs="宋体"/>
          <w:color w:val="000000"/>
          <w:kern w:val="0"/>
          <w:sz w:val="32"/>
          <w:szCs w:val="32"/>
          <w:shd w:val="clear" w:color="auto" w:fill="FFFFFF"/>
        </w:rPr>
        <w:t>25.95</w:t>
      </w:r>
      <w:r>
        <w:rPr>
          <w:rFonts w:hint="eastAsia" w:ascii="仿宋_GB2312" w:eastAsia="仿宋_GB2312" w:cs="宋体"/>
          <w:color w:val="000000"/>
          <w:kern w:val="0"/>
          <w:sz w:val="32"/>
          <w:szCs w:val="32"/>
          <w:shd w:val="clear" w:color="auto" w:fill="FFFFFF"/>
        </w:rPr>
        <w:t>万元，农林水支出</w:t>
      </w:r>
      <w:r>
        <w:rPr>
          <w:rFonts w:ascii="仿宋_GB2312" w:eastAsia="仿宋_GB2312" w:cs="宋体"/>
          <w:color w:val="000000"/>
          <w:kern w:val="0"/>
          <w:sz w:val="32"/>
          <w:szCs w:val="32"/>
          <w:shd w:val="clear" w:color="auto" w:fill="FFFFFF"/>
        </w:rPr>
        <w:t>798.94</w:t>
      </w:r>
      <w:r>
        <w:rPr>
          <w:rFonts w:hint="eastAsia" w:ascii="仿宋_GB2312" w:eastAsia="仿宋_GB2312" w:cs="宋体"/>
          <w:color w:val="000000"/>
          <w:kern w:val="0"/>
          <w:sz w:val="32"/>
          <w:szCs w:val="32"/>
          <w:shd w:val="clear" w:color="auto" w:fill="FFFFFF"/>
        </w:rPr>
        <w:t>万元，住房保障支出</w:t>
      </w:r>
      <w:r>
        <w:rPr>
          <w:rFonts w:ascii="仿宋_GB2312" w:eastAsia="仿宋_GB2312" w:cs="宋体"/>
          <w:color w:val="000000"/>
          <w:kern w:val="0"/>
          <w:sz w:val="32"/>
          <w:szCs w:val="32"/>
          <w:shd w:val="clear" w:color="auto" w:fill="FFFFFF"/>
        </w:rPr>
        <w:t>9.12</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2.本年财政补助支出按支出性质分类包括：</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（1）基本支出</w:t>
      </w:r>
      <w:r>
        <w:rPr>
          <w:rFonts w:ascii="仿宋_GB2312" w:eastAsia="仿宋_GB2312" w:cs="宋体"/>
          <w:color w:val="000000"/>
          <w:kern w:val="0"/>
          <w:sz w:val="32"/>
          <w:szCs w:val="32"/>
          <w:shd w:val="clear" w:color="auto" w:fill="FFFFFF"/>
        </w:rPr>
        <w:t>209.73</w:t>
      </w:r>
      <w:r>
        <w:rPr>
          <w:rFonts w:hint="eastAsia" w:ascii="仿宋_GB2312" w:eastAsia="仿宋_GB2312" w:cs="宋体"/>
          <w:color w:val="000000"/>
          <w:kern w:val="0"/>
          <w:sz w:val="32"/>
          <w:szCs w:val="32"/>
          <w:shd w:val="clear" w:color="auto" w:fill="FFFFFF"/>
        </w:rPr>
        <w:t>万元，占总支出的</w:t>
      </w:r>
      <w:r>
        <w:rPr>
          <w:rFonts w:ascii="仿宋_GB2312" w:eastAsia="仿宋_GB2312" w:cs="宋体"/>
          <w:color w:val="000000"/>
          <w:kern w:val="0"/>
          <w:sz w:val="32"/>
          <w:szCs w:val="32"/>
          <w:shd w:val="clear" w:color="auto" w:fill="FFFFFF"/>
        </w:rPr>
        <w:t>24.71%</w:t>
      </w:r>
      <w:r>
        <w:rPr>
          <w:rFonts w:hint="eastAsia" w:ascii="仿宋_GB2312" w:eastAsia="仿宋_GB2312" w:cs="宋体"/>
          <w:color w:val="000000"/>
          <w:kern w:val="0"/>
          <w:sz w:val="32"/>
          <w:szCs w:val="32"/>
          <w:shd w:val="clear" w:color="auto" w:fill="FFFFFF"/>
        </w:rPr>
        <w:t>，其中：工资福利支出</w:t>
      </w:r>
      <w:r>
        <w:rPr>
          <w:rFonts w:ascii="仿宋_GB2312" w:eastAsia="仿宋_GB2312" w:cs="宋体"/>
          <w:color w:val="000000"/>
          <w:kern w:val="0"/>
          <w:sz w:val="32"/>
          <w:szCs w:val="32"/>
          <w:shd w:val="clear" w:color="auto" w:fill="FFFFFF"/>
        </w:rPr>
        <w:t>129.94</w:t>
      </w:r>
      <w:r>
        <w:rPr>
          <w:rFonts w:hint="eastAsia" w:ascii="仿宋_GB2312" w:eastAsia="仿宋_GB2312" w:cs="宋体"/>
          <w:color w:val="000000"/>
          <w:kern w:val="0"/>
          <w:sz w:val="32"/>
          <w:szCs w:val="32"/>
          <w:shd w:val="clear" w:color="auto" w:fill="FFFFFF"/>
        </w:rPr>
        <w:t>万元；对家庭和个人补助7</w:t>
      </w:r>
      <w:r>
        <w:rPr>
          <w:rFonts w:ascii="仿宋_GB2312" w:eastAsia="仿宋_GB2312" w:cs="宋体"/>
          <w:color w:val="000000"/>
          <w:kern w:val="0"/>
          <w:sz w:val="32"/>
          <w:szCs w:val="32"/>
          <w:shd w:val="clear" w:color="auto" w:fill="FFFFFF"/>
        </w:rPr>
        <w:t>0.22</w:t>
      </w:r>
      <w:r>
        <w:rPr>
          <w:rFonts w:hint="eastAsia" w:ascii="仿宋_GB2312" w:eastAsia="仿宋_GB2312" w:cs="宋体"/>
          <w:color w:val="000000"/>
          <w:kern w:val="0"/>
          <w:sz w:val="32"/>
          <w:szCs w:val="32"/>
          <w:shd w:val="clear" w:color="auto" w:fill="FFFFFF"/>
        </w:rPr>
        <w:t>元；商品和服务支出</w:t>
      </w:r>
      <w:r>
        <w:rPr>
          <w:rFonts w:ascii="仿宋_GB2312" w:eastAsia="仿宋_GB2312" w:cs="宋体"/>
          <w:color w:val="000000"/>
          <w:kern w:val="0"/>
          <w:sz w:val="32"/>
          <w:szCs w:val="32"/>
          <w:shd w:val="clear" w:color="auto" w:fill="FFFFFF"/>
        </w:rPr>
        <w:t>9.57</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（2）项目支出</w:t>
      </w:r>
      <w:r>
        <w:rPr>
          <w:rFonts w:ascii="仿宋_GB2312" w:eastAsia="仿宋_GB2312" w:cs="宋体"/>
          <w:color w:val="000000"/>
          <w:kern w:val="0"/>
          <w:sz w:val="32"/>
          <w:szCs w:val="32"/>
          <w:shd w:val="clear" w:color="auto" w:fill="FFFFFF"/>
        </w:rPr>
        <w:t>638.99</w:t>
      </w:r>
      <w:r>
        <w:rPr>
          <w:rFonts w:hint="eastAsia" w:ascii="仿宋_GB2312" w:eastAsia="仿宋_GB2312" w:cs="宋体"/>
          <w:color w:val="000000"/>
          <w:kern w:val="0"/>
          <w:sz w:val="32"/>
          <w:szCs w:val="32"/>
          <w:shd w:val="clear" w:color="auto" w:fill="FFFFFF"/>
        </w:rPr>
        <w:t>万元，占总支出</w:t>
      </w:r>
      <w:r>
        <w:rPr>
          <w:rFonts w:ascii="仿宋_GB2312" w:eastAsia="仿宋_GB2312" w:cs="宋体"/>
          <w:color w:val="000000"/>
          <w:kern w:val="0"/>
          <w:sz w:val="32"/>
          <w:szCs w:val="32"/>
          <w:shd w:val="clear" w:color="auto" w:fill="FFFFFF"/>
        </w:rPr>
        <w:t>75.29%</w:t>
      </w:r>
      <w:r>
        <w:rPr>
          <w:rFonts w:hint="eastAsia" w:ascii="仿宋_GB2312" w:eastAsia="仿宋_GB2312" w:cs="宋体"/>
          <w:color w:val="000000"/>
          <w:kern w:val="0"/>
          <w:sz w:val="32"/>
          <w:szCs w:val="32"/>
          <w:shd w:val="clear" w:color="auto" w:fill="FFFFFF"/>
        </w:rPr>
        <w:t>。其中：重大公共卫生服务专项资金</w:t>
      </w:r>
      <w:r>
        <w:rPr>
          <w:rFonts w:ascii="仿宋_GB2312" w:eastAsia="仿宋_GB2312" w:cs="宋体"/>
          <w:color w:val="000000"/>
          <w:kern w:val="0"/>
          <w:sz w:val="32"/>
          <w:szCs w:val="32"/>
          <w:shd w:val="clear" w:color="auto" w:fill="FFFFFF"/>
        </w:rPr>
        <w:t>19.19</w:t>
      </w:r>
      <w:r>
        <w:rPr>
          <w:rFonts w:hint="eastAsia" w:ascii="仿宋_GB2312" w:eastAsia="仿宋_GB2312" w:cs="宋体"/>
          <w:color w:val="000000"/>
          <w:kern w:val="0"/>
          <w:sz w:val="32"/>
          <w:szCs w:val="32"/>
          <w:shd w:val="clear" w:color="auto" w:fill="FFFFFF"/>
        </w:rPr>
        <w:t>万元；病虫害控制专项资金</w:t>
      </w:r>
      <w:r>
        <w:rPr>
          <w:rFonts w:ascii="仿宋_GB2312" w:eastAsia="仿宋_GB2312" w:cs="宋体"/>
          <w:color w:val="000000"/>
          <w:kern w:val="0"/>
          <w:sz w:val="32"/>
          <w:szCs w:val="32"/>
          <w:shd w:val="clear" w:color="auto" w:fill="FFFFFF"/>
        </w:rPr>
        <w:t>2.99</w:t>
      </w:r>
      <w:r>
        <w:rPr>
          <w:rFonts w:hint="eastAsia" w:ascii="仿宋_GB2312" w:eastAsia="仿宋_GB2312" w:cs="宋体"/>
          <w:color w:val="000000"/>
          <w:kern w:val="0"/>
          <w:sz w:val="32"/>
          <w:szCs w:val="32"/>
          <w:shd w:val="clear" w:color="auto" w:fill="FFFFFF"/>
        </w:rPr>
        <w:t>万元，其他农业农村支出</w:t>
      </w:r>
      <w:r>
        <w:rPr>
          <w:rFonts w:ascii="仿宋_GB2312" w:eastAsia="仿宋_GB2312" w:cs="宋体"/>
          <w:color w:val="000000"/>
          <w:kern w:val="0"/>
          <w:sz w:val="32"/>
          <w:szCs w:val="32"/>
          <w:shd w:val="clear" w:color="auto" w:fill="FFFFFF"/>
        </w:rPr>
        <w:t>616.81</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color w:val="000000"/>
          <w:kern w:val="0"/>
          <w:sz w:val="32"/>
          <w:szCs w:val="32"/>
          <w:shd w:val="clear" w:color="auto" w:fill="FFFFFF"/>
        </w:rPr>
        <w:t>2022</w:t>
      </w:r>
      <w:r>
        <w:rPr>
          <w:rFonts w:hint="eastAsia" w:ascii="仿宋_GB2312" w:eastAsia="仿宋_GB2312" w:cs="宋体"/>
          <w:color w:val="000000"/>
          <w:kern w:val="0"/>
          <w:sz w:val="32"/>
          <w:szCs w:val="32"/>
          <w:shd w:val="clear" w:color="auto" w:fill="FFFFFF"/>
        </w:rPr>
        <w:t>年1</w:t>
      </w:r>
      <w:r>
        <w:rPr>
          <w:rFonts w:ascii="仿宋_GB2312" w:eastAsia="仿宋_GB2312" w:cs="宋体"/>
          <w:color w:val="000000"/>
          <w:kern w:val="0"/>
          <w:sz w:val="32"/>
          <w:szCs w:val="32"/>
          <w:shd w:val="clear" w:color="auto" w:fill="FFFFFF"/>
        </w:rPr>
        <w:t>-6</w:t>
      </w:r>
      <w:r>
        <w:rPr>
          <w:rFonts w:hint="eastAsia" w:ascii="仿宋_GB2312" w:eastAsia="仿宋_GB2312" w:cs="宋体"/>
          <w:color w:val="000000"/>
          <w:kern w:val="0"/>
          <w:sz w:val="32"/>
          <w:szCs w:val="32"/>
          <w:shd w:val="clear" w:color="auto" w:fill="FFFFFF"/>
        </w:rPr>
        <w:t>月一般公共财政拨款支出</w:t>
      </w:r>
      <w:r>
        <w:rPr>
          <w:rFonts w:ascii="仿宋_GB2312" w:eastAsia="仿宋_GB2312" w:cs="宋体"/>
          <w:color w:val="000000"/>
          <w:kern w:val="0"/>
          <w:sz w:val="32"/>
          <w:szCs w:val="32"/>
          <w:shd w:val="clear" w:color="auto" w:fill="FFFFFF"/>
        </w:rPr>
        <w:t>82.16</w:t>
      </w:r>
      <w:r>
        <w:rPr>
          <w:rFonts w:hint="eastAsia" w:ascii="仿宋_GB2312" w:eastAsia="仿宋_GB2312" w:cs="宋体"/>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（一）部门预算项目绩效管理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单位严格按照县财政部门预算编制通知和有关文件要求，秉承强化规划约束、坚持限额控制、实时滚动管理、强化绩效管理的基本编制原则,在县财政部门规定的时间内于部门预算管理系统中,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绩效目标制定：根据预算绩效管理要求，本单位在年初预算编制阶段，组织对</w:t>
      </w:r>
      <w:bookmarkStart w:id="121" w:name="_Hlk82616921"/>
      <w:r>
        <w:rPr>
          <w:rFonts w:hint="eastAsia" w:ascii="仿宋_GB2312" w:eastAsia="仿宋_GB2312" w:cs="宋体"/>
          <w:color w:val="000000"/>
          <w:kern w:val="0"/>
          <w:sz w:val="32"/>
          <w:szCs w:val="32"/>
          <w:shd w:val="clear" w:color="auto" w:fill="FFFFFF"/>
        </w:rPr>
        <w:t>“农牧民补助奖励政策项目”、“中央动物防疫经费”</w:t>
      </w:r>
      <w:bookmarkEnd w:id="121"/>
      <w:r>
        <w:rPr>
          <w:rFonts w:hint="eastAsia" w:ascii="仿宋_GB2312" w:eastAsia="仿宋_GB2312" w:cs="宋体"/>
          <w:color w:val="000000"/>
          <w:kern w:val="0"/>
          <w:sz w:val="32"/>
          <w:szCs w:val="32"/>
          <w:shd w:val="clear" w:color="auto" w:fill="FFFFFF"/>
        </w:rPr>
        <w:t>等项目开展了预算事前绩效评估，对</w:t>
      </w:r>
      <w:r>
        <w:rPr>
          <w:rFonts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rPr>
        <w:t>个项目编制了绩效目标，预算执行过程中，选取</w:t>
      </w:r>
      <w:r>
        <w:rPr>
          <w:rFonts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rPr>
        <w:t>个项目开展绩效监控，年终执行完毕后，对</w:t>
      </w:r>
      <w:r>
        <w:rPr>
          <w:rFonts w:ascii="仿宋_GB2312" w:eastAsia="仿宋_GB2312" w:cs="宋体"/>
          <w:color w:val="000000"/>
          <w:kern w:val="0"/>
          <w:sz w:val="32"/>
          <w:szCs w:val="32"/>
          <w:shd w:val="clear" w:color="auto" w:fill="FFFFFF"/>
        </w:rPr>
        <w:t>2</w:t>
      </w:r>
      <w:r>
        <w:rPr>
          <w:rFonts w:hint="eastAsia" w:ascii="仿宋_GB2312" w:eastAsia="仿宋_GB2312" w:cs="宋体"/>
          <w:color w:val="000000"/>
          <w:kern w:val="0"/>
          <w:sz w:val="32"/>
          <w:szCs w:val="32"/>
          <w:shd w:val="clear" w:color="auto" w:fill="FFFFFF"/>
        </w:rPr>
        <w:t>个项目开展了绩效目标完成情况梳理填报。</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目标实现：加强项目经费支出进度管理，完善预算动态监控，绩效目标完成较好，发挥财政资金的最大效益。</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预算编制的准确：以预算编制为引领，以支出管理为核心，严格按照县财政局预算编制要求，扎实做好</w:t>
      </w:r>
      <w:r>
        <w:rPr>
          <w:rFonts w:ascii="仿宋_GB2312" w:eastAsia="仿宋_GB2312" w:cs="宋体"/>
          <w:color w:val="000000"/>
          <w:kern w:val="0"/>
          <w:sz w:val="32"/>
          <w:szCs w:val="32"/>
          <w:shd w:val="clear" w:color="auto" w:fill="FFFFFF"/>
        </w:rPr>
        <w:t>2022</w:t>
      </w:r>
      <w:r>
        <w:rPr>
          <w:rFonts w:hint="eastAsia" w:ascii="仿宋_GB2312" w:eastAsia="仿宋_GB2312" w:cs="宋体"/>
          <w:color w:val="000000"/>
          <w:kern w:val="0"/>
          <w:sz w:val="32"/>
          <w:szCs w:val="32"/>
          <w:shd w:val="clear" w:color="auto" w:fill="FFFFFF"/>
        </w:rPr>
        <w:t>预算执行工作，预、决算编制较为合理，规划明确。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支出控制：认真</w:t>
      </w:r>
      <w:r>
        <w:rPr>
          <w:rFonts w:hint="default" w:ascii="仿宋_GB2312" w:eastAsia="仿宋_GB2312" w:cs="宋体"/>
          <w:color w:val="000000"/>
          <w:kern w:val="0"/>
          <w:sz w:val="32"/>
          <w:szCs w:val="32"/>
          <w:shd w:val="clear" w:color="auto" w:fill="FFFFFF"/>
        </w:rPr>
        <w:t>贯彻落实</w:t>
      </w:r>
      <w:r>
        <w:rPr>
          <w:rFonts w:hint="eastAsia" w:ascii="仿宋_GB2312" w:eastAsia="仿宋_GB2312" w:cs="宋体"/>
          <w:color w:val="000000"/>
          <w:kern w:val="0"/>
          <w:sz w:val="32"/>
          <w:szCs w:val="32"/>
          <w:shd w:val="clear" w:color="auto" w:fill="FFFFFF"/>
        </w:rPr>
        <w:t>中央八项规定和省市十项规定，无超预算或无预算安排支出，虚列支出、转嫁支出、转移或者套取预算资金情况，无超标准、超范围列支“三公”经费、会议费、培训费和差旅费，滥发工资、奖金、补贴等问题。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预算动态调整：</w:t>
      </w: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年度，茂县畜牧兽医服务中心（本级）预算仅做了经济分类调整，无新增项目支出预算调整情况。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执行进度：根据本单位工作实际，在建立并实施内部监督和控制执行过程中，修订完善本单位内部控制制度，在保证各项工作顺利运转的同时，较好的完成各项预算进度。</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预算完成情况：</w:t>
      </w:r>
      <w:r>
        <w:rPr>
          <w:rFonts w:ascii="仿宋_GB2312" w:eastAsia="仿宋_GB2312" w:cs="宋体"/>
          <w:color w:val="000000"/>
          <w:kern w:val="0"/>
          <w:sz w:val="32"/>
          <w:szCs w:val="32"/>
          <w:shd w:val="clear" w:color="auto" w:fill="FFFFFF"/>
        </w:rPr>
        <w:t>2021</w:t>
      </w:r>
      <w:r>
        <w:rPr>
          <w:rFonts w:hint="eastAsia" w:ascii="仿宋_GB2312" w:eastAsia="仿宋_GB2312" w:cs="宋体"/>
          <w:color w:val="000000"/>
          <w:kern w:val="0"/>
          <w:sz w:val="32"/>
          <w:szCs w:val="32"/>
          <w:shd w:val="clear" w:color="auto" w:fill="FFFFFF"/>
        </w:rPr>
        <w:t>年度，茂县畜牧兽医服务中心（本级）预算执行了</w:t>
      </w:r>
      <w:r>
        <w:rPr>
          <w:rFonts w:ascii="仿宋_GB2312" w:eastAsia="仿宋_GB2312" w:cs="宋体"/>
          <w:color w:val="000000"/>
          <w:kern w:val="0"/>
          <w:sz w:val="32"/>
          <w:szCs w:val="32"/>
          <w:shd w:val="clear" w:color="auto" w:fill="FFFFFF"/>
        </w:rPr>
        <w:t>97.09%</w:t>
      </w:r>
      <w:r>
        <w:rPr>
          <w:rFonts w:hint="eastAsia" w:ascii="仿宋_GB2312" w:eastAsia="仿宋_GB2312" w:cs="宋体"/>
          <w:color w:val="000000"/>
          <w:kern w:val="0"/>
          <w:sz w:val="32"/>
          <w:szCs w:val="32"/>
          <w:shd w:val="clear" w:color="auto" w:fill="FFFFFF"/>
        </w:rPr>
        <w:t>。</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我单位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中心部门整体绩效管理水平不断提升。</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2021年度财政资金绩效总体评价良好。根据我中心年初工作规划，围绕县委、县政府全面建成小康社会的发展蓝图，积极履职，强化管理，较好的完成了上年度工作目标，不存在扣分情况。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（二）存在问题</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绩效目标设定有待更科学更合理。</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（三）改进建议</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rPr>
      </w:pPr>
      <w:r>
        <w:rPr>
          <w:rFonts w:hint="eastAsia" w:ascii="仿宋_GB2312" w:eastAsia="仿宋_GB2312" w:cs="宋体"/>
          <w:color w:val="000000"/>
          <w:kern w:val="0"/>
          <w:sz w:val="32"/>
          <w:szCs w:val="32"/>
          <w:shd w:val="clear" w:color="auto" w:fill="FFFFFF"/>
        </w:rPr>
        <w:t>通过加强预算收支管理，不断建立健全内部管理制度，梳理内部管理流程，单位整体支出管理情况得到提升。一是改进部门收支预算，夯实预算基础工作，提高预算编制质量；二是认真研究政策，加强项目绩效审核，力求科学合理；三是认真研究重点项目的执行，提早规划，提前实施，确保项目顺利实施，提高财政资金的使用效益；四是不断建立健全内部管理制度，梳理内部管理流程，单位整体支出管理情况得到提升。</w:t>
      </w:r>
    </w:p>
    <w:p>
      <w:pPr>
        <w:spacing w:line="580" w:lineRule="exact"/>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22" w:name="_Toc79163633"/>
      <w:bookmarkStart w:id="123" w:name="_Toc115081056"/>
      <w:r>
        <w:rPr>
          <w:rFonts w:hint="eastAsia" w:ascii="黑体" w:eastAsia="黑体" w:cs="黑体"/>
          <w:sz w:val="32"/>
          <w:szCs w:val="32"/>
        </w:rPr>
        <w:t>附件</w:t>
      </w:r>
      <w:r>
        <w:rPr>
          <w:rFonts w:ascii="黑体" w:eastAsia="黑体" w:cs="黑体"/>
          <w:sz w:val="32"/>
          <w:szCs w:val="32"/>
        </w:rPr>
        <w:t>2</w:t>
      </w:r>
      <w:bookmarkEnd w:id="122"/>
      <w:bookmarkEnd w:id="123"/>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24" w:name="_Toc79163634"/>
      <w:bookmarkStart w:id="125" w:name="_Toc115081057"/>
      <w:r>
        <w:rPr>
          <w:rFonts w:hint="eastAsia" w:ascii="方正小标宋简体" w:eastAsia="方正小标宋简体" w:cs="黑体"/>
          <w:sz w:val="44"/>
          <w:szCs w:val="44"/>
        </w:rPr>
        <w:t>草原生态保护补助奖励政策项目202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24"/>
      <w:bookmarkEnd w:id="125"/>
    </w:p>
    <w:p>
      <w:pPr>
        <w:spacing w:line="600" w:lineRule="exact"/>
        <w:rPr>
          <w:rFonts w:ascii="宋体"/>
          <w:sz w:val="32"/>
          <w:szCs w:val="32"/>
          <w:lang w:val="zh-CN"/>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rPr>
          <w:rFonts w:ascii="仿宋_GB2312" w:eastAsia="仿宋_GB2312"/>
          <w:bCs/>
          <w:sz w:val="32"/>
          <w:szCs w:val="32"/>
        </w:rPr>
      </w:pPr>
      <w:r>
        <w:rPr>
          <w:rFonts w:hint="eastAsia" w:ascii="仿宋_GB2312" w:eastAsia="仿宋_GB2312"/>
          <w:bCs/>
          <w:sz w:val="32"/>
          <w:szCs w:val="32"/>
        </w:rPr>
        <w:t>2021年国家下达我县草原生态补奖资金468.35万元，继续实施草原禁牧补助和草畜平衡奖励，其中：实施禁牧补助221.85万元，实施草畜平衡奖励246.5万元。在县委、县人民政府的高度重视和领导下，我单位按照国家《第三轮草原生态保护补助奖励政策实施指导意见》、四川省农业农村厅《关于做好第三轮草原生态补助奖励政策实施工作的通知》、《四川省第三轮草原生态保护补助奖励政策实施方案（2021—2025年）的通知》、阿坝州财政局、阿坝州农业农村局《关于提前下达2021年中央财政农业资源及生态保护补助资金的通知》（阿州财农〔2020〕134号）和《关于下达2021年中央财政农业资源及生态保护补助资金的通知》（阿州财农〔2021〕38号）等要求，我县精心组织，严格抓好贯彻落实，截止2021年12月，已全面完成各项补奖目标任务。</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按照阿坝州财政局、阿坝州农业农村局《关于提前下达2021年中央财政农业资源及生态保护补助资金的通知》（阿州财农〔2020〕134号）和《关于下达2021年中央财政农业资源及生态保护补助资金的通知》（阿州财农〔2021〕38号）要求，茂县2021年补奖政策政策绩效目标为：</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1、产出指标：补贴资金到户率≥90%；补贴资金发放到位时间12月前。</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2、效益指标：资金使用无重大违规违纪问题。</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3、满意度指标：农牧民对补奖政策满意度≥80%。</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utoSpaceDN w:val="0"/>
        <w:ind w:firstLine="640" w:firstLineChars="200"/>
        <w:rPr>
          <w:rFonts w:ascii="仿宋_GB2312" w:eastAsia="仿宋_GB2312"/>
          <w:sz w:val="32"/>
          <w:szCs w:val="32"/>
        </w:rPr>
      </w:pPr>
      <w:r>
        <w:rPr>
          <w:rFonts w:hint="eastAsia" w:ascii="仿宋_GB2312" w:eastAsia="仿宋_GB2312"/>
          <w:sz w:val="32"/>
          <w:szCs w:val="32"/>
        </w:rPr>
        <w:t>针对项目绩效目标设置情况和项目资金为“直补到户”的特点，项目自评按照围绕牧户考核评价、资金兑现公开公示、资金兑现时间节点和资金兑现率情况、牧户满意度进行。是否按照“规范操作、严格考核、公示公告、兑现到户”的原则实施项目。</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utoSpaceDN w:val="0"/>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项目申报资金</w:t>
      </w:r>
      <w:r>
        <w:rPr>
          <w:rFonts w:ascii="仿宋_GB2312" w:eastAsia="仿宋_GB2312"/>
          <w:sz w:val="32"/>
          <w:szCs w:val="32"/>
          <w:lang w:val="zh-CN"/>
        </w:rPr>
        <w:t>468.35</w:t>
      </w:r>
      <w:r>
        <w:rPr>
          <w:rFonts w:hint="eastAsia" w:ascii="仿宋_GB2312" w:eastAsia="仿宋_GB2312"/>
          <w:sz w:val="32"/>
          <w:szCs w:val="32"/>
          <w:lang w:val="zh-CN"/>
        </w:rPr>
        <w:t>万元，批复下达资金</w:t>
      </w:r>
      <w:r>
        <w:rPr>
          <w:rFonts w:ascii="仿宋_GB2312" w:eastAsia="仿宋_GB2312"/>
          <w:sz w:val="32"/>
          <w:szCs w:val="32"/>
          <w:lang w:val="zh-CN"/>
        </w:rPr>
        <w:t>468.35</w:t>
      </w:r>
      <w:r>
        <w:rPr>
          <w:rFonts w:hint="eastAsia" w:ascii="仿宋_GB2312" w:eastAsia="仿宋_GB2312"/>
          <w:sz w:val="32"/>
          <w:szCs w:val="32"/>
          <w:lang w:val="zh-CN"/>
        </w:rPr>
        <w:t>万元。无预算资金调整情况。</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pPr>
        <w:autoSpaceDN w:val="0"/>
        <w:adjustRightInd w:val="0"/>
        <w:snapToGrid w:val="0"/>
        <w:spacing w:line="600" w:lineRule="exact"/>
        <w:ind w:firstLine="720"/>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资金来源为中央资金</w:t>
      </w:r>
      <w:r>
        <w:rPr>
          <w:rFonts w:ascii="仿宋_GB2312" w:eastAsia="仿宋_GB2312"/>
          <w:sz w:val="32"/>
          <w:szCs w:val="32"/>
          <w:lang w:val="zh-CN"/>
        </w:rPr>
        <w:t>468.35</w:t>
      </w:r>
      <w:r>
        <w:rPr>
          <w:rFonts w:hint="eastAsia" w:ascii="仿宋_GB2312" w:eastAsia="仿宋_GB2312"/>
          <w:sz w:val="32"/>
          <w:szCs w:val="32"/>
          <w:lang w:val="zh-CN"/>
        </w:rPr>
        <w:t>万元。</w:t>
      </w:r>
    </w:p>
    <w:p>
      <w:pPr>
        <w:autoSpaceDN w:val="0"/>
        <w:spacing w:line="560" w:lineRule="exact"/>
        <w:ind w:firstLine="640" w:firstLineChars="200"/>
        <w:jc w:val="left"/>
        <w:rPr>
          <w:rFonts w:ascii="仿宋_GB2312" w:eastAsia="仿宋_GB2312"/>
          <w:sz w:val="32"/>
          <w:szCs w:val="32"/>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rPr>
        <w:t>国家拨付补奖资金468.35万元全部及时足额到位。资金下达文件和时间：茂县财政局《关于提前下达2021年中央财政农业资源及生态保护补助资金的通知》（茂财农〔2021〕4号），下达时间2021年1月19日，下达资金394.4万元。茂县财政局《关于提前下达2021年中央财政农业资源及生态保护补助资金的通知》（茂财农〔2021〕34号），下达时间2021年7月29日，下达资金73.95万元。</w:t>
      </w:r>
    </w:p>
    <w:p>
      <w:pPr>
        <w:autoSpaceDN w:val="0"/>
        <w:spacing w:line="560" w:lineRule="exact"/>
        <w:ind w:firstLine="640" w:firstLineChars="200"/>
        <w:jc w:val="left"/>
        <w:rPr>
          <w:sz w:val="32"/>
          <w:szCs w:val="32"/>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eastAsia="仿宋_GB2312"/>
          <w:sz w:val="32"/>
          <w:szCs w:val="32"/>
        </w:rPr>
        <w:t>468.35万元补奖资金全部为“直补到户”资金。按照补奖政策“规范操作、严格考核、公示公告、兑现到户”的原则，以 “社保卡一卡通”的方式已经全部兑现给考核合格牧户，其中兑现禁牧补助221.85万元，草畜平衡奖励资金246.5万元。资金年度支出率100%。</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utoSpaceDN w:val="0"/>
        <w:spacing w:line="560" w:lineRule="exact"/>
        <w:ind w:firstLine="627" w:firstLineChars="196"/>
        <w:rPr>
          <w:rFonts w:ascii="仿宋_GB2312" w:eastAsia="仿宋_GB2312"/>
          <w:sz w:val="32"/>
          <w:szCs w:val="32"/>
        </w:rPr>
      </w:pPr>
      <w:r>
        <w:rPr>
          <w:rFonts w:hint="eastAsia" w:ascii="仿宋_GB2312" w:eastAsia="仿宋_GB2312"/>
          <w:sz w:val="32"/>
          <w:szCs w:val="32"/>
        </w:rPr>
        <w:t>补助奖励资金管理要求加强资金监管，严格执行专账管理、专款专用、分级分项核算资金管理制度。</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utoSpaceDE w:val="0"/>
        <w:autoSpaceDN w:val="0"/>
        <w:adjustRightInd w:val="0"/>
        <w:ind w:firstLine="642" w:firstLineChars="200"/>
        <w:rPr>
          <w:rFonts w:ascii="仿宋_GB2312" w:eastAsia="仿宋_GB2312"/>
          <w:sz w:val="32"/>
          <w:szCs w:val="32"/>
          <w:lang w:val="zh-CN"/>
        </w:rPr>
      </w:pPr>
      <w:r>
        <w:rPr>
          <w:rFonts w:hint="eastAsia" w:ascii="楷体_GB2312" w:eastAsia="楷体_GB2312"/>
          <w:b/>
          <w:sz w:val="32"/>
          <w:szCs w:val="32"/>
          <w:lang w:val="zh-CN"/>
        </w:rPr>
        <w:t>（一）项目组织架构及实施流程。</w:t>
      </w:r>
      <w:r>
        <w:rPr>
          <w:rFonts w:hint="eastAsia" w:ascii="仿宋_GB2312" w:eastAsia="仿宋_GB2312"/>
          <w:sz w:val="32"/>
          <w:szCs w:val="32"/>
          <w:lang w:val="zh-CN"/>
        </w:rPr>
        <w:t>农牧民补助奖励政策资金是国家惠民惠农“直补到户”资金。项目实施严格按照《农业资源及生态保护补助资金管理办法实施细则》（川财农〔2017〕97 号）和修订后的《</w:t>
      </w:r>
      <w:r>
        <w:rPr>
          <w:rFonts w:hint="eastAsia" w:ascii="仿宋_GB2312" w:eastAsia="仿宋_GB2312" w:cs="仿宋_GB2312"/>
          <w:kern w:val="0"/>
          <w:sz w:val="32"/>
          <w:szCs w:val="32"/>
        </w:rPr>
        <w:t>四川省农业资源及生态保护补助资金管理办法实施细则</w:t>
      </w:r>
      <w:r>
        <w:rPr>
          <w:rFonts w:hint="eastAsia" w:ascii="仿宋_GB2312" w:eastAsia="仿宋_GB2312"/>
          <w:sz w:val="32"/>
          <w:szCs w:val="32"/>
          <w:lang w:val="zh-CN"/>
        </w:rPr>
        <w:t>》（</w:t>
      </w:r>
      <w:r>
        <w:rPr>
          <w:rFonts w:hint="eastAsia" w:ascii="仿宋_GB2312" w:eastAsia="仿宋_GB2312" w:cs="仿宋_GB2312"/>
          <w:color w:val="000000"/>
          <w:kern w:val="0"/>
          <w:sz w:val="32"/>
          <w:szCs w:val="32"/>
        </w:rPr>
        <w:t>川</w:t>
      </w:r>
      <w:r>
        <w:rPr>
          <w:rFonts w:hint="eastAsia" w:ascii="仿宋_GB2312" w:eastAsia="仿宋_GB2312" w:cs="仿宋_GB2312"/>
          <w:color w:val="3D3D3D"/>
          <w:kern w:val="0"/>
          <w:sz w:val="32"/>
          <w:szCs w:val="32"/>
        </w:rPr>
        <w:t>财农〔2020〕85号</w:t>
      </w:r>
      <w:r>
        <w:rPr>
          <w:rFonts w:hint="eastAsia" w:ascii="仿宋_GB2312" w:eastAsia="仿宋_GB2312"/>
          <w:sz w:val="32"/>
          <w:szCs w:val="32"/>
          <w:lang w:val="zh-CN"/>
        </w:rPr>
        <w:t>）实施。项目在县人民政府的高度重视和坚强领导下，各责任部门各司其职各负其责，一是加强资金监管，确保使用安全；二是完善基础工作，加强信息管理；三加强业务培训，提升业务水平；四是强化制度管理，维护草畜平衡。</w:t>
      </w:r>
      <w:r>
        <w:rPr>
          <w:rFonts w:hint="eastAsia" w:ascii="仿宋_GB2312" w:eastAsia="仿宋_GB2312"/>
          <w:sz w:val="32"/>
          <w:szCs w:val="32"/>
        </w:rPr>
        <w:t>补奖资金兑现实行“村级公示制度”，以“惠民惠农财政补贴资金社会保障卡一卡通监管系统”的方式向考核合格牧户兑现补奖资金。在县政府门户网站公开了年度补奖政策落实情况。</w:t>
      </w:r>
    </w:p>
    <w:p>
      <w:pPr>
        <w:autoSpaceDN w:val="0"/>
        <w:adjustRightInd w:val="0"/>
        <w:snapToGrid w:val="0"/>
        <w:spacing w:line="600" w:lineRule="exact"/>
        <w:ind w:firstLine="720"/>
        <w:rPr>
          <w:rFonts w:ascii="仿宋_GB2312" w:eastAsia="仿宋_GB2312"/>
          <w:sz w:val="32"/>
          <w:szCs w:val="32"/>
        </w:rPr>
      </w:pPr>
      <w:r>
        <w:rPr>
          <w:rFonts w:hint="eastAsia" w:ascii="楷体_GB2312" w:eastAsia="楷体_GB2312"/>
          <w:b/>
          <w:sz w:val="32"/>
          <w:szCs w:val="32"/>
          <w:lang w:val="zh-CN"/>
        </w:rPr>
        <w:t>（二）项目管理情况。</w:t>
      </w:r>
      <w:r>
        <w:rPr>
          <w:rFonts w:hint="eastAsia" w:ascii="仿宋_GB2312" w:eastAsia="仿宋_GB2312"/>
          <w:sz w:val="32"/>
          <w:szCs w:val="32"/>
        </w:rPr>
        <w:t>一是财政、监察和审计等管理和监督部门不定期进行监督检查；二是茂县科学技术和农业畜牧局纪检组经常性对项目实施情况进行督促检查；三是把对农牧民履行草原禁牧和草畜平衡义务的考核情况作为补奖资金兑现依据；四是自己兑现实行村级公示和县人民政府门户网站进行公开；五是上级行业主管部门监督管理。</w:t>
      </w:r>
    </w:p>
    <w:p>
      <w:pPr>
        <w:autoSpaceDN w:val="0"/>
        <w:spacing w:line="560" w:lineRule="exact"/>
        <w:ind w:firstLine="642" w:firstLineChars="200"/>
        <w:jc w:val="left"/>
        <w:rPr>
          <w:rFonts w:ascii="仿宋_GB2312" w:eastAsia="仿宋_GB2312"/>
          <w:sz w:val="32"/>
          <w:szCs w:val="32"/>
        </w:rPr>
      </w:pPr>
      <w:r>
        <w:rPr>
          <w:rFonts w:hint="eastAsia" w:ascii="楷体_GB2312" w:eastAsia="楷体_GB2312"/>
          <w:b/>
          <w:sz w:val="32"/>
          <w:szCs w:val="32"/>
          <w:lang w:val="zh-CN"/>
        </w:rPr>
        <w:t>（三）项目监管情况。</w:t>
      </w:r>
      <w:r>
        <w:rPr>
          <w:rFonts w:hint="eastAsia" w:ascii="仿宋_GB2312" w:eastAsia="仿宋_GB2312"/>
          <w:sz w:val="32"/>
          <w:szCs w:val="32"/>
        </w:rPr>
        <w:t>补奖资金兑现实行“村级公示制度”，以“惠民惠农财政补贴资金社会保障卡一卡通监管系统”的方式向考核合格牧户兑现补奖资金，并在在县政府门户网站公开了年度补奖政策落实情况，实行多方面监管。</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tabs>
          <w:tab w:val="left" w:pos="1976"/>
        </w:tabs>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产出指标完成情况：于2021年12月20日全面完成补奖资金468.35万元的兑现工作，资金兑现率100%，涉及牧户17032户。其中：兑现草原禁牧补助资金221.85万元，涉及牧户12557户；兑现草畜平衡奖励资金246.5万元，涉及牧户16908户。补贴资金发放到位时间符合绩效目标要求时间。</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autoSpaceDN w:val="0"/>
        <w:spacing w:line="560" w:lineRule="exact"/>
        <w:ind w:firstLine="627" w:firstLineChars="196"/>
        <w:rPr>
          <w:rFonts w:ascii="仿宋_GB2312" w:eastAsia="仿宋_GB2312"/>
          <w:sz w:val="32"/>
          <w:szCs w:val="32"/>
        </w:rPr>
      </w:pPr>
      <w:r>
        <w:rPr>
          <w:rFonts w:hint="eastAsia" w:ascii="仿宋_GB2312" w:eastAsia="仿宋_GB2312"/>
          <w:sz w:val="32"/>
          <w:szCs w:val="32"/>
        </w:rPr>
        <w:t>效益指标完成情况：资金兑现采用“惠民惠农财政补贴资金社会保障卡一卡通监管系统”和“资格审批系统”兑付补奖牧户，确保了补奖资金准确兑现到户到人。资金使用没有出现截留挪用、违规冒领等问题。通过项目实施，加快了草原畜牧业生产方式转变，牧民群众收入稳步提高，生态保护和牧民增收兼顾，确保了草原补奖政策平稳有效运行。</w:t>
      </w:r>
    </w:p>
    <w:p>
      <w:pPr>
        <w:autoSpaceDN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满意度指标：通过走访政策享受农牧户，农牧民对补奖政策实施的满意度约为95%以上。</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autoSpaceDN w:val="0"/>
        <w:ind w:firstLine="640" w:firstLineChars="200"/>
        <w:rPr>
          <w:rFonts w:ascii="仿宋_GB2312" w:eastAsia="仿宋_GB2312"/>
          <w:sz w:val="32"/>
          <w:szCs w:val="32"/>
        </w:rPr>
      </w:pPr>
      <w:r>
        <w:rPr>
          <w:rFonts w:hint="eastAsia" w:ascii="仿宋_GB2312" w:eastAsia="仿宋_GB2312"/>
          <w:sz w:val="32"/>
          <w:szCs w:val="32"/>
        </w:rPr>
        <w:t>没有偏离绩效目标。</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autoSpaceDN w:val="0"/>
        <w:spacing w:line="560" w:lineRule="exact"/>
        <w:ind w:firstLine="640" w:firstLineChars="200"/>
        <w:jc w:val="left"/>
        <w:rPr>
          <w:rFonts w:ascii="仿宋_GB2312" w:hAnsi="Calibri" w:eastAsia="仿宋_GB2312" w:cs="Arial"/>
          <w:sz w:val="32"/>
          <w:szCs w:val="32"/>
        </w:rPr>
      </w:pPr>
      <w:r>
        <w:rPr>
          <w:rFonts w:hint="eastAsia" w:ascii="仿宋_GB2312" w:hAnsi="Calibri" w:eastAsia="仿宋_GB2312" w:cs="Arial"/>
          <w:sz w:val="32"/>
          <w:szCs w:val="32"/>
        </w:rPr>
        <w:t>本年度草原生态补奖政策实施情况，未进行审计，主要原因是没有相关的项目审计经费。</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adjustRightInd w:val="0"/>
        <w:snapToGrid w:val="0"/>
        <w:spacing w:line="600" w:lineRule="exact"/>
        <w:ind w:firstLine="960" w:firstLineChars="300"/>
        <w:rPr>
          <w:rFonts w:ascii="仿宋_GB2312" w:eastAsia="仿宋_GB2312"/>
          <w:sz w:val="32"/>
          <w:szCs w:val="32"/>
          <w:lang w:val="zh-CN"/>
        </w:rPr>
      </w:pPr>
      <w:r>
        <w:rPr>
          <w:rFonts w:hint="eastAsia" w:ascii="仿宋_GB2312" w:eastAsia="仿宋_GB2312"/>
          <w:sz w:val="32"/>
          <w:szCs w:val="32"/>
          <w:lang w:val="zh-CN"/>
        </w:rPr>
        <w:t>无</w:t>
      </w: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580" w:lineRule="exact"/>
        <w:ind w:firstLine="64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126" w:name="_Toc115081058"/>
      <w:r>
        <w:rPr>
          <w:rFonts w:hint="eastAsia" w:ascii="黑体" w:eastAsia="黑体" w:cs="黑体"/>
          <w:sz w:val="32"/>
          <w:szCs w:val="32"/>
        </w:rPr>
        <w:t>附件</w:t>
      </w:r>
      <w:r>
        <w:rPr>
          <w:rFonts w:ascii="黑体" w:eastAsia="黑体" w:cs="黑体"/>
          <w:sz w:val="32"/>
          <w:szCs w:val="32"/>
        </w:rPr>
        <w:t>3</w:t>
      </w:r>
      <w:bookmarkEnd w:id="126"/>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27" w:name="_Toc115081059"/>
      <w:r>
        <w:rPr>
          <w:rFonts w:hint="eastAsia" w:ascii="方正小标宋简体" w:eastAsia="方正小标宋简体" w:cs="黑体"/>
          <w:sz w:val="44"/>
          <w:szCs w:val="44"/>
        </w:rPr>
        <w:t>中央动物防疫经费项目202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27"/>
    </w:p>
    <w:p>
      <w:pPr>
        <w:spacing w:line="600" w:lineRule="exact"/>
        <w:rPr>
          <w:rFonts w:ascii="宋体"/>
          <w:sz w:val="32"/>
          <w:szCs w:val="32"/>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utoSpaceDN w:val="0"/>
        <w:adjustRightInd w:val="0"/>
        <w:snapToGrid w:val="0"/>
        <w:spacing w:line="600" w:lineRule="exact"/>
        <w:ind w:firstLine="720"/>
        <w:rPr>
          <w:rFonts w:ascii="仿宋_GB2312" w:eastAsia="仿宋_GB2312"/>
          <w:sz w:val="32"/>
          <w:szCs w:val="32"/>
        </w:rPr>
      </w:pPr>
      <w:r>
        <w:rPr>
          <w:rFonts w:hint="eastAsia" w:ascii="仿宋_GB2312" w:eastAsia="仿宋_GB2312"/>
          <w:sz w:val="32"/>
          <w:szCs w:val="32"/>
        </w:rPr>
        <w:t>根据中财农《动物防疫等补助经费管理办法的通知》〔2017〕43号关于印发、川财农四川省财政厅四川省农业厅关于印发《动物防疫等补助经费管理办法实施细则的通知》〔2017〕96号文件精神等要求，安排中央动物防疫经费资金</w:t>
      </w:r>
      <w:r>
        <w:rPr>
          <w:rFonts w:ascii="仿宋_GB2312" w:eastAsia="仿宋_GB2312"/>
          <w:sz w:val="32"/>
          <w:szCs w:val="32"/>
        </w:rPr>
        <w:t>64.7</w:t>
      </w:r>
      <w:r>
        <w:rPr>
          <w:rFonts w:hint="eastAsia" w:ascii="仿宋_GB2312" w:eastAsia="仿宋_GB2312"/>
          <w:sz w:val="32"/>
          <w:szCs w:val="32"/>
        </w:rPr>
        <w:t>万元。</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600" w:lineRule="exact"/>
        <w:ind w:firstLine="720"/>
        <w:rPr>
          <w:rFonts w:ascii="仿宋_GB2312" w:eastAsia="仿宋_GB2312"/>
          <w:sz w:val="32"/>
          <w:szCs w:val="32"/>
        </w:rPr>
      </w:pPr>
      <w:r>
        <w:rPr>
          <w:rFonts w:ascii="仿宋_GB2312" w:eastAsia="仿宋_GB2312"/>
          <w:sz w:val="32"/>
          <w:szCs w:val="32"/>
        </w:rPr>
        <w:t>项目主要用于2021年全县牲畜检测试剂购买，茂县149个村级防疫员进行动物强制免疫、疫情监测、流行病学调查等防疫补助，聘用驾驶员劳务费。</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600" w:lineRule="exact"/>
        <w:ind w:firstLine="720"/>
        <w:rPr>
          <w:rFonts w:ascii="仿宋_GB2312" w:eastAsia="仿宋_GB2312"/>
          <w:bCs/>
          <w:sz w:val="32"/>
          <w:szCs w:val="32"/>
        </w:rPr>
      </w:pPr>
      <w:r>
        <w:rPr>
          <w:rFonts w:ascii="仿宋_GB2312" w:eastAsia="仿宋_GB2312"/>
          <w:bCs/>
          <w:sz w:val="32"/>
          <w:szCs w:val="32"/>
        </w:rPr>
        <w:t>乡镇考核工作量，村级驱虫员签字确认，茂县畜牧兽医服务中心审核后汇总，财务支付到村级防疫员“一卡通”。</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utoSpaceDN w:val="0"/>
        <w:adjustRightInd w:val="0"/>
        <w:snapToGrid w:val="0"/>
        <w:spacing w:line="600" w:lineRule="exact"/>
        <w:ind w:firstLine="720"/>
        <w:rPr>
          <w:rFonts w:ascii="仿宋_GB2312" w:eastAsia="仿宋_GB2312"/>
          <w:sz w:val="32"/>
          <w:szCs w:val="32"/>
          <w:lang w:val="zh-CN"/>
        </w:rPr>
      </w:pPr>
      <w:r>
        <w:rPr>
          <w:rFonts w:hint="eastAsia" w:ascii="仿宋_GB2312" w:eastAsia="仿宋_GB2312"/>
          <w:sz w:val="32"/>
          <w:szCs w:val="32"/>
          <w:lang w:val="zh-CN"/>
        </w:rPr>
        <w:t>项目申报资金</w:t>
      </w:r>
      <w:r>
        <w:rPr>
          <w:rFonts w:ascii="仿宋_GB2312" w:eastAsia="仿宋_GB2312"/>
          <w:sz w:val="32"/>
          <w:szCs w:val="32"/>
          <w:lang w:val="zh-CN"/>
        </w:rPr>
        <w:t>64.7</w:t>
      </w:r>
      <w:r>
        <w:rPr>
          <w:rFonts w:hint="eastAsia" w:ascii="仿宋_GB2312" w:eastAsia="仿宋_GB2312"/>
          <w:sz w:val="32"/>
          <w:szCs w:val="32"/>
          <w:lang w:val="zh-CN"/>
        </w:rPr>
        <w:t>元，批复下达资金</w:t>
      </w:r>
      <w:r>
        <w:rPr>
          <w:rFonts w:ascii="仿宋_GB2312" w:eastAsia="仿宋_GB2312"/>
          <w:sz w:val="32"/>
          <w:szCs w:val="32"/>
          <w:lang w:val="zh-CN"/>
        </w:rPr>
        <w:t>64.7</w:t>
      </w:r>
      <w:r>
        <w:rPr>
          <w:rFonts w:hint="eastAsia" w:ascii="仿宋_GB2312" w:eastAsia="仿宋_GB2312"/>
          <w:sz w:val="32"/>
          <w:szCs w:val="32"/>
          <w:lang w:val="zh-CN"/>
        </w:rPr>
        <w:t>万元。无预算资金调整情况。</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（二）资金计划、到位及使用情况</w:t>
      </w:r>
    </w:p>
    <w:p>
      <w:pPr>
        <w:autoSpaceDN w:val="0"/>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zh-CN"/>
        </w:rPr>
        <w:t>资金来源为中央资金</w:t>
      </w:r>
      <w:r>
        <w:rPr>
          <w:rFonts w:ascii="仿宋_GB2312" w:eastAsia="仿宋_GB2312"/>
          <w:sz w:val="32"/>
          <w:szCs w:val="32"/>
          <w:lang w:val="zh-CN"/>
        </w:rPr>
        <w:t>64.7</w:t>
      </w:r>
      <w:r>
        <w:rPr>
          <w:rFonts w:hint="eastAsia" w:ascii="仿宋_GB2312" w:eastAsia="仿宋_GB2312"/>
          <w:sz w:val="32"/>
          <w:szCs w:val="32"/>
          <w:lang w:val="zh-CN"/>
        </w:rPr>
        <w:t>万元。</w:t>
      </w:r>
    </w:p>
    <w:p>
      <w:pPr>
        <w:autoSpaceDN w:val="0"/>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eastAsia="仿宋_GB2312"/>
          <w:sz w:val="32"/>
          <w:szCs w:val="32"/>
          <w:lang w:val="zh-CN"/>
        </w:rPr>
        <w:t>国家拨付补奖资金</w:t>
      </w:r>
      <w:r>
        <w:rPr>
          <w:rFonts w:ascii="仿宋_GB2312" w:eastAsia="仿宋_GB2312"/>
          <w:sz w:val="32"/>
          <w:szCs w:val="32"/>
          <w:lang w:val="zh-CN"/>
        </w:rPr>
        <w:t>64</w:t>
      </w:r>
      <w:r>
        <w:rPr>
          <w:rFonts w:hint="eastAsia" w:ascii="仿宋_GB2312" w:eastAsia="仿宋_GB2312"/>
          <w:sz w:val="32"/>
          <w:szCs w:val="32"/>
          <w:lang w:val="zh-CN"/>
        </w:rPr>
        <w:t>万元全部及时足额到位。茂县财政局《关于提前下达</w:t>
      </w:r>
      <w:r>
        <w:rPr>
          <w:rFonts w:ascii="仿宋_GB2312" w:eastAsia="仿宋_GB2312"/>
          <w:sz w:val="32"/>
          <w:szCs w:val="32"/>
          <w:lang w:val="zh-CN"/>
        </w:rPr>
        <w:t>2021</w:t>
      </w:r>
      <w:r>
        <w:rPr>
          <w:rFonts w:hint="eastAsia" w:ascii="仿宋_GB2312" w:eastAsia="仿宋_GB2312"/>
          <w:sz w:val="32"/>
          <w:szCs w:val="32"/>
          <w:lang w:val="zh-CN"/>
        </w:rPr>
        <w:t>年中央财政动物防疫等补助经费的通知》（茂财农</w:t>
      </w:r>
      <w:r>
        <w:rPr>
          <w:rFonts w:hint="eastAsia" w:ascii="仿宋_GB2312" w:eastAsia="仿宋_GB2312"/>
          <w:sz w:val="32"/>
          <w:szCs w:val="32"/>
        </w:rPr>
        <w:t>〔202</w:t>
      </w: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lang w:val="zh-CN"/>
        </w:rPr>
        <w:t>13</w:t>
      </w:r>
      <w:r>
        <w:rPr>
          <w:rFonts w:hint="eastAsia" w:ascii="仿宋_GB2312" w:eastAsia="仿宋_GB2312"/>
          <w:sz w:val="32"/>
          <w:szCs w:val="32"/>
          <w:lang w:val="zh-CN"/>
        </w:rPr>
        <w:t>号），下达时间2020年2月</w:t>
      </w:r>
      <w:r>
        <w:rPr>
          <w:rFonts w:ascii="仿宋_GB2312" w:eastAsia="仿宋_GB2312"/>
          <w:sz w:val="32"/>
          <w:szCs w:val="32"/>
          <w:lang w:val="zh-CN"/>
        </w:rPr>
        <w:t>2</w:t>
      </w:r>
      <w:r>
        <w:rPr>
          <w:rFonts w:hint="eastAsia" w:ascii="仿宋_GB2312" w:eastAsia="仿宋_GB2312"/>
          <w:sz w:val="32"/>
          <w:szCs w:val="32"/>
          <w:lang w:val="zh-CN"/>
        </w:rPr>
        <w:t>日。</w:t>
      </w:r>
    </w:p>
    <w:p>
      <w:pPr>
        <w:pStyle w:val="33"/>
        <w:spacing w:line="560" w:lineRule="exact"/>
        <w:ind w:firstLine="560"/>
        <w:rPr>
          <w:rFonts w:ascii="仿宋_GB2312" w:eastAsia="仿宋_GB2312"/>
          <w:color w:val="000000"/>
          <w:sz w:val="32"/>
          <w:szCs w:val="32"/>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eastAsia="仿宋_GB2312"/>
          <w:color w:val="000000"/>
          <w:sz w:val="32"/>
          <w:szCs w:val="32"/>
        </w:rPr>
        <w:t>按照我县制定的项目实施方案要求，项目总经费64.7万，其中用于：</w:t>
      </w:r>
    </w:p>
    <w:p>
      <w:pPr>
        <w:widowControl/>
        <w:spacing w:line="560" w:lineRule="exact"/>
        <w:ind w:firstLine="560"/>
        <w:rPr>
          <w:rFonts w:ascii="仿宋_GB2312" w:eastAsia="仿宋_GB2312" w:cs="仿宋_GB2312"/>
          <w:sz w:val="32"/>
          <w:szCs w:val="32"/>
        </w:rPr>
      </w:pPr>
      <w:r>
        <w:rPr>
          <w:rFonts w:hint="eastAsia" w:ascii="仿宋_GB2312" w:eastAsia="仿宋_GB2312" w:cs="仿宋_GB2312"/>
          <w:kern w:val="0"/>
          <w:sz w:val="32"/>
          <w:szCs w:val="32"/>
        </w:rPr>
        <w:t>1、村防员补助。</w:t>
      </w:r>
      <w:r>
        <w:rPr>
          <w:rFonts w:hint="eastAsia" w:ascii="仿宋_GB2312" w:eastAsia="仿宋_GB2312" w:cs="仿宋_GB2312"/>
          <w:sz w:val="32"/>
          <w:szCs w:val="32"/>
        </w:rPr>
        <w:t>根据全县各村动物防疫工作总量、疫情监测及排查消毒情况、免疫数量等实际情况分配，年底结合镇村考核结果一次性按照补助形式支付各村聘用村级动物防疫员。全县共聘请149个村级动物防疫员（兼疫情观察员），每人年平均0.11万元，共16.35万元。</w:t>
      </w:r>
    </w:p>
    <w:p>
      <w:pPr>
        <w:widowControl/>
        <w:spacing w:line="560" w:lineRule="exact"/>
        <w:ind w:firstLine="560"/>
        <w:rPr>
          <w:rFonts w:ascii="仿宋_GB2312" w:eastAsia="仿宋_GB2312" w:cs="仿宋_GB2312"/>
          <w:sz w:val="32"/>
          <w:szCs w:val="32"/>
        </w:rPr>
      </w:pPr>
      <w:r>
        <w:rPr>
          <w:rFonts w:hint="eastAsia" w:ascii="仿宋_GB2312" w:eastAsia="仿宋_GB2312" w:cs="仿宋_GB2312"/>
          <w:sz w:val="32"/>
          <w:szCs w:val="32"/>
        </w:rPr>
        <w:t>2、聘请防疫驾驶员。根据我县村寨分散、山高路远、工作量大等特点，县畜牧兽医服务中心特聘用专职驾驶员两名，为全县动物防疫工作服务，每人每年劳务费3万元，共6万元，以转账方式支付。</w:t>
      </w:r>
    </w:p>
    <w:p>
      <w:pPr>
        <w:widowControl/>
        <w:spacing w:line="560" w:lineRule="exact"/>
        <w:ind w:firstLine="56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kern w:val="0"/>
          <w:sz w:val="32"/>
          <w:szCs w:val="32"/>
        </w:rPr>
        <w:t>村防员包虫病、布病防疫补助。</w:t>
      </w:r>
      <w:r>
        <w:rPr>
          <w:rFonts w:hint="eastAsia" w:ascii="仿宋_GB2312" w:eastAsia="仿宋_GB2312" w:cs="仿宋_GB2312"/>
          <w:sz w:val="32"/>
          <w:szCs w:val="32"/>
        </w:rPr>
        <w:t>根据全县各村动</w:t>
      </w:r>
      <w:r>
        <w:rPr>
          <w:rFonts w:hint="eastAsia" w:ascii="仿宋_GB2312" w:eastAsia="仿宋_GB2312" w:cs="仿宋_GB2312"/>
          <w:kern w:val="0"/>
          <w:sz w:val="32"/>
          <w:szCs w:val="32"/>
        </w:rPr>
        <w:t>包虫病、布病</w:t>
      </w:r>
      <w:r>
        <w:rPr>
          <w:rFonts w:hint="eastAsia" w:ascii="仿宋_GB2312" w:eastAsia="仿宋_GB2312" w:cs="仿宋_GB2312"/>
          <w:sz w:val="32"/>
          <w:szCs w:val="32"/>
        </w:rPr>
        <w:t>工作总量、免疫数量等实际情况分配，由村级防疫员负责免疫。年底结合镇村考核结果一次性按照补助形式支付各村聘用村级动物防疫员，共聘请149个村级动物防疫员,每人年平均0.15万元，共22.35万元。</w:t>
      </w:r>
    </w:p>
    <w:p>
      <w:pPr>
        <w:widowControl/>
        <w:shd w:val="clear" w:color="auto" w:fill="FFFFFF"/>
        <w:spacing w:line="560" w:lineRule="exact"/>
        <w:ind w:firstLine="640"/>
        <w:jc w:val="left"/>
        <w:rPr>
          <w:rFonts w:ascii="仿宋_GB2312" w:eastAsia="仿宋_GB2312" w:cs="仿宋_GB2312"/>
          <w:sz w:val="32"/>
          <w:szCs w:val="32"/>
        </w:rPr>
      </w:pPr>
      <w:r>
        <w:rPr>
          <w:rFonts w:hint="eastAsia" w:ascii="仿宋_GB2312" w:eastAsia="仿宋_GB2312" w:cs="仿宋_GB2312"/>
          <w:sz w:val="32"/>
          <w:szCs w:val="32"/>
        </w:rPr>
        <w:t>4、人员下乡开展动物疫病免疫效果，疫病监测、流行病学调查车辆加油支出，开展实验室免疫抗体和重大动物疫病检测试剂耗材，茂县定点生猪屠宰场开展非洲猪瘟防控值班补助等共20万元。</w:t>
      </w:r>
    </w:p>
    <w:p>
      <w:pPr>
        <w:widowControl/>
        <w:shd w:val="clear" w:color="auto" w:fill="FFFFFF"/>
        <w:spacing w:line="560" w:lineRule="exact"/>
        <w:ind w:firstLine="640"/>
        <w:jc w:val="left"/>
        <w:rPr>
          <w:rFonts w:ascii="仿宋_GB2312" w:eastAsia="仿宋_GB2312" w:cs="宋体"/>
          <w:color w:val="333333"/>
          <w:kern w:val="0"/>
          <w:sz w:val="32"/>
          <w:szCs w:val="32"/>
        </w:rPr>
      </w:pPr>
      <w:r>
        <w:rPr>
          <w:rFonts w:hint="eastAsia" w:ascii="仿宋_GB2312" w:eastAsia="仿宋_GB2312" w:cs="宋体"/>
          <w:color w:val="000000"/>
          <w:kern w:val="0"/>
          <w:sz w:val="32"/>
          <w:szCs w:val="32"/>
        </w:rPr>
        <w:t>5、项目资金管理情况分析。已使用项目资金64.7万元，。按照我县制定的实施方案要求，已全部实施完成。</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widowControl/>
        <w:autoSpaceDN w:val="0"/>
        <w:ind w:firstLine="627" w:firstLineChars="196"/>
        <w:jc w:val="left"/>
        <w:rPr>
          <w:rFonts w:ascii="仿宋_GB2312" w:eastAsia="仿宋_GB2312"/>
          <w:sz w:val="32"/>
          <w:szCs w:val="32"/>
        </w:rPr>
      </w:pPr>
      <w:r>
        <w:rPr>
          <w:rFonts w:hint="eastAsia" w:ascii="仿宋_GB2312" w:eastAsia="仿宋_GB2312"/>
          <w:sz w:val="32"/>
          <w:szCs w:val="32"/>
        </w:rPr>
        <w:t>按照中央、省、州补助奖励资金管理要求加强资金监管，严格执行专账管理、专款专用、分级分项核算资金管理制度。</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rPr>
          <w:rFonts w:ascii="仿宋_GB2312" w:eastAsia="仿宋_GB2312"/>
          <w:b/>
          <w:sz w:val="32"/>
          <w:szCs w:val="32"/>
          <w:lang w:val="zh-CN"/>
        </w:rPr>
      </w:pPr>
      <w:r>
        <w:rPr>
          <w:rFonts w:hint="eastAsia" w:ascii="楷体_GB2312" w:eastAsia="楷体_GB2312"/>
          <w:b/>
          <w:sz w:val="32"/>
          <w:szCs w:val="32"/>
          <w:lang w:val="zh-CN"/>
        </w:rPr>
        <w:t>（一）项目组织架构及实施流程。</w:t>
      </w:r>
      <w:r>
        <w:rPr>
          <w:rFonts w:hint="eastAsia" w:ascii="仿宋_GB2312" w:eastAsia="仿宋_GB2312"/>
          <w:sz w:val="32"/>
          <w:szCs w:val="32"/>
        </w:rPr>
        <w:t>成立领导小组。由县畜牧兽医服务中心主任周地员任组长、县畜牧兽医服务中心副主任冯天顺、黄世周任副组长，实施镇政府分管领导为成员，负责行政管理、监督和协调，以确保方案正常运作和顺利实施。成立技术小组。由县动物疫病预防控制中心、动卫中心、各镇畜牧兽医技术人员组成，动物疫病预防控制中心负责组织防控技术培训，落实疫苗、消毒药品等防疫物资。技术小组成员实行目标责任制，做到任务目标到人，既有分工又有合作，充分调动技术人员的积极性。加强防疫工作督查，健全责任制和责任追究制度，定期检查免疫档案及其它档案资料，对免疫效价进行测定。</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ascii="仿宋_GB2312" w:eastAsia="仿宋_GB2312"/>
          <w:sz w:val="32"/>
          <w:szCs w:val="32"/>
        </w:rPr>
        <w:t>防疫员补贴按照防疫工作总量、疫情监测及排查消毒情况、免疫数量等实际情况按照多劳多得的原则，根据乡镇由本人签字考核结果，于2021年12月通过补助形式发放。</w:t>
      </w:r>
    </w:p>
    <w:p>
      <w:pPr>
        <w:adjustRightInd w:val="0"/>
        <w:snapToGrid w:val="0"/>
        <w:spacing w:line="600" w:lineRule="exact"/>
        <w:ind w:firstLine="720"/>
        <w:rPr>
          <w:rFonts w:ascii="仿宋_GB2312" w:eastAsia="仿宋_GB2312"/>
          <w:bCs/>
          <w:sz w:val="32"/>
          <w:szCs w:val="32"/>
          <w:lang w:val="zh-CN"/>
        </w:rPr>
      </w:pPr>
      <w:r>
        <w:rPr>
          <w:rFonts w:hint="eastAsia" w:ascii="楷体_GB2312" w:eastAsia="楷体_GB2312"/>
          <w:b/>
          <w:sz w:val="32"/>
          <w:szCs w:val="32"/>
          <w:lang w:val="zh-CN"/>
        </w:rPr>
        <w:t>（三）项目监管情况。</w:t>
      </w:r>
      <w:r>
        <w:rPr>
          <w:rFonts w:hint="eastAsia" w:ascii="楷体_GB2312" w:eastAsia="楷体_GB2312"/>
          <w:bCs/>
          <w:sz w:val="32"/>
          <w:szCs w:val="32"/>
          <w:lang w:val="zh-CN"/>
        </w:rPr>
        <w:t>防疫员、</w:t>
      </w:r>
      <w:r>
        <w:rPr>
          <w:rFonts w:hint="eastAsia" w:ascii="仿宋_GB2312" w:eastAsia="仿宋_GB2312"/>
          <w:bCs/>
          <w:sz w:val="32"/>
          <w:szCs w:val="32"/>
          <w:lang w:val="zh-CN"/>
        </w:rPr>
        <w:t>驱虫员补贴按照犬只驱虫数量补贴，按照多劳多得的原则，根据乡镇由本人签字考核结果，于</w:t>
      </w:r>
      <w:r>
        <w:rPr>
          <w:rFonts w:ascii="仿宋_GB2312" w:eastAsia="仿宋_GB2312"/>
          <w:bCs/>
          <w:sz w:val="32"/>
          <w:szCs w:val="32"/>
          <w:lang w:val="zh-CN"/>
        </w:rPr>
        <w:t>2021</w:t>
      </w:r>
      <w:r>
        <w:rPr>
          <w:rFonts w:hint="eastAsia" w:ascii="仿宋_GB2312" w:eastAsia="仿宋_GB2312"/>
          <w:bCs/>
          <w:sz w:val="32"/>
          <w:szCs w:val="32"/>
          <w:lang w:val="zh-CN"/>
        </w:rPr>
        <w:t>年12月通过补助形式发放。</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widowControl/>
        <w:shd w:val="clear" w:color="auto" w:fill="FFFFFF"/>
        <w:spacing w:line="560" w:lineRule="exact"/>
        <w:ind w:firstLine="640"/>
        <w:jc w:val="left"/>
        <w:rPr>
          <w:rFonts w:ascii="仿宋_GB2312" w:eastAsia="仿宋_GB2312" w:cs="楷体_GB2312"/>
          <w:bCs/>
          <w:kern w:val="0"/>
          <w:sz w:val="32"/>
          <w:szCs w:val="32"/>
        </w:rPr>
      </w:pPr>
      <w:r>
        <w:rPr>
          <w:rFonts w:hint="eastAsia" w:ascii="仿宋_GB2312" w:eastAsia="仿宋_GB2312" w:cs="宋体"/>
          <w:color w:val="000000"/>
          <w:kern w:val="0"/>
          <w:sz w:val="32"/>
          <w:szCs w:val="32"/>
        </w:rPr>
        <w:t>1.</w:t>
      </w:r>
      <w:r>
        <w:rPr>
          <w:rFonts w:hint="eastAsia" w:ascii="仿宋_GB2312" w:eastAsia="仿宋_GB2312" w:cs="楷体_GB2312"/>
          <w:bCs/>
          <w:kern w:val="0"/>
          <w:sz w:val="32"/>
          <w:szCs w:val="32"/>
        </w:rPr>
        <w:t>全年共计</w:t>
      </w:r>
      <w:r>
        <w:rPr>
          <w:rFonts w:hint="eastAsia" w:ascii="仿宋_GB2312" w:eastAsia="仿宋_GB2312" w:cs="宋体"/>
          <w:kern w:val="0"/>
          <w:sz w:val="32"/>
          <w:szCs w:val="32"/>
        </w:rPr>
        <w:t>免疫</w:t>
      </w:r>
      <w:r>
        <w:rPr>
          <w:rFonts w:hint="eastAsia" w:ascii="仿宋_GB2312" w:eastAsia="仿宋_GB2312" w:cs="楷体_GB2312"/>
          <w:bCs/>
          <w:kern w:val="0"/>
          <w:sz w:val="32"/>
          <w:szCs w:val="32"/>
        </w:rPr>
        <w:t>猪瘟8.69万头、猪口蹄疫8.69万头、牛羊口蹄疫7.82万头（只）、羊包虫病2.98万只、犬驱虫0.61万只、禽流感11.62万羽、小反刍兽疫2.98万只，强免病种免疫密度100%，抗体水平80%以上。</w:t>
      </w:r>
    </w:p>
    <w:p>
      <w:pPr>
        <w:spacing w:line="560" w:lineRule="exact"/>
        <w:ind w:firstLine="640" w:firstLineChars="200"/>
        <w:rPr>
          <w:rFonts w:ascii="仿宋_GB2312" w:eastAsia="仿宋_GB2312" w:cs="仿宋_GB2312"/>
          <w:sz w:val="32"/>
          <w:szCs w:val="32"/>
        </w:rPr>
      </w:pPr>
      <w:r>
        <w:rPr>
          <w:rFonts w:hint="eastAsia" w:ascii="仿宋_GB2312" w:eastAsia="仿宋_GB2312"/>
          <w:sz w:val="32"/>
          <w:szCs w:val="32"/>
        </w:rPr>
        <w:t>2.</w:t>
      </w:r>
      <w:r>
        <w:rPr>
          <w:rFonts w:hint="eastAsia" w:ascii="仿宋_GB2312" w:eastAsia="仿宋_GB2312" w:cs="仿宋"/>
          <w:sz w:val="32"/>
          <w:szCs w:val="32"/>
        </w:rPr>
        <w:t>全面落实犬只月月驱虫、家畜病变脏器无害化处理等防控措施，努力降低布病、包虫病危害</w:t>
      </w:r>
      <w:r>
        <w:rPr>
          <w:rFonts w:hint="eastAsia" w:ascii="仿宋_GB2312" w:eastAsia="仿宋_GB2312" w:cs="仿宋"/>
          <w:color w:val="000000"/>
          <w:sz w:val="32"/>
          <w:szCs w:val="32"/>
        </w:rPr>
        <w:t>，</w:t>
      </w:r>
      <w:r>
        <w:rPr>
          <w:rFonts w:hint="eastAsia" w:ascii="仿宋_GB2312" w:eastAsia="仿宋_GB2312" w:cs="仿宋_GB2312"/>
          <w:color w:val="000000"/>
          <w:sz w:val="32"/>
          <w:szCs w:val="32"/>
        </w:rPr>
        <w:t>完成对</w:t>
      </w:r>
      <w:r>
        <w:rPr>
          <w:rFonts w:hint="eastAsia" w:ascii="仿宋_GB2312" w:eastAsia="仿宋_GB2312" w:cs="仿宋_GB2312"/>
          <w:sz w:val="32"/>
          <w:szCs w:val="32"/>
        </w:rPr>
        <w:t>驱虫后的犬粪进行焚烧或深埋处理，</w:t>
      </w:r>
      <w:r>
        <w:rPr>
          <w:rFonts w:hint="eastAsia" w:ascii="仿宋_GB2312" w:eastAsia="仿宋_GB2312" w:cs="仿宋"/>
          <w:sz w:val="32"/>
          <w:szCs w:val="32"/>
        </w:rPr>
        <w:t>保障畜牧业健康发展和畜产品质量安全，从源头上保障人民身体健康和生命安全。</w:t>
      </w:r>
    </w:p>
    <w:p>
      <w:pPr>
        <w:widowControl/>
        <w:spacing w:line="560" w:lineRule="exact"/>
        <w:ind w:firstLine="627" w:firstLineChars="196"/>
        <w:jc w:val="left"/>
        <w:rPr>
          <w:rFonts w:ascii="仿宋_GB2312" w:eastAsia="仿宋_GB2312" w:cs="仿宋"/>
          <w:sz w:val="32"/>
          <w:szCs w:val="32"/>
        </w:rPr>
      </w:pPr>
      <w:r>
        <w:rPr>
          <w:rFonts w:hint="eastAsia" w:ascii="仿宋_GB2312" w:eastAsia="仿宋_GB2312" w:cs="仿宋_GB2312"/>
          <w:sz w:val="32"/>
          <w:szCs w:val="32"/>
        </w:rPr>
        <w:t>3.</w:t>
      </w:r>
      <w:r>
        <w:rPr>
          <w:rFonts w:hint="eastAsia" w:ascii="仿宋_GB2312" w:eastAsia="仿宋_GB2312" w:cs="仿宋"/>
          <w:sz w:val="32"/>
          <w:szCs w:val="32"/>
        </w:rPr>
        <w:t>根据我县优势畜种分布情况，实行分区监测；对养殖场纵深监测：采取不定期方式对规模养殖场（户）进行监测，及时出诊全年共出诊32次，对发病类型及疫情发展趋势作出预警预判；全年共采集猪血样1000份、羊血样800份、鸡血样400份、牛血样200份、犬粪800份进行实验室检测。</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（二）项目效益情况</w:t>
      </w:r>
    </w:p>
    <w:p>
      <w:pPr>
        <w:pStyle w:val="18"/>
        <w:shd w:val="clear" w:color="auto" w:fill="FFFFFF"/>
        <w:spacing w:before="0" w:beforeAutospacing="0" w:after="0" w:afterAutospacing="0" w:line="560" w:lineRule="exact"/>
        <w:ind w:firstLine="640"/>
        <w:rPr>
          <w:rFonts w:ascii="仿宋_GB2312" w:eastAsia="仿宋_GB2312"/>
          <w:color w:val="333333"/>
          <w:sz w:val="32"/>
          <w:szCs w:val="32"/>
        </w:rPr>
      </w:pPr>
      <w:r>
        <w:rPr>
          <w:rFonts w:hint="eastAsia" w:ascii="仿宋_GB2312" w:eastAsia="仿宋_GB2312"/>
          <w:color w:val="333333"/>
          <w:sz w:val="32"/>
          <w:szCs w:val="32"/>
        </w:rPr>
        <w:t>通过项目的实施，</w:t>
      </w:r>
      <w:r>
        <w:rPr>
          <w:rFonts w:hint="eastAsia" w:ascii="仿宋_GB2312" w:eastAsia="仿宋_GB2312"/>
          <w:color w:val="000000"/>
          <w:sz w:val="32"/>
          <w:szCs w:val="32"/>
        </w:rPr>
        <w:t>进一步提高我县对重大动物疫情防控能力，减少动物死亡率，提高养殖户经济效益，严防发生区域性重大动物疫情，保障畜牧业健康可持续发展和公共卫生安全，社会和经济效益显著，养殖场（户）满意，得到好评。</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widowControl/>
        <w:shd w:val="clear" w:color="auto" w:fill="FFFFFF"/>
        <w:spacing w:line="560" w:lineRule="exact"/>
        <w:ind w:firstLine="627"/>
        <w:jc w:val="left"/>
        <w:rPr>
          <w:rFonts w:ascii="仿宋_GB2312" w:eastAsia="仿宋_GB2312" w:cs="宋体"/>
          <w:color w:val="000000"/>
          <w:kern w:val="0"/>
          <w:sz w:val="32"/>
          <w:szCs w:val="32"/>
        </w:rPr>
      </w:pPr>
      <w:r>
        <w:rPr>
          <w:rFonts w:hint="eastAsia" w:ascii="仿宋_GB2312" w:eastAsia="仿宋_GB2312" w:cs="宋体"/>
          <w:color w:val="000000"/>
          <w:kern w:val="0"/>
          <w:sz w:val="32"/>
          <w:szCs w:val="32"/>
        </w:rPr>
        <w:t>按照动物疫病强制免疫计划要求实施动物强制免疫工作，开展了高致病性禽流感、牛羊猪口蹄疫、小反刍兽疫强制免疫病种的群体免疫，免疫密度维持在90%以上，其中应免畜禽免疫密度达到100%，免疫抗体合格率常年保持在70%以上。项目资金到位率100%，使用率达到100%。</w:t>
      </w:r>
    </w:p>
    <w:p>
      <w:pPr>
        <w:widowControl/>
        <w:shd w:val="clear" w:color="auto" w:fill="FFFFFF"/>
        <w:spacing w:line="560" w:lineRule="exact"/>
        <w:ind w:firstLine="627"/>
        <w:jc w:val="left"/>
        <w:rPr>
          <w:rFonts w:ascii="仿宋_GB2312" w:eastAsia="仿宋_GB2312" w:cs="宋体"/>
          <w:color w:val="333333"/>
          <w:kern w:val="0"/>
          <w:sz w:val="32"/>
          <w:szCs w:val="32"/>
        </w:rPr>
      </w:pPr>
      <w:r>
        <w:rPr>
          <w:rFonts w:hint="eastAsia" w:ascii="仿宋_GB2312" w:eastAsia="仿宋_GB2312" w:cs="宋体"/>
          <w:color w:val="000000"/>
          <w:kern w:val="0"/>
          <w:sz w:val="32"/>
          <w:szCs w:val="32"/>
        </w:rPr>
        <w:t>项目管理制度齐备，有配套的仪器设备和相关的工作人员；资产管理制度健全，有效利用固定资产，利用率达100%；财务制度健全，经费使用管理公开透明，专款专用。</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（二）存在的问题</w:t>
      </w:r>
    </w:p>
    <w:p>
      <w:pPr>
        <w:widowControl/>
        <w:autoSpaceDN w:val="0"/>
        <w:adjustRightInd w:val="0"/>
        <w:snapToGri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lang w:val="zh-CN"/>
        </w:rPr>
        <w:t>我县作为半农半牧县，专业人员不足，影响了动物防疫项目工作的有效实施。</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（三）相关建议</w:t>
      </w:r>
    </w:p>
    <w:p>
      <w:pPr>
        <w:spacing w:line="580" w:lineRule="exact"/>
        <w:ind w:firstLine="640"/>
        <w:rPr>
          <w:rFonts w:ascii="仿宋_GB2312" w:eastAsia="仿宋_GB2312" w:cs="仿宋_GB2312"/>
          <w:sz w:val="32"/>
          <w:szCs w:val="32"/>
        </w:rPr>
      </w:pPr>
      <w:r>
        <w:rPr>
          <w:rFonts w:hint="eastAsia" w:ascii="仿宋_GB2312" w:eastAsia="仿宋_GB2312" w:cs="仿宋"/>
          <w:sz w:val="32"/>
          <w:szCs w:val="32"/>
        </w:rPr>
        <w:t>下一步计划一是强</w:t>
      </w:r>
      <w:r>
        <w:rPr>
          <w:rFonts w:hint="eastAsia" w:ascii="仿宋_GB2312" w:eastAsia="仿宋_GB2312"/>
          <w:sz w:val="32"/>
          <w:szCs w:val="32"/>
        </w:rPr>
        <w:t>化教育培</w:t>
      </w:r>
      <w:r>
        <w:rPr>
          <w:rFonts w:hint="eastAsia" w:ascii="仿宋_GB2312" w:eastAsia="仿宋_GB2312" w:cs="仿宋"/>
          <w:sz w:val="32"/>
          <w:szCs w:val="32"/>
        </w:rPr>
        <w:t>训，落实信息公开制度。加强对牛羊布病、包虫病等人畜共患病和非洲猪瘟等重大动物疫病防控，继续加强对保动物卫生安全、公共卫生安全的宣传，形成全社会共同参与、群防群控的良好社会氛围。</w:t>
      </w:r>
    </w:p>
    <w:p>
      <w:pPr>
        <w:spacing w:line="580" w:lineRule="exact"/>
        <w:ind w:firstLine="640"/>
        <w:rPr>
          <w:rFonts w:ascii="仿宋_GB2312" w:eastAsia="仿宋_GB2312" w:cs="仿宋_GB2312"/>
          <w:sz w:val="32"/>
          <w:szCs w:val="32"/>
        </w:rPr>
      </w:pPr>
    </w:p>
    <w:p>
      <w:pPr>
        <w:widowControl/>
        <w:jc w:val="left"/>
        <w:rPr>
          <w:rStyle w:val="23"/>
          <w:rFonts w:ascii="黑体" w:eastAsia="黑体"/>
          <w:b w:val="0"/>
        </w:rPr>
      </w:pPr>
    </w:p>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28" w:name="_Toc15396618"/>
      <w:bookmarkStart w:id="129" w:name="_Toc79163635"/>
      <w:bookmarkStart w:id="130" w:name="_Toc115081060"/>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13"/>
      <w:bookmarkEnd w:id="128"/>
      <w:bookmarkEnd w:id="129"/>
      <w:bookmarkEnd w:id="130"/>
    </w:p>
    <w:p>
      <w:pPr>
        <w:pStyle w:val="3"/>
        <w:rPr>
          <w:rFonts w:ascii="仿宋" w:eastAsia="仿宋"/>
          <w:color w:val="000000"/>
        </w:rPr>
      </w:pPr>
      <w:bookmarkStart w:id="131" w:name="_Toc15396619"/>
      <w:bookmarkStart w:id="132" w:name="_Toc79163636"/>
      <w:bookmarkStart w:id="133" w:name="_Toc115081061"/>
      <w:r>
        <w:rPr>
          <w:rFonts w:hint="eastAsia" w:ascii="仿宋" w:eastAsia="仿宋"/>
          <w:b w:val="0"/>
          <w:color w:val="000000"/>
        </w:rPr>
        <w:t>一、收</w:t>
      </w:r>
      <w:r>
        <w:rPr>
          <w:rStyle w:val="24"/>
          <w:rFonts w:hint="eastAsia" w:ascii="仿宋" w:eastAsia="仿宋"/>
          <w:b w:val="0"/>
          <w:bCs w:val="0"/>
        </w:rPr>
        <w:t>入支出决算总表</w:t>
      </w:r>
      <w:bookmarkEnd w:id="131"/>
      <w:bookmarkEnd w:id="132"/>
      <w:bookmarkEnd w:id="133"/>
    </w:p>
    <w:p>
      <w:pPr>
        <w:pStyle w:val="3"/>
        <w:rPr>
          <w:rFonts w:ascii="仿宋" w:eastAsia="仿宋"/>
          <w:color w:val="000000"/>
        </w:rPr>
      </w:pPr>
      <w:bookmarkStart w:id="134" w:name="_Toc15396620"/>
      <w:bookmarkStart w:id="135" w:name="_Toc79163637"/>
      <w:bookmarkStart w:id="136" w:name="_Toc115081062"/>
      <w:r>
        <w:rPr>
          <w:rFonts w:hint="eastAsia" w:ascii="仿宋" w:eastAsia="仿宋"/>
          <w:b w:val="0"/>
          <w:color w:val="000000"/>
        </w:rPr>
        <w:t>二、收</w:t>
      </w:r>
      <w:r>
        <w:rPr>
          <w:rStyle w:val="24"/>
          <w:rFonts w:hint="eastAsia" w:ascii="仿宋" w:eastAsia="仿宋"/>
          <w:b w:val="0"/>
          <w:bCs w:val="0"/>
        </w:rPr>
        <w:t>入决算表</w:t>
      </w:r>
      <w:bookmarkEnd w:id="134"/>
      <w:bookmarkEnd w:id="135"/>
      <w:bookmarkEnd w:id="136"/>
    </w:p>
    <w:p>
      <w:pPr>
        <w:pStyle w:val="3"/>
        <w:rPr>
          <w:rFonts w:ascii="仿宋" w:eastAsia="仿宋"/>
          <w:color w:val="000000"/>
        </w:rPr>
      </w:pPr>
      <w:bookmarkStart w:id="137" w:name="_Toc15396621"/>
      <w:bookmarkStart w:id="138" w:name="_Toc79163638"/>
      <w:bookmarkStart w:id="139" w:name="_Toc115081063"/>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37"/>
      <w:bookmarkEnd w:id="138"/>
      <w:bookmarkEnd w:id="139"/>
    </w:p>
    <w:p>
      <w:pPr>
        <w:pStyle w:val="3"/>
        <w:rPr>
          <w:rFonts w:ascii="仿宋" w:eastAsia="仿宋"/>
          <w:b w:val="0"/>
          <w:color w:val="000000"/>
        </w:rPr>
      </w:pPr>
      <w:bookmarkStart w:id="140" w:name="_Toc15396622"/>
      <w:bookmarkStart w:id="141" w:name="_Toc79163639"/>
      <w:bookmarkStart w:id="142" w:name="_Toc115081064"/>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40"/>
      <w:bookmarkEnd w:id="141"/>
      <w:bookmarkEnd w:id="142"/>
    </w:p>
    <w:p>
      <w:pPr>
        <w:pStyle w:val="3"/>
        <w:rPr>
          <w:rStyle w:val="24"/>
          <w:rFonts w:ascii="仿宋" w:eastAsia="仿宋"/>
          <w:b w:val="0"/>
          <w:bCs w:val="0"/>
        </w:rPr>
      </w:pPr>
      <w:bookmarkStart w:id="143" w:name="_Toc15396623"/>
      <w:bookmarkStart w:id="144" w:name="_Toc79163640"/>
      <w:bookmarkStart w:id="145" w:name="_Toc115081065"/>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43"/>
      <w:bookmarkEnd w:id="144"/>
      <w:bookmarkEnd w:id="145"/>
      <w:bookmarkStart w:id="146" w:name="_Toc15396624"/>
    </w:p>
    <w:p>
      <w:pPr>
        <w:pStyle w:val="3"/>
        <w:rPr>
          <w:rFonts w:ascii="仿宋" w:eastAsia="仿宋"/>
          <w:color w:val="000000"/>
        </w:rPr>
      </w:pPr>
      <w:bookmarkStart w:id="147" w:name="_Toc79163641"/>
      <w:bookmarkStart w:id="148" w:name="_Toc115081066"/>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46"/>
      <w:bookmarkEnd w:id="147"/>
      <w:bookmarkEnd w:id="148"/>
    </w:p>
    <w:p>
      <w:pPr>
        <w:pStyle w:val="3"/>
        <w:rPr>
          <w:rFonts w:ascii="仿宋" w:eastAsia="仿宋"/>
          <w:color w:val="000000"/>
        </w:rPr>
      </w:pPr>
      <w:bookmarkStart w:id="149" w:name="_Toc15396625"/>
      <w:bookmarkStart w:id="150" w:name="_Toc79163642"/>
      <w:bookmarkStart w:id="151" w:name="_Toc115081067"/>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49"/>
      <w:bookmarkEnd w:id="150"/>
      <w:bookmarkEnd w:id="151"/>
    </w:p>
    <w:p>
      <w:pPr>
        <w:pStyle w:val="3"/>
        <w:rPr>
          <w:rFonts w:ascii="仿宋" w:eastAsia="仿宋"/>
          <w:color w:val="000000"/>
        </w:rPr>
      </w:pPr>
      <w:bookmarkStart w:id="152" w:name="_Toc15396626"/>
      <w:bookmarkStart w:id="153" w:name="_Toc79163643"/>
      <w:bookmarkStart w:id="154" w:name="_Toc115081068"/>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52"/>
      <w:bookmarkEnd w:id="153"/>
      <w:bookmarkEnd w:id="154"/>
    </w:p>
    <w:p>
      <w:pPr>
        <w:pStyle w:val="3"/>
        <w:rPr>
          <w:rFonts w:ascii="仿宋" w:eastAsia="仿宋"/>
          <w:color w:val="000000"/>
        </w:rPr>
      </w:pPr>
      <w:bookmarkStart w:id="155" w:name="_Toc15396627"/>
      <w:bookmarkStart w:id="156" w:name="_Toc79163644"/>
      <w:bookmarkStart w:id="157" w:name="_Toc115081069"/>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55"/>
      <w:bookmarkEnd w:id="156"/>
      <w:bookmarkEnd w:id="157"/>
    </w:p>
    <w:p>
      <w:pPr>
        <w:pStyle w:val="3"/>
        <w:rPr>
          <w:rFonts w:ascii="仿宋" w:eastAsia="仿宋"/>
          <w:color w:val="000000"/>
        </w:rPr>
      </w:pPr>
      <w:bookmarkStart w:id="158" w:name="_Toc15396628"/>
      <w:bookmarkStart w:id="159" w:name="_Toc79163645"/>
      <w:bookmarkStart w:id="160" w:name="_Toc115081070"/>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58"/>
      <w:bookmarkEnd w:id="159"/>
      <w:bookmarkEnd w:id="160"/>
    </w:p>
    <w:p>
      <w:pPr>
        <w:pStyle w:val="3"/>
        <w:rPr>
          <w:rFonts w:ascii="仿宋" w:eastAsia="仿宋"/>
          <w:color w:val="000000"/>
        </w:rPr>
      </w:pPr>
      <w:bookmarkStart w:id="161" w:name="_Toc15396629"/>
      <w:bookmarkStart w:id="162" w:name="_Toc79163646"/>
      <w:bookmarkStart w:id="163" w:name="_Toc115081071"/>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61"/>
      <w:bookmarkEnd w:id="162"/>
      <w:bookmarkEnd w:id="163"/>
    </w:p>
    <w:p>
      <w:pPr>
        <w:pStyle w:val="3"/>
        <w:rPr>
          <w:rFonts w:ascii="仿宋" w:eastAsia="仿宋"/>
          <w:color w:val="000000"/>
        </w:rPr>
      </w:pPr>
      <w:bookmarkStart w:id="164" w:name="_Toc15396630"/>
      <w:bookmarkStart w:id="165" w:name="_Toc79163647"/>
      <w:bookmarkStart w:id="166" w:name="_Toc115081072"/>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64"/>
      <w:bookmarkEnd w:id="165"/>
      <w:bookmarkEnd w:id="166"/>
    </w:p>
    <w:p>
      <w:pPr>
        <w:pStyle w:val="3"/>
        <w:rPr>
          <w:rStyle w:val="24"/>
          <w:rFonts w:ascii="仿宋" w:eastAsia="仿宋"/>
          <w:b w:val="0"/>
          <w:bCs w:val="0"/>
        </w:rPr>
      </w:pPr>
      <w:bookmarkStart w:id="167" w:name="_Toc15396631"/>
      <w:bookmarkStart w:id="168" w:name="_Toc79163648"/>
      <w:bookmarkStart w:id="169" w:name="_Toc115081073"/>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67"/>
      <w:bookmarkEnd w:id="168"/>
      <w:bookmarkEnd w:id="169"/>
    </w:p>
    <w:p>
      <w:pPr>
        <w:pStyle w:val="3"/>
        <w:rPr>
          <w:rStyle w:val="24"/>
          <w:rFonts w:ascii="仿宋" w:eastAsia="仿宋"/>
          <w:b w:val="0"/>
          <w:bCs w:val="0"/>
        </w:rPr>
      </w:pPr>
      <w:bookmarkStart w:id="170" w:name="_Toc79163649"/>
      <w:bookmarkStart w:id="171" w:name="_Toc115081074"/>
      <w:r>
        <w:rPr>
          <w:rStyle w:val="24"/>
          <w:rFonts w:hint="eastAsia" w:ascii="仿宋" w:eastAsia="仿宋"/>
          <w:b w:val="0"/>
          <w:bCs w:val="0"/>
        </w:rPr>
        <w:t>十四、国有资本经营预算财政拨款支出决算表</w:t>
      </w:r>
      <w:bookmarkEnd w:id="170"/>
      <w:bookmarkEnd w:id="171"/>
    </w:p>
    <w:sectPr>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仿宋_GB2312">
    <w:panose1 w:val="02010609030101010101"/>
    <w:charset w:val="86"/>
    <w:family w:val="modern"/>
    <w:pitch w:val="default"/>
    <w:sig w:usb0="00000001" w:usb1="080E0000" w:usb2="00000000" w:usb3="00000000" w:csb0="00040000" w:csb1="00000000"/>
  </w:font>
  <w:font w:name="等线">
    <w:altName w:val="仿宋_GB2312"/>
    <w:panose1 w:val="02010600030101010101"/>
    <w:charset w:val="86"/>
    <w:family w:val="auto"/>
    <w:pitch w:val="default"/>
    <w:sig w:usb0="00000000" w:usb1="00000000" w:usb2="00000016" w:usb3="00000000" w:csb0="0004000F" w:csb1="00000000"/>
  </w:font>
  <w:font w:name="仿宋">
    <w:altName w:val="仿宋_GB2312"/>
    <w:panose1 w:val="02010609060101010101"/>
    <w:charset w:val="86"/>
    <w:family w:val="modern"/>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altName w:val="Nimbus Roman No9 L"/>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210" w:rightChars="100"/>
      <w:jc w:val="right"/>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280" w:firstLineChars="1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rPr>
        <w:rFonts w:ascii="宋体" w:hAnsi="宋体"/>
        <w:sz w:val="28"/>
      </w:rPr>
    </w:pPr>
    <w:r>
      <w:rPr>
        <w:rFonts w:hint="eastAsia"/>
      </w:rPr>
      <w:t xml:space="preserve"> </w:t>
    </w:r>
    <w:r>
      <w:t xml:space="preserve">                                                                          </w:t>
    </w: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B55CB4"/>
    <w:rsid w:val="00001C4E"/>
    <w:rsid w:val="00010C35"/>
    <w:rsid w:val="000144B7"/>
    <w:rsid w:val="00022EC4"/>
    <w:rsid w:val="00072476"/>
    <w:rsid w:val="00073CED"/>
    <w:rsid w:val="000801BF"/>
    <w:rsid w:val="00094F44"/>
    <w:rsid w:val="000A1F8C"/>
    <w:rsid w:val="000B46BC"/>
    <w:rsid w:val="000D0131"/>
    <w:rsid w:val="000E542D"/>
    <w:rsid w:val="000E7F4E"/>
    <w:rsid w:val="000F6A2C"/>
    <w:rsid w:val="00103021"/>
    <w:rsid w:val="0010437F"/>
    <w:rsid w:val="00113790"/>
    <w:rsid w:val="00114843"/>
    <w:rsid w:val="00131216"/>
    <w:rsid w:val="0013233A"/>
    <w:rsid w:val="0013310C"/>
    <w:rsid w:val="00135848"/>
    <w:rsid w:val="00136773"/>
    <w:rsid w:val="001605AB"/>
    <w:rsid w:val="0016325A"/>
    <w:rsid w:val="001668DE"/>
    <w:rsid w:val="001708FD"/>
    <w:rsid w:val="001715D8"/>
    <w:rsid w:val="00173004"/>
    <w:rsid w:val="00173F92"/>
    <w:rsid w:val="00175FB5"/>
    <w:rsid w:val="001B7A80"/>
    <w:rsid w:val="001E5BB6"/>
    <w:rsid w:val="001E5C87"/>
    <w:rsid w:val="001E79DE"/>
    <w:rsid w:val="001F2296"/>
    <w:rsid w:val="001F4F22"/>
    <w:rsid w:val="001F6A63"/>
    <w:rsid w:val="00207B15"/>
    <w:rsid w:val="00211FF8"/>
    <w:rsid w:val="00251EF7"/>
    <w:rsid w:val="002625C5"/>
    <w:rsid w:val="00284CCD"/>
    <w:rsid w:val="002C7C0F"/>
    <w:rsid w:val="002D4AC4"/>
    <w:rsid w:val="002D52A0"/>
    <w:rsid w:val="002E2774"/>
    <w:rsid w:val="00343D2B"/>
    <w:rsid w:val="00345AC2"/>
    <w:rsid w:val="00350368"/>
    <w:rsid w:val="00352211"/>
    <w:rsid w:val="0036574A"/>
    <w:rsid w:val="00381721"/>
    <w:rsid w:val="0038557D"/>
    <w:rsid w:val="00391C10"/>
    <w:rsid w:val="00395BF5"/>
    <w:rsid w:val="003A351B"/>
    <w:rsid w:val="003A6851"/>
    <w:rsid w:val="003C0AB5"/>
    <w:rsid w:val="003C5F0D"/>
    <w:rsid w:val="003E2937"/>
    <w:rsid w:val="003F30F0"/>
    <w:rsid w:val="003F573A"/>
    <w:rsid w:val="003F728E"/>
    <w:rsid w:val="0040557A"/>
    <w:rsid w:val="004234E3"/>
    <w:rsid w:val="004435A0"/>
    <w:rsid w:val="0044664B"/>
    <w:rsid w:val="004511B2"/>
    <w:rsid w:val="00467C81"/>
    <w:rsid w:val="00471B43"/>
    <w:rsid w:val="004872B0"/>
    <w:rsid w:val="00495AAC"/>
    <w:rsid w:val="004C24DD"/>
    <w:rsid w:val="004C3B61"/>
    <w:rsid w:val="004D5984"/>
    <w:rsid w:val="004E4193"/>
    <w:rsid w:val="00503DED"/>
    <w:rsid w:val="0051165C"/>
    <w:rsid w:val="00513486"/>
    <w:rsid w:val="005225FE"/>
    <w:rsid w:val="005236DA"/>
    <w:rsid w:val="005241C1"/>
    <w:rsid w:val="0056062B"/>
    <w:rsid w:val="005738E9"/>
    <w:rsid w:val="00587DE6"/>
    <w:rsid w:val="00597744"/>
    <w:rsid w:val="005B5DC6"/>
    <w:rsid w:val="005B6FAB"/>
    <w:rsid w:val="005D1B2D"/>
    <w:rsid w:val="005E082E"/>
    <w:rsid w:val="00611C21"/>
    <w:rsid w:val="00631267"/>
    <w:rsid w:val="00633F90"/>
    <w:rsid w:val="00645C76"/>
    <w:rsid w:val="006A6989"/>
    <w:rsid w:val="006C5924"/>
    <w:rsid w:val="006D66DE"/>
    <w:rsid w:val="006E07A0"/>
    <w:rsid w:val="00731C27"/>
    <w:rsid w:val="007636B5"/>
    <w:rsid w:val="00764628"/>
    <w:rsid w:val="00776BB5"/>
    <w:rsid w:val="00781A4B"/>
    <w:rsid w:val="0078262F"/>
    <w:rsid w:val="007B161B"/>
    <w:rsid w:val="007B65EA"/>
    <w:rsid w:val="007D145B"/>
    <w:rsid w:val="007D29F5"/>
    <w:rsid w:val="00802A71"/>
    <w:rsid w:val="00804EF7"/>
    <w:rsid w:val="00825740"/>
    <w:rsid w:val="00842675"/>
    <w:rsid w:val="00862EEC"/>
    <w:rsid w:val="0087567B"/>
    <w:rsid w:val="008803C7"/>
    <w:rsid w:val="008834A2"/>
    <w:rsid w:val="00884504"/>
    <w:rsid w:val="00885DE7"/>
    <w:rsid w:val="008A5931"/>
    <w:rsid w:val="008C38FA"/>
    <w:rsid w:val="008D0216"/>
    <w:rsid w:val="008D5AEE"/>
    <w:rsid w:val="008E1020"/>
    <w:rsid w:val="008E30C5"/>
    <w:rsid w:val="008E4B78"/>
    <w:rsid w:val="008E7D85"/>
    <w:rsid w:val="0091517D"/>
    <w:rsid w:val="00922217"/>
    <w:rsid w:val="00923D1A"/>
    <w:rsid w:val="00955FC1"/>
    <w:rsid w:val="00976FCF"/>
    <w:rsid w:val="00984D16"/>
    <w:rsid w:val="009A60DC"/>
    <w:rsid w:val="009B3340"/>
    <w:rsid w:val="009C00A7"/>
    <w:rsid w:val="009C3D5C"/>
    <w:rsid w:val="009D2849"/>
    <w:rsid w:val="009D5FF0"/>
    <w:rsid w:val="009D71B6"/>
    <w:rsid w:val="009E399A"/>
    <w:rsid w:val="009E7C80"/>
    <w:rsid w:val="009F1D45"/>
    <w:rsid w:val="00A10C3A"/>
    <w:rsid w:val="00A17443"/>
    <w:rsid w:val="00A2659A"/>
    <w:rsid w:val="00A45BE7"/>
    <w:rsid w:val="00A70578"/>
    <w:rsid w:val="00A82CE6"/>
    <w:rsid w:val="00A9725F"/>
    <w:rsid w:val="00A97D2A"/>
    <w:rsid w:val="00AB51FB"/>
    <w:rsid w:val="00AC1A0D"/>
    <w:rsid w:val="00AC2041"/>
    <w:rsid w:val="00AC33B4"/>
    <w:rsid w:val="00AD5E1B"/>
    <w:rsid w:val="00AE26EB"/>
    <w:rsid w:val="00AE5FCB"/>
    <w:rsid w:val="00AF120B"/>
    <w:rsid w:val="00AF6528"/>
    <w:rsid w:val="00B064C2"/>
    <w:rsid w:val="00B10D51"/>
    <w:rsid w:val="00B11D97"/>
    <w:rsid w:val="00B14666"/>
    <w:rsid w:val="00B15AE8"/>
    <w:rsid w:val="00B55CB4"/>
    <w:rsid w:val="00B6603A"/>
    <w:rsid w:val="00B7522B"/>
    <w:rsid w:val="00B87FED"/>
    <w:rsid w:val="00BA6CF9"/>
    <w:rsid w:val="00BB051B"/>
    <w:rsid w:val="00BB2F8E"/>
    <w:rsid w:val="00BD2E7E"/>
    <w:rsid w:val="00BE2481"/>
    <w:rsid w:val="00BE2D71"/>
    <w:rsid w:val="00BF3310"/>
    <w:rsid w:val="00BF545C"/>
    <w:rsid w:val="00C00D32"/>
    <w:rsid w:val="00C14430"/>
    <w:rsid w:val="00C15FAD"/>
    <w:rsid w:val="00C243CD"/>
    <w:rsid w:val="00C42EE7"/>
    <w:rsid w:val="00C46907"/>
    <w:rsid w:val="00C62671"/>
    <w:rsid w:val="00C81356"/>
    <w:rsid w:val="00C9405E"/>
    <w:rsid w:val="00C96EF2"/>
    <w:rsid w:val="00CA41A8"/>
    <w:rsid w:val="00CA6021"/>
    <w:rsid w:val="00CD4F9A"/>
    <w:rsid w:val="00D04B96"/>
    <w:rsid w:val="00D058F3"/>
    <w:rsid w:val="00D0596A"/>
    <w:rsid w:val="00D11BDE"/>
    <w:rsid w:val="00D359B5"/>
    <w:rsid w:val="00D36E88"/>
    <w:rsid w:val="00D37868"/>
    <w:rsid w:val="00D46F97"/>
    <w:rsid w:val="00D63A24"/>
    <w:rsid w:val="00D63A3E"/>
    <w:rsid w:val="00D63ABA"/>
    <w:rsid w:val="00D7793B"/>
    <w:rsid w:val="00D843EE"/>
    <w:rsid w:val="00D90EFE"/>
    <w:rsid w:val="00D9752D"/>
    <w:rsid w:val="00DA29F5"/>
    <w:rsid w:val="00DD541E"/>
    <w:rsid w:val="00DE1AFD"/>
    <w:rsid w:val="00E2396D"/>
    <w:rsid w:val="00E24DF2"/>
    <w:rsid w:val="00E60336"/>
    <w:rsid w:val="00E9468E"/>
    <w:rsid w:val="00E946C7"/>
    <w:rsid w:val="00EA0AFC"/>
    <w:rsid w:val="00EA1DC9"/>
    <w:rsid w:val="00EA6D8D"/>
    <w:rsid w:val="00EA7C46"/>
    <w:rsid w:val="00EB0209"/>
    <w:rsid w:val="00EE0A3D"/>
    <w:rsid w:val="00EF2404"/>
    <w:rsid w:val="00EF3ABE"/>
    <w:rsid w:val="00EF7D43"/>
    <w:rsid w:val="00F00799"/>
    <w:rsid w:val="00F047E8"/>
    <w:rsid w:val="00F12175"/>
    <w:rsid w:val="00F26E6F"/>
    <w:rsid w:val="00F31693"/>
    <w:rsid w:val="00F32779"/>
    <w:rsid w:val="00F32870"/>
    <w:rsid w:val="00F33227"/>
    <w:rsid w:val="00F739BE"/>
    <w:rsid w:val="00F8345E"/>
    <w:rsid w:val="00F875F1"/>
    <w:rsid w:val="00F97BCF"/>
    <w:rsid w:val="00FA1B29"/>
    <w:rsid w:val="00FC2F85"/>
    <w:rsid w:val="00FD7C84"/>
    <w:rsid w:val="00FE2D62"/>
    <w:rsid w:val="00FF5C4E"/>
    <w:rsid w:val="9FF2D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unhideWhenUsed/>
    <w:qFormat/>
    <w:uiPriority w:val="9"/>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39"/>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39"/>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paragraph" w:styleId="1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21">
    <w:name w:val="Strong"/>
    <w:basedOn w:val="20"/>
    <w:qFormat/>
    <w:uiPriority w:val="22"/>
    <w:rPr>
      <w:rFonts w:cs="Times New Roman"/>
      <w:b/>
    </w:rPr>
  </w:style>
  <w:style w:type="character" w:styleId="22">
    <w:name w:val="Hyperlink"/>
    <w:basedOn w:val="20"/>
    <w:qFormat/>
    <w:uiPriority w:val="0"/>
    <w:rPr>
      <w:rFonts w:cs="Times New Roman"/>
      <w:color w:val="0000FF"/>
      <w:u w:val="single"/>
    </w:rPr>
  </w:style>
  <w:style w:type="character" w:customStyle="1" w:styleId="23">
    <w:name w:val="标题 1 字符"/>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3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36130;&#21153;&#36164;&#26009;\2022&#24180;&#36164;&#26009;\2021&#24180;&#20915;&#31639;&#20844;&#24320;\&#25968;&#25454;&#22270;&#34920;&#22791;&#29992;\2021&#24180;&#20915;&#31639;&#20844;&#24320;&#35270;&#22270;&#21046;&#20316;.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36130;&#21153;&#36164;&#26009;\2022&#24180;&#36164;&#26009;\2021&#24180;&#20915;&#31639;&#20844;&#24320;\&#25968;&#25454;&#22270;&#34920;&#22791;&#29992;\2021&#24180;&#20915;&#31639;&#20844;&#24320;&#35270;&#22270;&#21046;&#20316;.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36130;&#21153;&#36164;&#26009;\2022&#24180;&#36164;&#26009;\2021&#24180;&#20915;&#31639;&#20844;&#24320;\&#25968;&#25454;&#22270;&#34920;&#22791;&#29992;\2021&#24180;&#20915;&#31639;&#20844;&#24320;&#35270;&#22270;&#21046;&#20316;.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36130;&#21153;&#36164;&#26009;\2022&#24180;&#36164;&#26009;\2021&#24180;&#20915;&#31639;&#20844;&#24320;\&#25968;&#25454;&#22270;&#34920;&#22791;&#29992;\2021&#24180;&#20915;&#31639;&#20844;&#24320;&#35270;&#22270;&#21046;&#20316;.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22469816272966"/>
          <c:y val="0.116666666666667"/>
          <c:w val="0.877530183727034"/>
          <c:h val="0.712438757655293"/>
        </c:manualLayout>
      </c:layout>
      <c:barChart>
        <c:barDir val="col"/>
        <c:grouping val="clustered"/>
        <c:varyColors val="0"/>
        <c:ser>
          <c:idx val="0"/>
          <c:order val="0"/>
          <c:tx>
            <c:strRef>
              <c:f>'一、收支总计柱图 '!$B$6</c:f>
              <c:strCache>
                <c:ptCount val="1"/>
                <c:pt idx="0">
                  <c:v>收支总计（万元）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'一、收支总计柱图 '!$C$4:$D$4</c:f>
              <c:strCache>
                <c:ptCount val="2"/>
                <c:pt idx="0">
                  <c:v>2020年</c:v>
                </c:pt>
                <c:pt idx="1">
                  <c:v>2021年</c:v>
                </c:pt>
              </c:strCache>
            </c:strRef>
          </c:cat>
          <c:val>
            <c:numRef>
              <c:f>'一、收支总计柱图 '!$C$6:$D$6</c:f>
              <c:numCache>
                <c:formatCode>General</c:formatCode>
                <c:ptCount val="2"/>
                <c:pt idx="0">
                  <c:v>1039.14</c:v>
                </c:pt>
                <c:pt idx="1">
                  <c:v>848.72</c:v>
                </c:pt>
              </c:numCache>
            </c:numRef>
          </c:val>
        </c:ser>
        <c:dLbls>
          <c:showLegendKey val="0"/>
          <c:showVal val="1"/>
          <c:showCatName val="0"/>
          <c:showSerName val="0"/>
          <c:showPercent val="0"/>
          <c:showBubbleSize val="0"/>
        </c:dLbls>
        <c:gapWidth val="219"/>
        <c:overlap val="-27"/>
        <c:axId val="493732174"/>
        <c:axId val="930878345"/>
      </c:barChart>
      <c:catAx>
        <c:axId val="49373217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a:ea typeface="宋体"/>
                <a:cs typeface="Arial" panose="020B0604020202020204" pitchFamily="2"/>
              </a:defRPr>
            </a:pPr>
            <a:r>
              <a:rPr lang="zh-CN"/>
              <a:t>本年收入合计(万元)</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4472C4"/>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5B9BD5"/>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64478"/>
              </a:solidFill>
              <a:ln w="19050">
                <a:solidFill>
                  <a:srgbClr val="FFFFFF"/>
                </a:solidFill>
                <a:prstDash val="solid"/>
              </a:ln>
            </c:spPr>
          </c:dPt>
          <c:dLbls>
            <c:dLbl>
              <c:idx val="1"/>
              <c:layout>
                <c:manualLayout>
                  <c:x val="-0.0055406424"/>
                  <c:y val="0.00680618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delete val="1"/>
            </c:dLbl>
            <c:dLbl>
              <c:idx val="3"/>
              <c:delete val="1"/>
            </c:dLbl>
            <c:dLbl>
              <c:idx val="4"/>
              <c:delete val="1"/>
            </c:dLbl>
            <c:dLbl>
              <c:idx val="5"/>
              <c:delete val="1"/>
            </c:dLbl>
            <c:dLbl>
              <c:idx val="6"/>
              <c:delete val="1"/>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a:ea typeface="宋体"/>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{"一般公共预算财政拨款收入","政府性基金预算财政拨款收入","上级补助收入","事业收入","经营收入","附属单位上缴收入","其他收入"}</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{1,0,0,0,#N/A,0,0}</c:f>
              <c:numCache>
                <c:formatCode>General</c:formatCode>
                <c:ptCount val="7"/>
                <c:pt idx="0">
                  <c:v>1</c:v>
                </c:pt>
                <c:pt idx="1">
                  <c:v>0</c:v>
                </c:pt>
                <c:pt idx="2">
                  <c:v>0</c:v>
                </c:pt>
                <c:pt idx="3">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a:ea typeface="宋体"/>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a:ea typeface="宋体"/>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本年支出合计</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'三、支出饼状图'!$A$5:$A$9</c:f>
              <c:strCache>
                <c:ptCount val="5"/>
                <c:pt idx="0">
                  <c:v>基本支出</c:v>
                </c:pt>
                <c:pt idx="1">
                  <c:v>项目支出</c:v>
                </c:pt>
                <c:pt idx="2">
                  <c:v>上缴上级支出</c:v>
                </c:pt>
                <c:pt idx="3">
                  <c:v>经营支出</c:v>
                </c:pt>
                <c:pt idx="4">
                  <c:v>对附属单位补助支出</c:v>
                </c:pt>
              </c:strCache>
            </c:strRef>
          </c:cat>
          <c:val>
            <c:numRef>
              <c:f>'三、支出饼状图'!$D$5:$D$9</c:f>
              <c:numCache>
                <c:formatCode>0.00%</c:formatCode>
                <c:ptCount val="5"/>
                <c:pt idx="0">
                  <c:v>0.2471</c:v>
                </c:pt>
                <c:pt idx="1">
                  <c:v>0.7529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'四、财政拨款收支'!$B$5</c:f>
              <c:strCache>
                <c:ptCount val="1"/>
                <c:pt idx="0">
                  <c:v>财政拨款收支总计（万元）</c:v>
                </c:pt>
              </c:strCache>
            </c:strRef>
          </c:tx>
          <c:spPr>
            <a:solidFill>
              <a:schemeClr val="accent1"/>
            </a:solidFill>
            <a:ln>
              <a:solidFill>
                <a:srgbClr val="00B0F0"/>
              </a:solidFill>
            </a:ln>
            <a:effectLst/>
          </c:spPr>
          <c:invertIfNegative val="0"/>
          <c:dLbls>
            <c:dLbl>
              <c:idx val="0"/>
              <c:layout>
                <c:manualLayout>
                  <c:x val="-0.00625"/>
                  <c:y val="0.11111111111111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076388888888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'四、财政拨款收支'!$C$3:$D$3</c:f>
              <c:strCache>
                <c:ptCount val="2"/>
                <c:pt idx="0">
                  <c:v>2020年</c:v>
                </c:pt>
                <c:pt idx="1">
                  <c:v>2021年</c:v>
                </c:pt>
              </c:strCache>
            </c:strRef>
          </c:cat>
          <c:val>
            <c:numRef>
              <c:f>'四、财政拨款收支'!$C$5:$D$5</c:f>
              <c:numCache>
                <c:formatCode>General</c:formatCode>
                <c:ptCount val="2"/>
                <c:pt idx="0">
                  <c:v>1039.14</c:v>
                </c:pt>
                <c:pt idx="1">
                  <c:v>848.72</c:v>
                </c:pt>
              </c:numCache>
            </c:numRef>
          </c:val>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'五、一般公共预算财政支出'!$B$6</c:f>
              <c:strCache>
                <c:ptCount val="1"/>
                <c:pt idx="0">
                  <c:v>一般公共预算财政拨款支出（万元）</c:v>
                </c:pt>
              </c:strCache>
            </c:strRef>
          </c:tx>
          <c:spPr>
            <a:solidFill>
              <a:schemeClr val="accent1"/>
            </a:solidFill>
            <a:ln>
              <a:noFill/>
            </a:ln>
            <a:effectLst/>
          </c:spPr>
          <c:invertIfNegative val="0"/>
          <c:dLbls>
            <c:dLbl>
              <c:idx val="0"/>
              <c:layout>
                <c:manualLayout>
                  <c:x val="-0.00416666666666667"/>
                  <c:y val="0.12847222222222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0.1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'五、一般公共预算财政支出'!$C$4:$D$4</c:f>
              <c:strCache>
                <c:ptCount val="2"/>
                <c:pt idx="0">
                  <c:v>2020年</c:v>
                </c:pt>
                <c:pt idx="1">
                  <c:v>2021年</c:v>
                </c:pt>
              </c:strCache>
            </c:strRef>
          </c:cat>
          <c:val>
            <c:numRef>
              <c:f>'五、一般公共预算财政支出'!$C$6:$D$6</c:f>
              <c:numCache>
                <c:formatCode>General</c:formatCode>
                <c:ptCount val="2"/>
                <c:pt idx="0">
                  <c:v>981.38</c:v>
                </c:pt>
                <c:pt idx="1">
                  <c:v>848.72</c:v>
                </c:pt>
              </c:numCache>
            </c:numRef>
          </c:val>
        </c:ser>
        <c:dLbls>
          <c:showLegendKey val="0"/>
          <c:showVal val="1"/>
          <c:showCatName val="0"/>
          <c:showSerName val="0"/>
          <c:showPercent val="0"/>
          <c:showBubbleSize val="0"/>
        </c:dLbls>
        <c:gapWidth val="150"/>
        <c:axId val="493732174"/>
        <c:axId val="930878345"/>
      </c:barChart>
      <c:catAx>
        <c:axId val="49373217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0878345"/>
        <c:crosses val="autoZero"/>
        <c:auto val="1"/>
        <c:lblAlgn val="ctr"/>
        <c:lblOffset val="100"/>
        <c:noMultiLvlLbl val="0"/>
      </c:catAx>
      <c:valAx>
        <c:axId val="9308783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373217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035413167104112"/>
                  <c:y val="0.035311315252260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74588801399825"/>
                  <c:y val="0.01638013998250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'六、财政拨款饼状图'!$A$4:$A$8</c:f>
              <c:strCache>
                <c:ptCount val="5"/>
                <c:pt idx="0">
                  <c:v>一般公共预算财政拨款支出</c:v>
                </c:pt>
                <c:pt idx="1">
                  <c:v>社会保障和就业支出</c:v>
                </c:pt>
                <c:pt idx="2">
                  <c:v>卫生健康支出</c:v>
                </c:pt>
                <c:pt idx="3">
                  <c:v>农林水支出</c:v>
                </c:pt>
                <c:pt idx="4">
                  <c:v>住房保障支出</c:v>
                </c:pt>
              </c:strCache>
            </c:strRef>
          </c:cat>
          <c:val>
            <c:numRef>
              <c:f>'六、财政拨款饼状图'!$D$5:$D$8</c:f>
              <c:numCache>
                <c:formatCode>0.00%</c:formatCode>
                <c:ptCount val="4"/>
                <c:pt idx="0">
                  <c:v>0.0173</c:v>
                </c:pt>
                <c:pt idx="1">
                  <c:v>0.0306</c:v>
                </c:pt>
                <c:pt idx="2">
                  <c:v>0.9413</c:v>
                </c:pt>
                <c:pt idx="3">
                  <c:v>0.0107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'七、三公饼状图'!$B$8:$B$9</c:f>
              <c:strCache>
                <c:ptCount val="2"/>
                <c:pt idx="0">
                  <c:v>公务用车购置及运行维护费支出</c:v>
                </c:pt>
                <c:pt idx="1">
                  <c:v>公务接待费支出</c:v>
                </c:pt>
              </c:strCache>
            </c:strRef>
          </c:cat>
          <c:val>
            <c:numRef>
              <c:f>'七、三公饼状图'!$C$8:$C$9</c:f>
              <c:numCache>
                <c:formatCode>0.00%</c:formatCode>
                <c:ptCount val="2"/>
                <c:pt idx="0">
                  <c:v>0.9732</c:v>
                </c:pt>
                <c:pt idx="1">
                  <c:v>0.0268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2652</Words>
  <Characters>15123</Characters>
  <Lines>126</Lines>
  <Paragraphs>35</Paragraphs>
  <TotalTime>631</TotalTime>
  <ScaleCrop>false</ScaleCrop>
  <LinksUpToDate>false</LinksUpToDate>
  <CharactersWithSpaces>17740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2022-09-26T10:38:00Z</cp:lastPrinted>
  <dcterms:modified xsi:type="dcterms:W3CDTF">2026-08-21T11:32:01Z</dcterms:modified>
  <dc:title>阿坝州部门决算说明</dc:title>
  <cp:revision>445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