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44"/>
          <w:szCs w:val="44"/>
        </w:rPr>
      </w:pPr>
      <w:bookmarkStart w:id="1" w:name="_Toc15396597"/>
      <w:bookmarkStart w:id="2" w:name="_Toc15377193"/>
      <w:bookmarkStart w:id="3" w:name="_Toc15396475"/>
      <w:bookmarkStart w:id="4" w:name="_Toc15378441"/>
      <w:bookmarkStart w:id="5" w:name="_Toc15377425"/>
      <w:r>
        <w:rPr>
          <w:rFonts w:hint="eastAsia" w:ascii="方正小标宋简体" w:eastAsia="方正小标宋简体"/>
          <w:color w:val="000000"/>
          <w:sz w:val="44"/>
          <w:szCs w:val="44"/>
        </w:rPr>
        <w:t>2019年度</w:t>
      </w:r>
      <w:bookmarkEnd w:id="1"/>
      <w:bookmarkEnd w:id="2"/>
      <w:bookmarkEnd w:id="3"/>
      <w:bookmarkEnd w:id="4"/>
      <w:bookmarkEnd w:id="5"/>
      <w:bookmarkStart w:id="6" w:name="_Toc15378442"/>
      <w:bookmarkStart w:id="7" w:name="_Toc15396476"/>
      <w:bookmarkStart w:id="8" w:name="_Toc15396598"/>
      <w:bookmarkStart w:id="9" w:name="_Toc15377426"/>
      <w:bookmarkStart w:id="10" w:name="_Toc15377194"/>
      <w:r>
        <w:rPr>
          <w:rFonts w:hint="eastAsia" w:ascii="方正小标宋简体" w:eastAsia="方正小标宋简体"/>
          <w:color w:val="000000"/>
          <w:sz w:val="44"/>
          <w:szCs w:val="44"/>
        </w:rPr>
        <w:t>四川省</w:t>
      </w:r>
      <w:bookmarkEnd w:id="0"/>
      <w:bookmarkStart w:id="11" w:name="_Toc15306268"/>
      <w:r>
        <w:rPr>
          <w:rFonts w:hint="eastAsia" w:ascii="方正小标宋简体" w:eastAsia="方正小标宋简体"/>
          <w:color w:val="000000"/>
          <w:sz w:val="44"/>
          <w:szCs w:val="44"/>
        </w:rPr>
        <w:t>阿坝州茂县新华书店</w:t>
      </w:r>
    </w:p>
    <w:p>
      <w:pPr>
        <w:adjustRightInd w:val="0"/>
        <w:snapToGrid w:val="0"/>
        <w:spacing w:line="360" w:lineRule="auto"/>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olor w:val="000000"/>
          <w:sz w:val="36"/>
          <w:szCs w:val="36"/>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ind w:firstLine="1276"/>
        <w:jc w:val="left"/>
        <w:rPr>
          <w:rFonts w:hint="eastAsia" w:ascii="仿宋_GB2312" w:eastAsia="仿宋_GB2312" w:cs="仿宋_GB2312"/>
          <w:sz w:val="32"/>
          <w:szCs w:val="32"/>
        </w:rPr>
      </w:pPr>
    </w:p>
    <w:p>
      <w:pPr>
        <w:autoSpaceDE w:val="0"/>
        <w:autoSpaceDN w:val="0"/>
        <w:adjustRightInd w:val="0"/>
        <w:jc w:val="left"/>
        <w:rPr>
          <w:rFonts w:hint="eastAsia" w:ascii="仿宋_GB2312" w:eastAsia="仿宋_GB2312" w:cs="仿宋_GB2312"/>
          <w:sz w:val="32"/>
          <w:szCs w:val="32"/>
        </w:rPr>
      </w:pP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sz w:val="32"/>
          <w:szCs w:val="32"/>
        </w:rPr>
        <w:t>保密审查情况：</w:t>
      </w: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sz w:val="32"/>
          <w:szCs w:val="32"/>
        </w:rPr>
        <w:t>部门主要负责人审签情况：</w:t>
      </w:r>
    </w:p>
    <w:p>
      <w:pPr>
        <w:adjustRightInd w:val="0"/>
        <w:snapToGrid w:val="0"/>
        <w:spacing w:line="360" w:lineRule="auto"/>
        <w:jc w:val="center"/>
        <w:outlineLvl w:val="0"/>
        <w:rPr>
          <w:rFonts w:ascii="黑体" w:eastAsia="黑体"/>
          <w:color w:val="000000"/>
          <w:sz w:val="48"/>
          <w:szCs w:val="48"/>
        </w:rPr>
      </w:pPr>
      <w:r>
        <w:rPr>
          <w:rFonts w:ascii="方正小标宋简体" w:eastAsia="方正小标宋简体"/>
          <w:color w:val="000000"/>
          <w:sz w:val="36"/>
          <w:szCs w:val="36"/>
        </w:rPr>
        <w:br w:type="page"/>
      </w:r>
    </w:p>
    <w:p>
      <w:pPr>
        <w:widowControl/>
        <w:spacing w:line="576" w:lineRule="exact"/>
        <w:jc w:val="center"/>
        <w:rPr>
          <w:rFonts w:ascii="仿宋_GB2312" w:eastAsia="仿宋_GB2312" w:cs="仿宋_GB2312"/>
          <w:sz w:val="32"/>
          <w:szCs w:val="32"/>
        </w:rPr>
      </w:pPr>
      <w:r>
        <w:rPr>
          <w:rFonts w:hint="eastAsia" w:ascii="方正小标宋简体" w:eastAsia="方正小标宋简体"/>
          <w:color w:val="000000"/>
          <w:sz w:val="44"/>
          <w:szCs w:val="44"/>
        </w:rPr>
        <w:t>目</w:t>
      </w:r>
      <w:r>
        <w:rPr>
          <w:rFonts w:hint="eastAsia" w:ascii="方正小标宋简体" w:eastAsia="方正小标宋简体"/>
          <w:color w:val="000000"/>
          <w:sz w:val="44"/>
          <w:szCs w:val="44"/>
          <w:lang w:val="en-US" w:eastAsia="zh-CN"/>
        </w:rPr>
        <w:t xml:space="preserve">  </w:t>
      </w:r>
      <w:r>
        <w:rPr>
          <w:rFonts w:hint="eastAsia" w:ascii="方正小标宋简体" w:eastAsia="方正小标宋简体"/>
          <w:color w:val="000000"/>
          <w:sz w:val="44"/>
          <w:szCs w:val="44"/>
        </w:rPr>
        <w:t>录</w:t>
      </w:r>
      <w:r>
        <w:rPr>
          <w:rFonts w:hint="eastAsia" w:ascii="仿宋_GB2312" w:eastAsia="仿宋_GB2312" w:cs="仿宋_GB2312"/>
          <w:color w:val="000000"/>
          <w:sz w:val="32"/>
          <w:szCs w:val="32"/>
        </w:rPr>
        <w:fldChar w:fldCharType="begin"/>
      </w:r>
      <w:r>
        <w:rPr>
          <w:rFonts w:hint="eastAsia" w:ascii="仿宋_GB2312" w:eastAsia="仿宋_GB2312" w:cs="仿宋_GB2312"/>
          <w:color w:val="000000"/>
          <w:sz w:val="32"/>
          <w:szCs w:val="32"/>
        </w:rPr>
        <w:instrText xml:space="preserve"> TOC \o "1-2" \h \z \u </w:instrText>
      </w:r>
      <w:r>
        <w:rPr>
          <w:rFonts w:hint="eastAsia" w:ascii="仿宋_GB2312" w:eastAsia="仿宋_GB2312" w:cs="仿宋_GB2312"/>
          <w:color w:val="000000"/>
          <w:sz w:val="32"/>
          <w:szCs w:val="32"/>
        </w:rPr>
        <w:fldChar w:fldCharType="separate"/>
      </w:r>
    </w:p>
    <w:p>
      <w:pPr>
        <w:spacing w:line="576" w:lineRule="exact"/>
        <w:rPr>
          <w:rFonts w:ascii="仿宋_GB2312" w:eastAsia="仿宋_GB2312" w:cs="仿宋_GB2312"/>
          <w:sz w:val="32"/>
          <w:szCs w:val="32"/>
        </w:rPr>
      </w:pPr>
    </w:p>
    <w:p>
      <w:pPr>
        <w:pStyle w:val="10"/>
        <w:spacing w:line="576" w:lineRule="exact"/>
        <w:rPr>
          <w:rFonts w:ascii="仿宋_GB2312" w:eastAsia="仿宋_GB2312" w:cs="仿宋_GB2312"/>
          <w:sz w:val="32"/>
          <w:szCs w:val="32"/>
        </w:rPr>
      </w:pPr>
      <w:r>
        <w:fldChar w:fldCharType="begin"/>
      </w:r>
      <w:r>
        <w:instrText xml:space="preserve"> HYPERLINK \l "_Toc15396599" </w:instrText>
      </w:r>
      <w:r>
        <w:fldChar w:fldCharType="separate"/>
      </w:r>
      <w:r>
        <w:rPr>
          <w:rFonts w:hint="eastAsia" w:ascii="仿宋_GB2312" w:eastAsia="仿宋_GB2312" w:cs="仿宋_GB2312"/>
          <w:sz w:val="32"/>
          <w:szCs w:val="32"/>
        </w:rPr>
        <w:t>第一部分 部门概况</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1"/>
        <w:spacing w:line="576" w:lineRule="exact"/>
        <w:rPr>
          <w:rFonts w:ascii="仿宋_GB2312" w:eastAsia="仿宋_GB2312" w:cs="仿宋_GB2312"/>
          <w:sz w:val="32"/>
          <w:szCs w:val="32"/>
        </w:rPr>
      </w:pPr>
      <w:r>
        <w:fldChar w:fldCharType="begin"/>
      </w:r>
      <w:r>
        <w:instrText xml:space="preserve"> HYPERLINK \l "_Toc15396600" </w:instrText>
      </w:r>
      <w:r>
        <w:fldChar w:fldCharType="separate"/>
      </w:r>
      <w:r>
        <w:rPr>
          <w:rFonts w:hint="eastAsia" w:ascii="仿宋_GB2312" w:eastAsia="仿宋_GB2312" w:cs="仿宋_GB2312"/>
          <w:sz w:val="32"/>
          <w:szCs w:val="32"/>
        </w:rPr>
        <w:t>一、基本职能及主要工作</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1"/>
        <w:spacing w:line="576" w:lineRule="exact"/>
        <w:rPr>
          <w:rFonts w:ascii="仿宋_GB2312" w:eastAsia="仿宋_GB2312" w:cs="仿宋_GB2312"/>
          <w:sz w:val="32"/>
          <w:szCs w:val="32"/>
        </w:rPr>
      </w:pPr>
      <w:r>
        <w:fldChar w:fldCharType="begin"/>
      </w:r>
      <w:r>
        <w:instrText xml:space="preserve"> HYPERLINK \l "_Toc15396601" </w:instrText>
      </w:r>
      <w:r>
        <w:fldChar w:fldCharType="separate"/>
      </w:r>
      <w:r>
        <w:rPr>
          <w:rFonts w:hint="eastAsia" w:ascii="仿宋_GB2312" w:eastAsia="仿宋_GB2312" w:cs="仿宋_GB2312"/>
          <w:sz w:val="32"/>
          <w:szCs w:val="32"/>
        </w:rPr>
        <w:t>二、机构设置</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4</w:t>
      </w:r>
    </w:p>
    <w:p>
      <w:pPr>
        <w:pStyle w:val="10"/>
        <w:spacing w:line="576" w:lineRule="exact"/>
        <w:rPr>
          <w:rFonts w:ascii="仿宋_GB2312" w:eastAsia="仿宋_GB2312" w:cs="仿宋_GB2312"/>
          <w:sz w:val="32"/>
          <w:szCs w:val="32"/>
        </w:rPr>
      </w:pPr>
      <w:r>
        <w:fldChar w:fldCharType="begin"/>
      </w:r>
      <w:r>
        <w:instrText xml:space="preserve"> HYPERLINK \l "_Toc15396602" </w:instrText>
      </w:r>
      <w:r>
        <w:fldChar w:fldCharType="separate"/>
      </w:r>
      <w:r>
        <w:rPr>
          <w:rFonts w:hint="eastAsia" w:ascii="仿宋_GB2312" w:eastAsia="仿宋_GB2312" w:cs="仿宋_GB2312"/>
          <w:sz w:val="32"/>
          <w:szCs w:val="32"/>
        </w:rPr>
        <w:t>第二部分 2019年度部门决算情况说明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"_Toc15396603" </w:instrText>
      </w:r>
      <w:r>
        <w:fldChar w:fldCharType="separate"/>
      </w:r>
      <w:r>
        <w:rPr>
          <w:rFonts w:hint="eastAsia" w:ascii="仿宋_GB2312" w:eastAsia="仿宋_GB2312" w:cs="仿宋_GB2312"/>
          <w:bCs/>
          <w:sz w:val="32"/>
          <w:szCs w:val="32"/>
        </w:rPr>
        <w:t>一、</w:t>
      </w:r>
      <w:r>
        <w:rPr>
          <w:rFonts w:hint="eastAsia" w:ascii="仿宋_GB2312" w:eastAsia="仿宋_GB2312" w:cs="仿宋_GB2312"/>
          <w:sz w:val="32"/>
          <w:szCs w:val="32"/>
        </w:rPr>
        <w:t>收</w:t>
      </w:r>
      <w:r>
        <w:rPr>
          <w:rFonts w:hint="eastAsia" w:ascii="仿宋_GB2312" w:eastAsia="仿宋_GB2312" w:cs="仿宋_GB2312"/>
          <w:bCs/>
          <w:sz w:val="32"/>
          <w:szCs w:val="32"/>
        </w:rPr>
        <w:t>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"_Toc15396604" </w:instrText>
      </w:r>
      <w:r>
        <w:fldChar w:fldCharType="separate"/>
      </w:r>
      <w:r>
        <w:rPr>
          <w:rFonts w:hint="eastAsia" w:ascii="仿宋_GB2312" w:eastAsia="仿宋_GB2312" w:cs="仿宋_GB2312"/>
          <w:bCs/>
          <w:sz w:val="32"/>
          <w:szCs w:val="32"/>
        </w:rPr>
        <w:t>二、</w:t>
      </w:r>
      <w:r>
        <w:rPr>
          <w:rFonts w:hint="eastAsia" w:ascii="仿宋_GB2312" w:eastAsia="仿宋_GB2312" w:cs="仿宋_GB2312"/>
          <w:sz w:val="32"/>
          <w:szCs w:val="32"/>
        </w:rPr>
        <w:t>收</w:t>
      </w:r>
      <w:r>
        <w:rPr>
          <w:rFonts w:hint="eastAsia" w:ascii="仿宋_GB2312" w:eastAsia="仿宋_GB2312" w:cs="仿宋_GB2312"/>
          <w:bCs/>
          <w:sz w:val="32"/>
          <w:szCs w:val="32"/>
        </w:rPr>
        <w:t>入决算情况说明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5</w:t>
      </w:r>
    </w:p>
    <w:p>
      <w:pPr>
        <w:pStyle w:val="11"/>
        <w:spacing w:line="576" w:lineRule="exact"/>
        <w:rPr>
          <w:rFonts w:ascii="仿宋_GB2312" w:eastAsia="仿宋_GB2312" w:cs="仿宋_GB2312"/>
          <w:sz w:val="32"/>
          <w:szCs w:val="32"/>
        </w:rPr>
      </w:pPr>
      <w:r>
        <w:fldChar w:fldCharType="begin"/>
      </w:r>
      <w:r>
        <w:instrText xml:space="preserve"> HYPERLINK \l "_Toc15396605" </w:instrText>
      </w:r>
      <w:r>
        <w:fldChar w:fldCharType="separate"/>
      </w:r>
      <w:r>
        <w:rPr>
          <w:rFonts w:hint="eastAsia" w:ascii="仿宋_GB2312" w:eastAsia="仿宋_GB2312" w:cs="仿宋_GB2312"/>
          <w:bCs/>
          <w:sz w:val="32"/>
          <w:szCs w:val="32"/>
        </w:rPr>
        <w:t>三、</w:t>
      </w:r>
      <w:r>
        <w:rPr>
          <w:rFonts w:hint="eastAsia" w:ascii="仿宋_GB2312" w:eastAsia="仿宋_GB2312" w:cs="仿宋_GB2312"/>
          <w:sz w:val="32"/>
          <w:szCs w:val="32"/>
        </w:rPr>
        <w:t>支</w:t>
      </w:r>
      <w:r>
        <w:rPr>
          <w:rFonts w:hint="eastAsia" w:ascii="仿宋_GB2312" w:eastAsia="仿宋_GB2312" w:cs="仿宋_GB2312"/>
          <w:bCs/>
          <w:sz w:val="32"/>
          <w:szCs w:val="32"/>
        </w:rPr>
        <w:t>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6</w:t>
      </w:r>
    </w:p>
    <w:p>
      <w:pPr>
        <w:pStyle w:val="11"/>
        <w:spacing w:line="576" w:lineRule="exact"/>
        <w:rPr>
          <w:rFonts w:ascii="仿宋_GB2312" w:eastAsia="仿宋_GB2312" w:cs="仿宋_GB2312"/>
          <w:sz w:val="32"/>
          <w:szCs w:val="32"/>
        </w:rPr>
      </w:pPr>
      <w:r>
        <w:fldChar w:fldCharType="begin"/>
      </w:r>
      <w:r>
        <w:instrText xml:space="preserve"> HYPERLINK \l "_Toc15396606" </w:instrText>
      </w:r>
      <w:r>
        <w:fldChar w:fldCharType="separate"/>
      </w:r>
      <w:r>
        <w:rPr>
          <w:rFonts w:hint="eastAsia" w:ascii="仿宋_GB2312" w:eastAsia="仿宋_GB2312" w:cs="仿宋_GB2312"/>
          <w:sz w:val="32"/>
          <w:szCs w:val="32"/>
        </w:rPr>
        <w:t>四、财</w:t>
      </w:r>
      <w:r>
        <w:rPr>
          <w:rFonts w:hint="eastAsia" w:ascii="仿宋_GB2312" w:eastAsia="仿宋_GB2312" w:cs="仿宋_GB2312"/>
          <w:bCs/>
          <w:sz w:val="32"/>
          <w:szCs w:val="32"/>
        </w:rPr>
        <w:t>政拨款收入支出决算总体情况说明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6</w:t>
      </w:r>
    </w:p>
    <w:p>
      <w:pPr>
        <w:pStyle w:val="11"/>
        <w:spacing w:line="576" w:lineRule="exact"/>
        <w:rPr>
          <w:rFonts w:ascii="仿宋_GB2312" w:eastAsia="仿宋_GB2312" w:cs="仿宋_GB2312"/>
          <w:sz w:val="32"/>
          <w:szCs w:val="32"/>
        </w:rPr>
      </w:pPr>
      <w:r>
        <w:fldChar w:fldCharType="begin"/>
      </w:r>
      <w:r>
        <w:instrText xml:space="preserve"> HYPERLINK \l "_Toc15396607" </w:instrText>
      </w:r>
      <w:r>
        <w:fldChar w:fldCharType="separate"/>
      </w:r>
      <w:r>
        <w:rPr>
          <w:rFonts w:hint="eastAsia" w:ascii="仿宋_GB2312" w:eastAsia="仿宋_GB2312" w:cs="仿宋_GB2312"/>
          <w:sz w:val="32"/>
          <w:szCs w:val="32"/>
        </w:rPr>
        <w:t>五、一</w:t>
      </w:r>
      <w:r>
        <w:rPr>
          <w:rFonts w:hint="eastAsia" w:ascii="仿宋_GB2312" w:eastAsia="仿宋_GB2312" w:cs="仿宋_GB2312"/>
          <w:bCs/>
          <w:sz w:val="32"/>
          <w:szCs w:val="32"/>
        </w:rPr>
        <w:t>般公共预算财政拨款支出决算情况说明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7</w:t>
      </w:r>
    </w:p>
    <w:p>
      <w:pPr>
        <w:pStyle w:val="11"/>
        <w:spacing w:line="576" w:lineRule="exact"/>
        <w:rPr>
          <w:rFonts w:ascii="仿宋_GB2312" w:eastAsia="仿宋_GB2312" w:cs="仿宋_GB2312"/>
          <w:sz w:val="32"/>
          <w:szCs w:val="32"/>
        </w:rPr>
      </w:pPr>
      <w:r>
        <w:fldChar w:fldCharType="begin"/>
      </w:r>
      <w:r>
        <w:instrText xml:space="preserve"> HYPERLINK \l "_Toc15396608" </w:instrText>
      </w:r>
      <w:r>
        <w:fldChar w:fldCharType="separate"/>
      </w:r>
      <w:r>
        <w:rPr>
          <w:rFonts w:hint="eastAsia" w:ascii="仿宋_GB2312" w:eastAsia="仿宋_GB2312" w:cs="仿宋_GB2312"/>
          <w:sz w:val="32"/>
          <w:szCs w:val="32"/>
        </w:rPr>
        <w:t>六、一</w:t>
      </w:r>
      <w:r>
        <w:rPr>
          <w:rFonts w:hint="eastAsia" w:ascii="仿宋_GB2312" w:eastAsia="仿宋_GB2312" w:cs="仿宋_GB2312"/>
          <w:bCs/>
          <w:sz w:val="32"/>
          <w:szCs w:val="32"/>
        </w:rPr>
        <w:t>般公共预算财政拨款基本支出决算情况说明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8</w:t>
      </w:r>
    </w:p>
    <w:p>
      <w:pPr>
        <w:pStyle w:val="11"/>
        <w:spacing w:line="576" w:lineRule="exact"/>
        <w:rPr>
          <w:rFonts w:ascii="仿宋_GB2312" w:eastAsia="仿宋_GB2312" w:cs="仿宋_GB2312"/>
          <w:sz w:val="32"/>
          <w:szCs w:val="32"/>
        </w:rPr>
      </w:pPr>
      <w:r>
        <w:fldChar w:fldCharType="begin"/>
      </w:r>
      <w:r>
        <w:instrText xml:space="preserve"> HYPERLINK \l "_Toc15396609" </w:instrText>
      </w:r>
      <w:r>
        <w:fldChar w:fldCharType="separate"/>
      </w:r>
      <w:r>
        <w:rPr>
          <w:rFonts w:hint="eastAsia" w:ascii="仿宋_GB2312" w:eastAsia="仿宋_GB2312" w:cs="仿宋_GB2312"/>
          <w:sz w:val="32"/>
          <w:szCs w:val="32"/>
        </w:rPr>
        <w:t>七、“</w:t>
      </w:r>
      <w:r>
        <w:rPr>
          <w:rFonts w:hint="eastAsia" w:ascii="仿宋_GB2312" w:eastAsia="仿宋_GB2312" w:cs="仿宋_GB2312"/>
          <w:bCs/>
          <w:sz w:val="32"/>
          <w:szCs w:val="32"/>
        </w:rPr>
        <w:t>三公”经费财政拨款支出决算情况说明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"_Toc15396610" </w:instrText>
      </w:r>
      <w:r>
        <w:fldChar w:fldCharType="separate"/>
      </w:r>
      <w:r>
        <w:rPr>
          <w:rFonts w:hint="eastAsia" w:ascii="仿宋_GB2312" w:eastAsia="仿宋_GB2312" w:cs="仿宋_GB2312"/>
          <w:sz w:val="32"/>
          <w:szCs w:val="32"/>
        </w:rPr>
        <w:t>八、</w:t>
      </w:r>
      <w:r>
        <w:rPr>
          <w:rFonts w:hint="eastAsia" w:ascii="仿宋_GB2312" w:eastAsia="仿宋_GB2312" w:cs="仿宋_GB2312"/>
          <w:bCs/>
          <w:sz w:val="32"/>
          <w:szCs w:val="32"/>
        </w:rPr>
        <w:t>政府性基金预算支出决算情况说明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"_Toc15396611" </w:instrText>
      </w:r>
      <w:r>
        <w:fldChar w:fldCharType="separate"/>
      </w:r>
      <w:r>
        <w:rPr>
          <w:rFonts w:hint="eastAsia" w:ascii="仿宋_GB2312" w:eastAsia="仿宋_GB2312" w:cs="仿宋_GB2312"/>
          <w:bCs/>
          <w:sz w:val="32"/>
          <w:szCs w:val="32"/>
        </w:rPr>
        <w:t>九、</w:t>
      </w:r>
      <w:r>
        <w:rPr>
          <w:rFonts w:hint="eastAsia" w:ascii="仿宋_GB2312" w:eastAsia="仿宋_GB2312" w:cs="仿宋_GB2312"/>
          <w:sz w:val="32"/>
          <w:szCs w:val="32"/>
        </w:rPr>
        <w:t>国</w:t>
      </w:r>
      <w:r>
        <w:rPr>
          <w:rFonts w:hint="eastAsia" w:ascii="仿宋_GB2312" w:eastAsia="仿宋_GB2312" w:cs="仿宋_GB2312"/>
          <w:bCs/>
          <w:sz w:val="32"/>
          <w:szCs w:val="32"/>
        </w:rPr>
        <w:t>有资本经营预算支出决算情况说明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rPr>
          <w:rStyle w:val="15"/>
          <w:rFonts w:hint="eastAsia" w:ascii="仿宋_GB2312" w:eastAsia="仿宋_GB2312" w:cs="仿宋_GB2312"/>
          <w:bCs/>
          <w:sz w:val="32"/>
          <w:szCs w:val="32"/>
        </w:rPr>
        <w:t>十、预算绩效情况说明</w:t>
      </w:r>
      <w:r>
        <w:rPr>
          <w:rFonts w:hint="eastAsia" w:ascii="仿宋_GB2312" w:eastAsia="仿宋_GB2312" w:cs="仿宋_GB2312"/>
          <w:sz w:val="32"/>
          <w:szCs w:val="32"/>
        </w:rPr>
        <w:tab/>
      </w:r>
      <w:r>
        <w:rPr>
          <w:rFonts w:ascii="仿宋_GB2312" w:eastAsia="仿宋_GB2312" w:cs="仿宋_GB2312"/>
          <w:sz w:val="32"/>
          <w:szCs w:val="32"/>
        </w:rPr>
        <w:t>9</w:t>
      </w:r>
    </w:p>
    <w:p>
      <w:pPr>
        <w:pStyle w:val="11"/>
        <w:spacing w:line="576" w:lineRule="exact"/>
        <w:rPr>
          <w:rFonts w:ascii="仿宋_GB2312" w:eastAsia="仿宋_GB2312" w:cs="仿宋_GB2312"/>
          <w:sz w:val="32"/>
          <w:szCs w:val="32"/>
        </w:rPr>
      </w:pPr>
      <w:r>
        <w:fldChar w:fldCharType="begin"/>
      </w:r>
      <w:r>
        <w:instrText xml:space="preserve"> HYPERLINK \l "_Toc15396612" </w:instrText>
      </w:r>
      <w:r>
        <w:fldChar w:fldCharType="separate"/>
      </w:r>
      <w:r>
        <w:rPr>
          <w:rFonts w:hint="eastAsia" w:ascii="仿宋_GB2312" w:eastAsia="仿宋_GB2312" w:cs="仿宋_GB2312"/>
          <w:sz w:val="32"/>
          <w:szCs w:val="32"/>
        </w:rPr>
        <w:t>十</w:t>
      </w:r>
      <w:r>
        <w:rPr>
          <w:rFonts w:hint="eastAsia" w:ascii="仿宋_GB2312" w:eastAsia="仿宋_GB2312" w:cs="仿宋_GB2312"/>
          <w:bCs/>
          <w:sz w:val="32"/>
          <w:szCs w:val="32"/>
        </w:rPr>
        <w:t>一、其他重要事项的情况说明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p>
    <w:p>
      <w:pPr>
        <w:pStyle w:val="10"/>
        <w:spacing w:line="576" w:lineRule="exact"/>
        <w:rPr>
          <w:rFonts w:ascii="仿宋_GB2312" w:eastAsia="仿宋_GB2312" w:cs="仿宋_GB2312"/>
          <w:sz w:val="32"/>
          <w:szCs w:val="32"/>
        </w:rPr>
      </w:pPr>
      <w:r>
        <w:fldChar w:fldCharType="begin"/>
      </w:r>
      <w:r>
        <w:instrText xml:space="preserve"> HYPERLINK \l "_Toc15396613" </w:instrText>
      </w:r>
      <w:r>
        <w:fldChar w:fldCharType="separate"/>
      </w:r>
      <w:r>
        <w:rPr>
          <w:rFonts w:hint="eastAsia" w:ascii="仿宋_GB2312" w:eastAsia="仿宋_GB2312" w:cs="仿宋_GB2312"/>
          <w:bCs/>
          <w:kern w:val="44"/>
          <w:sz w:val="32"/>
          <w:szCs w:val="32"/>
        </w:rPr>
        <w:t>第三部分</w:t>
      </w:r>
      <w:r>
        <w:rPr>
          <w:rFonts w:hint="eastAsia" w:ascii="仿宋_GB2312" w:eastAsia="仿宋_GB2312" w:cs="仿宋_GB2312"/>
          <w:sz w:val="32"/>
          <w:szCs w:val="32"/>
        </w:rPr>
        <w:t xml:space="preserve"> 名</w:t>
      </w:r>
      <w:r>
        <w:rPr>
          <w:rFonts w:hint="eastAsia" w:ascii="仿宋_GB2312" w:eastAsia="仿宋_GB2312" w:cs="仿宋_GB2312"/>
          <w:bCs/>
          <w:kern w:val="44"/>
          <w:sz w:val="32"/>
          <w:szCs w:val="32"/>
        </w:rPr>
        <w:t>词解释</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11</w:t>
      </w:r>
    </w:p>
    <w:p>
      <w:pPr>
        <w:pStyle w:val="10"/>
        <w:spacing w:line="576" w:lineRule="exact"/>
        <w:rPr>
          <w:rFonts w:ascii="仿宋_GB2312" w:eastAsia="仿宋_GB2312" w:cs="仿宋_GB2312"/>
          <w:sz w:val="32"/>
          <w:szCs w:val="32"/>
        </w:rPr>
      </w:pPr>
      <w:r>
        <w:fldChar w:fldCharType="begin"/>
      </w:r>
      <w:r>
        <w:instrText xml:space="preserve"> HYPERLINK \l "_Toc15396614" </w:instrText>
      </w:r>
      <w:r>
        <w:fldChar w:fldCharType="separate"/>
      </w:r>
      <w:r>
        <w:rPr>
          <w:rFonts w:hint="eastAsia" w:ascii="仿宋_GB2312" w:eastAsia="仿宋_GB2312" w:cs="仿宋_GB2312"/>
          <w:sz w:val="32"/>
          <w:szCs w:val="32"/>
        </w:rPr>
        <w:t>第</w:t>
      </w:r>
      <w:r>
        <w:rPr>
          <w:rFonts w:hint="eastAsia" w:ascii="仿宋_GB2312" w:eastAsia="仿宋_GB2312" w:cs="仿宋_GB2312"/>
          <w:bCs/>
          <w:kern w:val="44"/>
          <w:sz w:val="32"/>
          <w:szCs w:val="32"/>
        </w:rPr>
        <w:t>四部分 附件</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13</w:t>
      </w:r>
    </w:p>
    <w:p>
      <w:pPr>
        <w:pStyle w:val="11"/>
        <w:spacing w:line="576" w:lineRule="exact"/>
        <w:rPr>
          <w:rFonts w:ascii="仿宋_GB2312" w:eastAsia="仿宋_GB2312" w:cs="仿宋_GB2312"/>
          <w:sz w:val="32"/>
          <w:szCs w:val="32"/>
        </w:rPr>
      </w:pPr>
      <w:r>
        <w:fldChar w:fldCharType="begin"/>
      </w:r>
      <w:r>
        <w:instrText xml:space="preserve"> HYPERLINK \l "_Toc15396615" </w:instrText>
      </w:r>
      <w:r>
        <w:fldChar w:fldCharType="separate"/>
      </w:r>
      <w:r>
        <w:rPr>
          <w:rFonts w:hint="eastAsia" w:ascii="仿宋_GB2312" w:eastAsia="仿宋_GB2312" w:cs="仿宋_GB2312"/>
          <w:kern w:val="44"/>
          <w:sz w:val="32"/>
          <w:szCs w:val="32"/>
          <w:lang w:val="en-US" w:eastAsia="zh-CN"/>
        </w:rPr>
        <w:t>2019年部门整体支出绩效评价报告</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13</w:t>
      </w:r>
    </w:p>
    <w:p>
      <w:pPr>
        <w:pStyle w:val="10"/>
        <w:spacing w:line="576" w:lineRule="exact"/>
        <w:jc w:val="both"/>
        <w:rPr>
          <w:rFonts w:ascii="仿宋_GB2312" w:eastAsia="仿宋_GB2312" w:cs="仿宋_GB2312"/>
          <w:sz w:val="32"/>
          <w:szCs w:val="32"/>
        </w:rPr>
      </w:pPr>
      <w:r>
        <w:fldChar w:fldCharType="begin"/>
      </w:r>
      <w:r>
        <w:instrText xml:space="preserve"> HYPERLINK \l "_Toc15396618" </w:instrText>
      </w:r>
      <w:r>
        <w:fldChar w:fldCharType="separate"/>
      </w:r>
      <w:r>
        <w:rPr>
          <w:rFonts w:hint="eastAsia" w:ascii="仿宋_GB2312" w:eastAsia="仿宋_GB2312" w:cs="仿宋_GB2312"/>
          <w:sz w:val="32"/>
          <w:szCs w:val="32"/>
        </w:rPr>
        <w:t>第</w:t>
      </w:r>
      <w:r>
        <w:rPr>
          <w:rFonts w:hint="eastAsia" w:ascii="仿宋_GB2312" w:eastAsia="仿宋_GB2312" w:cs="仿宋_GB2312"/>
          <w:bCs/>
          <w:kern w:val="44"/>
          <w:sz w:val="32"/>
          <w:szCs w:val="32"/>
        </w:rPr>
        <w:t>五部分 附表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2019年部门决算公开表</w:t>
      </w:r>
      <w:r>
        <w:rPr>
          <w:rFonts w:hint="eastAsia" w:ascii="仿宋_GB2312" w:eastAsia="仿宋_GB2312" w:cs="仿宋_GB2312"/>
          <w:sz w:val="32"/>
          <w:szCs w:val="32"/>
        </w:rPr>
        <w:tab/>
      </w:r>
      <w:r>
        <w:rPr>
          <w:rFonts w:hint="eastAsia" w:ascii="仿宋_GB2312" w:eastAsia="仿宋_GB2312" w:cs="仿宋_GB2312"/>
          <w:sz w:val="32"/>
          <w:szCs w:val="32"/>
          <w:lang w:val="en-US" w:eastAsia="zh-CN"/>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一、</w:t>
      </w:r>
      <w:r>
        <w:fldChar w:fldCharType="begin"/>
      </w:r>
      <w:r>
        <w:instrText xml:space="preserve"> HYPERLINK \l "_Toc15396619" </w:instrText>
      </w:r>
      <w:r>
        <w:fldChar w:fldCharType="separate"/>
      </w:r>
      <w:r>
        <w:rPr>
          <w:rFonts w:hint="eastAsia" w:ascii="仿宋_GB2312" w:eastAsia="仿宋_GB2312" w:cs="仿宋_GB2312"/>
          <w:sz w:val="32"/>
          <w:szCs w:val="32"/>
        </w:rPr>
        <w:t>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二、</w:t>
      </w:r>
      <w:r>
        <w:fldChar w:fldCharType="begin"/>
      </w:r>
      <w:r>
        <w:instrText xml:space="preserve"> HYPERLINK \l "_Toc15396620" </w:instrText>
      </w:r>
      <w:r>
        <w:fldChar w:fldCharType="separate"/>
      </w:r>
      <w:r>
        <w:rPr>
          <w:rFonts w:hint="eastAsia" w:ascii="仿宋_GB2312" w:eastAsia="仿宋_GB2312" w:cs="仿宋_GB2312"/>
          <w:sz w:val="32"/>
          <w:szCs w:val="32"/>
        </w:rPr>
        <w:t>收入总表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三、</w:t>
      </w:r>
      <w:r>
        <w:fldChar w:fldCharType="begin"/>
      </w:r>
      <w:r>
        <w:instrText xml:space="preserve"> HYPERLINK \l "_Toc15396621" </w:instrText>
      </w:r>
      <w:r>
        <w:fldChar w:fldCharType="separate"/>
      </w:r>
      <w:r>
        <w:rPr>
          <w:rFonts w:hint="eastAsia" w:ascii="仿宋_GB2312" w:eastAsia="仿宋_GB2312" w:cs="仿宋_GB2312"/>
          <w:sz w:val="32"/>
          <w:szCs w:val="32"/>
        </w:rPr>
        <w:t>支出总表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四、</w:t>
      </w:r>
      <w:r>
        <w:fldChar w:fldCharType="begin"/>
      </w:r>
      <w:r>
        <w:instrText xml:space="preserve"> HYPERLINK \l "_Toc15396622" </w:instrText>
      </w:r>
      <w:r>
        <w:fldChar w:fldCharType="separate"/>
      </w:r>
      <w:r>
        <w:rPr>
          <w:rFonts w:hint="eastAsia" w:ascii="仿宋_GB2312" w:eastAsia="仿宋_GB2312" w:cs="仿宋_GB2312"/>
          <w:sz w:val="32"/>
          <w:szCs w:val="32"/>
        </w:rPr>
        <w:t>财政拨款收入支出决算总表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eastAsia="仿宋_GB2312" w:cs="仿宋_GB2312"/>
          <w:sz w:val="32"/>
          <w:szCs w:val="32"/>
        </w:rPr>
        <w:t>财政拨款支出决算明细表（政府经济分类科目）</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六、</w:t>
      </w:r>
      <w:r>
        <w:fldChar w:fldCharType="begin"/>
      </w:r>
      <w:r>
        <w:instrText xml:space="preserve"> HYPERLINK \l "_Toc15396624" </w:instrText>
      </w:r>
      <w:r>
        <w:fldChar w:fldCharType="separate"/>
      </w:r>
      <w:r>
        <w:rPr>
          <w:rFonts w:hint="eastAsia" w:ascii="仿宋_GB2312" w:eastAsia="仿宋_GB2312" w:cs="仿宋_GB2312"/>
          <w:sz w:val="32"/>
          <w:szCs w:val="32"/>
        </w:rPr>
        <w:t>一般公共预算财政拨款支出决算表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七、</w:t>
      </w:r>
      <w:r>
        <w:fldChar w:fldCharType="begin"/>
      </w:r>
      <w:r>
        <w:instrText xml:space="preserve"> HYPERLINK \l "_Toc15396625" </w:instrText>
      </w:r>
      <w:r>
        <w:fldChar w:fldCharType="separate"/>
      </w:r>
      <w:r>
        <w:rPr>
          <w:rFonts w:hint="eastAsia" w:ascii="仿宋_GB2312" w:eastAsia="仿宋_GB2312" w:cs="仿宋_GB2312"/>
          <w:sz w:val="32"/>
          <w:szCs w:val="32"/>
        </w:rPr>
        <w:t>一般公共预算财政拨款支出决算明细表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八、</w:t>
      </w:r>
      <w:r>
        <w:fldChar w:fldCharType="begin"/>
      </w:r>
      <w:r>
        <w:instrText xml:space="preserve"> HYPERLINK \l "_Toc15396626" </w:instrText>
      </w:r>
      <w:r>
        <w:fldChar w:fldCharType="separate"/>
      </w:r>
      <w:r>
        <w:rPr>
          <w:rFonts w:hint="eastAsia" w:ascii="仿宋_GB2312" w:eastAsia="仿宋_GB2312" w:cs="仿宋_GB2312"/>
          <w:sz w:val="32"/>
          <w:szCs w:val="32"/>
        </w:rPr>
        <w:t>一般公共预算财政拨款基本支出决算表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九、</w:t>
      </w:r>
      <w:r>
        <w:fldChar w:fldCharType="begin"/>
      </w:r>
      <w:r>
        <w:instrText xml:space="preserve"> HYPERLINK \l "_Toc15396627" </w:instrText>
      </w:r>
      <w:r>
        <w:fldChar w:fldCharType="separate"/>
      </w:r>
      <w:r>
        <w:rPr>
          <w:rFonts w:hint="eastAsia" w:ascii="仿宋_GB2312" w:eastAsia="仿宋_GB2312" w:cs="仿宋_GB2312"/>
          <w:sz w:val="32"/>
          <w:szCs w:val="32"/>
        </w:rPr>
        <w:t>一般公共预算财政拨款项目支出决算表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w:t>
      </w:r>
      <w:r>
        <w:fldChar w:fldCharType="begin"/>
      </w:r>
      <w:r>
        <w:instrText xml:space="preserve"> HYPERLINK \l "_Toc15396628" </w:instrText>
      </w:r>
      <w:r>
        <w:fldChar w:fldCharType="separate"/>
      </w:r>
      <w:r>
        <w:rPr>
          <w:rFonts w:hint="eastAsia" w:ascii="仿宋_GB2312" w:eastAsia="仿宋_GB2312" w:cs="仿宋_GB2312"/>
          <w:sz w:val="32"/>
          <w:szCs w:val="32"/>
        </w:rPr>
        <w:t>一般公共预算财政拨款“三公”经费支出决算表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十一、</w:t>
      </w:r>
      <w:r>
        <w:fldChar w:fldCharType="begin"/>
      </w:r>
      <w:r>
        <w:instrText xml:space="preserve"> HYPERLINK \l "_Toc15396629" </w:instrText>
      </w:r>
      <w:r>
        <w:fldChar w:fldCharType="separate"/>
      </w:r>
      <w:r>
        <w:rPr>
          <w:rFonts w:hint="eastAsia" w:ascii="仿宋_GB2312" w:eastAsia="仿宋_GB2312" w:cs="仿宋_GB2312"/>
          <w:sz w:val="32"/>
          <w:szCs w:val="32"/>
        </w:rPr>
        <w:t>政府性基金预算财政拨款收入支出决算表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十二、</w:t>
      </w:r>
      <w:r>
        <w:fldChar w:fldCharType="begin"/>
      </w:r>
      <w:r>
        <w:instrText xml:space="preserve"> HYPERLINK \l "_Toc15396630" </w:instrText>
      </w:r>
      <w:r>
        <w:fldChar w:fldCharType="separate"/>
      </w:r>
      <w:r>
        <w:rPr>
          <w:rFonts w:hint="eastAsia" w:ascii="仿宋_GB2312" w:eastAsia="仿宋_GB2312" w:cs="仿宋_GB2312"/>
          <w:sz w:val="32"/>
          <w:szCs w:val="32"/>
        </w:rPr>
        <w:t>政府性基金预算财政拨款“三公”经费支出决表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pStyle w:val="11"/>
        <w:spacing w:line="576" w:lineRule="exact"/>
        <w:rPr>
          <w:rFonts w:ascii="仿宋_GB2312" w:eastAsia="仿宋_GB2312" w:cs="仿宋_GB2312"/>
          <w:sz w:val="32"/>
          <w:szCs w:val="32"/>
        </w:rPr>
      </w:pPr>
      <w:r>
        <w:rPr>
          <w:rFonts w:hint="eastAsia" w:ascii="仿宋_GB2312" w:eastAsia="仿宋_GB2312" w:cs="仿宋_GB2312"/>
          <w:sz w:val="32"/>
          <w:szCs w:val="32"/>
        </w:rPr>
        <w:t>十三、</w:t>
      </w:r>
      <w:r>
        <w:fldChar w:fldCharType="begin"/>
      </w:r>
      <w:r>
        <w:instrText xml:space="preserve"> HYPERLINK \l "_Toc15396631" </w:instrText>
      </w:r>
      <w:r>
        <w:fldChar w:fldCharType="separate"/>
      </w:r>
      <w:r>
        <w:rPr>
          <w:rFonts w:hint="eastAsia" w:ascii="仿宋_GB2312" w:eastAsia="仿宋_GB2312" w:cs="仿宋_GB2312"/>
          <w:sz w:val="32"/>
          <w:szCs w:val="32"/>
        </w:rPr>
        <w:t>国有资本经营预算支出决算表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end"/>
      </w:r>
      <w:r>
        <w:rPr>
          <w:rFonts w:hint="eastAsia" w:ascii="仿宋_GB2312" w:eastAsia="仿宋_GB2312" w:cs="仿宋_GB2312"/>
          <w:sz w:val="32"/>
          <w:szCs w:val="32"/>
        </w:rPr>
        <w:t>19</w:t>
      </w:r>
    </w:p>
    <w:p>
      <w:pPr>
        <w:widowControl/>
        <w:spacing w:line="576" w:lineRule="exact"/>
        <w:jc w:val="left"/>
        <w:rPr>
          <w:rFonts w:ascii="仿宋_GB2312" w:eastAsia="仿宋_GB2312" w:cs="仿宋_GB2312"/>
          <w:color w:val="000000"/>
          <w:sz w:val="32"/>
          <w:szCs w:val="32"/>
        </w:rPr>
      </w:pPr>
      <w:r>
        <w:rPr>
          <w:rFonts w:hint="eastAsia" w:ascii="仿宋_GB2312" w:eastAsia="仿宋_GB2312" w:cs="仿宋_GB2312"/>
          <w:color w:val="000000"/>
          <w:sz w:val="32"/>
          <w:szCs w:val="32"/>
        </w:rPr>
        <w:fldChar w:fldCharType="end"/>
      </w:r>
    </w:p>
    <w:p>
      <w:pPr>
        <w:widowControl/>
        <w:jc w:val="left"/>
        <w:rPr>
          <w:rFonts w:ascii="黑体" w:eastAsia="黑体"/>
          <w:bCs/>
          <w:kern w:val="44"/>
          <w:sz w:val="44"/>
          <w:szCs w:val="44"/>
        </w:rPr>
      </w:pPr>
      <w:bookmarkStart w:id="12" w:name="_Toc15396599"/>
      <w:bookmarkStart w:id="13" w:name="_Toc15377196"/>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left"/>
        <w:rPr>
          <w:rFonts w:ascii="黑体" w:eastAsia="黑体"/>
          <w:bCs/>
          <w:kern w:val="44"/>
          <w:sz w:val="44"/>
          <w:szCs w:val="44"/>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adjustRightInd w:val="0"/>
        <w:snapToGrid w:val="0"/>
        <w:spacing w:line="360" w:lineRule="auto"/>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第一部分 部门概况</w:t>
      </w:r>
      <w:bookmarkEnd w:id="12"/>
      <w:bookmarkEnd w:id="13"/>
      <w:bookmarkStart w:id="14" w:name="_Toc15377197"/>
      <w:bookmarkStart w:id="15" w:name="_Toc15396600"/>
    </w:p>
    <w:p>
      <w:pPr>
        <w:adjustRightInd w:val="0"/>
        <w:snapToGrid w:val="0"/>
        <w:spacing w:line="576" w:lineRule="exact"/>
        <w:ind w:firstLine="640" w:firstLineChars="200"/>
        <w:outlineLvl w:val="0"/>
        <w:rPr>
          <w:rFonts w:ascii="黑体" w:eastAsia="黑体"/>
          <w:color w:val="000000"/>
          <w:sz w:val="44"/>
          <w:szCs w:val="44"/>
        </w:rPr>
      </w:pPr>
      <w:r>
        <w:rPr>
          <w:rFonts w:hint="eastAsia" w:ascii="黑体" w:eastAsia="黑体"/>
          <w:color w:val="000000"/>
          <w:sz w:val="32"/>
          <w:szCs w:val="32"/>
        </w:rPr>
        <w:t>一、基</w:t>
      </w:r>
      <w:r>
        <w:rPr>
          <w:rStyle w:val="17"/>
          <w:rFonts w:hint="eastAsia" w:ascii="黑体" w:eastAsia="黑体"/>
          <w:b w:val="0"/>
          <w:bCs w:val="0"/>
        </w:rPr>
        <w:t>本职能及主要工作</w:t>
      </w:r>
      <w:bookmarkEnd w:id="14"/>
      <w:bookmarkEnd w:id="15"/>
      <w:bookmarkStart w:id="16" w:name="_Toc15377198"/>
      <w:bookmarkStart w:id="17" w:name="_Toc15378445"/>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(一）基本职能</w:t>
      </w:r>
    </w:p>
    <w:p>
      <w:pPr>
        <w:spacing w:line="576" w:lineRule="exact"/>
        <w:ind w:firstLine="640" w:firstLineChars="200"/>
        <w:outlineLvl w:val="1"/>
        <w:rPr>
          <w:rStyle w:val="17"/>
          <w:rFonts w:ascii="仿宋_GB2312" w:eastAsia="仿宋_GB2312" w:cs="仿宋_GB2312"/>
          <w:b w:val="0"/>
          <w:bCs w:val="0"/>
        </w:rPr>
      </w:pPr>
      <w:r>
        <w:rPr>
          <w:rStyle w:val="17"/>
          <w:rFonts w:hint="eastAsia" w:ascii="仿宋_GB2312" w:eastAsia="仿宋_GB2312" w:cs="仿宋_GB2312"/>
          <w:b w:val="0"/>
          <w:bCs w:val="0"/>
        </w:rPr>
        <w:t>始终坚定目标，把财经纪律执行工作的各项任务落到实处，建立健全财务管理，合理编制开支预算、决算，预防各种违法、违纪、违规行为的发生。</w:t>
      </w:r>
    </w:p>
    <w:p>
      <w:pPr>
        <w:spacing w:line="576" w:lineRule="exact"/>
        <w:ind w:firstLine="640" w:firstLineChars="200"/>
        <w:outlineLvl w:val="1"/>
        <w:rPr>
          <w:rStyle w:val="17"/>
          <w:rFonts w:ascii="黑体" w:eastAsia="黑体"/>
          <w:b w:val="0"/>
          <w:bCs w:val="0"/>
        </w:rPr>
      </w:pPr>
      <w:r>
        <w:rPr>
          <w:rStyle w:val="17"/>
          <w:rFonts w:hint="eastAsia" w:ascii="仿宋_GB2312" w:eastAsia="仿宋_GB2312" w:cs="仿宋_GB2312"/>
          <w:b w:val="0"/>
          <w:bCs w:val="0"/>
        </w:rPr>
        <w:t>本年度主要工作任务是发放全县和各区乡中小学教材教辅，保证课前到书。</w:t>
      </w:r>
    </w:p>
    <w:bookmarkEnd w:id="16"/>
    <w:bookmarkEnd w:id="17"/>
    <w:p>
      <w:pPr>
        <w:spacing w:line="576" w:lineRule="exact"/>
        <w:ind w:firstLine="642" w:firstLineChars="200"/>
        <w:outlineLvl w:val="1"/>
        <w:rPr>
          <w:rStyle w:val="17"/>
          <w:rFonts w:hint="eastAsia" w:ascii="楷体" w:eastAsia="楷体" w:cs="楷体"/>
          <w:b/>
          <w:bCs/>
        </w:rPr>
      </w:pPr>
      <w:bookmarkStart w:id="18" w:name="_Toc15378446"/>
      <w:bookmarkStart w:id="19" w:name="_Toc15377199"/>
      <w:r>
        <w:rPr>
          <w:rStyle w:val="17"/>
          <w:rFonts w:hint="eastAsia" w:ascii="楷体" w:eastAsia="楷体" w:cs="楷体"/>
          <w:b/>
          <w:bCs/>
        </w:rPr>
        <w:t>（二）2019年重点工作完成</w:t>
      </w:r>
      <w:bookmarkEnd w:id="18"/>
      <w:bookmarkEnd w:id="19"/>
    </w:p>
    <w:p>
      <w:pPr>
        <w:spacing w:line="576" w:lineRule="exact"/>
        <w:ind w:firstLine="640" w:firstLineChars="200"/>
        <w:outlineLvl w:val="1"/>
        <w:rPr>
          <w:rStyle w:val="17"/>
          <w:rFonts w:ascii="仿宋_GB2312" w:eastAsia="仿宋_GB2312" w:cs="仿宋_GB2312"/>
          <w:b w:val="0"/>
          <w:bCs w:val="0"/>
        </w:rPr>
      </w:pPr>
      <w:r>
        <w:rPr>
          <w:rStyle w:val="17"/>
          <w:rFonts w:hint="eastAsia" w:ascii="仿宋_GB2312" w:eastAsia="仿宋_GB2312" w:cs="仿宋_GB2312"/>
          <w:b w:val="0"/>
          <w:bCs w:val="0"/>
        </w:rPr>
        <w:t>本年度单位完成全县和各区乡中小学教材教辅的发放工作，保证了课前到书。</w:t>
      </w:r>
      <w:bookmarkStart w:id="20" w:name="_Toc15396601"/>
      <w:bookmarkStart w:id="21" w:name="_Toc15377200"/>
    </w:p>
    <w:p>
      <w:pPr>
        <w:spacing w:line="576" w:lineRule="exact"/>
        <w:ind w:firstLine="640" w:firstLineChars="200"/>
        <w:outlineLvl w:val="1"/>
        <w:rPr>
          <w:rStyle w:val="17"/>
          <w:rFonts w:ascii="仿宋_GB2312" w:eastAsia="仿宋_GB2312" w:cs="仿宋_GB2312"/>
          <w:b w:val="0"/>
          <w:bCs w:val="0"/>
        </w:rPr>
      </w:pPr>
      <w:r>
        <w:rPr>
          <w:rFonts w:hint="eastAsia" w:ascii="黑体" w:eastAsia="黑体"/>
          <w:color w:val="000000"/>
          <w:sz w:val="32"/>
          <w:szCs w:val="32"/>
        </w:rPr>
        <w:t>二、机</w:t>
      </w:r>
      <w:r>
        <w:rPr>
          <w:rStyle w:val="17"/>
          <w:rFonts w:hint="eastAsia" w:ascii="黑体" w:eastAsia="黑体"/>
          <w:b w:val="0"/>
          <w:bCs w:val="0"/>
        </w:rPr>
        <w:t>构设置</w:t>
      </w:r>
      <w:bookmarkEnd w:id="20"/>
      <w:bookmarkEnd w:id="21"/>
    </w:p>
    <w:p>
      <w:pPr>
        <w:spacing w:line="576" w:lineRule="exact"/>
        <w:ind w:firstLine="640" w:firstLineChars="200"/>
        <w:rPr>
          <w:rFonts w:ascii="仿宋" w:eastAsia="仿宋"/>
          <w:sz w:val="32"/>
          <w:szCs w:val="32"/>
        </w:rPr>
      </w:pPr>
      <w:r>
        <w:rPr>
          <w:rFonts w:hint="eastAsia" w:ascii="仿宋_GB2312" w:eastAsia="仿宋_GB2312" w:cs="仿宋_GB2312"/>
          <w:sz w:val="32"/>
          <w:szCs w:val="32"/>
        </w:rPr>
        <w:t>茂县新华书店属财政差额</w:t>
      </w:r>
      <w:r>
        <w:rPr>
          <w:rFonts w:hint="eastAsia" w:ascii="仿宋_GB2312" w:eastAsia="仿宋_GB2312" w:cs="仿宋_GB2312"/>
          <w:sz w:val="32"/>
          <w:szCs w:val="32"/>
          <w:lang w:eastAsia="zh-CN"/>
        </w:rPr>
        <w:t>拨款</w:t>
      </w:r>
      <w:r>
        <w:rPr>
          <w:rFonts w:hint="eastAsia" w:ascii="仿宋_GB2312" w:eastAsia="仿宋_GB2312" w:cs="仿宋_GB2312"/>
          <w:sz w:val="32"/>
          <w:szCs w:val="32"/>
        </w:rPr>
        <w:t>的一级预算单位1个，无下属单位。</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茂县新华书店总编制是8人，其中事业管理1人，事业专技1人，事业工勤6人。期末在职人数是7人，其中事业管理1人，事业专技1人，事业工勤5人。</w:t>
      </w:r>
    </w:p>
    <w:p>
      <w:pPr>
        <w:spacing w:line="576" w:lineRule="exact"/>
        <w:ind w:firstLine="640" w:firstLineChars="20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ind w:firstLine="800" w:firstLineChars="250"/>
        <w:rPr>
          <w:rFonts w:ascii="仿宋" w:eastAsia="仿宋"/>
          <w:sz w:val="32"/>
          <w:szCs w:val="32"/>
        </w:rPr>
      </w:pPr>
    </w:p>
    <w:p>
      <w:pPr>
        <w:adjustRightInd w:val="0"/>
        <w:snapToGrid w:val="0"/>
        <w:spacing w:line="360" w:lineRule="auto"/>
        <w:jc w:val="center"/>
        <w:outlineLvl w:val="0"/>
        <w:rPr>
          <w:rStyle w:val="16"/>
          <w:rFonts w:ascii="黑体" w:eastAsia="黑体"/>
          <w:b w:val="0"/>
          <w:bCs w:val="0"/>
        </w:rPr>
      </w:pPr>
      <w:bookmarkStart w:id="22" w:name="_Toc15377204"/>
      <w:bookmarkStart w:id="23" w:name="_Toc15396602"/>
      <w:r>
        <w:rPr>
          <w:rFonts w:hint="eastAsia" w:ascii="方正小标宋简体" w:eastAsia="方正小标宋简体"/>
          <w:color w:val="000000"/>
          <w:sz w:val="44"/>
          <w:szCs w:val="44"/>
        </w:rPr>
        <w:t>第二部分 2019年度部门决算情况说明</w:t>
      </w:r>
      <w:bookmarkEnd w:id="22"/>
      <w:bookmarkEnd w:id="23"/>
    </w:p>
    <w:p>
      <w:pPr>
        <w:pStyle w:val="22"/>
        <w:spacing w:line="576" w:lineRule="exact"/>
        <w:ind w:left="0" w:firstLine="640" w:firstLineChars="200"/>
        <w:jc w:val="left"/>
        <w:outlineLvl w:val="1"/>
        <w:rPr>
          <w:rStyle w:val="17"/>
          <w:rFonts w:ascii="黑体" w:eastAsia="黑体"/>
          <w:b w:val="0"/>
        </w:rPr>
      </w:pPr>
      <w:bookmarkStart w:id="24" w:name="_Toc15377205"/>
      <w:bookmarkStart w:id="25" w:name="_Toc15396603"/>
      <w:r>
        <w:rPr>
          <w:rFonts w:hint="eastAsia" w:ascii="黑体" w:eastAsia="黑体"/>
          <w:color w:val="000000"/>
          <w:sz w:val="32"/>
          <w:szCs w:val="32"/>
        </w:rPr>
        <w:t>一、收</w:t>
      </w:r>
      <w:r>
        <w:rPr>
          <w:rStyle w:val="17"/>
          <w:rFonts w:hint="eastAsia" w:ascii="黑体" w:eastAsia="黑体"/>
          <w:b w:val="0"/>
        </w:rPr>
        <w:t>入支出决算总体情况说明</w:t>
      </w:r>
      <w:bookmarkEnd w:id="24"/>
      <w:bookmarkEnd w:id="2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2019年度收、支总计49.95万元。与2018年相比，收入总计减少了4.15万元，减少7.67%；支出总计减少了4.15万元，减少7.67%。主要变动原因是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rPr>
          <w:rFonts w:ascii="仿宋" w:eastAsia="仿宋"/>
          <w:color w:val="000000"/>
          <w:sz w:val="32"/>
          <w:szCs w:val="32"/>
        </w:rPr>
      </w:pPr>
      <w:r>
        <w:rPr>
          <w:rFonts w:ascii="仿宋" w:eastAsia="仿宋"/>
          <w:color w:val="000000"/>
          <w:sz w:val="32"/>
          <w:szCs w:val="32"/>
        </w:rPr>
        <w:drawing>
          <wp:inline distT="0" distB="0" distL="0" distR="0">
            <wp:extent cx="5092700" cy="116586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ascii="仿宋_GB2312" w:eastAsia="仿宋_GB2312" w:cs="仿宋_GB2312"/>
          <w:color w:val="000000"/>
          <w:sz w:val="32"/>
          <w:szCs w:val="32"/>
        </w:rPr>
      </w:pPr>
      <w:r>
        <w:rPr>
          <w:rFonts w:hint="eastAsia" w:ascii="仿宋" w:eastAsia="仿宋"/>
          <w:color w:val="000000"/>
          <w:sz w:val="32"/>
          <w:szCs w:val="32"/>
        </w:rPr>
        <w:t xml:space="preserve"> </w:t>
      </w:r>
      <w:r>
        <w:rPr>
          <w:rFonts w:ascii="仿宋" w:eastAsia="仿宋"/>
          <w:color w:val="000000"/>
          <w:sz w:val="32"/>
          <w:szCs w:val="32"/>
        </w:rPr>
        <w:t xml:space="preserve">           </w:t>
      </w:r>
      <w:r>
        <w:rPr>
          <w:rFonts w:hint="eastAsia" w:ascii="仿宋_GB2312" w:eastAsia="仿宋_GB2312" w:cs="仿宋_GB2312"/>
          <w:color w:val="000000"/>
          <w:sz w:val="32"/>
          <w:szCs w:val="32"/>
        </w:rPr>
        <w:t>图1：收、支决算总体情况</w:t>
      </w:r>
    </w:p>
    <w:p>
      <w:pPr>
        <w:pStyle w:val="22"/>
        <w:spacing w:line="576" w:lineRule="exact"/>
        <w:ind w:left="0" w:firstLine="640" w:firstLineChars="200"/>
        <w:outlineLvl w:val="1"/>
        <w:rPr>
          <w:rStyle w:val="17"/>
          <w:rFonts w:ascii="黑体" w:eastAsia="黑体"/>
          <w:b w:val="0"/>
        </w:rPr>
      </w:pPr>
      <w:bookmarkStart w:id="26" w:name="_Toc15396604"/>
      <w:bookmarkStart w:id="27" w:name="_Toc15377206"/>
      <w:r>
        <w:rPr>
          <w:rFonts w:hint="eastAsia" w:ascii="黑体" w:eastAsia="黑体"/>
          <w:color w:val="000000"/>
          <w:sz w:val="32"/>
          <w:szCs w:val="32"/>
        </w:rPr>
        <w:t>二、收</w:t>
      </w:r>
      <w:r>
        <w:rPr>
          <w:rStyle w:val="17"/>
          <w:rFonts w:hint="eastAsia" w:ascii="黑体" w:eastAsia="黑体"/>
          <w:b w:val="0"/>
        </w:rPr>
        <w:t>入决算情况说明</w:t>
      </w:r>
      <w:bookmarkEnd w:id="26"/>
      <w:bookmarkEnd w:id="27"/>
    </w:p>
    <w:p>
      <w:pPr>
        <w:spacing w:line="576" w:lineRule="exact"/>
        <w:ind w:firstLine="640" w:firstLineChars="200"/>
        <w:outlineLvl w:val="1"/>
        <w:rPr>
          <w:rFonts w:ascii="仿宋_GB2312" w:eastAsia="仿宋_GB2312" w:cs="仿宋_GB2312"/>
          <w:color w:val="000000"/>
          <w:sz w:val="32"/>
          <w:szCs w:val="32"/>
        </w:rPr>
      </w:pPr>
      <w:r>
        <w:rPr>
          <w:rFonts w:hint="eastAsia" w:ascii="仿宋_GB2312" w:eastAsia="仿宋_GB2312" w:cs="仿宋_GB2312"/>
          <w:color w:val="000000"/>
          <w:sz w:val="32"/>
          <w:szCs w:val="32"/>
        </w:rPr>
        <w:t>2019年本年收入合计49.95万元，其中：一般公共预算财政拨款收入49.95万元，占100.00%；政府性基金预算财政拨款收入0万元，占0%；国有资本经营预算财政拨款收入0万元，占0%；事业收入0万元，占0%；经营收入0万元，占0%；附属单位上缴收入0万元，占0%；其他收入0万元，占0%。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251325" cy="1174115"/>
            <wp:effectExtent l="0" t="0" r="0" b="0"/>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图2：一般公共预算财政</w:t>
      </w:r>
      <w:r>
        <w:rPr>
          <w:rFonts w:hint="eastAsia" w:ascii="仿宋_GB2312" w:eastAsia="仿宋_GB2312" w:cs="仿宋_GB2312"/>
          <w:color w:val="000000"/>
          <w:sz w:val="32"/>
          <w:szCs w:val="32"/>
          <w:lang w:eastAsia="zh-CN"/>
        </w:rPr>
        <w:t>拨款</w:t>
      </w:r>
      <w:r>
        <w:rPr>
          <w:rFonts w:hint="eastAsia" w:ascii="仿宋_GB2312" w:eastAsia="仿宋_GB2312" w:cs="仿宋_GB2312"/>
          <w:color w:val="000000"/>
          <w:sz w:val="32"/>
          <w:szCs w:val="32"/>
        </w:rPr>
        <w:t>收入决算结构图</w:t>
      </w:r>
    </w:p>
    <w:p>
      <w:pPr>
        <w:spacing w:line="600" w:lineRule="exact"/>
        <w:ind w:firstLine="640" w:firstLineChars="200"/>
        <w:jc w:val="center"/>
        <w:rPr>
          <w:rFonts w:ascii="仿宋_GB2312" w:eastAsia="仿宋_GB2312" w:cs="仿宋_GB2312"/>
          <w:color w:val="000000"/>
          <w:sz w:val="32"/>
          <w:szCs w:val="32"/>
        </w:rPr>
      </w:pPr>
    </w:p>
    <w:p>
      <w:pPr>
        <w:pStyle w:val="22"/>
        <w:spacing w:line="576" w:lineRule="exact"/>
        <w:ind w:left="0" w:firstLine="642" w:firstLineChars="200"/>
        <w:outlineLvl w:val="1"/>
        <w:rPr>
          <w:rStyle w:val="17"/>
          <w:rFonts w:ascii="黑体" w:eastAsia="黑体"/>
          <w:b w:val="0"/>
        </w:rPr>
      </w:pPr>
      <w:bookmarkStart w:id="28" w:name="_Toc15377207"/>
      <w:bookmarkStart w:id="29" w:name="_Toc15396605"/>
      <w:r>
        <w:rPr>
          <w:rFonts w:hint="eastAsia" w:ascii="黑体" w:eastAsia="黑体"/>
          <w:b/>
          <w:color w:val="000000"/>
          <w:sz w:val="32"/>
          <w:szCs w:val="32"/>
        </w:rPr>
        <w:t>三、支</w:t>
      </w:r>
      <w:r>
        <w:rPr>
          <w:rStyle w:val="17"/>
          <w:rFonts w:hint="eastAsia" w:ascii="黑体" w:eastAsia="黑体"/>
          <w:b w:val="0"/>
        </w:rPr>
        <w:t>出决算情况说明</w:t>
      </w:r>
      <w:bookmarkEnd w:id="28"/>
      <w:bookmarkEnd w:id="29"/>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2019年本年支出合计49.95万元，其中：基本支出49.95万元，占100%；项目支出0万元，占0%；上缴上级支出0万元，占0%；经营支出0万元，占0%；对附属单位补助支出0万元，占0%。如下图所示：</w:t>
      </w:r>
    </w:p>
    <w:p>
      <w:pPr>
        <w:ind w:firstLine="640" w:firstLineChars="200"/>
        <w:rPr>
          <w:rFonts w:ascii="仿宋" w:eastAsia="仿宋"/>
          <w:color w:val="000000"/>
          <w:sz w:val="32"/>
          <w:szCs w:val="32"/>
        </w:rPr>
      </w:pPr>
      <w:r>
        <w:rPr>
          <w:rFonts w:hint="eastAsia" w:ascii="仿宋" w:eastAsia="仿宋"/>
          <w:color w:val="000000"/>
          <w:sz w:val="32"/>
          <w:szCs w:val="32"/>
        </w:rPr>
        <w:drawing>
          <wp:inline distT="0" distB="0" distL="114300" distR="114300">
            <wp:extent cx="4160520" cy="1516380"/>
            <wp:effectExtent l="0" t="0" r="32" b="23"/>
            <wp:docPr id="3" name="图片 3" descr="图3"/>
            <wp:cNvGraphicFramePr/>
            <a:graphic xmlns:a="http://schemas.openxmlformats.org/drawingml/2006/main">
              <a:graphicData uri="http://schemas.openxmlformats.org/drawingml/2006/picture">
                <pic:pic xmlns:pic="http://schemas.openxmlformats.org/drawingml/2006/picture">
                  <pic:nvPicPr>
                    <pic:cNvPr id="3" name="图片 3" descr="图3"/>
                    <pic:cNvPicPr/>
                  </pic:nvPicPr>
                  <pic:blipFill>
                    <a:blip r:embed="rId8"/>
                    <a:srcRect t="7429" b="6722"/>
                    <a:stretch>
                      <a:fillRect/>
                    </a:stretch>
                  </pic:blipFill>
                  <pic:spPr>
                    <a:xfrm>
                      <a:off x="0" y="0"/>
                      <a:ext cx="4160520" cy="1516380"/>
                    </a:xfrm>
                    <a:prstGeom prst="rect">
                      <a:avLst/>
                    </a:prstGeom>
                    <a:noFill/>
                    <a:ln w="9525" cap="flat" cmpd="sng">
                      <a:noFill/>
                      <a:prstDash val="solid"/>
                      <a:miter/>
                    </a:ln>
                  </pic:spPr>
                </pic:pic>
              </a:graphicData>
            </a:graphic>
          </wp:inline>
        </w:drawing>
      </w:r>
    </w:p>
    <w:p>
      <w:pPr>
        <w:spacing w:line="600" w:lineRule="exact"/>
        <w:ind w:firstLine="640" w:firstLineChars="200"/>
        <w:jc w:val="center"/>
        <w:rPr>
          <w:rFonts w:ascii="仿宋_GB2312" w:eastAsia="仿宋_GB2312" w:cs="仿宋_GB2312"/>
          <w:color w:val="000000"/>
          <w:sz w:val="32"/>
          <w:szCs w:val="32"/>
        </w:rPr>
      </w:pPr>
      <w:bookmarkStart w:id="30" w:name="_Hlk51271405"/>
      <w:r>
        <w:rPr>
          <w:rFonts w:hint="eastAsia" w:ascii="仿宋_GB2312" w:eastAsia="仿宋_GB2312" w:cs="仿宋_GB2312"/>
          <w:color w:val="000000"/>
          <w:sz w:val="32"/>
          <w:szCs w:val="32"/>
        </w:rPr>
        <w:t>图3：支出决算结构图</w:t>
      </w:r>
      <w:bookmarkStart w:id="31" w:name="_Toc15377208"/>
      <w:bookmarkStart w:id="32" w:name="_Toc15396606"/>
    </w:p>
    <w:bookmarkEnd w:id="30"/>
    <w:p>
      <w:pPr>
        <w:spacing w:line="576" w:lineRule="exact"/>
        <w:ind w:firstLine="640" w:firstLineChars="200"/>
        <w:rPr>
          <w:rStyle w:val="17"/>
          <w:rFonts w:ascii="仿宋_GB2312" w:eastAsia="仿宋_GB2312" w:cs="仿宋_GB2312"/>
          <w:b w:val="0"/>
          <w:bCs w:val="0"/>
          <w:color w:val="000000"/>
        </w:rPr>
      </w:pPr>
      <w:r>
        <w:rPr>
          <w:rFonts w:hint="eastAsia" w:ascii="黑体" w:eastAsia="黑体" w:cs="黑体"/>
          <w:bCs/>
          <w:color w:val="000000"/>
          <w:sz w:val="32"/>
          <w:szCs w:val="32"/>
        </w:rPr>
        <w:t>四、财</w:t>
      </w:r>
      <w:r>
        <w:rPr>
          <w:rStyle w:val="17"/>
          <w:rFonts w:hint="eastAsia" w:ascii="黑体" w:eastAsia="黑体" w:cs="黑体"/>
          <w:b w:val="0"/>
        </w:rPr>
        <w:t>政拨款收入支出决算总体情况说明</w:t>
      </w:r>
      <w:bookmarkEnd w:id="31"/>
      <w:bookmarkEnd w:id="32"/>
    </w:p>
    <w:p>
      <w:pPr>
        <w:spacing w:line="576"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2019年财政拨款收、支总计49.95万元。与2018年相比，财政拨款收入减少4.15万元，减少7.67%，支出总计减少4.15万元，减少7.67%。主要变动原</w:t>
      </w:r>
      <w:bookmarkStart w:id="60" w:name="_GoBack"/>
      <w:bookmarkEnd w:id="60"/>
      <w:r>
        <w:rPr>
          <w:rFonts w:hint="eastAsia" w:ascii="仿宋_GB2312" w:eastAsia="仿宋_GB2312" w:cs="仿宋_GB2312"/>
          <w:color w:val="000000"/>
          <w:sz w:val="32"/>
          <w:szCs w:val="32"/>
        </w:rPr>
        <w:t>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678045" cy="1433830"/>
            <wp:effectExtent l="4445" t="4445" r="22860" b="952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4</w:t>
      </w:r>
      <w:r>
        <w:rPr>
          <w:rFonts w:hint="eastAsia" w:ascii="仿宋_GB2312" w:eastAsia="仿宋_GB2312" w:cs="仿宋_GB2312"/>
          <w:color w:val="000000"/>
          <w:sz w:val="32"/>
          <w:szCs w:val="32"/>
        </w:rPr>
        <w:t>：财政</w:t>
      </w:r>
      <w:r>
        <w:rPr>
          <w:rFonts w:hint="eastAsia" w:ascii="仿宋_GB2312" w:eastAsia="仿宋_GB2312" w:cs="仿宋_GB2312"/>
          <w:color w:val="000000"/>
          <w:sz w:val="32"/>
          <w:szCs w:val="32"/>
          <w:lang w:eastAsia="zh-CN"/>
        </w:rPr>
        <w:t>拨款</w:t>
      </w:r>
      <w:r>
        <w:rPr>
          <w:rFonts w:hint="eastAsia" w:ascii="仿宋_GB2312" w:eastAsia="仿宋_GB2312" w:cs="仿宋_GB2312"/>
          <w:color w:val="000000"/>
          <w:sz w:val="32"/>
          <w:szCs w:val="32"/>
        </w:rPr>
        <w:t>收、支决算总体情况</w:t>
      </w:r>
    </w:p>
    <w:p>
      <w:pPr>
        <w:spacing w:line="576" w:lineRule="exact"/>
        <w:ind w:firstLine="640" w:firstLineChars="200"/>
        <w:rPr>
          <w:rFonts w:ascii="仿宋" w:eastAsia="仿宋"/>
          <w:b/>
          <w:color w:val="000000"/>
          <w:sz w:val="32"/>
          <w:szCs w:val="32"/>
        </w:rPr>
      </w:pPr>
      <w:bookmarkStart w:id="33" w:name="_Toc15396607"/>
      <w:bookmarkStart w:id="34" w:name="_Toc15377209"/>
      <w:r>
        <w:rPr>
          <w:rFonts w:hint="eastAsia" w:ascii="黑体" w:eastAsia="黑体"/>
          <w:color w:val="000000"/>
          <w:sz w:val="32"/>
          <w:szCs w:val="32"/>
        </w:rPr>
        <w:t>五、一</w:t>
      </w:r>
      <w:r>
        <w:rPr>
          <w:rStyle w:val="17"/>
          <w:rFonts w:hint="eastAsia" w:ascii="黑体" w:eastAsia="黑体"/>
          <w:b w:val="0"/>
        </w:rPr>
        <w:t>般公共预算财政拨款支出决算情况说明</w:t>
      </w:r>
      <w:bookmarkEnd w:id="33"/>
      <w:bookmarkEnd w:id="34"/>
      <w:bookmarkStart w:id="35" w:name="_Toc15377210"/>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（一）一般公共预算财政</w:t>
      </w:r>
      <w:r>
        <w:rPr>
          <w:rStyle w:val="17"/>
          <w:rFonts w:hint="eastAsia" w:ascii="楷体" w:eastAsia="楷体" w:cs="楷体"/>
          <w:b/>
          <w:bCs/>
          <w:lang w:eastAsia="zh-CN"/>
        </w:rPr>
        <w:t>拨款</w:t>
      </w:r>
      <w:r>
        <w:rPr>
          <w:rStyle w:val="17"/>
          <w:rFonts w:hint="eastAsia" w:ascii="楷体" w:eastAsia="楷体" w:cs="楷体"/>
          <w:b/>
          <w:bCs/>
        </w:rPr>
        <w:t>支出决算总体情况</w:t>
      </w:r>
      <w:bookmarkEnd w:id="3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2019年一般公共预算财政拨款支出49.95万元，占本年支出合计的100%。与2018年相比，一般公共预算财政拨款减少4.15万元，减少7.67%。主要变动原因是</w:t>
      </w:r>
      <w:r>
        <w:rPr>
          <w:rFonts w:hint="eastAsia" w:ascii="仿宋_GB2312" w:eastAsia="仿宋_GB2312" w:cs="仿宋_GB2312"/>
          <w:color w:val="000000"/>
          <w:sz w:val="32"/>
          <w:szCs w:val="32"/>
          <w:lang w:eastAsia="zh-CN"/>
        </w:rPr>
        <w:t>人员减少</w:t>
      </w:r>
      <w:r>
        <w:rPr>
          <w:rFonts w:hint="eastAsia" w:ascii="仿宋_GB2312" w:eastAsia="仿宋_GB2312" w:cs="仿宋_GB2312"/>
          <w:color w:val="000000"/>
          <w:sz w:val="32"/>
          <w:szCs w:val="32"/>
        </w:rPr>
        <w:t>。如下图所示：</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525645" cy="1241425"/>
            <wp:effectExtent l="0" t="0" r="0" b="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_GB2312" w:eastAsia="仿宋_GB2312" w:cs="仿宋_GB2312"/>
          <w:color w:val="000000"/>
          <w:sz w:val="32"/>
          <w:szCs w:val="32"/>
        </w:rPr>
      </w:pPr>
      <w:r>
        <w:rPr>
          <w:rFonts w:hint="eastAsia" w:ascii="仿宋_GB2312" w:eastAsia="仿宋_GB2312" w:cs="仿宋_GB2312"/>
          <w:color w:val="000000"/>
          <w:sz w:val="32"/>
          <w:szCs w:val="32"/>
        </w:rPr>
        <w:t>图5：一般公共预算财政拨款支出决算变动情况</w:t>
      </w:r>
    </w:p>
    <w:p>
      <w:pPr>
        <w:spacing w:line="576" w:lineRule="exact"/>
        <w:ind w:firstLine="642" w:firstLineChars="200"/>
        <w:outlineLvl w:val="1"/>
        <w:rPr>
          <w:rStyle w:val="17"/>
          <w:rFonts w:hint="eastAsia" w:ascii="楷体" w:eastAsia="楷体" w:cs="楷体"/>
          <w:b/>
          <w:bCs/>
        </w:rPr>
      </w:pPr>
      <w:bookmarkStart w:id="36" w:name="_Toc15377211"/>
      <w:r>
        <w:rPr>
          <w:rStyle w:val="17"/>
          <w:rFonts w:hint="eastAsia" w:ascii="楷体" w:eastAsia="楷体" w:cs="楷体"/>
          <w:b/>
          <w:bCs/>
        </w:rPr>
        <w:t>（二）一般公共预算财政</w:t>
      </w:r>
      <w:r>
        <w:rPr>
          <w:rStyle w:val="17"/>
          <w:rFonts w:hint="eastAsia" w:ascii="楷体" w:eastAsia="楷体" w:cs="楷体"/>
          <w:b/>
          <w:bCs/>
          <w:lang w:eastAsia="zh-CN"/>
        </w:rPr>
        <w:t>拨款</w:t>
      </w:r>
      <w:r>
        <w:rPr>
          <w:rStyle w:val="17"/>
          <w:rFonts w:hint="eastAsia" w:ascii="楷体" w:eastAsia="楷体" w:cs="楷体"/>
          <w:b/>
          <w:bCs/>
        </w:rPr>
        <w:t>支出决算结构情况</w:t>
      </w:r>
      <w:bookmarkEnd w:id="36"/>
    </w:p>
    <w:p>
      <w:pPr>
        <w:spacing w:line="576" w:lineRule="exact"/>
        <w:ind w:firstLine="641"/>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2019年一般公共预算财政拨款支出49.95万元，主要用于以下方面:文化体育与传媒支出（类）支出49.95万元，占100%。如下图所示：</w:t>
      </w:r>
    </w:p>
    <w:p>
      <w:pPr>
        <w:ind w:firstLine="640" w:firstLineChars="200"/>
        <w:rPr>
          <w:rFonts w:ascii="仿宋" w:eastAsia="仿宋"/>
          <w:color w:val="000000"/>
          <w:sz w:val="32"/>
          <w:szCs w:val="32"/>
        </w:rPr>
      </w:pPr>
      <w:r>
        <w:rPr>
          <w:rFonts w:hint="eastAsia" w:ascii="仿宋" w:eastAsia="仿宋"/>
          <w:color w:val="000000"/>
          <w:sz w:val="32"/>
          <w:szCs w:val="32"/>
        </w:rPr>
        <w:drawing>
          <wp:inline distT="0" distB="0" distL="114300" distR="114300">
            <wp:extent cx="4591050" cy="1047115"/>
            <wp:effectExtent l="0" t="0" r="25" b="47"/>
            <wp:docPr id="8" name="图片 6" descr="图6"/>
            <wp:cNvGraphicFramePr/>
            <a:graphic xmlns:a="http://schemas.openxmlformats.org/drawingml/2006/main">
              <a:graphicData uri="http://schemas.openxmlformats.org/drawingml/2006/picture">
                <pic:pic xmlns:pic="http://schemas.openxmlformats.org/drawingml/2006/picture">
                  <pic:nvPicPr>
                    <pic:cNvPr id="8" name="图片 6" descr="图6"/>
                    <pic:cNvPicPr/>
                  </pic:nvPicPr>
                  <pic:blipFill>
                    <a:blip r:embed="rId11"/>
                    <a:srcRect t="14603" b="16371"/>
                    <a:stretch>
                      <a:fillRect/>
                    </a:stretch>
                  </pic:blipFill>
                  <pic:spPr>
                    <a:xfrm>
                      <a:off x="0" y="0"/>
                      <a:ext cx="4591050" cy="1047115"/>
                    </a:xfrm>
                    <a:prstGeom prst="rect">
                      <a:avLst/>
                    </a:prstGeom>
                    <a:noFill/>
                    <a:ln w="9525" cap="flat" cmpd="sng">
                      <a:noFill/>
                      <a:prstDash val="solid"/>
                      <a:miter/>
                    </a:ln>
                  </pic:spPr>
                </pic:pic>
              </a:graphicData>
            </a:graphic>
          </wp:inline>
        </w:drawing>
      </w:r>
    </w:p>
    <w:p>
      <w:pPr>
        <w:ind w:firstLine="640" w:firstLineChars="200"/>
        <w:rPr>
          <w:rFonts w:ascii="仿宋_GB2312" w:eastAsia="仿宋_GB2312" w:cs="仿宋_GB2312"/>
          <w:color w:val="000000"/>
          <w:sz w:val="32"/>
          <w:szCs w:val="32"/>
        </w:rPr>
      </w:pPr>
      <w:r>
        <w:rPr>
          <w:rFonts w:hint="eastAsia" w:ascii="仿宋" w:eastAsia="仿宋"/>
          <w:color w:val="000000"/>
          <w:sz w:val="32"/>
          <w:szCs w:val="32"/>
        </w:rPr>
        <w:t xml:space="preserve">     </w:t>
      </w:r>
      <w:r>
        <w:rPr>
          <w:rFonts w:hint="eastAsia" w:ascii="仿宋_GB2312" w:eastAsia="仿宋_GB2312" w:cs="仿宋_GB2312"/>
          <w:color w:val="000000"/>
          <w:sz w:val="32"/>
          <w:szCs w:val="32"/>
        </w:rPr>
        <w:t>图6：一般公共预算财政拨款支出决算结构</w:t>
      </w:r>
    </w:p>
    <w:p>
      <w:pPr>
        <w:spacing w:line="576" w:lineRule="exact"/>
        <w:ind w:firstLine="642" w:firstLineChars="200"/>
        <w:outlineLvl w:val="1"/>
        <w:rPr>
          <w:rFonts w:ascii="仿宋" w:eastAsia="仿宋"/>
          <w:b/>
          <w:bCs/>
          <w:color w:val="000000"/>
          <w:sz w:val="32"/>
          <w:szCs w:val="32"/>
        </w:rPr>
      </w:pPr>
      <w:bookmarkStart w:id="37" w:name="_Toc15377212"/>
      <w:r>
        <w:rPr>
          <w:rStyle w:val="17"/>
          <w:rFonts w:hint="eastAsia" w:ascii="楷体" w:eastAsia="楷体" w:cs="楷体"/>
          <w:b/>
          <w:bCs/>
        </w:rPr>
        <w:t>（三）一般公共预算财政</w:t>
      </w:r>
      <w:r>
        <w:rPr>
          <w:rStyle w:val="17"/>
          <w:rFonts w:hint="eastAsia" w:ascii="楷体" w:eastAsia="楷体" w:cs="楷体"/>
          <w:b/>
          <w:bCs/>
          <w:lang w:eastAsia="zh-CN"/>
        </w:rPr>
        <w:t>拨款</w:t>
      </w:r>
      <w:r>
        <w:rPr>
          <w:rStyle w:val="17"/>
          <w:rFonts w:hint="eastAsia" w:ascii="楷体" w:eastAsia="楷体" w:cs="楷体"/>
          <w:b/>
          <w:bCs/>
        </w:rPr>
        <w:t>支出决算具体情况</w:t>
      </w:r>
      <w:bookmarkEnd w:id="37"/>
    </w:p>
    <w:p>
      <w:pPr>
        <w:spacing w:line="576" w:lineRule="exact"/>
        <w:ind w:firstLine="640" w:firstLineChars="200"/>
        <w:outlineLvl w:val="2"/>
        <w:rPr>
          <w:rFonts w:ascii="仿宋_GB2312" w:eastAsia="仿宋_GB2312" w:cs="仿宋_GB2312"/>
          <w:bCs/>
          <w:color w:val="FF0000"/>
          <w:sz w:val="32"/>
          <w:szCs w:val="32"/>
        </w:rPr>
      </w:pPr>
      <w:bookmarkStart w:id="38" w:name="_Toc15377444"/>
      <w:bookmarkStart w:id="39" w:name="_Toc15378460"/>
      <w:bookmarkStart w:id="40" w:name="_Toc15377213"/>
      <w:r>
        <w:rPr>
          <w:rFonts w:hint="eastAsia" w:ascii="仿宋_GB2312" w:eastAsia="仿宋_GB2312" w:cs="仿宋_GB2312"/>
          <w:bCs/>
          <w:color w:val="000000"/>
          <w:sz w:val="32"/>
          <w:szCs w:val="32"/>
        </w:rPr>
        <w:t>2019年一般公共预算支出决算数为49.95万元，</w:t>
      </w:r>
      <w:r>
        <w:rPr>
          <w:rStyle w:val="14"/>
          <w:rFonts w:hint="eastAsia" w:ascii="仿宋_GB2312" w:eastAsia="仿宋_GB2312" w:cs="仿宋_GB2312"/>
          <w:b w:val="0"/>
          <w:bCs/>
          <w:color w:val="000000"/>
          <w:sz w:val="32"/>
          <w:szCs w:val="32"/>
        </w:rPr>
        <w:t>完成预算100%。其中：</w:t>
      </w:r>
      <w:bookmarkEnd w:id="38"/>
      <w:bookmarkEnd w:id="39"/>
      <w:bookmarkEnd w:id="40"/>
    </w:p>
    <w:p>
      <w:pPr>
        <w:spacing w:line="576" w:lineRule="exact"/>
        <w:ind w:firstLine="640" w:firstLineChars="200"/>
        <w:rPr>
          <w:rFonts w:ascii="仿宋_GB2312" w:eastAsia="仿宋_GB2312" w:cs="仿宋_GB2312"/>
          <w:color w:val="000000"/>
          <w:sz w:val="32"/>
          <w:szCs w:val="32"/>
        </w:rPr>
      </w:pPr>
      <w:r>
        <w:rPr>
          <w:rStyle w:val="14"/>
          <w:rFonts w:hint="eastAsia" w:ascii="仿宋_GB2312" w:eastAsia="仿宋_GB2312" w:cs="仿宋_GB2312"/>
          <w:b w:val="0"/>
          <w:color w:val="000000"/>
          <w:sz w:val="32"/>
          <w:szCs w:val="32"/>
        </w:rPr>
        <w:t>1.</w:t>
      </w:r>
      <w:r>
        <w:rPr>
          <w:rFonts w:hint="eastAsia" w:ascii="仿宋_GB2312" w:eastAsia="仿宋_GB2312" w:cs="仿宋_GB2312"/>
          <w:color w:val="000000"/>
          <w:sz w:val="32"/>
          <w:szCs w:val="32"/>
        </w:rPr>
        <w:t>文化体育与传媒支出（类）新闻出版广播影视（款）出版发行（项）:</w:t>
      </w:r>
      <w:r>
        <w:rPr>
          <w:rStyle w:val="14"/>
          <w:rFonts w:hint="eastAsia" w:ascii="仿宋_GB2312" w:eastAsia="仿宋_GB2312" w:cs="仿宋_GB2312"/>
          <w:b w:val="0"/>
          <w:color w:val="000000"/>
          <w:sz w:val="32"/>
          <w:szCs w:val="32"/>
        </w:rPr>
        <w:t>支出决算为49.95万元，完成预算100%，决算数与预算数持平。</w:t>
      </w:r>
    </w:p>
    <w:p>
      <w:pPr>
        <w:spacing w:line="576" w:lineRule="exact"/>
        <w:ind w:firstLine="640" w:firstLineChars="200"/>
        <w:rPr>
          <w:rFonts w:ascii="仿宋_GB2312" w:eastAsia="仿宋_GB2312" w:cs="仿宋_GB2312"/>
          <w:color w:val="000000"/>
          <w:sz w:val="32"/>
          <w:szCs w:val="32"/>
        </w:rPr>
      </w:pPr>
      <w:r>
        <w:rPr>
          <w:rStyle w:val="14"/>
          <w:rFonts w:hint="eastAsia" w:ascii="仿宋_GB2312" w:eastAsia="仿宋_GB2312" w:cs="仿宋_GB2312"/>
          <w:b w:val="0"/>
          <w:color w:val="000000"/>
          <w:sz w:val="32"/>
          <w:szCs w:val="32"/>
        </w:rPr>
        <w:t>2.</w:t>
      </w:r>
      <w:r>
        <w:rPr>
          <w:rFonts w:hint="eastAsia" w:ascii="仿宋_GB2312" w:eastAsia="仿宋_GB2312" w:cs="仿宋_GB2312"/>
          <w:color w:val="000000"/>
          <w:sz w:val="32"/>
          <w:szCs w:val="32"/>
        </w:rPr>
        <w:t>无其它支出。</w:t>
      </w:r>
      <w:bookmarkStart w:id="41" w:name="_Toc15377214"/>
      <w:bookmarkStart w:id="42" w:name="_Toc15396608"/>
    </w:p>
    <w:p>
      <w:pPr>
        <w:spacing w:line="576" w:lineRule="exact"/>
        <w:ind w:firstLine="642" w:firstLineChars="200"/>
        <w:rPr>
          <w:rStyle w:val="17"/>
          <w:rFonts w:ascii="仿宋_GB2312" w:eastAsia="仿宋_GB2312" w:cs="仿宋_GB2312"/>
          <w:b w:val="0"/>
          <w:bCs w:val="0"/>
          <w:color w:val="000000"/>
        </w:rPr>
      </w:pPr>
      <w:r>
        <w:rPr>
          <w:rFonts w:hint="eastAsia" w:ascii="黑体" w:eastAsia="黑体"/>
          <w:b/>
          <w:color w:val="000000"/>
          <w:sz w:val="32"/>
          <w:szCs w:val="32"/>
        </w:rPr>
        <w:t>六、一</w:t>
      </w:r>
      <w:r>
        <w:rPr>
          <w:rStyle w:val="17"/>
          <w:rFonts w:hint="eastAsia" w:ascii="黑体" w:eastAsia="黑体"/>
          <w:b w:val="0"/>
        </w:rPr>
        <w:t>般公共预算财政拨款基本支出决算情况说明</w:t>
      </w:r>
      <w:bookmarkEnd w:id="41"/>
      <w:bookmarkEnd w:id="42"/>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2019年一般公共预算财政拨款基本支出49.95万元，其中：</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人员经费49.95万元，主要包括：基本工资、津贴补贴、绩效工资、对个人和家庭的补助。</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无公用经费支出。</w:t>
      </w:r>
      <w:bookmarkStart w:id="43" w:name="_Toc15377215"/>
      <w:bookmarkStart w:id="44" w:name="_Toc15396609"/>
    </w:p>
    <w:p>
      <w:pPr>
        <w:spacing w:line="576" w:lineRule="exact"/>
        <w:ind w:firstLine="640" w:firstLineChars="200"/>
        <w:rPr>
          <w:rStyle w:val="17"/>
          <w:rFonts w:ascii="仿宋_GB2312" w:eastAsia="仿宋_GB2312" w:cs="仿宋_GB2312"/>
          <w:b w:val="0"/>
          <w:bCs w:val="0"/>
          <w:color w:val="000000"/>
        </w:rPr>
      </w:pPr>
      <w:r>
        <w:rPr>
          <w:rStyle w:val="17"/>
          <w:rFonts w:hint="eastAsia" w:ascii="黑体" w:eastAsia="黑体"/>
          <w:b w:val="0"/>
        </w:rPr>
        <w:t>七、“三公”经费财政拨款支出决算情况说明</w:t>
      </w:r>
      <w:bookmarkEnd w:id="43"/>
      <w:bookmarkEnd w:id="44"/>
    </w:p>
    <w:p>
      <w:pPr>
        <w:spacing w:line="576" w:lineRule="exact"/>
        <w:ind w:firstLine="642" w:firstLineChars="200"/>
        <w:outlineLvl w:val="1"/>
        <w:rPr>
          <w:rFonts w:ascii="仿宋" w:eastAsia="仿宋"/>
          <w:b/>
          <w:bCs/>
          <w:color w:val="000000"/>
          <w:sz w:val="32"/>
          <w:szCs w:val="32"/>
        </w:rPr>
      </w:pPr>
      <w:bookmarkStart w:id="45" w:name="_Toc15377216"/>
      <w:r>
        <w:rPr>
          <w:rStyle w:val="17"/>
          <w:rFonts w:hint="eastAsia" w:ascii="楷体" w:eastAsia="楷体" w:cs="楷体"/>
          <w:b/>
          <w:bCs/>
        </w:rPr>
        <w:t>（一）“三公”经费财政</w:t>
      </w:r>
      <w:r>
        <w:rPr>
          <w:rStyle w:val="17"/>
          <w:rFonts w:hint="eastAsia" w:ascii="楷体" w:eastAsia="楷体" w:cs="楷体"/>
          <w:b/>
          <w:bCs/>
          <w:lang w:eastAsia="zh-CN"/>
        </w:rPr>
        <w:t>拨款</w:t>
      </w:r>
      <w:r>
        <w:rPr>
          <w:rStyle w:val="17"/>
          <w:rFonts w:hint="eastAsia" w:ascii="楷体" w:eastAsia="楷体" w:cs="楷体"/>
          <w:b/>
          <w:bCs/>
        </w:rPr>
        <w:t>支出决算总体情况说明</w:t>
      </w:r>
      <w:bookmarkEnd w:id="45"/>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2019年无“三公”经费支出。</w:t>
      </w:r>
    </w:p>
    <w:p>
      <w:pPr>
        <w:spacing w:line="576" w:lineRule="exact"/>
        <w:ind w:firstLine="642" w:firstLineChars="200"/>
        <w:outlineLvl w:val="1"/>
        <w:rPr>
          <w:rFonts w:ascii="仿宋" w:eastAsia="仿宋"/>
          <w:b/>
          <w:bCs/>
          <w:color w:val="000000"/>
          <w:sz w:val="32"/>
          <w:szCs w:val="32"/>
        </w:rPr>
      </w:pPr>
      <w:r>
        <w:rPr>
          <w:rStyle w:val="17"/>
          <w:rFonts w:hint="eastAsia" w:ascii="楷体" w:eastAsia="楷体" w:cs="楷体"/>
          <w:b/>
          <w:bCs/>
        </w:rPr>
        <w:t>（二）“三公”经费财政</w:t>
      </w:r>
      <w:r>
        <w:rPr>
          <w:rStyle w:val="17"/>
          <w:rFonts w:hint="eastAsia" w:ascii="楷体" w:eastAsia="楷体" w:cs="楷体"/>
          <w:b/>
          <w:bCs/>
          <w:lang w:eastAsia="zh-CN"/>
        </w:rPr>
        <w:t>拨款</w:t>
      </w:r>
      <w:r>
        <w:rPr>
          <w:rStyle w:val="17"/>
          <w:rFonts w:hint="eastAsia" w:ascii="楷体" w:eastAsia="楷体" w:cs="楷体"/>
          <w:b/>
          <w:bCs/>
        </w:rPr>
        <w:t>支出决算具体情况说明</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2019年无“三公”经费支出。</w:t>
      </w:r>
      <w:bookmarkStart w:id="46" w:name="_Toc15396610"/>
      <w:bookmarkStart w:id="47" w:name="_Toc15377218"/>
    </w:p>
    <w:p>
      <w:pPr>
        <w:spacing w:line="576" w:lineRule="exact"/>
        <w:ind w:firstLine="640" w:firstLineChars="200"/>
        <w:rPr>
          <w:rStyle w:val="17"/>
          <w:rFonts w:ascii="黑体" w:eastAsia="黑体"/>
          <w:b w:val="0"/>
        </w:rPr>
      </w:pPr>
      <w:r>
        <w:rPr>
          <w:rStyle w:val="17"/>
          <w:rFonts w:hint="eastAsia" w:ascii="黑体" w:eastAsia="黑体"/>
          <w:b w:val="0"/>
        </w:rPr>
        <w:t>八、政府性基金预算支出决算情况说明</w:t>
      </w:r>
      <w:bookmarkEnd w:id="46"/>
      <w:bookmarkEnd w:id="47"/>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9年无政府性基金预算拨款支出。</w:t>
      </w:r>
      <w:bookmarkStart w:id="48" w:name="_Toc15396611"/>
      <w:bookmarkStart w:id="49" w:name="_Toc15377219"/>
    </w:p>
    <w:p>
      <w:pPr>
        <w:spacing w:line="576" w:lineRule="exact"/>
        <w:ind w:firstLine="640" w:firstLineChars="200"/>
        <w:rPr>
          <w:rStyle w:val="17"/>
          <w:rFonts w:ascii="仿宋_GB2312" w:eastAsia="仿宋_GB2312" w:cs="Times New Roman"/>
          <w:b w:val="0"/>
          <w:bCs w:val="0"/>
          <w:color w:val="000000"/>
        </w:rPr>
      </w:pPr>
      <w:r>
        <w:rPr>
          <w:rStyle w:val="17"/>
          <w:rFonts w:hint="eastAsia" w:ascii="黑体" w:eastAsia="黑体"/>
          <w:b w:val="0"/>
        </w:rPr>
        <w:t>九、国有资本经营预算支出决算情况说明</w:t>
      </w:r>
      <w:bookmarkEnd w:id="48"/>
      <w:bookmarkEnd w:id="49"/>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9年无国有资本经营预算拨款支出。</w:t>
      </w:r>
    </w:p>
    <w:p>
      <w:pPr>
        <w:spacing w:line="576" w:lineRule="exact"/>
        <w:ind w:firstLine="640" w:firstLineChars="200"/>
        <w:rPr>
          <w:rStyle w:val="17"/>
          <w:rFonts w:ascii="黑体" w:eastAsia="黑体"/>
        </w:rPr>
      </w:pPr>
      <w:r>
        <w:rPr>
          <w:rStyle w:val="17"/>
          <w:rFonts w:hint="eastAsia" w:ascii="黑体" w:eastAsia="黑体"/>
          <w:b w:val="0"/>
        </w:rPr>
        <w:t>十、</w:t>
      </w:r>
      <w:bookmarkStart w:id="50" w:name="_Toc15377221"/>
      <w:bookmarkStart w:id="51" w:name="_Toc15396612"/>
      <w:r>
        <w:rPr>
          <w:rStyle w:val="17"/>
          <w:rFonts w:hint="eastAsia" w:ascii="黑体" w:eastAsia="黑体"/>
          <w:b w:val="0"/>
        </w:rPr>
        <w:t>其他重要事项的情况说明</w:t>
      </w:r>
      <w:bookmarkEnd w:id="50"/>
      <w:bookmarkEnd w:id="51"/>
    </w:p>
    <w:p>
      <w:pPr>
        <w:spacing w:line="576" w:lineRule="exact"/>
        <w:ind w:firstLine="642" w:firstLineChars="200"/>
        <w:outlineLvl w:val="2"/>
        <w:rPr>
          <w:rFonts w:ascii="仿宋" w:eastAsia="仿宋"/>
          <w:b/>
          <w:bCs/>
          <w:color w:val="000000"/>
          <w:sz w:val="32"/>
          <w:szCs w:val="32"/>
        </w:rPr>
      </w:pPr>
      <w:bookmarkStart w:id="52" w:name="_Toc15377222"/>
      <w:r>
        <w:rPr>
          <w:rStyle w:val="17"/>
          <w:rFonts w:hint="eastAsia" w:ascii="楷体" w:eastAsia="楷体" w:cs="楷体"/>
          <w:b/>
          <w:bCs/>
        </w:rPr>
        <w:t>（一）机关运行经费支出情况</w:t>
      </w:r>
      <w:bookmarkEnd w:id="52"/>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9年，无机关运行经费支出。</w:t>
      </w:r>
    </w:p>
    <w:p>
      <w:pPr>
        <w:spacing w:line="576" w:lineRule="exact"/>
        <w:ind w:firstLine="642" w:firstLineChars="200"/>
        <w:outlineLvl w:val="2"/>
        <w:rPr>
          <w:rStyle w:val="17"/>
          <w:rFonts w:hint="eastAsia" w:ascii="楷体" w:eastAsia="楷体" w:cs="楷体"/>
          <w:b/>
          <w:bCs/>
        </w:rPr>
      </w:pPr>
      <w:bookmarkStart w:id="53" w:name="_Toc15377223"/>
      <w:r>
        <w:rPr>
          <w:rStyle w:val="17"/>
          <w:rFonts w:hint="eastAsia" w:ascii="楷体" w:eastAsia="楷体" w:cs="楷体"/>
          <w:b/>
          <w:bCs/>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9年，无政府采购支出。</w:t>
      </w:r>
    </w:p>
    <w:p>
      <w:pPr>
        <w:spacing w:line="576" w:lineRule="exact"/>
        <w:ind w:firstLine="642" w:firstLineChars="200"/>
        <w:outlineLvl w:val="2"/>
        <w:rPr>
          <w:rStyle w:val="17"/>
          <w:rFonts w:hint="eastAsia" w:ascii="楷体" w:eastAsia="楷体" w:cs="楷体"/>
          <w:b/>
          <w:bCs/>
        </w:rPr>
      </w:pPr>
      <w:bookmarkStart w:id="54" w:name="_Toc15377224"/>
      <w:r>
        <w:rPr>
          <w:rStyle w:val="17"/>
          <w:rFonts w:hint="eastAsia" w:ascii="楷体" w:eastAsia="楷体" w:cs="楷体"/>
          <w:b/>
          <w:bCs/>
        </w:rPr>
        <w:t>（</w:t>
      </w:r>
      <w:r>
        <w:rPr>
          <w:rStyle w:val="17"/>
          <w:rFonts w:hint="eastAsia" w:ascii="楷体" w:eastAsia="楷体" w:cs="楷体"/>
          <w:b/>
          <w:bCs/>
          <w:lang w:val="en-US" w:eastAsia="zh-CN"/>
        </w:rPr>
        <w:t>三</w:t>
      </w:r>
      <w:r>
        <w:rPr>
          <w:rStyle w:val="17"/>
          <w:rFonts w:hint="eastAsia" w:ascii="楷体" w:eastAsia="楷体" w:cs="楷体"/>
          <w:b/>
          <w:bCs/>
        </w:rPr>
        <w:t>）国有资产占有使用情况</w:t>
      </w:r>
      <w:bookmarkEnd w:id="54"/>
    </w:p>
    <w:p>
      <w:pPr>
        <w:spacing w:line="576" w:lineRule="exact"/>
        <w:ind w:firstLine="640" w:firstLineChars="200"/>
        <w:outlineLvl w:val="1"/>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日，茂县新华书店共有车辆2辆，其中：领导干部用车0辆、一般公务用车0辆、一般执法执勤用车0辆、特种专业技术用车0辆、其他用车2辆，其他用车主要是用于送书下乡和送员工下乡及送货。单价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spacing w:line="576" w:lineRule="exact"/>
        <w:ind w:firstLine="642" w:firstLineChars="200"/>
        <w:outlineLvl w:val="2"/>
        <w:rPr>
          <w:rStyle w:val="17"/>
          <w:rFonts w:hint="eastAsia" w:ascii="楷体" w:eastAsia="楷体" w:cs="楷体"/>
          <w:b/>
          <w:bCs/>
          <w:lang w:eastAsia="zh-CN"/>
        </w:rPr>
      </w:pPr>
      <w:r>
        <w:rPr>
          <w:rStyle w:val="17"/>
          <w:rFonts w:hint="eastAsia" w:ascii="楷体" w:eastAsia="楷体" w:cs="楷体"/>
          <w:b/>
          <w:bCs/>
        </w:rPr>
        <w:t>（</w:t>
      </w:r>
      <w:r>
        <w:rPr>
          <w:rStyle w:val="17"/>
          <w:rFonts w:hint="eastAsia" w:ascii="楷体" w:eastAsia="楷体" w:cs="楷体"/>
          <w:b/>
          <w:bCs/>
          <w:lang w:eastAsia="zh-CN"/>
        </w:rPr>
        <w:t>四</w:t>
      </w:r>
      <w:r>
        <w:rPr>
          <w:rStyle w:val="17"/>
          <w:rFonts w:hint="eastAsia" w:ascii="楷体" w:eastAsia="楷体" w:cs="楷体"/>
          <w:b/>
          <w:bCs/>
        </w:rPr>
        <w:t>）</w:t>
      </w:r>
      <w:r>
        <w:rPr>
          <w:rStyle w:val="17"/>
          <w:rFonts w:hint="eastAsia" w:ascii="楷体" w:eastAsia="楷体" w:cs="楷体"/>
          <w:b/>
          <w:bCs/>
          <w:lang w:eastAsia="zh-CN"/>
        </w:rPr>
        <w:t>预算绩效情况说明</w:t>
      </w:r>
    </w:p>
    <w:p>
      <w:pPr>
        <w:spacing w:line="576" w:lineRule="exact"/>
        <w:ind w:firstLine="640" w:firstLineChars="200"/>
        <w:outlineLvl w:val="2"/>
        <w:rPr>
          <w:rFonts w:ascii="仿宋" w:eastAsia="仿宋" w:cs="楷体_GB2312"/>
          <w:b/>
          <w:bCs/>
          <w:sz w:val="32"/>
          <w:szCs w:val="32"/>
        </w:rPr>
      </w:pPr>
      <w:r>
        <w:rPr>
          <w:rStyle w:val="17"/>
          <w:rFonts w:hint="eastAsia" w:ascii="楷体" w:eastAsia="楷体" w:cs="楷体"/>
          <w:b w:val="0"/>
          <w:bCs w:val="0"/>
          <w:lang w:val="en-US" w:eastAsia="zh-CN"/>
        </w:rPr>
        <w:t>1.</w:t>
      </w:r>
      <w:r>
        <w:rPr>
          <w:rStyle w:val="17"/>
          <w:rFonts w:hint="eastAsia" w:ascii="楷体" w:eastAsia="楷体" w:cs="楷体"/>
          <w:b w:val="0"/>
          <w:bCs w:val="0"/>
        </w:rPr>
        <w:t>预算绩效管理工作开展情况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本部门在2019年度无项目。</w:t>
      </w:r>
    </w:p>
    <w:p>
      <w:pPr>
        <w:spacing w:line="576" w:lineRule="exact"/>
        <w:ind w:firstLine="640" w:firstLineChars="200"/>
        <w:outlineLvl w:val="1"/>
        <w:rPr>
          <w:rFonts w:ascii="仿宋" w:eastAsia="仿宋" w:cs="仿宋_GB2312"/>
          <w:sz w:val="32"/>
          <w:szCs w:val="32"/>
        </w:rPr>
      </w:pPr>
      <w:r>
        <w:rPr>
          <w:rStyle w:val="17"/>
          <w:rFonts w:hint="eastAsia" w:ascii="楷体" w:eastAsia="楷体" w:cs="楷体"/>
          <w:b w:val="0"/>
          <w:bCs w:val="0"/>
          <w:lang w:val="en-US" w:eastAsia="zh-CN"/>
        </w:rPr>
        <w:t>2.</w:t>
      </w:r>
      <w:r>
        <w:rPr>
          <w:rStyle w:val="17"/>
          <w:rFonts w:hint="eastAsia" w:ascii="楷体" w:eastAsia="楷体" w:cs="楷体"/>
          <w:b w:val="0"/>
          <w:bCs w:val="0"/>
        </w:rPr>
        <w:t>部门开展绩效评价结果</w:t>
      </w:r>
    </w:p>
    <w:p>
      <w:pPr>
        <w:spacing w:line="576" w:lineRule="exact"/>
        <w:ind w:firstLine="640" w:firstLineChars="200"/>
        <w:rPr>
          <w:rFonts w:ascii="方正小标宋简体" w:eastAsia="方正小标宋简体" w:cs="方正小标宋简体"/>
          <w:sz w:val="32"/>
          <w:szCs w:val="32"/>
        </w:rPr>
      </w:pPr>
      <w:r>
        <w:rPr>
          <w:rFonts w:hint="eastAsia" w:ascii="仿宋_GB2312" w:eastAsia="仿宋_GB2312" w:cs="仿宋_GB2312"/>
          <w:sz w:val="32"/>
          <w:szCs w:val="32"/>
        </w:rPr>
        <w:t>本部门按要求对2019年部门整体支出绩效评价情况开展自评，《茂县新华书店2019年部门整体支出绩效评价报告》见附件(附件)。</w:t>
      </w:r>
    </w:p>
    <w:p>
      <w:pPr>
        <w:spacing w:line="576" w:lineRule="exact"/>
        <w:ind w:firstLine="640" w:firstLineChars="200"/>
        <w:outlineLvl w:val="1"/>
        <w:rPr>
          <w:rFonts w:ascii="仿宋_GB2312" w:eastAsia="仿宋_GB2312"/>
          <w:color w:val="000000"/>
          <w:sz w:val="32"/>
          <w:szCs w:val="32"/>
        </w:rPr>
      </w:pPr>
    </w:p>
    <w:p>
      <w:pPr>
        <w:spacing w:line="600" w:lineRule="exact"/>
        <w:jc w:val="center"/>
        <w:outlineLvl w:val="0"/>
        <w:rPr>
          <w:rFonts w:ascii="方正小标宋简体" w:eastAsia="方正小标宋简体"/>
          <w:color w:val="000000"/>
          <w:sz w:val="44"/>
          <w:szCs w:val="44"/>
        </w:rPr>
      </w:pPr>
      <w:bookmarkStart w:id="55" w:name="_Toc15377225"/>
      <w:bookmarkStart w:id="56" w:name="_Toc15396613"/>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Style w:val="16"/>
          <w:rFonts w:ascii="黑体" w:eastAsia="黑体"/>
          <w:b w:val="0"/>
        </w:rPr>
      </w:pPr>
      <w:r>
        <w:rPr>
          <w:rFonts w:hint="eastAsia" w:ascii="方正小标宋简体" w:eastAsia="方正小标宋简体"/>
          <w:color w:val="000000"/>
          <w:sz w:val="44"/>
          <w:szCs w:val="44"/>
        </w:rPr>
        <w:t>第三部分 名词解释</w:t>
      </w:r>
      <w:bookmarkEnd w:id="55"/>
      <w:bookmarkEnd w:id="56"/>
    </w:p>
    <w:p>
      <w:pPr>
        <w:pStyle w:val="21"/>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事业收入：指事业单位开展专业业务活动及辅助活动取得的收入和二级预算单位事业收入情况等。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经营收入：指事业单位在专业业务活动及其辅助活动之外开展非独立核算经营活动取得的收入。和二级预算单位经营收入情况等。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其他收入：指单位取得的除上述收入以外的各项收入等。</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1"/>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文化体育与传媒支出（类）新闻出版广播影视（款）出版发行（项）：指用于文化、文物、体育、新闻出版等方面的支出。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1"/>
        <w:spacing w:line="576"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pStyle w:val="21"/>
        <w:spacing w:line="560" w:lineRule="exact"/>
        <w:ind w:firstLine="640" w:firstLineChars="200"/>
        <w:rPr>
          <w:rFonts w:ascii="仿宋_GB2312" w:eastAsia="仿宋_GB2312" w:cs="黑体"/>
          <w:sz w:val="32"/>
          <w:szCs w:val="32"/>
        </w:rPr>
      </w:pPr>
    </w:p>
    <w:p>
      <w:pPr>
        <w:spacing w:line="600" w:lineRule="exact"/>
        <w:ind w:left="315" w:leftChars="150"/>
        <w:jc w:val="center"/>
        <w:outlineLvl w:val="0"/>
        <w:rPr>
          <w:rFonts w:ascii="方正小标宋简体" w:eastAsia="方正小标宋简体"/>
          <w:color w:val="000000"/>
          <w:sz w:val="44"/>
          <w:szCs w:val="44"/>
        </w:rPr>
      </w:pPr>
      <w:bookmarkStart w:id="57" w:name="_Toc15396614"/>
      <w:bookmarkStart w:id="58" w:name="_Toc15377226"/>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p>
    <w:p>
      <w:pPr>
        <w:spacing w:line="600" w:lineRule="exact"/>
        <w:ind w:left="315" w:leftChars="150"/>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第四部分 附件</w:t>
      </w:r>
      <w:bookmarkEnd w:id="57"/>
    </w:p>
    <w:p>
      <w:pPr>
        <w:spacing w:line="600" w:lineRule="exact"/>
        <w:ind w:left="315" w:leftChars="150"/>
        <w:jc w:val="center"/>
        <w:outlineLvl w:val="0"/>
        <w:rPr>
          <w:rStyle w:val="16"/>
          <w:rFonts w:ascii="黑体" w:eastAsia="黑体"/>
          <w:b w:val="0"/>
        </w:rPr>
      </w:pPr>
    </w:p>
    <w:p>
      <w:pPr>
        <w:spacing w:line="600" w:lineRule="exact"/>
        <w:jc w:val="center"/>
        <w:outlineLvl w:val="0"/>
        <w:rPr>
          <w:rFonts w:ascii="方正小标宋简体" w:eastAsia="方正小标宋简体"/>
          <w:color w:val="000000"/>
          <w:sz w:val="44"/>
          <w:szCs w:val="44"/>
        </w:rPr>
      </w:pPr>
      <w:bookmarkStart w:id="59" w:name="_Toc15396616"/>
      <w:r>
        <w:rPr>
          <w:rFonts w:hint="eastAsia" w:ascii="方正小标宋简体" w:eastAsia="方正小标宋简体"/>
          <w:color w:val="000000"/>
          <w:sz w:val="44"/>
          <w:szCs w:val="44"/>
        </w:rPr>
        <w:t>茂县新华书店2019年部门整体支出</w:t>
      </w:r>
    </w:p>
    <w:p>
      <w:pPr>
        <w:spacing w:line="600" w:lineRule="exact"/>
        <w:jc w:val="center"/>
        <w:outlineLvl w:val="0"/>
        <w:rPr>
          <w:rFonts w:hint="eastAsia" w:ascii="方正小标宋简体" w:eastAsia="方正小标宋简体"/>
          <w:color w:val="000000"/>
          <w:sz w:val="44"/>
          <w:szCs w:val="44"/>
        </w:rPr>
      </w:pPr>
      <w:r>
        <w:rPr>
          <w:rFonts w:hint="eastAsia" w:ascii="方正小标宋简体" w:eastAsia="方正小标宋简体"/>
          <w:color w:val="000000"/>
          <w:sz w:val="44"/>
          <w:szCs w:val="44"/>
        </w:rPr>
        <w:t>绩效评价报告</w:t>
      </w:r>
      <w:bookmarkEnd w:id="59"/>
    </w:p>
    <w:p>
      <w:pPr>
        <w:spacing w:line="600" w:lineRule="exact"/>
        <w:jc w:val="center"/>
        <w:outlineLvl w:val="0"/>
        <w:rPr>
          <w:rFonts w:hint="eastAsia" w:ascii="方正小标宋简体" w:eastAsia="方正小标宋简体"/>
          <w:color w:val="000000"/>
          <w:sz w:val="44"/>
          <w:szCs w:val="44"/>
        </w:rPr>
      </w:pPr>
    </w:p>
    <w:p>
      <w:pPr>
        <w:spacing w:line="576" w:lineRule="exact"/>
        <w:ind w:firstLine="640" w:firstLineChars="200"/>
        <w:outlineLvl w:val="0"/>
        <w:rPr>
          <w:rFonts w:ascii="黑体" w:eastAsia="黑体" w:cs="黑体"/>
          <w:sz w:val="32"/>
          <w:szCs w:val="32"/>
        </w:rPr>
      </w:pPr>
      <w:r>
        <w:rPr>
          <w:rFonts w:hint="eastAsia" w:ascii="黑体" w:eastAsia="黑体" w:cs="黑体"/>
          <w:sz w:val="32"/>
          <w:szCs w:val="32"/>
        </w:rPr>
        <w:t>一、部门（单位）概况</w:t>
      </w:r>
    </w:p>
    <w:p>
      <w:pPr>
        <w:spacing w:line="576" w:lineRule="exact"/>
        <w:ind w:firstLine="642" w:firstLineChars="200"/>
        <w:outlineLvl w:val="0"/>
        <w:rPr>
          <w:rFonts w:ascii="黑体" w:eastAsia="黑体" w:cs="方正小标宋简体"/>
          <w:b/>
          <w:bCs/>
          <w:sz w:val="32"/>
          <w:szCs w:val="32"/>
        </w:rPr>
      </w:pPr>
      <w:r>
        <w:rPr>
          <w:rStyle w:val="17"/>
          <w:rFonts w:hint="eastAsia" w:ascii="楷体" w:eastAsia="楷体" w:cs="楷体"/>
          <w:b/>
          <w:bCs/>
        </w:rPr>
        <w:t>（一）机构组成</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茂县新华书店属财政差额</w:t>
      </w:r>
      <w:r>
        <w:rPr>
          <w:rFonts w:hint="eastAsia" w:ascii="仿宋_GB2312" w:eastAsia="仿宋_GB2312" w:cs="仿宋_GB2312"/>
          <w:sz w:val="32"/>
          <w:szCs w:val="32"/>
          <w:lang w:eastAsia="zh-CN"/>
        </w:rPr>
        <w:t>拨款</w:t>
      </w:r>
      <w:r>
        <w:rPr>
          <w:rFonts w:hint="eastAsia" w:ascii="仿宋_GB2312" w:eastAsia="仿宋_GB2312" w:cs="仿宋_GB2312"/>
          <w:sz w:val="32"/>
          <w:szCs w:val="32"/>
        </w:rPr>
        <w:t>的事业单位，无下属单位。</w:t>
      </w:r>
    </w:p>
    <w:p>
      <w:pPr>
        <w:spacing w:line="576" w:lineRule="exact"/>
        <w:ind w:firstLine="642" w:firstLineChars="200"/>
        <w:rPr>
          <w:rFonts w:ascii="仿宋_GB2312" w:eastAsia="仿宋_GB2312" w:cs="仿宋_GB2312"/>
          <w:b/>
          <w:bCs/>
          <w:sz w:val="32"/>
          <w:szCs w:val="32"/>
        </w:rPr>
      </w:pPr>
      <w:r>
        <w:rPr>
          <w:rStyle w:val="17"/>
          <w:rFonts w:hint="eastAsia" w:ascii="楷体" w:eastAsia="楷体" w:cs="楷体"/>
          <w:b/>
          <w:bCs/>
        </w:rPr>
        <w:t>（二）机构职能</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茂县新华书店主要职能是发放全县及各区乡中小学校教材及教辅工作，保证课前到书。</w:t>
      </w:r>
    </w:p>
    <w:p>
      <w:pPr>
        <w:spacing w:line="576" w:lineRule="exact"/>
        <w:ind w:firstLine="642" w:firstLineChars="200"/>
        <w:rPr>
          <w:rFonts w:ascii="仿宋_GB2312" w:eastAsia="仿宋_GB2312" w:cs="仿宋_GB2312"/>
          <w:b/>
          <w:bCs/>
          <w:sz w:val="32"/>
          <w:szCs w:val="32"/>
        </w:rPr>
      </w:pPr>
      <w:r>
        <w:rPr>
          <w:rStyle w:val="17"/>
          <w:rFonts w:hint="eastAsia" w:ascii="楷体" w:eastAsia="楷体" w:cs="楷体"/>
          <w:b/>
          <w:bCs/>
        </w:rPr>
        <w:t>（三）人员概况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茂县新华书店2019年事业编制8人，其中事业管理1人，事业专技1人，事业工勤6人。年末实有人数7人，其中事业管理1人，事业专技1人，事业工勤5人。</w:t>
      </w:r>
    </w:p>
    <w:p>
      <w:pPr>
        <w:spacing w:line="576" w:lineRule="exact"/>
        <w:ind w:firstLine="640" w:firstLineChars="200"/>
        <w:rPr>
          <w:rFonts w:ascii="仿宋_GB2312" w:eastAsia="仿宋_GB2312" w:cs="仿宋_GB2312"/>
          <w:sz w:val="32"/>
          <w:szCs w:val="32"/>
        </w:rPr>
      </w:pPr>
      <w:r>
        <w:rPr>
          <w:rFonts w:hint="eastAsia" w:ascii="黑体" w:eastAsia="黑体" w:cs="黑体"/>
          <w:sz w:val="32"/>
          <w:szCs w:val="32"/>
        </w:rPr>
        <w:t>二、</w:t>
      </w:r>
      <w:r>
        <w:rPr>
          <w:rFonts w:ascii="黑体" w:eastAsia="黑体" w:cs="黑体"/>
          <w:sz w:val="32"/>
          <w:szCs w:val="32"/>
        </w:rPr>
        <w:t>部门财政资金收支情况</w:t>
      </w:r>
    </w:p>
    <w:p>
      <w:pPr>
        <w:spacing w:line="576" w:lineRule="exact"/>
        <w:ind w:firstLine="642" w:firstLineChars="200"/>
        <w:rPr>
          <w:rFonts w:ascii="仿宋" w:eastAsia="仿宋" w:cs="仿宋_GB2312"/>
          <w:sz w:val="32"/>
          <w:szCs w:val="32"/>
        </w:rPr>
      </w:pPr>
      <w:r>
        <w:rPr>
          <w:rStyle w:val="17"/>
          <w:rFonts w:hint="eastAsia" w:ascii="楷体" w:eastAsia="楷体" w:cs="楷体"/>
          <w:b/>
          <w:bCs/>
        </w:rPr>
        <w:t>（一）部门财政资金收入情况</w:t>
      </w:r>
    </w:p>
    <w:p>
      <w:pPr>
        <w:spacing w:line="576" w:lineRule="exact"/>
        <w:ind w:firstLine="640" w:firstLineChars="200"/>
        <w:rPr>
          <w:rFonts w:ascii="仿宋" w:eastAsia="仿宋" w:cs="仿宋_GB2312"/>
          <w:sz w:val="32"/>
          <w:szCs w:val="32"/>
        </w:rPr>
      </w:pPr>
      <w:r>
        <w:rPr>
          <w:rFonts w:hint="eastAsia" w:ascii="仿宋_GB2312" w:eastAsia="仿宋_GB2312" w:cs="仿宋_GB2312"/>
          <w:sz w:val="32"/>
          <w:szCs w:val="32"/>
        </w:rPr>
        <w:t>本年度茂县新华书店财政资金收入49.95万元，用于在职职工的工资。</w:t>
      </w:r>
    </w:p>
    <w:p>
      <w:pPr>
        <w:spacing w:line="576" w:lineRule="exact"/>
        <w:ind w:firstLine="642" w:firstLineChars="200"/>
        <w:rPr>
          <w:rStyle w:val="17"/>
          <w:rFonts w:hint="eastAsia" w:ascii="楷体" w:eastAsia="楷体" w:cs="楷体"/>
          <w:b/>
          <w:bCs/>
        </w:rPr>
      </w:pPr>
      <w:r>
        <w:rPr>
          <w:rStyle w:val="17"/>
          <w:rFonts w:hint="eastAsia" w:ascii="楷体" w:eastAsia="楷体" w:cs="楷体"/>
          <w:b/>
          <w:bCs/>
        </w:rPr>
        <w:t>（二）部门财政资金支出情况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本年度茂县新华书店财政资金支出49.95万元，用于在职职工的工资。</w:t>
      </w:r>
    </w:p>
    <w:p>
      <w:pPr>
        <w:spacing w:line="576" w:lineRule="exact"/>
        <w:ind w:firstLine="640" w:firstLineChars="200"/>
        <w:rPr>
          <w:rFonts w:ascii="黑体" w:eastAsia="黑体" w:cs="黑体"/>
          <w:sz w:val="32"/>
          <w:szCs w:val="32"/>
        </w:rPr>
      </w:pPr>
      <w:r>
        <w:rPr>
          <w:rFonts w:hint="eastAsia" w:ascii="黑体" w:eastAsia="黑体" w:cs="黑体"/>
          <w:sz w:val="32"/>
          <w:szCs w:val="32"/>
        </w:rPr>
        <w:t>三、</w:t>
      </w:r>
      <w:r>
        <w:rPr>
          <w:rFonts w:ascii="黑体" w:eastAsia="黑体" w:cs="黑体"/>
          <w:sz w:val="32"/>
          <w:szCs w:val="32"/>
        </w:rPr>
        <w:t>部门整体预算绩效管理情况</w:t>
      </w:r>
    </w:p>
    <w:p>
      <w:pPr>
        <w:spacing w:line="576" w:lineRule="exact"/>
        <w:ind w:firstLine="642" w:firstLineChars="200"/>
        <w:rPr>
          <w:rStyle w:val="17"/>
          <w:rFonts w:ascii="楷体" w:eastAsia="楷体" w:cs="楷体"/>
          <w:b/>
          <w:bCs w:val="0"/>
        </w:rPr>
      </w:pPr>
      <w:r>
        <w:rPr>
          <w:rStyle w:val="17"/>
          <w:rFonts w:hint="eastAsia" w:ascii="楷体" w:eastAsia="楷体" w:cs="楷体"/>
          <w:b/>
          <w:bCs w:val="0"/>
        </w:rPr>
        <w:t>（一）部门预算管理</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茂县新华书店本年度绩效目标制定主要是订购和发放全县及区乡各中小学教材和教辅。</w:t>
      </w:r>
    </w:p>
    <w:p>
      <w:pPr>
        <w:spacing w:line="576" w:lineRule="exact"/>
        <w:ind w:firstLine="640" w:firstLineChars="200"/>
        <w:rPr>
          <w:rStyle w:val="17"/>
          <w:rFonts w:ascii="仿宋" w:eastAsia="仿宋" w:cs="仿宋_GB2312"/>
          <w:b w:val="0"/>
          <w:bCs w:val="0"/>
        </w:rPr>
      </w:pPr>
      <w:r>
        <w:rPr>
          <w:rStyle w:val="17"/>
          <w:rFonts w:hint="eastAsia" w:ascii="仿宋_GB2312" w:eastAsia="仿宋_GB2312" w:cs="仿宋_GB2312"/>
          <w:b w:val="0"/>
        </w:rPr>
        <w:t>本年度在全体职工的共同努力下，完成了全县及区乡各中小学教材和教辅订购和发放工作。</w:t>
      </w:r>
    </w:p>
    <w:p>
      <w:pPr>
        <w:spacing w:line="576" w:lineRule="exact"/>
        <w:ind w:firstLine="640" w:firstLineChars="200"/>
        <w:rPr>
          <w:rStyle w:val="17"/>
          <w:rFonts w:ascii="仿宋_GB2312" w:eastAsia="仿宋_GB2312" w:cs="仿宋_GB2312"/>
          <w:b w:val="0"/>
          <w:bCs w:val="0"/>
        </w:rPr>
      </w:pPr>
      <w:r>
        <w:rPr>
          <w:rStyle w:val="17"/>
          <w:rFonts w:hint="eastAsia" w:ascii="仿宋_GB2312" w:eastAsia="仿宋_GB2312" w:cs="仿宋_GB2312"/>
          <w:b w:val="0"/>
          <w:bCs w:val="0"/>
        </w:rPr>
        <w:t>本年度预算编制准确，严把支出控制，根据实际情况进行预算动态的调整，执行进度及预算完成得很好，无违法乱纪的事情发生。</w:t>
      </w:r>
    </w:p>
    <w:p>
      <w:pPr>
        <w:numPr>
          <w:ilvl w:val="0"/>
          <w:numId w:val="1"/>
        </w:numPr>
        <w:spacing w:line="576" w:lineRule="exact"/>
        <w:ind w:left="0" w:firstLine="642" w:firstLineChars="200"/>
        <w:rPr>
          <w:rStyle w:val="17"/>
          <w:rFonts w:ascii="楷体" w:eastAsia="楷体" w:cs="楷体"/>
          <w:b w:val="0"/>
          <w:bCs w:val="0"/>
        </w:rPr>
      </w:pPr>
      <w:r>
        <w:rPr>
          <w:rStyle w:val="17"/>
          <w:rFonts w:hint="eastAsia" w:ascii="楷体" w:eastAsia="楷体" w:cs="楷体"/>
          <w:b/>
          <w:bCs/>
        </w:rPr>
        <w:t>专项预算管理</w:t>
      </w:r>
    </w:p>
    <w:p>
      <w:pPr>
        <w:spacing w:line="576" w:lineRule="exact"/>
        <w:ind w:firstLine="640" w:firstLineChars="200"/>
        <w:rPr>
          <w:rStyle w:val="17"/>
          <w:rFonts w:ascii="楷体" w:eastAsia="楷体" w:cs="楷体"/>
          <w:b w:val="0"/>
          <w:bCs w:val="0"/>
        </w:rPr>
      </w:pPr>
      <w:r>
        <w:rPr>
          <w:rStyle w:val="17"/>
          <w:rFonts w:hint="eastAsia" w:ascii="仿宋_GB2312" w:eastAsia="仿宋_GB2312" w:cs="仿宋_GB2312"/>
          <w:b w:val="0"/>
          <w:bCs w:val="0"/>
        </w:rPr>
        <w:t>本年度无专项预算</w:t>
      </w:r>
      <w:r>
        <w:rPr>
          <w:rStyle w:val="17"/>
          <w:rFonts w:hint="eastAsia" w:ascii="楷体" w:eastAsia="楷体" w:cs="楷体"/>
          <w:b w:val="0"/>
          <w:bCs w:val="0"/>
        </w:rPr>
        <w:t>。</w:t>
      </w:r>
    </w:p>
    <w:p>
      <w:pPr>
        <w:numPr>
          <w:ilvl w:val="0"/>
          <w:numId w:val="1"/>
        </w:numPr>
        <w:spacing w:line="576" w:lineRule="exact"/>
        <w:ind w:left="0" w:firstLine="642" w:firstLineChars="200"/>
        <w:rPr>
          <w:rStyle w:val="17"/>
          <w:rFonts w:hint="eastAsia" w:ascii="楷体" w:eastAsia="楷体" w:cs="楷体"/>
          <w:b/>
          <w:bCs/>
        </w:rPr>
      </w:pPr>
      <w:r>
        <w:rPr>
          <w:rStyle w:val="17"/>
          <w:rFonts w:hint="eastAsia" w:ascii="楷体" w:eastAsia="楷体" w:cs="楷体"/>
          <w:b/>
          <w:bCs/>
        </w:rPr>
        <w:t>结果应用情况</w:t>
      </w:r>
    </w:p>
    <w:p>
      <w:pPr>
        <w:spacing w:line="576" w:lineRule="exact"/>
        <w:ind w:firstLine="640" w:firstLineChars="200"/>
        <w:rPr>
          <w:rStyle w:val="17"/>
          <w:rFonts w:ascii="仿宋_GB2312" w:eastAsia="仿宋_GB2312" w:cs="仿宋_GB2312"/>
          <w:b w:val="0"/>
          <w:bCs w:val="0"/>
        </w:rPr>
      </w:pPr>
      <w:r>
        <w:rPr>
          <w:rStyle w:val="17"/>
          <w:rFonts w:hint="eastAsia" w:ascii="仿宋_GB2312" w:eastAsia="仿宋_GB2312" w:cs="仿宋_GB2312"/>
          <w:b w:val="0"/>
          <w:bCs w:val="0"/>
        </w:rPr>
        <w:t>本年度紧紧围绕年度目标任务，团结拼搏，锐意进取，扎实工作，全面完成了各项工作任务，评价结果很好，并根据实际情况对工作进行细化和量化并且合理可行，对绩效目标也进行了公开。</w:t>
      </w:r>
    </w:p>
    <w:p>
      <w:pPr>
        <w:spacing w:line="576" w:lineRule="exact"/>
        <w:ind w:firstLine="640" w:firstLineChars="200"/>
        <w:rPr>
          <w:rFonts w:ascii="黑体" w:eastAsia="黑体" w:cs="黑体"/>
          <w:sz w:val="32"/>
          <w:szCs w:val="32"/>
        </w:rPr>
      </w:pPr>
      <w:r>
        <w:rPr>
          <w:rFonts w:hint="eastAsia" w:ascii="黑体" w:eastAsia="黑体" w:cs="黑体"/>
          <w:sz w:val="32"/>
          <w:szCs w:val="32"/>
        </w:rPr>
        <w:t>四、</w:t>
      </w:r>
      <w:r>
        <w:rPr>
          <w:rFonts w:ascii="黑体" w:eastAsia="黑体" w:cs="黑体"/>
          <w:sz w:val="32"/>
          <w:szCs w:val="32"/>
        </w:rPr>
        <w:t>评价结论及建议</w:t>
      </w:r>
    </w:p>
    <w:p>
      <w:pPr>
        <w:spacing w:line="576" w:lineRule="exact"/>
        <w:ind w:left="0" w:firstLine="642" w:firstLineChars="200"/>
        <w:rPr>
          <w:rStyle w:val="17"/>
          <w:rFonts w:hint="eastAsia" w:ascii="楷体" w:eastAsia="楷体" w:cs="楷体"/>
          <w:b/>
          <w:bCs/>
        </w:rPr>
      </w:pPr>
      <w:r>
        <w:rPr>
          <w:rStyle w:val="17"/>
          <w:rFonts w:hint="eastAsia" w:ascii="楷体" w:eastAsia="楷体" w:cs="楷体"/>
          <w:b/>
          <w:bCs/>
        </w:rPr>
        <w:t>（一）评价结论</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本年度紧紧围绕年度目标任务，团结拼搏，锐意进取，扎实工作，全面完成了各项工作任务。经过评价指标分数为98分。详见附表：2019年县级部门整体支出绩效评价指标体系。</w:t>
      </w:r>
    </w:p>
    <w:p>
      <w:pPr>
        <w:spacing w:line="576" w:lineRule="exact"/>
        <w:ind w:left="0" w:firstLine="642" w:firstLineChars="200"/>
        <w:rPr>
          <w:rStyle w:val="17"/>
          <w:rFonts w:hint="eastAsia" w:ascii="楷体" w:eastAsia="楷体" w:cs="楷体"/>
          <w:b/>
          <w:bCs/>
        </w:rPr>
      </w:pPr>
      <w:r>
        <w:rPr>
          <w:rStyle w:val="17"/>
          <w:rFonts w:hint="eastAsia" w:ascii="楷体" w:eastAsia="楷体" w:cs="楷体"/>
          <w:b/>
          <w:bCs/>
        </w:rPr>
        <w:t>（二）存在问题</w:t>
      </w:r>
    </w:p>
    <w:p>
      <w:pPr>
        <w:spacing w:line="576" w:lineRule="exact"/>
        <w:ind w:firstLine="640" w:firstLineChars="200"/>
        <w:rPr>
          <w:rStyle w:val="17"/>
          <w:rFonts w:ascii="仿宋_GB2312" w:eastAsia="仿宋_GB2312" w:cs="仿宋_GB2312"/>
          <w:b w:val="0"/>
        </w:rPr>
      </w:pPr>
      <w:r>
        <w:rPr>
          <w:rStyle w:val="17"/>
          <w:rFonts w:hint="eastAsia" w:ascii="仿宋_GB2312" w:eastAsia="仿宋_GB2312" w:cs="仿宋_GB2312"/>
          <w:b w:val="0"/>
        </w:rPr>
        <w:t>一是资金使用效益有待进一步提高。二是绩效目标设立不够明确、细化和量化。</w:t>
      </w:r>
    </w:p>
    <w:p>
      <w:pPr>
        <w:spacing w:line="576" w:lineRule="exact"/>
        <w:ind w:firstLine="642" w:firstLineChars="200"/>
        <w:rPr>
          <w:rStyle w:val="17"/>
          <w:rFonts w:ascii="楷体" w:eastAsia="楷体" w:cs="楷体"/>
          <w:b w:val="0"/>
        </w:rPr>
      </w:pPr>
      <w:r>
        <w:rPr>
          <w:rStyle w:val="17"/>
          <w:rFonts w:hint="eastAsia" w:ascii="楷体" w:eastAsia="楷体" w:cs="楷体"/>
          <w:b/>
          <w:bCs/>
        </w:rPr>
        <w:t>（三）改进建议</w:t>
      </w:r>
    </w:p>
    <w:p>
      <w:pPr>
        <w:spacing w:line="576" w:lineRule="exact"/>
        <w:ind w:firstLine="640" w:firstLineChars="200"/>
        <w:rPr>
          <w:rStyle w:val="17"/>
          <w:rFonts w:ascii="仿宋_GB2312" w:eastAsia="仿宋_GB2312" w:cs="仿宋_GB2312"/>
          <w:b w:val="0"/>
          <w:bCs w:val="0"/>
          <w:sz w:val="21"/>
          <w:szCs w:val="24"/>
        </w:rPr>
      </w:pPr>
      <w:r>
        <w:rPr>
          <w:rStyle w:val="17"/>
          <w:rFonts w:hint="eastAsia" w:ascii="仿宋_GB2312" w:eastAsia="仿宋_GB2312" w:cs="仿宋_GB2312"/>
          <w:b w:val="0"/>
        </w:rPr>
        <w:t xml:space="preserve"> 一是进一步提高资金使用效益。二是进一步规范绩效目标编制。使绩效目标设立更加明确、细化和量化并且合理可行。</w:t>
      </w: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tbl>
      <w:tblPr>
        <w:tblStyle w:val="12"/>
        <w:tblW w:w="9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877"/>
        <w:gridCol w:w="1113"/>
        <w:gridCol w:w="2322"/>
        <w:gridCol w:w="438"/>
        <w:gridCol w:w="632"/>
        <w:gridCol w:w="3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665" w:type="dxa"/>
            <w:gridSpan w:val="7"/>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28"/>
                <w:szCs w:val="28"/>
              </w:rPr>
            </w:pPr>
            <w:r>
              <w:rPr>
                <w:rFonts w:hint="eastAsia" w:ascii="宋体" w:cs="宋体"/>
                <w:b/>
                <w:color w:val="000000"/>
                <w:kern w:val="0"/>
                <w:sz w:val="28"/>
                <w:szCs w:val="28"/>
              </w:rPr>
              <w:t>2019年县级部门整体支出绩效评价指标体系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一级指标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二级指标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三级指标</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指标解释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扣分</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扣分  理由</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cs="宋体"/>
                <w:b/>
                <w:color w:val="000000"/>
                <w:kern w:val="0"/>
                <w:sz w:val="18"/>
                <w:szCs w:val="18"/>
              </w:rPr>
              <w:t>计分标准（备注）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94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预算编制   （10分）</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报送时效     （1分）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基础信息更新（1分）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部门是否按照县级部门预算编制通知和有关要求，按时完成基础库、项目库报送工作</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超过规定5个工作日扣0.5分，10个工作日扣1分，以此类推，直至扣完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编制质量     （2分）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预算编制准确（1分）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（预算资金总来源-中期评估调整取消资金-预算结余注销资金）÷预算资金总来源*指标分值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其中：预算资金总来源是指县级年初预算与执行中追加预算（不含当年专款）总和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部门预算审查（1分）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55" w:leftChars="-74"/>
              <w:jc w:val="center"/>
              <w:textAlignment w:val="center"/>
              <w:rPr>
                <w:rFonts w:ascii="宋体" w:cs="宋体"/>
                <w:color w:val="000000"/>
                <w:sz w:val="18"/>
                <w:szCs w:val="18"/>
              </w:rPr>
            </w:pPr>
            <w:r>
              <w:rPr>
                <w:rFonts w:hint="eastAsia" w:ascii="宋体" w:cs="宋体"/>
                <w:color w:val="000000"/>
                <w:kern w:val="0"/>
                <w:sz w:val="18"/>
                <w:szCs w:val="18"/>
              </w:rPr>
              <w:t>根据县人大财经委对预算     草案审查结果进行考核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对财经委审查后提出并确需修改的问题，每个问题扣0.02分，直至扣完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1020"/>
              </w:tabs>
              <w:jc w:val="center"/>
              <w:textAlignment w:val="center"/>
              <w:rPr>
                <w:rFonts w:ascii="宋体" w:cs="宋体"/>
                <w:color w:val="000000"/>
                <w:sz w:val="18"/>
                <w:szCs w:val="18"/>
              </w:rPr>
            </w:pPr>
            <w:r>
              <w:rPr>
                <w:rFonts w:hint="eastAsia" w:ascii="宋体" w:cs="宋体"/>
                <w:color w:val="000000"/>
                <w:kern w:val="0"/>
                <w:sz w:val="18"/>
                <w:szCs w:val="18"/>
              </w:rPr>
              <w:t>绩效目标     （5分）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部门整体绩效目标（2分）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部门整体绩效目标编制完整、合理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0.5</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绩效目标编制不够细化</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部门整体绩效目标能完整、合理反映部门年度职责履行情况的得分，否则不得分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重点项目绩效目标（3分）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项目绩效目标编制明确、量化</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项目支出绩效目标编制不明确和量化的发现一个扣0.5分，直至扣完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预算执行   （20分）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执行进度（10分）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财力专项预算分配时限（4分）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按规定及时分配财力专项预算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按《预算法》规定时限完成分配的考核得分，否则不得分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部门预算执行进度（6分）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部门按要求严格预算执行管理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部门预算实际列支数÷部门预算总额*指标分值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预算调整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执行中期评估（4分）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部门中期评估调整取消资金÷(中期评估调整取消资金+预算结余注销资金）*指标分值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当中期评估调整取消资金与结余注销资金之和为零时，得满分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行政成本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三公经费（6分）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严格执行“三公经费”预算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部门“三公”经费决算数一项超预算扣1分，两项超预算扣2分，以此类推，直至扣完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综合管理   （40分）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政府采购 实施计划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政府采购实施计划编制（2分）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实施计划与政府采购预算的一致性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（1-调整或细化资金/政府采购预算资金）*分值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政府采购实施计划的执行（2分）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26" w:leftChars="60"/>
              <w:jc w:val="left"/>
              <w:textAlignment w:val="center"/>
              <w:rPr>
                <w:rFonts w:ascii="宋体" w:cs="宋体"/>
                <w:color w:val="000000"/>
                <w:sz w:val="18"/>
                <w:szCs w:val="18"/>
              </w:rPr>
            </w:pPr>
            <w:r>
              <w:rPr>
                <w:rFonts w:hint="eastAsia" w:ascii="宋体" w:cs="宋体"/>
                <w:color w:val="000000"/>
                <w:kern w:val="0"/>
                <w:sz w:val="18"/>
                <w:szCs w:val="18"/>
              </w:rPr>
              <w:t>执行的实施计划与备案的实施计划的一致性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（1-实施计划备案后的调整或细化资金/实施计划备案后的资金）*分值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资产管理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48"/>
              </w:tabs>
              <w:jc w:val="center"/>
              <w:textAlignment w:val="center"/>
              <w:rPr>
                <w:rFonts w:ascii="宋体" w:cs="宋体"/>
                <w:color w:val="000000"/>
                <w:sz w:val="18"/>
                <w:szCs w:val="18"/>
              </w:rPr>
            </w:pPr>
            <w:r>
              <w:rPr>
                <w:rFonts w:hint="eastAsia" w:ascii="宋体" w:cs="宋体"/>
                <w:color w:val="000000"/>
                <w:kern w:val="0"/>
                <w:sz w:val="18"/>
                <w:szCs w:val="18"/>
              </w:rPr>
              <w:t>资产管理信息系统建设情况（2分）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考核部门和单位将国有资产纳入资产信息系统管理情况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①未将所属单位国有资产纳入系统管理，每少一个单位扣1分。②未将资产变动情况及时录入系统，每次扣0.5分。③未落实人员负责管理系统，扣1分。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行政事业单位资产清查开展情况（2分）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考核行政事业单位按要求及时、准确、全面开展资产清查工作情况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行政事业单位资产报表上报情况（2分）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考核行政事业单位上报国有资产报表数据的真实性、准确性、全面性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①未落实专人负责资产报表，未及时上报资产报表扣1分。②报表填报不规范，内容不完整，数据不真实，扣1分。③未提交分析报告，对资产变动情况未作分析说明，扣1分。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内控制度管理（4分）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内部控制度健全完整（4分）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考核部门内部控制制度的设置和执行情况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1.5</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r>
              <w:rPr>
                <w:rFonts w:hint="eastAsia" w:ascii="宋体" w:cs="宋体"/>
                <w:color w:val="000000"/>
                <w:kern w:val="0"/>
                <w:sz w:val="18"/>
                <w:szCs w:val="18"/>
              </w:rPr>
              <w:t>内控报告编写不够完整细致。</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内部控制制度健全完整并执行良好的得分，否则不得分。在本年度内因内控制度不健全或执行不到位，造成单位出现廉政风险或发生重大责任事故的不得分。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信息公开（10分）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预算公开（4分）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除涉密信息外，各部门要在财政部门批复后二十日内向社会公开本部门预算（含所有财政资金安排的“三公”经费、机关运行经费的安排、使用情况等）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按县财政通知要求公开预算，未按要求公开的，发现一处扣0.5分，直至扣完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决算公开（4分）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除涉密信息外，各部门要在财政部门批复二十日内向社会公开本部门决算（含所有财政资金安排的“三公”经费、机关运行经费的安排、使用情况等）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未按要求公开的，发现一处问题0.5分，直至扣完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绩效信息公开（2分）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按要求公开部门整体支出绩效自评报告及其他按要求应公开的绩效信息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未按要求公开的，发现一处问题0.5分，直至扣完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绩效评价（10分）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评价项目覆盖率（2分）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部门实施绩效评价项目数量占部门管理专项预算项目数量的比重，部门申报绩效目标项目数量的比重，用以反映和考核部门实施绩效评价项目资金覆盖情况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评价覆盖率=实施绩效评价项目数量/部门管理专项预算项目数量×100%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评价层次（2分）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部门（单位）是否对单位内部股室开展整体绩效评价</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对单位内部实施评价的得分，否则不得分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评价结果报告（2分）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部门是否按要求向财政部门报告自评报告等相关绩效信息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未按要求报送的，发现一处扣0.5分，直至扣完。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整改完成率（4分）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部门是否按要求针对绩效评价发现问题制定整改措施，并整改落实到位</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完成率=应制定整改措施的项目数量/部门实际制定整改措施项目数量×100%。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依法接受财政监督（6分）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是否按要求开展自查自纠（2分）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根据相关自查自纠报告、报表报送时效和质量进行考核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未在规定时间内报送自查自纠相关材料（包括：纸质和电子版）的，扣0.5分；报告内容不完整，扣1分；报表质量差（如：数据、逻辑、勾稽关系错误）等扣0.5分；直至扣完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重点检查发现违规违纪问题（2分）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根据检查组提供的工作底稿、检查报告等资料进行考核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专项检查发现的违纪违规问题，每个问题扣0.5分，直至扣完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存在问题整改是否到位（2分）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根据相关整改报告、凭证依据等相关证明材料进行考核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未在规定时间内完成整改，并提供相关证明材料的，每个问题0.5分，直至扣完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right="120" w:rightChars="57"/>
              <w:jc w:val="center"/>
              <w:textAlignment w:val="center"/>
              <w:rPr>
                <w:rFonts w:ascii="宋体" w:cs="宋体"/>
                <w:color w:val="000000"/>
                <w:sz w:val="18"/>
                <w:szCs w:val="18"/>
              </w:rPr>
            </w:pPr>
            <w:r>
              <w:rPr>
                <w:rFonts w:hint="eastAsia" w:ascii="宋体" w:cs="宋体"/>
                <w:color w:val="000000"/>
                <w:kern w:val="0"/>
                <w:sz w:val="18"/>
                <w:szCs w:val="18"/>
              </w:rPr>
              <w:t>整体效益   （30分）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部门整体绩效（30分）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重点项目绩效评价结果（10分）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部门实施重大项目的经济、社会效益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根据县财政组织实施项目绩效评价结果换算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部门职能完成情况特性指标（20分）</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根据部门职能职责、州级主管部门和县委县政府安排的各项专项工作任务及其他年度重点工作任务等，汇总梳理形成能够量化衡量且全面反映部门职能工作完成情况的若干指标。</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rPr>
              <w:t>0</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33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部门和评价组根据部门实际设置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tc>
        <w:tc>
          <w:tcPr>
            <w:tcW w:w="33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9665" w:type="dxa"/>
            <w:gridSpan w:val="7"/>
            <w:tcBorders>
              <w:top w:val="single" w:color="000000" w:sz="4" w:space="0"/>
              <w:left w:val="nil"/>
              <w:bottom w:val="nil"/>
              <w:right w:val="nil"/>
            </w:tcBorders>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注：若某部门不存在某项评价内容或评价指标，则该评价内容或评价指标不计入该部门考核评价范围，即该部门评价总分＝不含该评价内容或指标的评价总分/（100-该评价内容或指标所占分值）*100。</w:t>
            </w:r>
          </w:p>
        </w:tc>
      </w:tr>
    </w:tbl>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pPr>
    </w:p>
    <w:p>
      <w:pPr>
        <w:rPr>
          <w:rStyle w:val="17"/>
          <w:rFonts w:ascii="仿宋_GB2312" w:eastAsia="仿宋_GB2312" w:cs="仿宋_GB2312"/>
          <w:b w:val="0"/>
          <w:bCs w:val="0"/>
        </w:rPr>
        <w:sectPr>
          <w:headerReference r:id="rId3" w:type="default"/>
          <w:footerReference r:id="rId4" w:type="default"/>
          <w:pgSz w:w="11906" w:h="16838"/>
          <w:pgMar w:top="1440" w:right="1800" w:bottom="1440" w:left="2086" w:header="851" w:footer="992" w:gutter="0"/>
          <w:pgNumType w:start="1"/>
          <w:cols w:space="720" w:num="1"/>
          <w:titlePg/>
          <w:docGrid w:type="lines" w:linePitch="312" w:charSpace="0"/>
        </w:sectPr>
      </w:pPr>
    </w:p>
    <w:bookmarkEnd w:id="58"/>
    <w:p>
      <w:pPr>
        <w:numPr>
          <w:ilvl w:val="0"/>
          <w:numId w:val="2"/>
        </w:numPr>
        <w:spacing w:line="600" w:lineRule="exact"/>
        <w:ind w:left="315" w:leftChars="150"/>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附表</w:t>
      </w:r>
    </w:p>
    <w:p>
      <w:pPr>
        <w:spacing w:line="600" w:lineRule="exact"/>
        <w:jc w:val="both"/>
        <w:outlineLvl w:val="0"/>
        <w:rPr>
          <w:rFonts w:ascii="方正小标宋简体" w:eastAsia="方正小标宋简体"/>
          <w:color w:val="000000"/>
          <w:sz w:val="44"/>
          <w:szCs w:val="44"/>
        </w:rPr>
      </w:pP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收入支出决算总表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收入决算表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收入支出决算总表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支出决算明细表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支出决算明细表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基本支出决算表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项目支出决算表</w:t>
      </w:r>
    </w:p>
    <w:p>
      <w:pPr>
        <w:pStyle w:val="22"/>
        <w:numPr>
          <w:ilvl w:val="0"/>
          <w:numId w:val="3"/>
        </w:numPr>
        <w:spacing w:line="600" w:lineRule="exact"/>
        <w:ind w:firstLineChars="0"/>
        <w:outlineLvl w:val="0"/>
        <w:rPr>
          <w:rStyle w:val="17"/>
          <w:rFonts w:ascii="仿宋_GB2312" w:eastAsia="仿宋_GB2312" w:cs="仿宋_GB2312"/>
          <w:b w:val="0"/>
        </w:rPr>
      </w:pPr>
      <w:r>
        <w:rPr>
          <w:rStyle w:val="17"/>
          <w:rFonts w:hint="eastAsia" w:ascii="仿宋_GB2312" w:eastAsia="仿宋_GB2312" w:cs="仿宋_GB2312"/>
          <w:b w:val="0"/>
        </w:rPr>
        <w:t>一般公共预算财政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“三公”经费支出决算表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十一、政府性基金预算财政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收入支出决算表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十二、政府性基金预算财政</w:t>
      </w:r>
      <w:r>
        <w:rPr>
          <w:rStyle w:val="17"/>
          <w:rFonts w:hint="eastAsia" w:ascii="仿宋_GB2312" w:eastAsia="仿宋_GB2312" w:cs="仿宋_GB2312"/>
          <w:b w:val="0"/>
          <w:lang w:eastAsia="zh-CN"/>
        </w:rPr>
        <w:t>拨款</w:t>
      </w:r>
      <w:r>
        <w:rPr>
          <w:rStyle w:val="17"/>
          <w:rFonts w:hint="eastAsia" w:ascii="仿宋_GB2312" w:eastAsia="仿宋_GB2312" w:cs="仿宋_GB2312"/>
          <w:b w:val="0"/>
        </w:rPr>
        <w:t>“三公”经费支出决算表</w:t>
      </w:r>
    </w:p>
    <w:p>
      <w:pPr>
        <w:spacing w:line="600" w:lineRule="exact"/>
        <w:outlineLvl w:val="0"/>
        <w:rPr>
          <w:rStyle w:val="17"/>
          <w:rFonts w:ascii="仿宋_GB2312" w:eastAsia="仿宋_GB2312" w:cs="仿宋_GB2312"/>
          <w:b w:val="0"/>
        </w:rPr>
      </w:pPr>
      <w:r>
        <w:rPr>
          <w:rStyle w:val="17"/>
          <w:rFonts w:hint="eastAsia" w:ascii="仿宋_GB2312" w:eastAsia="仿宋_GB2312" w:cs="仿宋_GB2312"/>
          <w:b w:val="0"/>
        </w:rPr>
        <w:t>十三、国有资本经营预算支出决算表</w:t>
      </w: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Style w:val="17"/>
          <w:rFonts w:ascii="仿宋_GB2312" w:eastAsia="仿宋_GB2312" w:cs="仿宋_GB2312"/>
          <w:b w:val="0"/>
        </w:rPr>
      </w:pPr>
    </w:p>
    <w:p>
      <w:pPr>
        <w:spacing w:line="600" w:lineRule="exact"/>
        <w:outlineLvl w:val="0"/>
        <w:rPr>
          <w:rFonts w:ascii="仿宋_GB2312" w:eastAsia="仿宋_GB2312" w:cs="仿宋_GB2312"/>
          <w:sz w:val="20"/>
          <w:szCs w:val="20"/>
        </w:rPr>
      </w:pPr>
      <w:r>
        <w:rPr>
          <w:rStyle w:val="17"/>
          <w:rFonts w:hint="eastAsia" w:ascii="仿宋_GB2312" w:eastAsia="仿宋_GB2312" w:cs="仿宋_GB2312"/>
          <w:b w:val="0"/>
        </w:rPr>
        <w:t xml:space="preserve">                       </w:t>
      </w:r>
      <w:r>
        <w:rPr>
          <w:rStyle w:val="17"/>
          <w:rFonts w:hint="eastAsia" w:ascii="仿宋_GB2312" w:eastAsia="仿宋_GB2312" w:cs="仿宋_GB2312"/>
          <w:b w:val="0"/>
          <w:sz w:val="20"/>
          <w:szCs w:val="20"/>
        </w:rPr>
        <w:t xml:space="preserve"> 19</w:t>
      </w:r>
    </w:p>
    <w:sectPr>
      <w:pgSz w:w="11906" w:h="16838"/>
      <w:pgMar w:top="1440" w:right="1800" w:bottom="1440" w:left="2086"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892222"/>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035E0"/>
    <w:multiLevelType w:val="singleLevel"/>
    <w:tmpl w:val="C47035E0"/>
    <w:lvl w:ilvl="0" w:tentative="0">
      <w:start w:val="2"/>
      <w:numFmt w:val="chineseCounting"/>
      <w:suff w:val="nothing"/>
      <w:lvlText w:val="（%1）"/>
      <w:lvlJc w:val="left"/>
      <w:pPr>
        <w:ind w:left="0" w:firstLine="0"/>
      </w:pPr>
      <w:rPr>
        <w:rFonts w:hint="eastAsia"/>
      </w:rPr>
    </w:lvl>
  </w:abstractNum>
  <w:abstractNum w:abstractNumId="1">
    <w:nsid w:val="489F3B10"/>
    <w:multiLevelType w:val="multilevel"/>
    <w:tmpl w:val="489F3B1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951FD9"/>
    <w:multiLevelType w:val="singleLevel"/>
    <w:tmpl w:val="5B951FD9"/>
    <w:lvl w:ilvl="0" w:tentative="0">
      <w:start w:val="5"/>
      <w:numFmt w:val="chineseCounting"/>
      <w:suff w:val="space"/>
      <w:lvlText w:val="第%1部分"/>
      <w:lvlJc w:val="left"/>
      <w:pPr>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readOnly"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56F30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2"/>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3"/>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rgbClr val="4F81BD"/>
            </a:solidFill>
            <a:ln>
              <a:noFill/>
            </a:ln>
          </c:spPr>
          <c:invertIfNegative val="false"/>
          <c:dLbls>
            <c:dLbl>
              <c:idx val="0"/>
              <c:delete val="true"/>
            </c:dLbl>
            <c:dLbl>
              <c:idx val="1"/>
              <c:delete val="true"/>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2018年收入</c:v>
                </c:pt>
                <c:pt idx="1">
                  <c:v>2019年收入</c:v>
                </c:pt>
                <c:pt idx="2">
                  <c:v>2018年支出</c:v>
                </c:pt>
                <c:pt idx="3">
                  <c:v>2019年支出</c:v>
                </c:pt>
              </c:strCache>
            </c:strRef>
          </c:cat>
          <c:val>
            <c:numRef>
              <c:f>'Sheet1'!$B$2:$B$5</c:f>
              <c:numCache>
                <c:formatCode>General</c:formatCode>
                <c:ptCount val="4"/>
                <c:pt idx="0">
                  <c:v>54.1</c:v>
                </c:pt>
                <c:pt idx="1">
                  <c:v>49.95</c:v>
                </c:pt>
                <c:pt idx="2">
                  <c:v>54.1</c:v>
                </c:pt>
                <c:pt idx="3">
                  <c:v>49.95</c:v>
                </c:pt>
              </c:numCache>
            </c:numRef>
          </c:val>
        </c:ser>
        <c:dLbls>
          <c:showLegendKey val="false"/>
          <c:showVal val="fals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false"/>
        <c:ser>
          <c:idx val="0"/>
          <c:order val="0"/>
          <c:tx>
            <c:strRef>
              <c:f>'Sheet1 (2)'!$B$1</c:f>
              <c:strCache>
                <c:ptCount val="1"/>
                <c:pt idx="0">
                  <c:v>销售额</c:v>
                </c:pt>
              </c:strCache>
            </c:strRef>
          </c:tx>
          <c:spPr>
            <a:solidFill>
              <a:srgbClr val="4F81BD"/>
            </a:solidFill>
            <a:ln>
              <a:noFill/>
            </a:ln>
          </c:spPr>
          <c:explosion val="0"/>
          <c:dPt>
            <c:idx val="0"/>
            <c:bubble3D val="false"/>
            <c:spPr>
              <a:solidFill>
                <a:srgbClr val="4F81BD"/>
              </a:solidFill>
              <a:ln w="19050">
                <a:solidFill>
                  <a:srgbClr val="FFFFFF"/>
                </a:solidFill>
                <a:prstDash val="solid"/>
              </a:ln>
            </c:spPr>
          </c:dPt>
          <c:dLbls>
            <c:dLbl>
              <c:idx val="0"/>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(2)'!$A$2</c:f>
              <c:strCache>
                <c:ptCount val="1"/>
                <c:pt idx="0">
                  <c:v>2019年收入</c:v>
                </c:pt>
              </c:strCache>
            </c:strRef>
          </c:cat>
          <c:val>
            <c:numRef>
              <c:f>Sheet1 (2)!$B$2</c:f>
              <c:numCache>
                <c:formatCode>General</c:formatCode>
                <c:ptCount val="1"/>
                <c:pt idx="0">
                  <c:v>49.95</c:v>
                </c:pt>
              </c:numCache>
            </c:numRef>
          </c:val>
        </c:ser>
        <c:dLbls>
          <c:showLegendKey val="false"/>
          <c:showVal val="fals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 (3)'!$B$1</c:f>
              <c:strCache>
                <c:ptCount val="1"/>
                <c:pt idx="0">
                  <c:v>列2</c:v>
                </c:pt>
              </c:strCache>
            </c:strRef>
          </c:tx>
          <c:spPr>
            <a:solidFill>
              <a:srgbClr val="4F81BD"/>
            </a:solidFill>
            <a:ln>
              <a:noFill/>
            </a:ln>
          </c:spPr>
          <c:invertIfNegative val="false"/>
          <c:dLbls>
            <c:dLbl>
              <c:idx val="0"/>
              <c:delete val="true"/>
            </c:dLbl>
            <c:dLbl>
              <c:idx val="1"/>
              <c:delete val="true"/>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(3)'!$A$2:$A$5</c:f>
              <c:strCache>
                <c:ptCount val="4"/>
                <c:pt idx="0">
                  <c:v>2018年财政拨款收入</c:v>
                </c:pt>
                <c:pt idx="1">
                  <c:v>2019年财政拨款收入</c:v>
                </c:pt>
                <c:pt idx="2">
                  <c:v>2018年财政拨款支出</c:v>
                </c:pt>
                <c:pt idx="3">
                  <c:v>2019年财政拨款支出</c:v>
                </c:pt>
              </c:strCache>
            </c:strRef>
          </c:cat>
          <c:val>
            <c:numRef>
              <c:f>'Sheet1 (3)'!$B$2:$B$5</c:f>
              <c:numCache>
                <c:formatCode>General</c:formatCode>
                <c:ptCount val="4"/>
                <c:pt idx="0">
                  <c:v>54.1</c:v>
                </c:pt>
                <c:pt idx="1">
                  <c:v>49.95</c:v>
                </c:pt>
                <c:pt idx="2">
                  <c:v>54.1</c:v>
                </c:pt>
                <c:pt idx="3">
                  <c:v>49.95</c:v>
                </c:pt>
              </c:numCache>
            </c:numRef>
          </c:val>
        </c:ser>
        <c:dLbls>
          <c:showLegendKey val="false"/>
          <c:showVal val="fals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 (4)'!$B$1</c:f>
              <c:strCache>
                <c:ptCount val="1"/>
                <c:pt idx="0">
                  <c:v>系列 1</c:v>
                </c:pt>
              </c:strCache>
            </c:strRef>
          </c:tx>
          <c:spPr>
            <a:solidFill>
              <a:srgbClr val="4F81B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ctr"/>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(4)'!$A$2:$A$3</c:f>
              <c:strCache>
                <c:ptCount val="2"/>
                <c:pt idx="0">
                  <c:v>2018年财政拨款支出</c:v>
                </c:pt>
                <c:pt idx="1">
                  <c:v>2019年财政拨款支出</c:v>
                </c:pt>
              </c:strCache>
            </c:strRef>
          </c:cat>
          <c:val>
            <c:numRef>
              <c:f>'Sheet1 (4)'!$B$2:$B$3</c:f>
              <c:numCache>
                <c:formatCode>General</c:formatCode>
                <c:ptCount val="2"/>
                <c:pt idx="0">
                  <c:v>54.1</c:v>
                </c:pt>
                <c:pt idx="1">
                  <c:v>49.95</c:v>
                </c:pt>
              </c:numCache>
            </c:numRef>
          </c:val>
        </c:ser>
        <c:dLbls>
          <c:showLegendKey val="false"/>
          <c:showVal val="false"/>
          <c:showCatName val="false"/>
          <c:showSerName val="false"/>
          <c:showPercent val="false"/>
          <c:showBubbleSize val="false"/>
        </c:dLbls>
        <c:gapWidth val="150"/>
        <c:overlap val="100"/>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18</Pages>
  <Words>6399</Words>
  <Characters>6720</Characters>
  <Lines>662</Lines>
  <Paragraphs>292</Paragraphs>
  <TotalTime>2</TotalTime>
  <ScaleCrop>false</ScaleCrop>
  <LinksUpToDate>false</LinksUpToDate>
  <CharactersWithSpaces>6864</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2019-09-25T03:05:00Z</cp:lastPrinted>
  <dcterms:modified xsi:type="dcterms:W3CDTF">2022-06-22T08:50:09Z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