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2D20">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475"/>
      <w:bookmarkStart w:id="2" w:name="_Toc15396597"/>
      <w:bookmarkStart w:id="3" w:name="_Toc15377193"/>
      <w:bookmarkStart w:id="4" w:name="_Toc15306267"/>
      <w:bookmarkStart w:id="5" w:name="_Toc15378441"/>
    </w:p>
    <w:p w14:paraId="6A6D2179">
      <w:pPr>
        <w:jc w:val="both"/>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122BF4EF">
      <w:pPr>
        <w:jc w:val="center"/>
        <w:rPr>
          <w:rFonts w:hint="eastAsia" w:ascii="黑体" w:hAnsi="黑体" w:eastAsia="黑体" w:cs="黑体"/>
          <w:b w:val="0"/>
          <w:bCs/>
          <w:color w:val="000000" w:themeColor="text1"/>
          <w:sz w:val="44"/>
          <w:szCs w:val="44"/>
          <w14:textFill>
            <w14:solidFill>
              <w14:schemeClr w14:val="tx1"/>
            </w14:solidFill>
          </w14:textFill>
        </w:rPr>
      </w:pPr>
      <w:r>
        <w:rPr>
          <w:rFonts w:hint="eastAsia" w:ascii="黑体" w:hAnsi="黑体" w:eastAsia="黑体" w:cs="黑体"/>
          <w:b w:val="0"/>
          <w:bCs/>
          <w:color w:val="000000" w:themeColor="text1"/>
          <w:sz w:val="44"/>
          <w:szCs w:val="44"/>
          <w14:textFill>
            <w14:solidFill>
              <w14:schemeClr w14:val="tx1"/>
            </w14:solidFill>
          </w14:textFill>
        </w:rPr>
        <w:t>2024</w:t>
      </w:r>
      <w:r>
        <w:rPr>
          <w:rFonts w:ascii="黑体" w:hAnsi="黑体" w:eastAsia="黑体" w:cs="黑体"/>
          <w:color w:val="000000"/>
          <w:sz w:val="44"/>
          <w:szCs w:val="44"/>
          <w:u w:color="auto"/>
        </w:rPr>
        <w:t>年度</w:t>
      </w:r>
      <w:bookmarkEnd w:id="0"/>
      <w:bookmarkEnd w:id="1"/>
      <w:bookmarkEnd w:id="2"/>
      <w:bookmarkEnd w:id="3"/>
    </w:p>
    <w:bookmarkEnd w:id="4"/>
    <w:p w14:paraId="48C5107E">
      <w:pPr>
        <w:jc w:val="center"/>
        <w:rPr>
          <w:rFonts w:hint="eastAsia" w:ascii="黑体" w:hAnsi="黑体" w:eastAsia="黑体" w:cs="黑体"/>
          <w:b w:val="0"/>
          <w:bCs/>
          <w:color w:val="000000" w:themeColor="text1"/>
          <w:sz w:val="44"/>
          <w:szCs w:val="44"/>
          <w:lang w:eastAsia="zh-CN"/>
          <w14:textFill>
            <w14:solidFill>
              <w14:schemeClr w14:val="tx1"/>
            </w14:solidFill>
          </w14:textFill>
        </w:rPr>
      </w:pPr>
      <w:bookmarkStart w:id="6" w:name="_Toc15377426"/>
      <w:bookmarkStart w:id="7" w:name="_Toc15377194"/>
      <w:bookmarkStart w:id="8" w:name="_Toc15378442"/>
      <w:bookmarkStart w:id="9" w:name="_Toc15396598"/>
      <w:bookmarkStart w:id="10" w:name="_Toc15306268"/>
      <w:bookmarkStart w:id="11" w:name="_Toc15396476"/>
      <w:r>
        <w:rPr>
          <w:rFonts w:hint="eastAsia" w:ascii="黑体" w:hAnsi="黑体" w:eastAsia="黑体" w:cs="黑体"/>
          <w:b w:val="0"/>
          <w:bCs/>
          <w:color w:val="000000" w:themeColor="text1"/>
          <w:sz w:val="44"/>
          <w:szCs w:val="44"/>
          <w:lang w:eastAsia="zh-CN"/>
          <w14:textFill>
            <w14:solidFill>
              <w14:schemeClr w14:val="tx1"/>
            </w14:solidFill>
          </w14:textFill>
        </w:rPr>
        <w:t>四川省阿坝藏族羌族自治州</w:t>
      </w:r>
      <w:r>
        <w:rPr>
          <w:rFonts w:hint="eastAsia" w:ascii="黑体" w:hAnsi="黑体" w:eastAsia="黑体" w:cs="黑体"/>
          <w:b w:val="0"/>
          <w:bCs/>
          <w:color w:val="000000" w:themeColor="text1"/>
          <w:sz w:val="44"/>
          <w:szCs w:val="44"/>
          <w14:textFill>
            <w14:solidFill>
              <w14:schemeClr w14:val="tx1"/>
            </w14:solidFill>
          </w14:textFill>
        </w:rPr>
        <w:t>茂县新华书店</w:t>
      </w:r>
      <w:r>
        <w:rPr>
          <w:rFonts w:ascii="黑体" w:hAnsi="黑体" w:eastAsia="黑体" w:cs="黑体"/>
          <w:color w:val="000000"/>
          <w:sz w:val="44"/>
          <w:szCs w:val="44"/>
          <w:u w:color="auto"/>
        </w:rPr>
        <w:t>部门决算</w:t>
      </w:r>
      <w:bookmarkEnd w:id="6"/>
      <w:bookmarkEnd w:id="7"/>
      <w:bookmarkEnd w:id="8"/>
      <w:bookmarkEnd w:id="9"/>
      <w:bookmarkEnd w:id="10"/>
      <w:bookmarkEnd w:id="11"/>
      <w:r>
        <w:rPr>
          <w:rFonts w:hint="eastAsia" w:ascii="黑体" w:hAnsi="黑体" w:eastAsia="黑体" w:cs="黑体"/>
          <w:color w:val="000000"/>
          <w:sz w:val="44"/>
          <w:szCs w:val="44"/>
          <w:u w:color="auto"/>
          <w:lang w:eastAsia="zh-CN"/>
        </w:rPr>
        <w:t>汇总</w:t>
      </w:r>
    </w:p>
    <w:p w14:paraId="28FC1CDC">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439A9AD">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241098B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393D6D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D285AAD">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D3098A">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C8FAB0F">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A982EE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D4701EB">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03B30CBC">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2FBFD7C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900676E">
      <w:pPr>
        <w:pStyle w:val="16"/>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527F0F39">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575AE7A3">
      <w:pPr>
        <w:pStyle w:val="1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25</w:t>
      </w:r>
      <w:r>
        <w:rPr>
          <w:rFonts w:hint="eastAsia"/>
          <w:color w:val="000000" w:themeColor="text1"/>
          <w:highlight w:val="none"/>
          <w14:textFill>
            <w14:solidFill>
              <w14:schemeClr w14:val="tx1"/>
            </w14:solidFill>
          </w14:textFill>
        </w:rPr>
        <w:t>日</w:t>
      </w:r>
    </w:p>
    <w:p w14:paraId="6B5C89DD">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_Toc9016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第一部分 </w:t>
      </w:r>
      <w:r>
        <w:rPr>
          <w:rFonts w:hint="eastAsia" w:ascii="黑体" w:hAnsi="黑体" w:eastAsia="黑体" w:cs="黑体"/>
          <w:bCs w:val="0"/>
          <w:color w:val="000000" w:themeColor="text1"/>
          <w:sz w:val="32"/>
          <w:szCs w:val="32"/>
          <w14:textFill>
            <w14:solidFill>
              <w14:schemeClr w14:val="tx1"/>
            </w14:solidFill>
          </w14:textFill>
        </w:rPr>
        <w:t>部门</w:t>
      </w:r>
      <w:r>
        <w:rPr>
          <w:rFonts w:ascii="黑体" w:hAnsi="黑体" w:eastAsia="黑体" w:cs="黑体"/>
          <w:color w:val="000000"/>
          <w:sz w:val="32"/>
          <w:u w:color="auto"/>
        </w:rPr>
        <w:t>概况</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_Toc9016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276FBC7A">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w:t>
      </w:r>
      <w:r>
        <w:rPr>
          <w:rFonts w:hint="eastAsia" w:ascii="仿宋" w:hAnsi="仿宋" w:eastAsia="仿宋" w:cs="仿宋"/>
          <w:bCs w:val="0"/>
          <w:color w:val="000000" w:themeColor="text1"/>
          <w:sz w:val="32"/>
          <w:szCs w:val="32"/>
          <w:lang w:val="en-US" w:eastAsia="zh-CN"/>
          <w14:textFill>
            <w14:solidFill>
              <w14:schemeClr w14:val="tx1"/>
            </w14:solidFill>
          </w14:textFill>
        </w:rPr>
        <w:t>主要职责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_Toc28564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3D339BA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_Toc22056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6453683">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_Toc9058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 xml:space="preserve">第二部分 </w:t>
      </w:r>
      <w:r>
        <w:rPr>
          <w:rFonts w:ascii="黑体" w:hAnsi="黑体" w:eastAsia="黑体" w:cs="黑体"/>
          <w:color w:val="000000"/>
          <w:sz w:val="32"/>
          <w:u w:color="auto"/>
        </w:rPr>
        <w:t>2024年度</w:t>
      </w:r>
      <w:r>
        <w:rPr>
          <w:rFonts w:hint="eastAsia" w:ascii="黑体" w:hAnsi="黑体" w:eastAsia="黑体" w:cs="黑体"/>
          <w:color w:val="000000" w:themeColor="text1"/>
          <w:sz w:val="32"/>
          <w:szCs w:val="32"/>
          <w:lang w:val="en-US" w:eastAsia="zh-CN"/>
          <w14:textFill>
            <w14:solidFill>
              <w14:schemeClr w14:val="tx1"/>
            </w14:solidFill>
          </w14:textFill>
        </w:rPr>
        <w:t>部门</w:t>
      </w:r>
      <w:r>
        <w:rPr>
          <w:rFonts w:hint="eastAsia" w:ascii="黑体" w:hAnsi="黑体" w:eastAsia="黑体" w:cs="黑体"/>
          <w:color w:val="000000" w:themeColor="text1"/>
          <w:sz w:val="32"/>
          <w:szCs w:val="32"/>
          <w14:textFill>
            <w14:solidFill>
              <w14:schemeClr w14:val="tx1"/>
            </w14:solidFill>
          </w14:textFill>
        </w:rPr>
        <w:t>决算情况说明</w:t>
      </w:r>
      <w:r>
        <w:tab/>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PAGEREF _Toc9058 \h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14:textFill>
            <w14:solidFill>
              <w14:schemeClr w14:val="tx1"/>
            </w14:solidFill>
          </w14:textFill>
        </w:rPr>
        <w:fldChar w:fldCharType="end"/>
      </w:r>
    </w:p>
    <w:p w14:paraId="4A78353B">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_Toc19710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_Toc19710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5E1DBAA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_Toc8125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_Toc8125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7D8B266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_Toc28283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mallCaps/>
          <w:color w:val="000000" w:themeColor="text1"/>
          <w:sz w:val="32"/>
          <w:szCs w:val="32"/>
          <w14:textFill>
            <w14:solidFill>
              <w14:schemeClr w14:val="tx1"/>
            </w14:solidFill>
          </w14:textFill>
        </w:rPr>
        <w:fldChar w:fldCharType="end"/>
      </w:r>
    </w:p>
    <w:p w14:paraId="6F18001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_Toc19521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_Toc19521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14:textFill>
            <w14:solidFill>
              <w14:schemeClr w14:val="tx1"/>
            </w14:solidFill>
          </w14:textFill>
        </w:rPr>
        <w:fldChar w:fldCharType="end"/>
      </w:r>
    </w:p>
    <w:p w14:paraId="0965F67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_Toc14368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smallCaps/>
          <w:color w:val="000000" w:themeColor="text1"/>
          <w:sz w:val="32"/>
          <w:szCs w:val="32"/>
          <w14:textFill>
            <w14:solidFill>
              <w14:schemeClr w14:val="tx1"/>
            </w14:solidFill>
          </w14:textFill>
        </w:rPr>
        <w:fldChar w:fldCharType="end"/>
      </w:r>
    </w:p>
    <w:p w14:paraId="07E469B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_Toc31578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smallCaps/>
          <w:color w:val="000000" w:themeColor="text1"/>
          <w:sz w:val="32"/>
          <w:szCs w:val="32"/>
          <w14:textFill>
            <w14:solidFill>
              <w14:schemeClr w14:val="tx1"/>
            </w14:solidFill>
          </w14:textFill>
        </w:rPr>
        <w:fldChar w:fldCharType="end"/>
      </w:r>
    </w:p>
    <w:p w14:paraId="106ADFA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_Toc6614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七、“三公”经费财政拨款支出决算情况说明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smallCaps/>
          <w:color w:val="000000" w:themeColor="text1"/>
          <w:sz w:val="32"/>
          <w:szCs w:val="32"/>
          <w14:textFill>
            <w14:solidFill>
              <w14:schemeClr w14:val="tx1"/>
            </w14:solidFill>
          </w14:textFill>
        </w:rPr>
        <w:fldChar w:fldCharType="end"/>
      </w:r>
    </w:p>
    <w:p w14:paraId="3AD07569">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_Toc20439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八、政府性基金预算支出决算情况说明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smallCaps/>
          <w:color w:val="000000" w:themeColor="text1"/>
          <w:sz w:val="32"/>
          <w:szCs w:val="32"/>
          <w14:textFill>
            <w14:solidFill>
              <w14:schemeClr w14:val="tx1"/>
            </w14:solidFill>
          </w14:textFill>
        </w:rPr>
        <w:fldChar w:fldCharType="end"/>
      </w:r>
    </w:p>
    <w:p w14:paraId="1B585CF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_Toc23467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九、国有资本经营预算支出决算情况说明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smallCaps/>
          <w:color w:val="000000" w:themeColor="text1"/>
          <w:sz w:val="32"/>
          <w:szCs w:val="32"/>
          <w14:textFill>
            <w14:solidFill>
              <w14:schemeClr w14:val="tx1"/>
            </w14:solidFill>
          </w14:textFill>
        </w:rPr>
        <w:fldChar w:fldCharType="end"/>
      </w:r>
    </w:p>
    <w:p w14:paraId="3894115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_Toc18455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十、其他重要事项的情况说明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smallCaps/>
          <w:color w:val="000000" w:themeColor="text1"/>
          <w:sz w:val="32"/>
          <w:szCs w:val="32"/>
          <w14:textFill>
            <w14:solidFill>
              <w14:schemeClr w14:val="tx1"/>
            </w14:solidFill>
          </w14:textFill>
        </w:rPr>
        <w:fldChar w:fldCharType="end"/>
      </w:r>
    </w:p>
    <w:p w14:paraId="2B2317E3">
      <w:pPr>
        <w:pStyle w:val="16"/>
        <w:tabs>
          <w:tab w:val="right" w:leader="dot" w:pos="8306"/>
          <w:tab w:val="clear" w:pos="8296"/>
        </w:tabs>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_Toc18122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 名词解释</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8</w:t>
      </w:r>
      <w:r>
        <w:rPr>
          <w:rFonts w:hint="eastAsia" w:ascii="黑体" w:hAnsi="黑体" w:eastAsia="黑体" w:cs="黑体"/>
          <w:smallCaps/>
          <w:color w:val="000000" w:themeColor="text1"/>
          <w:sz w:val="32"/>
          <w:szCs w:val="32"/>
          <w14:textFill>
            <w14:solidFill>
              <w14:schemeClr w14:val="tx1"/>
            </w14:solidFill>
          </w14:textFill>
        </w:rPr>
        <w:fldChar w:fldCharType="end"/>
      </w:r>
    </w:p>
    <w:p w14:paraId="21C0FCA0">
      <w:pPr>
        <w:pStyle w:val="16"/>
        <w:tabs>
          <w:tab w:val="right" w:leader="dot" w:pos="8306"/>
          <w:tab w:val="clear" w:pos="8296"/>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_Toc25539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第四部分 附件</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smallCaps/>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lang w:val="en-US" w:eastAsia="zh-CN"/>
          <w14:textFill>
            <w14:solidFill>
              <w14:schemeClr w14:val="tx1"/>
            </w14:solidFill>
          </w14:textFill>
        </w:rPr>
        <w:t>0</w:t>
      </w:r>
    </w:p>
    <w:p w14:paraId="0B220F5E">
      <w:pPr>
        <w:pStyle w:val="16"/>
        <w:tabs>
          <w:tab w:val="right" w:leader="dot" w:pos="8306"/>
          <w:tab w:val="clear" w:pos="8296"/>
        </w:tabs>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mallCaps/>
          <w:color w:val="000000" w:themeColor="text1"/>
          <w:sz w:val="32"/>
          <w:szCs w:val="32"/>
          <w14:textFill>
            <w14:solidFill>
              <w14:schemeClr w14:val="tx1"/>
            </w14:solidFill>
          </w14:textFill>
        </w:rPr>
        <w:fldChar w:fldCharType="begin"/>
      </w:r>
      <w:r>
        <w:rPr>
          <w:rFonts w:hint="eastAsia" w:ascii="黑体" w:hAnsi="黑体" w:eastAsia="黑体" w:cs="黑体"/>
          <w:smallCaps/>
          <w:color w:val="000000" w:themeColor="text1"/>
          <w:sz w:val="32"/>
          <w:szCs w:val="32"/>
          <w14:textFill>
            <w14:solidFill>
              <w14:schemeClr w14:val="tx1"/>
            </w14:solidFill>
          </w14:textFill>
        </w:rPr>
        <w:instrText xml:space="preserve"> HYPERLINK \l _Toc21200 </w:instrText>
      </w:r>
      <w:r>
        <w:rPr>
          <w:rFonts w:hint="eastAsia" w:ascii="黑体" w:hAnsi="黑体" w:eastAsia="黑体" w:cs="黑体"/>
          <w:smallCaps/>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第五部分 附表</w:t>
      </w:r>
      <w:r>
        <w:rPr>
          <w:rFonts w:hint="eastAsia" w:ascii="黑体" w:hAnsi="黑体" w:eastAsia="黑体" w:cs="黑体"/>
          <w:color w:val="000000" w:themeColor="text1"/>
          <w:sz w:val="32"/>
          <w:szCs w:val="32"/>
          <w14:textFill>
            <w14:solidFill>
              <w14:schemeClr w14:val="tx1"/>
            </w14:solidFill>
          </w14:textFill>
        </w:rPr>
        <w:tab/>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smallCaps/>
          <w:color w:val="000000" w:themeColor="text1"/>
          <w:sz w:val="32"/>
          <w:szCs w:val="32"/>
          <w14:textFill>
            <w14:solidFill>
              <w14:schemeClr w14:val="tx1"/>
            </w14:solidFill>
          </w14:textFill>
        </w:rPr>
        <w:fldChar w:fldCharType="end"/>
      </w:r>
      <w:r>
        <w:rPr>
          <w:rFonts w:hint="eastAsia" w:ascii="黑体" w:hAnsi="黑体" w:eastAsia="黑体" w:cs="黑体"/>
          <w:smallCaps/>
          <w:color w:val="000000" w:themeColor="text1"/>
          <w:sz w:val="32"/>
          <w:szCs w:val="32"/>
          <w:lang w:val="en-US" w:eastAsia="zh-CN"/>
          <w14:textFill>
            <w14:solidFill>
              <w14:schemeClr w14:val="tx1"/>
            </w14:solidFill>
          </w14:textFill>
        </w:rPr>
        <w:t>1</w:t>
      </w:r>
    </w:p>
    <w:p w14:paraId="160B12B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_Toc16431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一、收入支出决算总表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4CC00D7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_Toc25389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二、收入决算表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1B0E2C8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_Toc10450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三、支出决算表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7E6051E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_Toc15415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四、财政拨款收入支出决算总表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598AA61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_Toc17530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五、财政拨款支出决算明细表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6106D82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_Toc22032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六、一般公共预算财政拨款支出决算表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4D436180">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_Toc3364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七、一般公共预算财政拨款支出决算明细表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47395D8A">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_Toc9110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八、一般公共预算财政拨款基本支出决算表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1D7B04BD">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_Toc28582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九、一般公共预算财政拨款项目支出决算表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164E5A0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_Toc22001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十、政府性基金预算财政拨款收入支出决算表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7E2A8ED2">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_Toc6538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十一、国有资本经营预算财政拨款收入支出决算表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70930FB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_Toc10625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十二、国有资本经营预算财政拨款支出决算表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17758B14">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仿宋" w:cs="宋体"/>
          <w:color w:val="000000" w:themeColor="text1"/>
          <w:sz w:val="24"/>
          <w:szCs w:val="24"/>
          <w:lang w:val="en-US" w:eastAsia="zh-CN"/>
          <w14:textFill>
            <w14:solidFill>
              <w14:schemeClr w14:val="tx1"/>
            </w14:solidFill>
          </w14:textFill>
        </w:rPr>
      </w:pPr>
      <w:r>
        <w:rPr>
          <w:rFonts w:hint="eastAsia" w:ascii="仿宋" w:hAnsi="仿宋" w:eastAsia="仿宋" w:cs="仿宋"/>
          <w:smallCaps/>
          <w:color w:val="000000" w:themeColor="text1"/>
          <w:sz w:val="32"/>
          <w:szCs w:val="32"/>
          <w14:textFill>
            <w14:solidFill>
              <w14:schemeClr w14:val="tx1"/>
            </w14:solidFill>
          </w14:textFill>
        </w:rPr>
        <w:fldChar w:fldCharType="begin"/>
      </w:r>
      <w:r>
        <w:rPr>
          <w:rFonts w:hint="eastAsia" w:ascii="仿宋" w:hAnsi="仿宋" w:eastAsia="仿宋" w:cs="仿宋"/>
          <w:smallCaps/>
          <w:color w:val="000000" w:themeColor="text1"/>
          <w:sz w:val="32"/>
          <w:szCs w:val="32"/>
          <w14:textFill>
            <w14:solidFill>
              <w14:schemeClr w14:val="tx1"/>
            </w14:solidFill>
          </w14:textFill>
        </w:rPr>
        <w:instrText xml:space="preserve"> HYPERLINK \l _Toc28356 </w:instrText>
      </w:r>
      <w:r>
        <w:rPr>
          <w:rFonts w:hint="eastAsia" w:ascii="仿宋" w:hAnsi="仿宋" w:eastAsia="仿宋" w:cs="仿宋"/>
          <w:smallCaps/>
          <w:color w:val="000000" w:themeColor="text1"/>
          <w:sz w:val="32"/>
          <w:szCs w:val="32"/>
          <w14:textFill>
            <w14:solidFill>
              <w14:schemeClr w14:val="tx1"/>
            </w14:solidFill>
          </w14:textFill>
        </w:rPr>
        <w:fldChar w:fldCharType="separate"/>
      </w:r>
      <w:r>
        <w:rPr>
          <w:rFonts w:hint="eastAsia" w:ascii="仿宋" w:hAnsi="仿宋" w:eastAsia="仿宋" w:cs="仿宋"/>
          <w:bCs w:val="0"/>
          <w:color w:val="000000" w:themeColor="text1"/>
          <w:sz w:val="32"/>
          <w:szCs w:val="32"/>
          <w14:textFill>
            <w14:solidFill>
              <w14:schemeClr w14:val="tx1"/>
            </w14:solidFill>
          </w14:textFill>
        </w:rPr>
        <w:t>十三、财政拨款“三公”经费支出决算表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mallCaps/>
          <w:color w:val="000000" w:themeColor="text1"/>
          <w:sz w:val="32"/>
          <w:szCs w:val="32"/>
          <w14:textFill>
            <w14:solidFill>
              <w14:schemeClr w14:val="tx1"/>
            </w14:solidFill>
          </w14:textFill>
        </w:rPr>
        <w:fldChar w:fldCharType="end"/>
      </w:r>
      <w:r>
        <w:rPr>
          <w:rFonts w:hint="eastAsia" w:ascii="仿宋" w:hAnsi="仿宋" w:eastAsia="仿宋" w:cs="仿宋"/>
          <w:smallCaps/>
          <w:color w:val="000000" w:themeColor="text1"/>
          <w:sz w:val="32"/>
          <w:szCs w:val="32"/>
          <w:lang w:val="en-US" w:eastAsia="zh-CN"/>
          <w14:textFill>
            <w14:solidFill>
              <w14:schemeClr w14:val="tx1"/>
            </w14:solidFill>
          </w14:textFill>
        </w:rPr>
        <w:t>1</w:t>
      </w:r>
    </w:p>
    <w:p w14:paraId="54166E72">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4D6CFB6C">
      <w:pPr>
        <w:pStyle w:val="5"/>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14:paraId="691C11F5">
      <w:pPr>
        <w:pStyle w:val="5"/>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 xml:space="preserve">第一部分 </w:t>
      </w:r>
      <w:r>
        <w:rPr>
          <w:rStyle w:val="35"/>
          <w:rFonts w:hint="eastAsia" w:ascii="方正小标宋简体" w:hAnsi="方正小标宋简体" w:eastAsia="方正小标宋简体" w:cs="方正小标宋简体"/>
          <w:b w:val="0"/>
          <w:bCs w:val="0"/>
        </w:rPr>
        <w:t>部门</w:t>
      </w:r>
      <w:r>
        <w:rPr>
          <w:rStyle w:val="35"/>
          <w:rFonts w:hint="eastAsia" w:ascii="方正小标宋简体" w:hAnsi="方正小标宋简体" w:eastAsia="方正小标宋简体" w:cs="方正小标宋简体"/>
          <w:b w:val="0"/>
          <w:bCs w:val="0"/>
          <w:u w:color="auto"/>
        </w:rPr>
        <w:t>概况</w:t>
      </w:r>
      <w:bookmarkEnd w:id="12"/>
      <w:bookmarkEnd w:id="13"/>
      <w:bookmarkEnd w:id="14"/>
    </w:p>
    <w:p w14:paraId="12142181">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lang w:val="en-US" w:eastAsia="zh-CN"/>
        </w:rPr>
      </w:pPr>
      <w:bookmarkStart w:id="15" w:name="_Toc15377197"/>
      <w:bookmarkStart w:id="16" w:name="_Toc113981010"/>
      <w:bookmarkStart w:id="17" w:name="_Toc28564"/>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bCs w:val="0"/>
          <w:color w:val="000000"/>
          <w:lang w:val="en-US" w:eastAsia="zh-CN"/>
        </w:rPr>
        <w:t>部门职责</w:t>
      </w:r>
    </w:p>
    <w:bookmarkEnd w:id="20"/>
    <w:bookmarkEnd w:id="21"/>
    <w:p w14:paraId="783F70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000000"/>
          <w:sz w:val="32"/>
          <w:szCs w:val="32"/>
          <w:lang w:eastAsia="zh-CN"/>
        </w:rPr>
        <w:t>主要负责图书发行</w:t>
      </w:r>
      <w:r>
        <w:rPr>
          <w:rFonts w:hint="eastAsia" w:ascii="方正仿宋_GB2312" w:hAnsi="方正仿宋_GB2312" w:eastAsia="方正仿宋_GB2312" w:cs="方正仿宋_GB2312"/>
          <w:color w:val="000000"/>
          <w:sz w:val="32"/>
          <w:szCs w:val="32"/>
        </w:rPr>
        <w:t>和中小学教材</w:t>
      </w:r>
      <w:r>
        <w:rPr>
          <w:rFonts w:hint="eastAsia" w:ascii="方正仿宋_GB2312" w:hAnsi="方正仿宋_GB2312" w:eastAsia="方正仿宋_GB2312" w:cs="方正仿宋_GB2312"/>
          <w:color w:val="000000"/>
          <w:sz w:val="32"/>
          <w:szCs w:val="32"/>
          <w:lang w:eastAsia="zh-CN"/>
        </w:rPr>
        <w:t>教辅的</w:t>
      </w:r>
      <w:r>
        <w:rPr>
          <w:rFonts w:hint="eastAsia" w:ascii="方正仿宋_GB2312" w:hAnsi="方正仿宋_GB2312" w:eastAsia="方正仿宋_GB2312" w:cs="方正仿宋_GB2312"/>
          <w:color w:val="000000"/>
          <w:sz w:val="32"/>
          <w:szCs w:val="32"/>
        </w:rPr>
        <w:t>发行</w:t>
      </w:r>
      <w:r>
        <w:rPr>
          <w:rFonts w:hint="eastAsia" w:ascii="方正仿宋_GB2312" w:hAnsi="方正仿宋_GB2312" w:eastAsia="方正仿宋_GB2312" w:cs="方正仿宋_GB2312"/>
          <w:color w:val="000000"/>
          <w:sz w:val="32"/>
          <w:szCs w:val="32"/>
          <w:lang w:eastAsia="zh-CN"/>
        </w:rPr>
        <w:t>工作</w:t>
      </w:r>
      <w:r>
        <w:rPr>
          <w:rFonts w:ascii="仿宋" w:hAnsi="仿宋" w:eastAsia="仿宋" w:cs="仿宋"/>
          <w:color w:val="000000"/>
          <w:sz w:val="32"/>
          <w:u w:color="auto"/>
        </w:rPr>
        <w:t>。</w:t>
      </w:r>
    </w:p>
    <w:p w14:paraId="1D6FDADE">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bCs w:val="0"/>
          <w:color w:val="000000"/>
        </w:rPr>
      </w:pPr>
      <w:bookmarkStart w:id="22" w:name="_Toc15377200"/>
      <w:bookmarkStart w:id="23" w:name="_Toc113981011"/>
      <w:bookmarkStart w:id="24" w:name="_Toc22056"/>
      <w:bookmarkStart w:id="25" w:name="_Toc111208497"/>
      <w:r>
        <w:rPr>
          <w:rFonts w:hint="eastAsia" w:ascii="黑体" w:hAnsi="黑体" w:eastAsia="黑体" w:cs="黑体"/>
          <w:b w:val="0"/>
          <w:bCs/>
          <w:color w:val="000000"/>
        </w:rPr>
        <w:t>二、</w:t>
      </w:r>
      <w:r>
        <w:rPr>
          <w:rFonts w:hint="eastAsia" w:ascii="黑体" w:hAnsi="黑体" w:eastAsia="黑体" w:cs="黑体"/>
          <w:b/>
          <w:bCs w:val="0"/>
          <w:color w:val="000000"/>
        </w:rPr>
        <w:t>机构设置</w:t>
      </w:r>
      <w:bookmarkEnd w:id="22"/>
      <w:bookmarkEnd w:id="23"/>
      <w:bookmarkEnd w:id="24"/>
      <w:bookmarkEnd w:id="25"/>
    </w:p>
    <w:p w14:paraId="0A5F6C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新华书店</w:t>
      </w:r>
      <w:r>
        <w:rPr>
          <w:rFonts w:hint="eastAsia" w:ascii="方正仿宋_GB2312" w:hAnsi="方正仿宋_GB2312" w:eastAsia="方正仿宋_GB2312" w:cs="方正仿宋_GB2312"/>
          <w:color w:val="000000"/>
          <w:sz w:val="32"/>
          <w:szCs w:val="32"/>
          <w:lang w:eastAsia="zh-CN"/>
        </w:rPr>
        <w:t>下</w:t>
      </w:r>
      <w:r>
        <w:rPr>
          <w:rFonts w:hint="eastAsia" w:ascii="方正仿宋_GB2312" w:hAnsi="方正仿宋_GB2312" w:eastAsia="方正仿宋_GB2312" w:cs="方正仿宋_GB2312"/>
          <w:color w:val="000000"/>
          <w:sz w:val="32"/>
          <w:szCs w:val="32"/>
        </w:rPr>
        <w:t>属</w:t>
      </w:r>
      <w:r>
        <w:rPr>
          <w:rFonts w:hint="eastAsia" w:ascii="方正仿宋_GB2312" w:hAnsi="方正仿宋_GB2312" w:eastAsia="方正仿宋_GB2312" w:cs="方正仿宋_GB2312"/>
          <w:color w:val="000000"/>
          <w:sz w:val="32"/>
          <w:szCs w:val="32"/>
          <w:lang w:eastAsia="zh-CN"/>
        </w:rPr>
        <w:t>二级单位</w:t>
      </w:r>
      <w:r>
        <w:rPr>
          <w:rFonts w:hint="eastAsia" w:ascii="方正仿宋_GB2312" w:hAnsi="方正仿宋_GB2312" w:eastAsia="方正仿宋_GB2312" w:cs="方正仿宋_GB2312"/>
          <w:color w:val="000000"/>
          <w:sz w:val="32"/>
          <w:szCs w:val="32"/>
          <w:lang w:val="en-US" w:eastAsia="zh-CN"/>
        </w:rPr>
        <w:t>0个，其中行政单位0个，参照公务员法管理的事业单位0个，其他事业单位0个。</w:t>
      </w:r>
    </w:p>
    <w:p w14:paraId="0C2553A0">
      <w:pPr>
        <w:pStyle w:val="2"/>
        <w:rPr>
          <w:rFonts w:hint="eastAsia" w:ascii="方正仿宋_GB2312" w:hAnsi="方正仿宋_GB2312" w:eastAsia="方正仿宋_GB2312" w:cs="方正仿宋_GB2312"/>
          <w:color w:val="000000"/>
          <w:sz w:val="32"/>
          <w:szCs w:val="32"/>
          <w:lang w:val="en-US" w:eastAsia="zh-CN"/>
        </w:rPr>
      </w:pPr>
    </w:p>
    <w:p w14:paraId="75430AFC">
      <w:pPr>
        <w:pStyle w:val="3"/>
        <w:rPr>
          <w:rFonts w:hint="eastAsia" w:ascii="方正仿宋_GB2312" w:hAnsi="方正仿宋_GB2312" w:eastAsia="方正仿宋_GB2312" w:cs="方正仿宋_GB2312"/>
          <w:color w:val="000000"/>
          <w:sz w:val="32"/>
          <w:szCs w:val="32"/>
          <w:lang w:val="en-US" w:eastAsia="zh-CN"/>
        </w:rPr>
      </w:pPr>
    </w:p>
    <w:p w14:paraId="4D12F002">
      <w:pPr>
        <w:pStyle w:val="3"/>
        <w:rPr>
          <w:rFonts w:hint="eastAsia" w:ascii="方正仿宋_GB2312" w:hAnsi="方正仿宋_GB2312" w:eastAsia="方正仿宋_GB2312" w:cs="方正仿宋_GB2312"/>
          <w:color w:val="000000"/>
          <w:sz w:val="32"/>
          <w:szCs w:val="32"/>
          <w:lang w:val="en-US" w:eastAsia="zh-CN"/>
        </w:rPr>
      </w:pPr>
    </w:p>
    <w:p w14:paraId="67AD6CA8">
      <w:pPr>
        <w:pStyle w:val="3"/>
        <w:rPr>
          <w:rFonts w:hint="eastAsia" w:ascii="方正仿宋_GB2312" w:hAnsi="方正仿宋_GB2312" w:eastAsia="方正仿宋_GB2312" w:cs="方正仿宋_GB2312"/>
          <w:color w:val="000000"/>
          <w:sz w:val="32"/>
          <w:szCs w:val="32"/>
          <w:lang w:val="en-US" w:eastAsia="zh-CN"/>
        </w:rPr>
      </w:pPr>
    </w:p>
    <w:p w14:paraId="73DF203D">
      <w:pPr>
        <w:pStyle w:val="3"/>
        <w:rPr>
          <w:rFonts w:hint="eastAsia" w:ascii="方正仿宋_GB2312" w:hAnsi="方正仿宋_GB2312" w:eastAsia="方正仿宋_GB2312" w:cs="方正仿宋_GB2312"/>
          <w:color w:val="000000"/>
          <w:sz w:val="32"/>
          <w:szCs w:val="32"/>
          <w:lang w:val="en-US" w:eastAsia="zh-CN"/>
        </w:rPr>
      </w:pPr>
    </w:p>
    <w:p w14:paraId="0AFBCB0D">
      <w:pPr>
        <w:pStyle w:val="3"/>
        <w:rPr>
          <w:rFonts w:hint="eastAsia" w:ascii="方正仿宋_GB2312" w:hAnsi="方正仿宋_GB2312" w:eastAsia="方正仿宋_GB2312" w:cs="方正仿宋_GB2312"/>
          <w:color w:val="000000"/>
          <w:sz w:val="32"/>
          <w:szCs w:val="32"/>
          <w:lang w:val="en-US" w:eastAsia="zh-CN"/>
        </w:rPr>
      </w:pPr>
    </w:p>
    <w:p w14:paraId="08B3C474">
      <w:pPr>
        <w:pStyle w:val="3"/>
        <w:rPr>
          <w:rFonts w:hint="eastAsia" w:ascii="方正仿宋_GB2312" w:hAnsi="方正仿宋_GB2312" w:eastAsia="方正仿宋_GB2312" w:cs="方正仿宋_GB2312"/>
          <w:color w:val="000000"/>
          <w:sz w:val="32"/>
          <w:szCs w:val="32"/>
          <w:lang w:val="en-US" w:eastAsia="zh-CN"/>
        </w:rPr>
      </w:pPr>
    </w:p>
    <w:p w14:paraId="30017031">
      <w:pPr>
        <w:pStyle w:val="3"/>
        <w:rPr>
          <w:rFonts w:hint="eastAsia" w:ascii="方正仿宋_GB2312" w:hAnsi="方正仿宋_GB2312" w:eastAsia="方正仿宋_GB2312" w:cs="方正仿宋_GB2312"/>
          <w:color w:val="000000"/>
          <w:sz w:val="32"/>
          <w:szCs w:val="32"/>
          <w:lang w:val="en-US" w:eastAsia="zh-CN"/>
        </w:rPr>
      </w:pPr>
    </w:p>
    <w:p w14:paraId="6B56B7E0">
      <w:pPr>
        <w:pStyle w:val="3"/>
        <w:rPr>
          <w:rFonts w:hint="eastAsia" w:ascii="方正仿宋_GB2312" w:hAnsi="方正仿宋_GB2312" w:eastAsia="方正仿宋_GB2312" w:cs="方正仿宋_GB2312"/>
          <w:color w:val="000000"/>
          <w:sz w:val="32"/>
          <w:szCs w:val="32"/>
          <w:lang w:val="en-US" w:eastAsia="zh-CN"/>
        </w:rPr>
      </w:pPr>
    </w:p>
    <w:p w14:paraId="4B0107CA">
      <w:pPr>
        <w:pStyle w:val="3"/>
        <w:rPr>
          <w:rFonts w:hint="eastAsia" w:ascii="方正仿宋_GB2312" w:hAnsi="方正仿宋_GB2312" w:eastAsia="方正仿宋_GB2312" w:cs="方正仿宋_GB2312"/>
          <w:color w:val="000000"/>
          <w:sz w:val="32"/>
          <w:szCs w:val="32"/>
          <w:lang w:val="en-US" w:eastAsia="zh-CN"/>
        </w:rPr>
      </w:pPr>
    </w:p>
    <w:p w14:paraId="0B1DC7BC">
      <w:pPr>
        <w:pStyle w:val="3"/>
        <w:rPr>
          <w:rFonts w:hint="eastAsia" w:ascii="方正仿宋_GB2312" w:hAnsi="方正仿宋_GB2312" w:eastAsia="方正仿宋_GB2312" w:cs="方正仿宋_GB2312"/>
          <w:color w:val="000000"/>
          <w:sz w:val="32"/>
          <w:szCs w:val="32"/>
          <w:lang w:val="en-US" w:eastAsia="zh-CN"/>
        </w:rPr>
      </w:pPr>
    </w:p>
    <w:p w14:paraId="1132DBE7">
      <w:pPr>
        <w:pStyle w:val="3"/>
        <w:rPr>
          <w:rFonts w:hint="eastAsia" w:ascii="方正仿宋_GB2312" w:hAnsi="方正仿宋_GB2312" w:eastAsia="方正仿宋_GB2312" w:cs="方正仿宋_GB2312"/>
          <w:color w:val="000000"/>
          <w:sz w:val="32"/>
          <w:szCs w:val="32"/>
          <w:lang w:val="en-US" w:eastAsia="zh-CN"/>
        </w:rPr>
      </w:pPr>
    </w:p>
    <w:p w14:paraId="35167EE2">
      <w:pPr>
        <w:pStyle w:val="5"/>
        <w:jc w:val="center"/>
        <w:rPr>
          <w:rFonts w:hint="eastAsia" w:ascii="方正小标宋简体" w:hAnsi="方正小标宋简体" w:eastAsia="方正小标宋简体" w:cs="方正小标宋简体"/>
          <w:b w:val="0"/>
          <w:bCs w:val="0"/>
        </w:rPr>
      </w:pPr>
      <w:bookmarkStart w:id="26" w:name="_Toc111208498"/>
      <w:bookmarkStart w:id="27" w:name="_Toc9058"/>
      <w:r>
        <w:rPr>
          <w:rFonts w:hint="eastAsia" w:ascii="方正小标宋简体" w:hAnsi="方正小标宋简体" w:eastAsia="方正小标宋简体" w:cs="方正小标宋简体"/>
          <w:b w:val="0"/>
          <w:bCs w:val="0"/>
        </w:rPr>
        <w:t xml:space="preserve">第二部分 </w:t>
      </w:r>
      <w:r>
        <w:rPr>
          <w:rFonts w:hint="eastAsia" w:ascii="方正小标宋简体" w:hAnsi="方正小标宋简体" w:eastAsia="方正小标宋简体" w:cs="方正小标宋简体"/>
          <w:u w:color="auto"/>
        </w:rPr>
        <w:t>2024年度</w:t>
      </w:r>
      <w:r>
        <w:rPr>
          <w:rFonts w:hint="eastAsia" w:ascii="方正小标宋简体" w:hAnsi="方正小标宋简体" w:eastAsia="方正小标宋简体" w:cs="方正小标宋简体"/>
          <w:b w:val="0"/>
          <w:bCs w:val="0"/>
          <w:lang w:val="en-US" w:eastAsia="zh-CN"/>
        </w:rPr>
        <w:t>部门</w:t>
      </w:r>
      <w:r>
        <w:rPr>
          <w:rFonts w:hint="eastAsia" w:ascii="方正小标宋简体" w:hAnsi="方正小标宋简体" w:eastAsia="方正小标宋简体" w:cs="方正小标宋简体"/>
          <w:b w:val="0"/>
          <w:bCs w:val="0"/>
        </w:rPr>
        <w:t>决算情况说明</w:t>
      </w:r>
      <w:bookmarkEnd w:id="19"/>
      <w:bookmarkEnd w:id="26"/>
      <w:bookmarkEnd w:id="27"/>
    </w:p>
    <w:p w14:paraId="627BB545">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7F405413">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u w:color="auto"/>
        </w:rPr>
        <w:t>年度收入、支出总计均为95.17</w:t>
      </w:r>
      <w:r>
        <w:rPr>
          <w:rFonts w:hint="eastAsia" w:ascii="方正仿宋_GB2312" w:hAnsi="方正仿宋_GB2312" w:eastAsia="方正仿宋_GB2312" w:cs="方正仿宋_GB2312"/>
          <w:color w:val="000000"/>
          <w:sz w:val="32"/>
          <w:szCs w:val="32"/>
        </w:rPr>
        <w:t>万元。与</w:t>
      </w:r>
      <w:r>
        <w:rPr>
          <w:rFonts w:hint="eastAsia" w:ascii="方正仿宋_GB2312" w:hAnsi="方正仿宋_GB2312" w:eastAsia="方正仿宋_GB2312" w:cs="方正仿宋_GB2312"/>
          <w:color w:val="000000"/>
          <w:sz w:val="32"/>
          <w:u w:color="auto"/>
        </w:rPr>
        <w:t>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相比，收入、支出总计各</w:t>
      </w:r>
      <w:r>
        <w:rPr>
          <w:rFonts w:hint="eastAsia" w:ascii="方正仿宋_GB2312" w:hAnsi="方正仿宋_GB2312" w:eastAsia="方正仿宋_GB2312" w:cs="方正仿宋_GB2312"/>
          <w:color w:val="000000"/>
          <w:sz w:val="32"/>
          <w:u w:color="auto"/>
        </w:rPr>
        <w:t>减少2.22万元，下降2.3%。主要变动原因是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rPr>
        <w:t xml:space="preserve">人员减少。 </w:t>
      </w:r>
    </w:p>
    <w:p w14:paraId="4E4CC8FD">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1692910"/>
            <wp:effectExtent l="4445" t="4445" r="15240" b="952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59615">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Cs w:val="0"/>
          <w:color w:val="000000"/>
        </w:rPr>
      </w:pPr>
      <w:bookmarkStart w:id="31" w:name="_Toc15377206"/>
      <w:bookmarkStart w:id="32" w:name="_Toc8125"/>
      <w:bookmarkStart w:id="33" w:name="_Toc111208500"/>
      <w:r>
        <w:rPr>
          <w:rFonts w:hint="eastAsia" w:ascii="黑体" w:hAnsi="黑体" w:eastAsia="黑体" w:cs="黑体"/>
          <w:b w:val="0"/>
          <w:bCs/>
          <w:color w:val="000000"/>
        </w:rPr>
        <w:t>二、收入决算情况说明</w:t>
      </w:r>
      <w:bookmarkEnd w:id="31"/>
      <w:bookmarkEnd w:id="32"/>
      <w:bookmarkEnd w:id="33"/>
    </w:p>
    <w:p w14:paraId="0C9C53A3">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本年收入合计</w:t>
      </w:r>
      <w:r>
        <w:rPr>
          <w:rFonts w:hint="eastAsia" w:ascii="方正仿宋_GB2312" w:hAnsi="方正仿宋_GB2312" w:eastAsia="方正仿宋_GB2312" w:cs="方正仿宋_GB2312"/>
          <w:color w:val="000000"/>
          <w:sz w:val="32"/>
          <w:u w:color="auto"/>
        </w:rPr>
        <w:t>95.17万元</w:t>
      </w:r>
      <w:r>
        <w:rPr>
          <w:rFonts w:hint="eastAsia" w:ascii="方正仿宋_GB2312" w:hAnsi="方正仿宋_GB2312" w:eastAsia="方正仿宋_GB2312" w:cs="方正仿宋_GB2312"/>
          <w:color w:val="000000"/>
          <w:sz w:val="32"/>
          <w:szCs w:val="32"/>
          <w:lang w:val="en-US" w:eastAsia="zh-CN"/>
        </w:rPr>
        <w:t>，其中:一般公共预算财政拨款收入65.22万元，占68.5%；事业收入29.96万元，占31.5%</w:t>
      </w:r>
      <w:r>
        <w:rPr>
          <w:rFonts w:hint="eastAsia" w:ascii="方正仿宋_GB2312" w:hAnsi="方正仿宋_GB2312" w:eastAsia="方正仿宋_GB2312" w:cs="方正仿宋_GB2312"/>
          <w:color w:val="000000"/>
          <w:sz w:val="32"/>
          <w:szCs w:val="32"/>
        </w:rPr>
        <w:t>。</w:t>
      </w:r>
    </w:p>
    <w:p w14:paraId="78607DE4">
      <w:pPr>
        <w:pStyle w:val="17"/>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4876165" cy="1901825"/>
            <wp:effectExtent l="4445" t="4445" r="1143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9741D8">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34" w:name="_Toc111208501"/>
      <w:bookmarkStart w:id="35" w:name="_Toc15377207"/>
      <w:bookmarkStart w:id="36" w:name="_Toc28283"/>
      <w:r>
        <w:rPr>
          <w:rFonts w:hint="eastAsia" w:ascii="黑体" w:hAnsi="黑体" w:eastAsia="黑体" w:cs="黑体"/>
          <w:b w:val="0"/>
          <w:bCs/>
          <w:color w:val="000000"/>
        </w:rPr>
        <w:t>三、支出决算情况说明</w:t>
      </w:r>
      <w:bookmarkEnd w:id="34"/>
      <w:bookmarkEnd w:id="35"/>
      <w:bookmarkEnd w:id="36"/>
    </w:p>
    <w:p w14:paraId="2303209F">
      <w:pPr>
        <w:pStyle w:val="8"/>
        <w:pageBreakBefore w:val="0"/>
        <w:widowControl w:val="0"/>
        <w:kinsoku/>
        <w:wordWrap/>
        <w:overflowPunct/>
        <w:topLinePunct w:val="0"/>
        <w:autoSpaceDE/>
        <w:autoSpaceDN/>
        <w:bidi w:val="0"/>
        <w:adjustRightInd/>
        <w:snapToGrid/>
        <w:spacing w:before="0" w:beforeLines="0" w:line="360" w:lineRule="auto"/>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本年支出合计</w:t>
      </w:r>
      <w:r>
        <w:rPr>
          <w:rFonts w:hint="eastAsia" w:ascii="方正仿宋_GB2312" w:hAnsi="方正仿宋_GB2312" w:eastAsia="方正仿宋_GB2312" w:cs="方正仿宋_GB2312"/>
          <w:color w:val="000000"/>
          <w:sz w:val="32"/>
          <w:u w:color="auto"/>
        </w:rPr>
        <w:t>95.17万元</w:t>
      </w:r>
      <w:r>
        <w:rPr>
          <w:rFonts w:hint="eastAsia" w:ascii="方正仿宋_GB2312" w:hAnsi="方正仿宋_GB2312" w:eastAsia="方正仿宋_GB2312" w:cs="方正仿宋_GB2312"/>
          <w:color w:val="000000"/>
          <w:sz w:val="32"/>
          <w:szCs w:val="32"/>
          <w:lang w:val="en-US" w:eastAsia="zh-CN"/>
        </w:rPr>
        <w:t>，其中:基本支出95.17万元，占100%</w:t>
      </w:r>
      <w:r>
        <w:rPr>
          <w:rFonts w:hint="eastAsia" w:ascii="方正仿宋_GB2312" w:hAnsi="方正仿宋_GB2312" w:eastAsia="方正仿宋_GB2312" w:cs="方正仿宋_GB2312"/>
          <w:color w:val="000000"/>
          <w:sz w:val="32"/>
          <w:szCs w:val="32"/>
        </w:rPr>
        <w:t>。</w:t>
      </w:r>
      <w:r>
        <w:rPr>
          <w:rFonts w:hint="eastAsia" w:ascii="思源黑体 CN Normal" w:hAnsi="思源黑体 CN Normal" w:eastAsia="思源黑体 CN Normal" w:cs="思源黑体 CN Normal"/>
          <w:color w:val="FF0000"/>
          <w:sz w:val="32"/>
          <w:szCs w:val="32"/>
        </w:rPr>
        <w:drawing>
          <wp:inline distT="0" distB="0" distL="114300" distR="114300">
            <wp:extent cx="5304155" cy="2362200"/>
            <wp:effectExtent l="4445" t="4445" r="1016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0EA38F">
      <w:pPr>
        <w:jc w:val="center"/>
        <w:rPr>
          <w:rFonts w:hint="eastAsia" w:ascii="思源黑体 CN Normal" w:hAnsi="思源黑体 CN Normal" w:eastAsia="思源黑体 CN Normal" w:cs="思源黑体 CN Normal"/>
          <w:color w:val="FF0000"/>
          <w:sz w:val="32"/>
          <w:szCs w:val="32"/>
        </w:rPr>
      </w:pPr>
    </w:p>
    <w:p w14:paraId="46D3A157">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37" w:name="_Toc111208502"/>
      <w:bookmarkStart w:id="38" w:name="_Toc15377208"/>
      <w:bookmarkStart w:id="39" w:name="_Toc19521"/>
      <w:r>
        <w:rPr>
          <w:rFonts w:hint="eastAsia" w:ascii="黑体" w:hAnsi="黑体" w:eastAsia="黑体" w:cs="黑体"/>
          <w:b w:val="0"/>
          <w:bCs/>
          <w:color w:val="000000"/>
        </w:rPr>
        <w:t>四、财政拨款收入支出决算总体情况说明</w:t>
      </w:r>
      <w:bookmarkEnd w:id="37"/>
      <w:bookmarkEnd w:id="38"/>
      <w:bookmarkEnd w:id="39"/>
    </w:p>
    <w:p w14:paraId="7E4E84F7">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财政拨款收</w:t>
      </w:r>
      <w:r>
        <w:rPr>
          <w:rFonts w:hint="eastAsia" w:ascii="方正仿宋_GB2312" w:hAnsi="方正仿宋_GB2312" w:eastAsia="方正仿宋_GB2312" w:cs="方正仿宋_GB2312"/>
          <w:color w:val="000000"/>
          <w:sz w:val="32"/>
          <w:szCs w:val="32"/>
          <w:lang w:val="en-US" w:eastAsia="zh-CN"/>
        </w:rPr>
        <w:t>入</w:t>
      </w:r>
      <w:r>
        <w:rPr>
          <w:rFonts w:hint="eastAsia" w:ascii="方正仿宋_GB2312" w:hAnsi="方正仿宋_GB2312" w:eastAsia="方正仿宋_GB2312" w:cs="方正仿宋_GB2312"/>
          <w:color w:val="000000"/>
          <w:sz w:val="32"/>
          <w:szCs w:val="32"/>
        </w:rPr>
        <w:t>、支</w:t>
      </w:r>
      <w:r>
        <w:rPr>
          <w:rFonts w:hint="eastAsia" w:ascii="方正仿宋_GB2312" w:hAnsi="方正仿宋_GB2312" w:eastAsia="方正仿宋_GB2312" w:cs="方正仿宋_GB2312"/>
          <w:color w:val="000000"/>
          <w:sz w:val="32"/>
          <w:szCs w:val="32"/>
          <w:lang w:val="en-US" w:eastAsia="zh-CN"/>
        </w:rPr>
        <w:t>出</w:t>
      </w:r>
      <w:r>
        <w:rPr>
          <w:rFonts w:hint="eastAsia" w:ascii="方正仿宋_GB2312" w:hAnsi="方正仿宋_GB2312" w:eastAsia="方正仿宋_GB2312" w:cs="方正仿宋_GB2312"/>
          <w:color w:val="000000"/>
          <w:sz w:val="32"/>
          <w:szCs w:val="32"/>
        </w:rPr>
        <w:t>总计均为</w:t>
      </w:r>
      <w:r>
        <w:rPr>
          <w:rFonts w:hint="eastAsia" w:ascii="方正仿宋_GB2312" w:hAnsi="方正仿宋_GB2312" w:eastAsia="方正仿宋_GB2312" w:cs="方正仿宋_GB2312"/>
          <w:color w:val="000000"/>
          <w:sz w:val="32"/>
          <w:u w:color="auto"/>
        </w:rPr>
        <w:t>65.22万元。与2023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相比，财政拨款收</w:t>
      </w:r>
      <w:r>
        <w:rPr>
          <w:rFonts w:hint="eastAsia" w:ascii="方正仿宋_GB2312" w:hAnsi="方正仿宋_GB2312" w:eastAsia="方正仿宋_GB2312" w:cs="方正仿宋_GB2312"/>
          <w:color w:val="000000"/>
          <w:sz w:val="32"/>
          <w:szCs w:val="32"/>
          <w:lang w:val="en-US" w:eastAsia="zh-CN"/>
        </w:rPr>
        <w:t>入</w:t>
      </w:r>
      <w:r>
        <w:rPr>
          <w:rFonts w:hint="eastAsia" w:ascii="方正仿宋_GB2312" w:hAnsi="方正仿宋_GB2312" w:eastAsia="方正仿宋_GB2312" w:cs="方正仿宋_GB2312"/>
          <w:color w:val="000000"/>
          <w:sz w:val="32"/>
          <w:szCs w:val="32"/>
        </w:rPr>
        <w:t>、支</w:t>
      </w:r>
      <w:r>
        <w:rPr>
          <w:rFonts w:hint="eastAsia" w:ascii="方正仿宋_GB2312" w:hAnsi="方正仿宋_GB2312" w:eastAsia="方正仿宋_GB2312" w:cs="方正仿宋_GB2312"/>
          <w:color w:val="000000"/>
          <w:sz w:val="32"/>
          <w:szCs w:val="32"/>
          <w:lang w:val="en-US" w:eastAsia="zh-CN"/>
        </w:rPr>
        <w:t>出</w:t>
      </w:r>
      <w:r>
        <w:rPr>
          <w:rFonts w:hint="eastAsia" w:ascii="方正仿宋_GB2312" w:hAnsi="方正仿宋_GB2312" w:eastAsia="方正仿宋_GB2312" w:cs="方正仿宋_GB2312"/>
          <w:color w:val="000000"/>
          <w:sz w:val="32"/>
          <w:szCs w:val="32"/>
        </w:rPr>
        <w:t>总计各</w:t>
      </w:r>
      <w:r>
        <w:rPr>
          <w:rFonts w:hint="eastAsia" w:ascii="方正仿宋_GB2312" w:hAnsi="方正仿宋_GB2312" w:eastAsia="方正仿宋_GB2312" w:cs="方正仿宋_GB2312"/>
          <w:color w:val="000000"/>
          <w:sz w:val="32"/>
          <w:u w:color="auto"/>
        </w:rPr>
        <w:t>减少5.65万元，下降8%。主要变动原因是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lang w:eastAsia="zh-CN"/>
        </w:rPr>
        <w:t>在职人员减少</w:t>
      </w:r>
      <w:r>
        <w:rPr>
          <w:rFonts w:hint="eastAsia" w:ascii="方正仿宋_GB2312" w:hAnsi="方正仿宋_GB2312" w:eastAsia="方正仿宋_GB2312" w:cs="方正仿宋_GB2312"/>
          <w:color w:val="000000"/>
          <w:sz w:val="32"/>
          <w:u w:color="auto"/>
        </w:rPr>
        <w:t xml:space="preserve">。 </w:t>
      </w:r>
    </w:p>
    <w:p w14:paraId="39A73AF1">
      <w:pPr>
        <w:pStyle w:val="8"/>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1914525"/>
            <wp:effectExtent l="4445" t="4445" r="508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1B9D67">
      <w:pPr>
        <w:pStyle w:val="6"/>
        <w:pageBreakBefore w:val="0"/>
        <w:widowControl w:val="0"/>
        <w:numPr>
          <w:ilvl w:val="0"/>
          <w:numId w:val="1"/>
        </w:numPr>
        <w:kinsoku/>
        <w:wordWrap/>
        <w:overflowPunct/>
        <w:topLinePunct w:val="0"/>
        <w:autoSpaceDE/>
        <w:autoSpaceDN/>
        <w:bidi w:val="0"/>
        <w:adjustRightInd/>
        <w:snapToGrid/>
        <w:spacing w:before="0" w:after="0" w:line="360" w:lineRule="auto"/>
        <w:ind w:firstLine="640" w:firstLineChars="200"/>
        <w:textAlignment w:val="auto"/>
        <w:rPr>
          <w:rFonts w:hint="eastAsia" w:ascii="楷体" w:hAnsi="楷体" w:eastAsia="楷体" w:cs="楷体"/>
          <w:b/>
          <w:color w:val="000000"/>
          <w:sz w:val="32"/>
          <w:szCs w:val="32"/>
        </w:rPr>
      </w:pPr>
      <w:bookmarkStart w:id="40" w:name="_Toc15377209"/>
      <w:bookmarkStart w:id="41" w:name="_Toc14368"/>
      <w:bookmarkStart w:id="42" w:name="_Toc111208503"/>
      <w:r>
        <w:rPr>
          <w:rFonts w:hint="eastAsia" w:ascii="黑体" w:hAnsi="黑体" w:eastAsia="黑体" w:cs="黑体"/>
          <w:b w:val="0"/>
          <w:bCs/>
          <w:color w:val="000000"/>
        </w:rPr>
        <w:t>一般公共预算财政拨款支出决算情况说</w:t>
      </w:r>
      <w:bookmarkEnd w:id="40"/>
      <w:r>
        <w:rPr>
          <w:rFonts w:hint="eastAsia" w:ascii="黑体" w:hAnsi="黑体" w:eastAsia="黑体" w:cs="黑体"/>
          <w:b w:val="0"/>
          <w:bCs/>
          <w:color w:val="000000"/>
        </w:rPr>
        <w:t>明</w:t>
      </w:r>
      <w:bookmarkEnd w:id="41"/>
      <w:bookmarkEnd w:id="42"/>
      <w:bookmarkStart w:id="43" w:name="_Toc15377210"/>
    </w:p>
    <w:p w14:paraId="68F35173">
      <w:pPr>
        <w:pStyle w:val="6"/>
        <w:pageBreakBefore w:val="0"/>
        <w:widowControl w:val="0"/>
        <w:numPr>
          <w:numId w:val="0"/>
        </w:numPr>
        <w:kinsoku/>
        <w:wordWrap/>
        <w:overflowPunct/>
        <w:topLinePunct w:val="0"/>
        <w:autoSpaceDE/>
        <w:autoSpaceDN/>
        <w:bidi w:val="0"/>
        <w:adjustRightInd/>
        <w:snapToGrid/>
        <w:spacing w:before="0" w:after="0" w:line="360" w:lineRule="auto"/>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（一）一般公共预算财政拨款支出决算总体情况</w:t>
      </w:r>
      <w:bookmarkEnd w:id="43"/>
    </w:p>
    <w:p w14:paraId="4879787D">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b/>
          <w:color w:val="000000"/>
          <w:sz w:val="32"/>
          <w:szCs w:val="32"/>
          <w:lang w:val="en-US" w:eastAsia="zh-CN"/>
        </w:rPr>
      </w:pPr>
      <w:bookmarkStart w:id="44" w:name="_Toc15377211"/>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一般公共预算财政拨款支出</w:t>
      </w:r>
      <w:r>
        <w:rPr>
          <w:rFonts w:hint="eastAsia" w:ascii="方正仿宋_GB2312" w:hAnsi="方正仿宋_GB2312" w:eastAsia="方正仿宋_GB2312" w:cs="方正仿宋_GB2312"/>
          <w:color w:val="000000"/>
          <w:sz w:val="32"/>
          <w:u w:color="auto"/>
        </w:rPr>
        <w:t>65.22万元，占本年支出合计的68.5%。与2023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相比，一般公共预算财政拨款</w:t>
      </w:r>
      <w:r>
        <w:rPr>
          <w:rFonts w:hint="eastAsia" w:ascii="方正仿宋_GB2312" w:hAnsi="方正仿宋_GB2312" w:eastAsia="方正仿宋_GB2312" w:cs="方正仿宋_GB2312"/>
          <w:color w:val="000000"/>
          <w:sz w:val="32"/>
          <w:u w:color="auto"/>
        </w:rPr>
        <w:t>减少5.65万元，下降8%。主要变动原因是</w:t>
      </w:r>
      <w:r>
        <w:rPr>
          <w:rFonts w:hint="eastAsia" w:ascii="方正仿宋_GB2312" w:hAnsi="方正仿宋_GB2312" w:eastAsia="方正仿宋_GB2312" w:cs="方正仿宋_GB2312"/>
          <w:color w:val="000000"/>
          <w:sz w:val="32"/>
          <w:u w:color="auto"/>
          <w:lang w:val="en-US" w:eastAsia="zh-CN"/>
        </w:rPr>
        <w:t>:</w:t>
      </w:r>
      <w:r>
        <w:rPr>
          <w:rFonts w:hint="eastAsia" w:ascii="方正仿宋_GB2312" w:hAnsi="方正仿宋_GB2312" w:eastAsia="方正仿宋_GB2312" w:cs="方正仿宋_GB2312"/>
          <w:color w:val="000000"/>
          <w:sz w:val="32"/>
          <w:u w:color="auto"/>
          <w:lang w:eastAsia="zh-CN"/>
        </w:rPr>
        <w:t>在职人员减少</w:t>
      </w:r>
      <w:r>
        <w:rPr>
          <w:rFonts w:hint="eastAsia" w:ascii="方正仿宋_GB2312" w:hAnsi="方正仿宋_GB2312" w:eastAsia="方正仿宋_GB2312" w:cs="方正仿宋_GB2312"/>
          <w:color w:val="000000"/>
          <w:sz w:val="32"/>
          <w:u w:color="auto"/>
        </w:rPr>
        <w:t xml:space="preserve">。 </w:t>
      </w:r>
    </w:p>
    <w:p w14:paraId="28598475">
      <w:pPr>
        <w:pStyle w:val="8"/>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2055495"/>
            <wp:effectExtent l="4445" t="4445" r="508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85C381">
      <w:pPr>
        <w:spacing w:line="600" w:lineRule="exact"/>
        <w:ind w:firstLine="643" w:firstLineChars="200"/>
        <w:outlineLvl w:val="2"/>
        <w:rPr>
          <w:rFonts w:hint="eastAsia" w:ascii="楷体" w:hAnsi="楷体" w:eastAsia="楷体" w:cs="楷体"/>
          <w:b/>
          <w:color w:val="000000"/>
          <w:sz w:val="32"/>
          <w:szCs w:val="32"/>
          <w:lang w:eastAsia="zh-CN"/>
        </w:rPr>
      </w:pPr>
      <w:r>
        <w:rPr>
          <w:rFonts w:hint="eastAsia" w:ascii="楷体" w:hAnsi="楷体" w:eastAsia="楷体" w:cs="楷体"/>
          <w:b/>
          <w:color w:val="000000"/>
          <w:sz w:val="32"/>
          <w:szCs w:val="32"/>
        </w:rPr>
        <w:t>（二）一般公共预算财政拨款支出决算结构情况</w:t>
      </w:r>
      <w:bookmarkEnd w:id="44"/>
    </w:p>
    <w:p w14:paraId="1826F6AD">
      <w:pPr>
        <w:spacing w:line="600" w:lineRule="exact"/>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一般公共预算财政拨款支出</w:t>
      </w:r>
      <w:r>
        <w:rPr>
          <w:rFonts w:hint="eastAsia" w:ascii="方正仿宋_GB2312" w:hAnsi="方正仿宋_GB2312" w:eastAsia="方正仿宋_GB2312" w:cs="方正仿宋_GB2312"/>
          <w:color w:val="000000"/>
          <w:sz w:val="32"/>
          <w:u w:color="auto"/>
        </w:rPr>
        <w:t>65.22万元，主要用于以下方面: 文化旅游体育与传媒支出65.22万元，占100%。</w:t>
      </w:r>
    </w:p>
    <w:p w14:paraId="143BFC4A">
      <w:pPr>
        <w:pStyle w:val="8"/>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1447800"/>
            <wp:effectExtent l="4445" t="4445" r="571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155D3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45"/>
    </w:p>
    <w:p w14:paraId="12BF9F5C">
      <w:pPr>
        <w:spacing w:line="600" w:lineRule="exact"/>
        <w:ind w:firstLine="640"/>
        <w:rPr>
          <w:rFonts w:hint="eastAsia" w:ascii="方正仿宋_GB2312" w:hAnsi="方正仿宋_GB2312" w:eastAsia="方正仿宋_GB2312" w:cs="方正仿宋_GB2312"/>
          <w:color w:val="000000"/>
          <w:sz w:val="32"/>
          <w:szCs w:val="32"/>
        </w:rPr>
      </w:pPr>
      <w:bookmarkStart w:id="46" w:name="_Toc15377444"/>
      <w:bookmarkStart w:id="47" w:name="_Toc15378460"/>
      <w:bookmarkStart w:id="48" w:name="_Toc15377213"/>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一般公共预算支出决算数为</w:t>
      </w:r>
      <w:r>
        <w:rPr>
          <w:rFonts w:hint="eastAsia" w:ascii="方正仿宋_GB2312" w:hAnsi="方正仿宋_GB2312" w:eastAsia="方正仿宋_GB2312" w:cs="方正仿宋_GB2312"/>
          <w:color w:val="000000"/>
          <w:sz w:val="32"/>
          <w:u w:color="auto"/>
        </w:rPr>
        <w:t>65.22万元，完成预算100%。其中：</w:t>
      </w:r>
      <w:bookmarkEnd w:id="46"/>
      <w:bookmarkEnd w:id="47"/>
      <w:bookmarkEnd w:id="48"/>
    </w:p>
    <w:p w14:paraId="3C455063">
      <w:pPr>
        <w:spacing w:line="60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文化旅游体育与传媒支出（</w:t>
      </w:r>
      <w:r>
        <w:rPr>
          <w:rFonts w:hint="eastAsia" w:ascii="方正仿宋_GB2312" w:hAnsi="方正仿宋_GB2312" w:eastAsia="方正仿宋_GB2312" w:cs="方正仿宋_GB2312"/>
          <w:color w:val="000000"/>
          <w:sz w:val="32"/>
          <w:szCs w:val="32"/>
          <w:lang w:val="en-US" w:eastAsia="zh-CN"/>
        </w:rPr>
        <w:t>207</w:t>
      </w:r>
      <w:r>
        <w:rPr>
          <w:rFonts w:hint="eastAsia" w:ascii="方正仿宋_GB2312" w:hAnsi="方正仿宋_GB2312" w:eastAsia="方正仿宋_GB2312" w:cs="方正仿宋_GB2312"/>
          <w:color w:val="000000"/>
          <w:sz w:val="32"/>
          <w:szCs w:val="32"/>
        </w:rPr>
        <w:t>）新闻出版电影（</w:t>
      </w:r>
      <w:r>
        <w:rPr>
          <w:rFonts w:hint="eastAsia" w:ascii="方正仿宋_GB2312" w:hAnsi="方正仿宋_GB2312" w:eastAsia="方正仿宋_GB2312" w:cs="方正仿宋_GB2312"/>
          <w:color w:val="000000"/>
          <w:sz w:val="32"/>
          <w:szCs w:val="32"/>
          <w:lang w:val="en-US" w:eastAsia="zh-CN"/>
        </w:rPr>
        <w:t>06</w:t>
      </w:r>
      <w:r>
        <w:rPr>
          <w:rFonts w:hint="eastAsia" w:ascii="方正仿宋_GB2312" w:hAnsi="方正仿宋_GB2312" w:eastAsia="方正仿宋_GB2312" w:cs="方正仿宋_GB2312"/>
          <w:color w:val="000000"/>
          <w:sz w:val="32"/>
          <w:szCs w:val="32"/>
        </w:rPr>
        <w:t>）出版发行（</w:t>
      </w:r>
      <w:r>
        <w:rPr>
          <w:rFonts w:hint="eastAsia" w:ascii="方正仿宋_GB2312" w:hAnsi="方正仿宋_GB2312" w:eastAsia="方正仿宋_GB2312" w:cs="方正仿宋_GB2312"/>
          <w:color w:val="000000"/>
          <w:sz w:val="32"/>
          <w:szCs w:val="32"/>
          <w:lang w:val="en-US" w:eastAsia="zh-CN"/>
        </w:rPr>
        <w:t>05</w:t>
      </w:r>
      <w:r>
        <w:rPr>
          <w:rFonts w:hint="eastAsia" w:ascii="方正仿宋_GB2312" w:hAnsi="方正仿宋_GB2312" w:eastAsia="方正仿宋_GB2312" w:cs="方正仿宋_GB2312"/>
          <w:color w:val="000000"/>
          <w:sz w:val="32"/>
          <w:szCs w:val="32"/>
        </w:rPr>
        <w:t>）:支出决算65.22万元，完成预算100%</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决算数与预算数持平</w:t>
      </w:r>
      <w:r>
        <w:rPr>
          <w:rFonts w:hint="eastAsia" w:ascii="方正仿宋_GB2312" w:hAnsi="方正仿宋_GB2312" w:eastAsia="方正仿宋_GB2312" w:cs="方正仿宋_GB2312"/>
          <w:color w:val="000000"/>
          <w:sz w:val="32"/>
          <w:szCs w:val="32"/>
        </w:rPr>
        <w:t>。</w:t>
      </w:r>
    </w:p>
    <w:p w14:paraId="346486A2">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color w:val="000000"/>
        </w:rPr>
      </w:pPr>
      <w:bookmarkStart w:id="49" w:name="_Toc15377214"/>
      <w:bookmarkStart w:id="50" w:name="_Toc111208504"/>
      <w:bookmarkStart w:id="51" w:name="_Toc31578"/>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0AA5C180">
      <w:pPr>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一般公共预算财政拨款基本支出</w:t>
      </w:r>
      <w:r>
        <w:rPr>
          <w:rFonts w:hint="eastAsia" w:ascii="方正仿宋_GB2312" w:hAnsi="方正仿宋_GB2312" w:eastAsia="方正仿宋_GB2312" w:cs="方正仿宋_GB2312"/>
          <w:color w:val="000000"/>
          <w:sz w:val="32"/>
          <w:u w:color="auto"/>
        </w:rPr>
        <w:t>65.22万元，其中：</w:t>
      </w:r>
    </w:p>
    <w:p w14:paraId="53D334D2">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人员经费</w:t>
      </w:r>
      <w:r>
        <w:rPr>
          <w:rFonts w:hint="eastAsia" w:ascii="方正仿宋_GB2312" w:hAnsi="方正仿宋_GB2312" w:eastAsia="方正仿宋_GB2312" w:cs="方正仿宋_GB2312"/>
          <w:color w:val="000000"/>
          <w:sz w:val="32"/>
          <w:u w:color="auto"/>
        </w:rPr>
        <w:t>65.22万元，主要包括：基本工资17.15万元、津贴补贴2.43万元、绩效工资34.98万元、其他社会保障缴费1.18万元、生活补助9.48万元。</w:t>
      </w:r>
    </w:p>
    <w:p w14:paraId="51DF8EC4">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52" w:name="_Toc6614"/>
      <w:bookmarkStart w:id="53" w:name="_Toc15377215"/>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14:paraId="02317E64">
      <w:pPr>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楷体" w:hAnsi="楷体" w:eastAsia="楷体" w:cs="楷体"/>
          <w:b/>
          <w:color w:val="000000"/>
          <w:sz w:val="32"/>
          <w:szCs w:val="32"/>
        </w:rPr>
      </w:pPr>
      <w:bookmarkStart w:id="55" w:name="_Toc15377216"/>
      <w:r>
        <w:rPr>
          <w:rFonts w:hint="eastAsia" w:ascii="楷体" w:hAnsi="楷体" w:eastAsia="楷体" w:cs="楷体"/>
          <w:b/>
          <w:color w:val="000000"/>
          <w:sz w:val="32"/>
          <w:szCs w:val="32"/>
        </w:rPr>
        <w:t>（一）“三公”经费财政拨款支出决算总体情况说明</w:t>
      </w:r>
      <w:bookmarkEnd w:id="55"/>
    </w:p>
    <w:p w14:paraId="64B66377">
      <w:pPr>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“三公”经费财政拨款支出决算为</w:t>
      </w:r>
      <w:r>
        <w:rPr>
          <w:rFonts w:hint="eastAsia" w:ascii="方正仿宋_GB2312" w:hAnsi="方正仿宋_GB2312" w:eastAsia="方正仿宋_GB2312" w:cs="方正仿宋_GB2312"/>
          <w:color w:val="000000"/>
          <w:sz w:val="32"/>
          <w:u w:color="auto"/>
        </w:rPr>
        <w:t>0万元，完成预算0%。</w:t>
      </w:r>
      <w:bookmarkStart w:id="56" w:name="_Toc15377217"/>
    </w:p>
    <w:p w14:paraId="54BD25B7">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56"/>
    </w:p>
    <w:p w14:paraId="25B8785F">
      <w:pPr>
        <w:spacing w:line="600" w:lineRule="exact"/>
        <w:ind w:firstLine="640" w:firstLineChars="200"/>
        <w:rPr>
          <w:rFonts w:hint="eastAsia" w:ascii="方正仿宋_GB2312" w:hAnsi="方正仿宋_GB2312" w:eastAsia="方正仿宋_GB2312" w:cs="方正仿宋_GB2312"/>
          <w:color w:val="000000"/>
          <w:sz w:val="32"/>
          <w:szCs w:val="32"/>
        </w:rPr>
      </w:pPr>
      <w:bookmarkStart w:id="91" w:name="_GoBack"/>
      <w:bookmarkEnd w:id="91"/>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“三公”经费财政拨款支出</w:t>
      </w:r>
      <w:r>
        <w:rPr>
          <w:rFonts w:hint="eastAsia" w:ascii="方正仿宋_GB2312" w:hAnsi="方正仿宋_GB2312" w:eastAsia="方正仿宋_GB2312" w:cs="方正仿宋_GB2312"/>
          <w:color w:val="000000"/>
          <w:sz w:val="32"/>
          <w:u w:color="auto"/>
        </w:rPr>
        <w:t>0万元，因公出国（境）费支出决算0万元，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；公务用车购置及运行维护费支出决算0万元，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；公务接待费支出决算0万元，</w:t>
      </w:r>
      <w:r>
        <w:rPr>
          <w:rFonts w:hint="eastAsia" w:ascii="方正仿宋_GB2312" w:hAnsi="方正仿宋_GB2312" w:eastAsia="方正仿宋_GB2312" w:cs="方正仿宋_GB2312"/>
          <w:color w:val="000000"/>
          <w:sz w:val="32"/>
          <w:u w:color="auto"/>
          <w:lang w:eastAsia="zh-CN"/>
        </w:rPr>
        <w:t>无变化</w:t>
      </w:r>
      <w:r>
        <w:rPr>
          <w:rFonts w:hint="eastAsia" w:ascii="方正仿宋_GB2312" w:hAnsi="方正仿宋_GB2312" w:eastAsia="方正仿宋_GB2312" w:cs="方正仿宋_GB2312"/>
          <w:color w:val="000000"/>
          <w:sz w:val="32"/>
          <w:u w:color="auto"/>
        </w:rPr>
        <w:t>。具体情况如下：</w:t>
      </w:r>
    </w:p>
    <w:p w14:paraId="5D779E77">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067560"/>
            <wp:effectExtent l="4445" t="4445" r="571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0BABC8">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1.因公出国（境）经费支出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 xml:space="preserve">万元,完成预算100%。全年安排因公出国（境）团组0次，出国（境）0人。因公出国（境）支出决算比2023年增加0万元，增长0%。 </w:t>
      </w:r>
    </w:p>
    <w:p w14:paraId="29D84A9E">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2.公务用车购置及运行维护费支出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万元,完成预算</w:t>
      </w:r>
      <w:r>
        <w:rPr>
          <w:rFonts w:hint="eastAsia" w:ascii="方正仿宋_GB2312" w:hAnsi="方正仿宋_GB2312" w:eastAsia="方正仿宋_GB2312" w:cs="方正仿宋_GB2312"/>
          <w:color w:val="000000"/>
          <w:sz w:val="32"/>
          <w:u w:color="auto"/>
          <w:lang w:val="en-US" w:eastAsia="zh-CN"/>
        </w:rPr>
        <w:t>10</w:t>
      </w:r>
      <w:r>
        <w:rPr>
          <w:rFonts w:hint="eastAsia" w:ascii="方正仿宋_GB2312" w:hAnsi="方正仿宋_GB2312" w:eastAsia="方正仿宋_GB2312" w:cs="方正仿宋_GB2312"/>
          <w:color w:val="000000"/>
          <w:sz w:val="32"/>
          <w:u w:color="auto"/>
        </w:rPr>
        <w:t>0%。公务用车购置及运行维护费支出决算比2023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增加0</w:t>
      </w:r>
      <w:r>
        <w:rPr>
          <w:rFonts w:hint="eastAsia" w:ascii="方正仿宋_GB2312" w:hAnsi="方正仿宋_GB2312" w:eastAsia="方正仿宋_GB2312" w:cs="方正仿宋_GB2312"/>
          <w:color w:val="000000"/>
          <w:sz w:val="32"/>
          <w:u w:color="auto"/>
        </w:rPr>
        <w:t xml:space="preserve">万元，增长0%。 </w:t>
      </w:r>
    </w:p>
    <w:p w14:paraId="4D2D716C">
      <w:pPr>
        <w:spacing w:line="600" w:lineRule="exact"/>
        <w:ind w:firstLine="640" w:firstLineChars="200"/>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color w:val="000000"/>
          <w:sz w:val="32"/>
          <w:szCs w:val="32"/>
          <w:highlight w:val="none"/>
        </w:rPr>
        <w:t>其中：</w:t>
      </w:r>
      <w:r>
        <w:rPr>
          <w:rFonts w:hint="eastAsia" w:ascii="方正仿宋_GB2312" w:hAnsi="方正仿宋_GB2312" w:eastAsia="方正仿宋_GB2312" w:cs="方正仿宋_GB2312"/>
          <w:b/>
          <w:bCs/>
          <w:color w:val="000000"/>
          <w:sz w:val="32"/>
          <w:szCs w:val="32"/>
          <w:highlight w:val="none"/>
        </w:rPr>
        <w:t>公务用车购置支出</w:t>
      </w:r>
      <w:r>
        <w:rPr>
          <w:rFonts w:hint="eastAsia" w:ascii="方正仿宋_GB2312" w:hAnsi="方正仿宋_GB2312" w:eastAsia="方正仿宋_GB2312" w:cs="方正仿宋_GB2312"/>
          <w:color w:val="000000"/>
          <w:sz w:val="32"/>
          <w:szCs w:val="32"/>
          <w:highlight w:val="none"/>
        </w:rPr>
        <w:t>0</w:t>
      </w:r>
      <w:r>
        <w:rPr>
          <w:rFonts w:hint="eastAsia" w:ascii="方正仿宋_GB2312" w:hAnsi="方正仿宋_GB2312" w:eastAsia="方正仿宋_GB2312" w:cs="方正仿宋_GB2312"/>
          <w:color w:val="000000"/>
          <w:sz w:val="32"/>
          <w:highlight w:val="none"/>
          <w:u w:color="auto"/>
        </w:rPr>
        <w:t>万元。全年按规定更新购置公务用车</w:t>
      </w:r>
      <w:r>
        <w:rPr>
          <w:rFonts w:hint="eastAsia" w:ascii="方正仿宋_GB2312" w:hAnsi="方正仿宋_GB2312" w:eastAsia="方正仿宋_GB2312" w:cs="方正仿宋_GB2312"/>
          <w:color w:val="000000"/>
          <w:sz w:val="32"/>
          <w:highlight w:val="none"/>
          <w:u w:color="auto"/>
          <w:lang w:val="en-US" w:eastAsia="zh-CN"/>
        </w:rPr>
        <w:t>0</w:t>
      </w:r>
      <w:r>
        <w:rPr>
          <w:rFonts w:hint="eastAsia" w:ascii="方正仿宋_GB2312" w:hAnsi="方正仿宋_GB2312" w:eastAsia="方正仿宋_GB2312" w:cs="方正仿宋_GB2312"/>
          <w:color w:val="000000"/>
          <w:sz w:val="32"/>
          <w:szCs w:val="32"/>
          <w:highlight w:val="none"/>
        </w:rPr>
        <w:t>辆，其中：轿车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万元，越野车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万元，载客汽车</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辆、金额</w:t>
      </w:r>
      <w:r>
        <w:rPr>
          <w:rFonts w:hint="eastAsia" w:ascii="方正仿宋_GB2312" w:hAnsi="方正仿宋_GB2312" w:eastAsia="方正仿宋_GB2312" w:cs="方正仿宋_GB2312"/>
          <w:color w:val="000000"/>
          <w:sz w:val="32"/>
          <w:szCs w:val="32"/>
          <w:highlight w:val="none"/>
          <w:lang w:val="en-US" w:eastAsia="zh-CN"/>
        </w:rPr>
        <w:t>0</w:t>
      </w:r>
      <w:r>
        <w:rPr>
          <w:rFonts w:hint="eastAsia" w:ascii="方正仿宋_GB2312" w:hAnsi="方正仿宋_GB2312" w:eastAsia="方正仿宋_GB2312" w:cs="方正仿宋_GB2312"/>
          <w:color w:val="000000"/>
          <w:sz w:val="32"/>
          <w:szCs w:val="32"/>
          <w:highlight w:val="none"/>
        </w:rPr>
        <w:t>万元。截至</w:t>
      </w:r>
      <w:r>
        <w:rPr>
          <w:rFonts w:hint="eastAsia" w:ascii="方正仿宋_GB2312" w:hAnsi="方正仿宋_GB2312" w:eastAsia="方正仿宋_GB2312" w:cs="方正仿宋_GB2312"/>
          <w:color w:val="000000"/>
          <w:sz w:val="32"/>
          <w:highlight w:val="none"/>
          <w:u w:color="auto"/>
        </w:rPr>
        <w:t>2024年12</w:t>
      </w:r>
      <w:r>
        <w:rPr>
          <w:rFonts w:hint="eastAsia" w:ascii="方正仿宋_GB2312" w:hAnsi="方正仿宋_GB2312" w:eastAsia="方正仿宋_GB2312" w:cs="方正仿宋_GB2312"/>
          <w:b w:val="0"/>
          <w:bCs w:val="0"/>
          <w:color w:val="000000"/>
          <w:sz w:val="32"/>
          <w:highlight w:val="none"/>
          <w:u w:color="auto"/>
        </w:rPr>
        <w:t>月</w:t>
      </w:r>
      <w:r>
        <w:rPr>
          <w:rFonts w:hint="eastAsia" w:ascii="方正仿宋_GB2312" w:hAnsi="方正仿宋_GB2312" w:eastAsia="方正仿宋_GB2312" w:cs="方正仿宋_GB2312"/>
          <w:b w:val="0"/>
          <w:bCs w:val="0"/>
          <w:color w:val="000000"/>
          <w:sz w:val="32"/>
          <w:szCs w:val="32"/>
          <w:highlight w:val="none"/>
          <w:lang w:val="en-US" w:eastAsia="zh-CN"/>
        </w:rPr>
        <w:t>31日</w:t>
      </w:r>
      <w:r>
        <w:rPr>
          <w:rFonts w:hint="eastAsia" w:ascii="方正仿宋_GB2312" w:hAnsi="方正仿宋_GB2312" w:eastAsia="方正仿宋_GB2312" w:cs="方正仿宋_GB2312"/>
          <w:b w:val="0"/>
          <w:bCs w:val="0"/>
          <w:color w:val="000000"/>
          <w:sz w:val="32"/>
          <w:szCs w:val="32"/>
          <w:highlight w:val="none"/>
        </w:rPr>
        <w:t>，单位共有公务用车</w:t>
      </w:r>
      <w:r>
        <w:rPr>
          <w:rFonts w:hint="eastAsia" w:ascii="方正仿宋_GB2312" w:hAnsi="方正仿宋_GB2312" w:eastAsia="方正仿宋_GB2312" w:cs="方正仿宋_GB2312"/>
          <w:b w:val="0"/>
          <w:bCs w:val="0"/>
          <w:color w:val="000000"/>
          <w:sz w:val="32"/>
          <w:highlight w:val="none"/>
          <w:u w:color="auto"/>
        </w:rPr>
        <w:t>2辆，其中：轿车</w:t>
      </w:r>
      <w:r>
        <w:rPr>
          <w:rFonts w:hint="eastAsia" w:ascii="方正仿宋_GB2312" w:hAnsi="方正仿宋_GB2312" w:eastAsia="方正仿宋_GB2312" w:cs="方正仿宋_GB2312"/>
          <w:b w:val="0"/>
          <w:bCs w:val="0"/>
          <w:color w:val="000000"/>
          <w:sz w:val="32"/>
          <w:highlight w:val="none"/>
          <w:u w:color="auto"/>
          <w:lang w:val="en-US" w:eastAsia="zh-CN"/>
        </w:rPr>
        <w:t>0</w:t>
      </w:r>
      <w:r>
        <w:rPr>
          <w:rFonts w:hint="eastAsia" w:ascii="方正仿宋_GB2312" w:hAnsi="方正仿宋_GB2312" w:eastAsia="方正仿宋_GB2312" w:cs="方正仿宋_GB2312"/>
          <w:b w:val="0"/>
          <w:bCs w:val="0"/>
          <w:color w:val="000000"/>
          <w:sz w:val="32"/>
          <w:szCs w:val="32"/>
          <w:highlight w:val="none"/>
        </w:rPr>
        <w:t>辆、越野车</w:t>
      </w:r>
      <w:r>
        <w:rPr>
          <w:rFonts w:hint="eastAsia" w:ascii="方正仿宋_GB2312" w:hAnsi="方正仿宋_GB2312" w:eastAsia="方正仿宋_GB2312" w:cs="方正仿宋_GB2312"/>
          <w:b w:val="0"/>
          <w:bCs w:val="0"/>
          <w:color w:val="000000"/>
          <w:sz w:val="32"/>
          <w:szCs w:val="32"/>
          <w:highlight w:val="none"/>
          <w:lang w:val="en-US" w:eastAsia="zh-CN"/>
        </w:rPr>
        <w:t>0</w:t>
      </w:r>
      <w:r>
        <w:rPr>
          <w:rFonts w:hint="eastAsia" w:ascii="方正仿宋_GB2312" w:hAnsi="方正仿宋_GB2312" w:eastAsia="方正仿宋_GB2312" w:cs="方正仿宋_GB2312"/>
          <w:b w:val="0"/>
          <w:bCs w:val="0"/>
          <w:color w:val="000000"/>
          <w:sz w:val="32"/>
          <w:szCs w:val="32"/>
          <w:highlight w:val="none"/>
        </w:rPr>
        <w:t>辆、载客汽车</w:t>
      </w:r>
      <w:r>
        <w:rPr>
          <w:rFonts w:hint="eastAsia" w:ascii="方正仿宋_GB2312" w:hAnsi="方正仿宋_GB2312" w:eastAsia="方正仿宋_GB2312" w:cs="方正仿宋_GB2312"/>
          <w:b w:val="0"/>
          <w:bCs w:val="0"/>
          <w:color w:val="000000"/>
          <w:sz w:val="32"/>
          <w:szCs w:val="32"/>
          <w:highlight w:val="none"/>
          <w:lang w:val="en-US" w:eastAsia="zh-CN"/>
        </w:rPr>
        <w:t>1</w:t>
      </w:r>
      <w:r>
        <w:rPr>
          <w:rFonts w:hint="eastAsia" w:ascii="方正仿宋_GB2312" w:hAnsi="方正仿宋_GB2312" w:eastAsia="方正仿宋_GB2312" w:cs="方正仿宋_GB2312"/>
          <w:b w:val="0"/>
          <w:bCs w:val="0"/>
          <w:color w:val="000000"/>
          <w:sz w:val="32"/>
          <w:szCs w:val="32"/>
          <w:highlight w:val="none"/>
        </w:rPr>
        <w:t>辆</w:t>
      </w:r>
      <w:r>
        <w:rPr>
          <w:rFonts w:hint="eastAsia" w:ascii="方正仿宋_GB2312" w:hAnsi="方正仿宋_GB2312" w:eastAsia="方正仿宋_GB2312" w:cs="方正仿宋_GB2312"/>
          <w:b w:val="0"/>
          <w:bCs w:val="0"/>
          <w:color w:val="000000"/>
          <w:sz w:val="32"/>
          <w:szCs w:val="32"/>
          <w:highlight w:val="none"/>
          <w:lang w:val="en-US" w:eastAsia="zh-CN"/>
        </w:rPr>
        <w:t>。</w:t>
      </w:r>
    </w:p>
    <w:p w14:paraId="672CD620">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公务用车运行维护费支出</w:t>
      </w:r>
      <w:r>
        <w:rPr>
          <w:rFonts w:hint="eastAsia" w:ascii="方正仿宋_GB2312" w:hAnsi="方正仿宋_GB2312" w:eastAsia="方正仿宋_GB2312" w:cs="方正仿宋_GB2312"/>
          <w:b w:val="0"/>
          <w:bCs w:val="0"/>
          <w:color w:val="000000"/>
          <w:sz w:val="32"/>
          <w:szCs w:val="32"/>
        </w:rPr>
        <w:t>0</w:t>
      </w:r>
      <w:r>
        <w:rPr>
          <w:rFonts w:hint="eastAsia" w:ascii="方正仿宋_GB2312" w:hAnsi="方正仿宋_GB2312" w:eastAsia="方正仿宋_GB2312" w:cs="方正仿宋_GB2312"/>
          <w:b w:val="0"/>
          <w:bCs w:val="0"/>
          <w:color w:val="000000"/>
          <w:sz w:val="32"/>
          <w:u w:color="auto"/>
        </w:rPr>
        <w:t>万元。</w:t>
      </w:r>
      <w:r>
        <w:rPr>
          <w:rFonts w:hint="eastAsia" w:ascii="方正仿宋_GB2312" w:hAnsi="方正仿宋_GB2312" w:eastAsia="方正仿宋_GB2312" w:cs="方正仿宋_GB2312"/>
          <w:color w:val="000000"/>
          <w:sz w:val="32"/>
          <w:u w:color="auto"/>
        </w:rPr>
        <w:t xml:space="preserve"> </w:t>
      </w:r>
    </w:p>
    <w:p w14:paraId="2444E188">
      <w:pPr>
        <w:spacing w:line="600" w:lineRule="exact"/>
        <w:ind w:firstLine="64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rPr>
        <w:t>3.公务接待费支出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万元，完成预算</w:t>
      </w:r>
      <w:r>
        <w:rPr>
          <w:rFonts w:hint="eastAsia" w:ascii="方正仿宋_GB2312" w:hAnsi="方正仿宋_GB2312" w:eastAsia="方正仿宋_GB2312" w:cs="方正仿宋_GB2312"/>
          <w:color w:val="000000"/>
          <w:sz w:val="32"/>
          <w:u w:color="auto"/>
          <w:lang w:val="en-US" w:eastAsia="zh-CN"/>
        </w:rPr>
        <w:t>10</w:t>
      </w:r>
      <w:r>
        <w:rPr>
          <w:rFonts w:hint="eastAsia" w:ascii="方正仿宋_GB2312" w:hAnsi="方正仿宋_GB2312" w:eastAsia="方正仿宋_GB2312" w:cs="方正仿宋_GB2312"/>
          <w:color w:val="000000"/>
          <w:sz w:val="32"/>
          <w:u w:color="auto"/>
        </w:rPr>
        <w:t>0%。公务接待费支出决算比2023</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增加0</w:t>
      </w:r>
      <w:r>
        <w:rPr>
          <w:rFonts w:hint="eastAsia" w:ascii="方正仿宋_GB2312" w:hAnsi="方正仿宋_GB2312" w:eastAsia="方正仿宋_GB2312" w:cs="方正仿宋_GB2312"/>
          <w:color w:val="000000"/>
          <w:sz w:val="32"/>
          <w:u w:color="auto"/>
        </w:rPr>
        <w:t>万元，增长0%。</w:t>
      </w:r>
      <w:bookmarkStart w:id="57" w:name="_Toc15377218"/>
    </w:p>
    <w:p w14:paraId="5ED95E2D">
      <w:pPr>
        <w:spacing w:line="600" w:lineRule="exact"/>
        <w:ind w:firstLine="64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rPr>
        <w:t>国内公务接待支出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万元，主要用于执行公务、开展业务活动开支的交通费、住宿费、用餐费等。国内公务接待0批次，0人次（不包括陪同人员），共计支出0万元</w:t>
      </w:r>
      <w:r>
        <w:rPr>
          <w:rFonts w:hint="eastAsia" w:ascii="方正仿宋_GB2312" w:hAnsi="方正仿宋_GB2312" w:eastAsia="方正仿宋_GB2312" w:cs="方正仿宋_GB2312"/>
          <w:color w:val="000000"/>
          <w:sz w:val="32"/>
          <w:u w:color="auto"/>
          <w:lang w:eastAsia="zh-CN"/>
        </w:rPr>
        <w:t>。</w:t>
      </w:r>
    </w:p>
    <w:p w14:paraId="05111410">
      <w:pPr>
        <w:pStyle w:val="8"/>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外事接待支出</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万元。外事接待0批次，0人次（不包括陪同人员），共计支出0万元。</w:t>
      </w:r>
    </w:p>
    <w:p w14:paraId="22DBD911">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14:paraId="70E77F01">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政府性基金支出</w:t>
      </w:r>
      <w:bookmarkStart w:id="60" w:name="_Toc15377219"/>
      <w:r>
        <w:rPr>
          <w:rFonts w:hint="eastAsia" w:ascii="方正仿宋_GB2312" w:hAnsi="方正仿宋_GB2312" w:eastAsia="方正仿宋_GB2312" w:cs="方正仿宋_GB2312"/>
          <w:color w:val="000000"/>
          <w:sz w:val="32"/>
          <w:szCs w:val="32"/>
        </w:rPr>
        <w:t>。</w:t>
      </w:r>
      <w:r>
        <w:rPr>
          <w:rFonts w:ascii="仿宋" w:hAnsi="仿宋" w:eastAsia="仿宋" w:cs="仿宋"/>
          <w:color w:val="000000"/>
          <w:sz w:val="32"/>
          <w:u w:color="auto"/>
        </w:rPr>
        <w:t xml:space="preserve"> </w:t>
      </w:r>
    </w:p>
    <w:p w14:paraId="6A02044E">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61" w:name="_Toc23467"/>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14:paraId="74D790D6">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国有资本经营预算支出。</w:t>
      </w:r>
      <w:r>
        <w:rPr>
          <w:rFonts w:hint="eastAsia" w:ascii="方正仿宋_GB2312" w:hAnsi="方正仿宋_GB2312" w:eastAsia="方正仿宋_GB2312" w:cs="方正仿宋_GB2312"/>
          <w:color w:val="000000"/>
          <w:sz w:val="32"/>
          <w:u w:color="auto"/>
        </w:rPr>
        <w:t xml:space="preserve"> </w:t>
      </w:r>
    </w:p>
    <w:p w14:paraId="2A1DBE00">
      <w:pPr>
        <w:pStyle w:val="6"/>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color w:val="000000"/>
        </w:rPr>
      </w:pPr>
      <w:bookmarkStart w:id="63" w:name="_Toc111208508"/>
      <w:bookmarkStart w:id="64" w:name="_Toc15377221"/>
      <w:bookmarkStart w:id="65" w:name="_Toc18455"/>
      <w:r>
        <w:rPr>
          <w:rFonts w:hint="eastAsia" w:ascii="黑体" w:hAnsi="黑体" w:eastAsia="黑体" w:cs="黑体"/>
          <w:b w:val="0"/>
          <w:bCs/>
          <w:color w:val="000000"/>
        </w:rPr>
        <w:t>十、其他重要事项的情况说明</w:t>
      </w:r>
      <w:bookmarkEnd w:id="63"/>
      <w:bookmarkEnd w:id="64"/>
      <w:bookmarkEnd w:id="65"/>
    </w:p>
    <w:p w14:paraId="3125742A">
      <w:pPr>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楷体" w:hAnsi="楷体" w:eastAsia="楷体" w:cs="楷体"/>
          <w:b/>
          <w:color w:val="000000"/>
          <w:sz w:val="32"/>
          <w:szCs w:val="32"/>
        </w:rPr>
      </w:pPr>
      <w:bookmarkStart w:id="66" w:name="_Toc15377222"/>
      <w:r>
        <w:rPr>
          <w:rFonts w:hint="eastAsia" w:ascii="楷体" w:hAnsi="楷体" w:eastAsia="楷体" w:cs="楷体"/>
          <w:b/>
          <w:color w:val="000000"/>
          <w:sz w:val="32"/>
          <w:szCs w:val="32"/>
        </w:rPr>
        <w:t>（一）机关运行经费支出情况</w:t>
      </w:r>
      <w:bookmarkEnd w:id="66"/>
    </w:p>
    <w:p w14:paraId="494E611F">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年度无</w:t>
      </w:r>
      <w:r>
        <w:rPr>
          <w:rFonts w:hint="eastAsia" w:ascii="方正仿宋_GB2312" w:hAnsi="方正仿宋_GB2312" w:eastAsia="方正仿宋_GB2312" w:cs="方正仿宋_GB2312"/>
          <w:color w:val="000000"/>
          <w:sz w:val="32"/>
          <w:szCs w:val="32"/>
        </w:rPr>
        <w:t>机关运行经费</w:t>
      </w:r>
      <w:r>
        <w:rPr>
          <w:rFonts w:hint="eastAsia" w:ascii="方正仿宋_GB2312" w:hAnsi="方正仿宋_GB2312" w:eastAsia="方正仿宋_GB2312" w:cs="方正仿宋_GB2312"/>
          <w:color w:val="000000"/>
          <w:sz w:val="32"/>
          <w:u w:color="auto"/>
        </w:rPr>
        <w:t>。</w:t>
      </w:r>
    </w:p>
    <w:p w14:paraId="773008C3">
      <w:pPr>
        <w:spacing w:line="600" w:lineRule="exact"/>
        <w:ind w:firstLine="643" w:firstLineChars="200"/>
        <w:outlineLvl w:val="2"/>
        <w:rPr>
          <w:rFonts w:hint="eastAsia" w:ascii="楷体" w:hAnsi="楷体" w:eastAsia="楷体" w:cs="楷体"/>
          <w:b/>
          <w:color w:val="000000"/>
          <w:sz w:val="32"/>
          <w:szCs w:val="32"/>
        </w:rPr>
      </w:pPr>
      <w:bookmarkStart w:id="67" w:name="_Toc15377223"/>
      <w:r>
        <w:rPr>
          <w:rFonts w:hint="eastAsia" w:ascii="楷体" w:hAnsi="楷体" w:eastAsia="楷体" w:cs="楷体"/>
          <w:b/>
          <w:color w:val="000000"/>
          <w:sz w:val="32"/>
          <w:szCs w:val="32"/>
        </w:rPr>
        <w:t>（二）政府采购支出情况</w:t>
      </w:r>
      <w:bookmarkEnd w:id="67"/>
    </w:p>
    <w:p w14:paraId="6373EF4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2024</w:t>
      </w:r>
      <w:r>
        <w:rPr>
          <w:rFonts w:hint="eastAsia" w:ascii="方正仿宋_GB2312" w:hAnsi="方正仿宋_GB2312" w:eastAsia="方正仿宋_GB2312" w:cs="方正仿宋_GB2312"/>
          <w:color w:val="000000"/>
          <w:sz w:val="32"/>
          <w:szCs w:val="32"/>
          <w:lang w:val="en-US" w:eastAsia="zh-CN"/>
        </w:rPr>
        <w:t>年度</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u w:color="auto"/>
        </w:rPr>
        <w:t>茂县新华书店政府采购支出总额0万元，其中：政府采购货物支出0万元、政府采购工程支出0万元、政府采购服务支出0万元。授予中小企业合同金额0万元，</w:t>
      </w:r>
      <w:r>
        <w:rPr>
          <w:rFonts w:hint="eastAsia" w:ascii="方正仿宋_GB2312" w:hAnsi="方正仿宋_GB2312" w:eastAsia="方正仿宋_GB2312" w:cs="方正仿宋_GB2312"/>
          <w:color w:val="000000"/>
          <w:sz w:val="32"/>
          <w:szCs w:val="32"/>
          <w:lang w:val="en-US" w:eastAsia="zh-CN"/>
        </w:rPr>
        <w:t>占政府采购支出总额的</w:t>
      </w:r>
      <w:r>
        <w:rPr>
          <w:rFonts w:hint="eastAsia" w:ascii="方正仿宋_GB2312" w:hAnsi="方正仿宋_GB2312" w:eastAsia="方正仿宋_GB2312" w:cs="方正仿宋_GB2312"/>
          <w:color w:val="000000"/>
          <w:sz w:val="32"/>
          <w:u w:color="auto"/>
        </w:rPr>
        <w:t>0%,</w:t>
      </w:r>
      <w:r>
        <w:rPr>
          <w:rFonts w:hint="eastAsia" w:ascii="方正仿宋_GB2312" w:hAnsi="方正仿宋_GB2312" w:eastAsia="方正仿宋_GB2312" w:cs="方正仿宋_GB2312"/>
          <w:color w:val="000000"/>
          <w:sz w:val="32"/>
          <w:szCs w:val="32"/>
        </w:rPr>
        <w:t>其中：授予小微企业合同金额</w:t>
      </w:r>
      <w:r>
        <w:rPr>
          <w:rFonts w:hint="eastAsia" w:ascii="方正仿宋_GB2312" w:hAnsi="方正仿宋_GB2312" w:eastAsia="方正仿宋_GB2312" w:cs="方正仿宋_GB2312"/>
          <w:color w:val="000000"/>
          <w:sz w:val="32"/>
          <w:u w:color="auto"/>
        </w:rPr>
        <w:t>0万元，占</w:t>
      </w:r>
      <w:r>
        <w:rPr>
          <w:rFonts w:hint="eastAsia" w:ascii="方正仿宋_GB2312" w:hAnsi="方正仿宋_GB2312" w:eastAsia="方正仿宋_GB2312" w:cs="方正仿宋_GB2312"/>
          <w:color w:val="000000"/>
          <w:sz w:val="32"/>
          <w:szCs w:val="32"/>
          <w:lang w:val="en-US" w:eastAsia="zh-CN"/>
        </w:rPr>
        <w:t>政府采购支出总额</w:t>
      </w:r>
      <w:r>
        <w:rPr>
          <w:rFonts w:hint="eastAsia" w:ascii="方正仿宋_GB2312" w:hAnsi="方正仿宋_GB2312" w:eastAsia="方正仿宋_GB2312" w:cs="方正仿宋_GB2312"/>
          <w:color w:val="000000"/>
          <w:sz w:val="32"/>
          <w:szCs w:val="32"/>
        </w:rPr>
        <w:t>的</w:t>
      </w:r>
      <w:r>
        <w:rPr>
          <w:rFonts w:hint="eastAsia" w:ascii="方正仿宋_GB2312" w:hAnsi="方正仿宋_GB2312" w:eastAsia="方正仿宋_GB2312" w:cs="方正仿宋_GB2312"/>
          <w:color w:val="000000"/>
          <w:sz w:val="32"/>
          <w:u w:color="auto"/>
        </w:rPr>
        <w:t>0%。</w:t>
      </w:r>
    </w:p>
    <w:p w14:paraId="1B0B96C2">
      <w:pPr>
        <w:spacing w:line="600" w:lineRule="exact"/>
        <w:ind w:firstLine="643" w:firstLineChars="200"/>
        <w:outlineLvl w:val="2"/>
        <w:rPr>
          <w:rFonts w:hint="eastAsia" w:ascii="楷体" w:hAnsi="楷体" w:eastAsia="楷体" w:cs="楷体"/>
          <w:b/>
          <w:color w:val="000000"/>
          <w:sz w:val="32"/>
          <w:szCs w:val="32"/>
        </w:rPr>
      </w:pPr>
      <w:bookmarkStart w:id="68" w:name="_Toc15377224"/>
      <w:r>
        <w:rPr>
          <w:rFonts w:hint="eastAsia" w:ascii="楷体" w:hAnsi="楷体" w:eastAsia="楷体" w:cs="楷体"/>
          <w:b/>
          <w:color w:val="000000"/>
          <w:sz w:val="32"/>
          <w:szCs w:val="32"/>
        </w:rPr>
        <w:t>（三）国有资产占有使用情况</w:t>
      </w:r>
      <w:bookmarkEnd w:id="68"/>
    </w:p>
    <w:p w14:paraId="70C0145D">
      <w:pPr>
        <w:spacing w:line="600" w:lineRule="exact"/>
        <w:ind w:firstLine="640"/>
        <w:rPr>
          <w:rFonts w:hint="eastAsia" w:ascii="仿宋" w:hAnsi="仿宋" w:eastAsia="仿宋" w:cs="仿宋"/>
          <w:color w:val="000000"/>
          <w:sz w:val="32"/>
          <w:szCs w:val="32"/>
        </w:rPr>
      </w:pPr>
      <w:r>
        <w:rPr>
          <w:rFonts w:hint="eastAsia" w:ascii="方正仿宋_GB2312" w:hAnsi="方正仿宋_GB2312" w:eastAsia="方正仿宋_GB2312" w:cs="方正仿宋_GB2312"/>
          <w:color w:val="000000"/>
          <w:sz w:val="32"/>
          <w:szCs w:val="32"/>
        </w:rPr>
        <w:t>截至</w:t>
      </w:r>
      <w:r>
        <w:rPr>
          <w:rFonts w:hint="eastAsia" w:ascii="方正仿宋_GB2312" w:hAnsi="方正仿宋_GB2312" w:eastAsia="方正仿宋_GB2312" w:cs="方正仿宋_GB2312"/>
          <w:color w:val="000000"/>
          <w:sz w:val="32"/>
          <w:u w:color="auto"/>
        </w:rPr>
        <w:t>2024年12月31日，茂县新华书店共有车辆2辆，其中：主要领导干部用车0辆、机要通信用车0辆、应急保障用车2辆、其他用车0辆。单价100万元以上专用设备</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不含车辆</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0</w:t>
      </w:r>
      <w:r>
        <w:rPr>
          <w:rFonts w:hint="eastAsia" w:ascii="方正仿宋_GB2312" w:hAnsi="方正仿宋_GB2312" w:eastAsia="方正仿宋_GB2312" w:cs="方正仿宋_GB2312"/>
          <w:color w:val="000000"/>
          <w:sz w:val="32"/>
          <w:u w:color="auto"/>
        </w:rPr>
        <w:t>台（套）。</w:t>
      </w:r>
    </w:p>
    <w:p w14:paraId="710FC3B3">
      <w:pPr>
        <w:spacing w:line="600" w:lineRule="exact"/>
        <w:ind w:firstLine="643"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14:paraId="262438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仿宋" w:hAnsi="仿宋" w:eastAsia="仿宋" w:cs="仿宋"/>
          <w:sz w:val="32"/>
          <w:szCs w:val="32"/>
        </w:rPr>
        <w:t xml:space="preserve"> </w:t>
      </w:r>
      <w:r>
        <w:rPr>
          <w:rFonts w:hint="eastAsia" w:ascii="方正仿宋_GB2312" w:hAnsi="方正仿宋_GB2312" w:eastAsia="方正仿宋_GB2312" w:cs="方正仿宋_GB2312"/>
          <w:color w:val="auto"/>
          <w:sz w:val="32"/>
          <w:szCs w:val="32"/>
          <w:highlight w:val="none"/>
        </w:rPr>
        <w:t>根据预算绩效管理要求，本部门在</w:t>
      </w:r>
      <w:r>
        <w:rPr>
          <w:rFonts w:hint="eastAsia" w:ascii="方正仿宋_GB2312" w:hAnsi="方正仿宋_GB2312" w:eastAsia="方正仿宋_GB2312" w:cs="方正仿宋_GB2312"/>
          <w:color w:val="auto"/>
          <w:sz w:val="32"/>
          <w:szCs w:val="32"/>
          <w:highlight w:val="none"/>
          <w:lang w:val="en-US" w:eastAsia="zh-CN"/>
        </w:rPr>
        <w:t>2024年度</w:t>
      </w:r>
      <w:r>
        <w:rPr>
          <w:rFonts w:hint="eastAsia" w:ascii="方正仿宋_GB2312" w:hAnsi="方正仿宋_GB2312" w:eastAsia="方正仿宋_GB2312" w:cs="方正仿宋_GB2312"/>
          <w:color w:val="auto"/>
          <w:sz w:val="32"/>
          <w:szCs w:val="32"/>
          <w:highlight w:val="none"/>
        </w:rPr>
        <w:t>预算编制阶段，组织对</w:t>
      </w:r>
      <w:r>
        <w:rPr>
          <w:rFonts w:hint="eastAsia" w:ascii="方正仿宋_GB2312" w:hAnsi="方正仿宋_GB2312" w:eastAsia="方正仿宋_GB2312" w:cs="方正仿宋_GB2312"/>
          <w:color w:val="auto"/>
          <w:sz w:val="32"/>
          <w:szCs w:val="32"/>
          <w:highlight w:val="none"/>
          <w:lang w:val="en-US" w:eastAsia="zh-CN"/>
        </w:rPr>
        <w:t>9</w:t>
      </w:r>
      <w:r>
        <w:rPr>
          <w:rFonts w:hint="eastAsia" w:ascii="方正仿宋_GB2312" w:hAnsi="方正仿宋_GB2312" w:eastAsia="方正仿宋_GB2312" w:cs="方正仿宋_GB2312"/>
          <w:color w:val="auto"/>
          <w:sz w:val="32"/>
          <w:szCs w:val="32"/>
          <w:highlight w:val="none"/>
        </w:rPr>
        <w:t>个项目编制了绩效目标，预算执行过程中，选取</w:t>
      </w:r>
      <w:r>
        <w:rPr>
          <w:rFonts w:hint="eastAsia" w:ascii="方正仿宋_GB2312" w:hAnsi="方正仿宋_GB2312" w:eastAsia="方正仿宋_GB2312" w:cs="方正仿宋_GB2312"/>
          <w:color w:val="auto"/>
          <w:sz w:val="32"/>
          <w:szCs w:val="32"/>
          <w:highlight w:val="none"/>
          <w:lang w:val="en-US" w:eastAsia="zh-CN"/>
        </w:rPr>
        <w:t>9</w:t>
      </w:r>
      <w:r>
        <w:rPr>
          <w:rFonts w:hint="eastAsia" w:ascii="方正仿宋_GB2312" w:hAnsi="方正仿宋_GB2312" w:eastAsia="方正仿宋_GB2312" w:cs="方正仿宋_GB2312"/>
          <w:color w:val="auto"/>
          <w:sz w:val="32"/>
          <w:szCs w:val="32"/>
          <w:highlight w:val="none"/>
        </w:rPr>
        <w:t>个项目开展绩效监控</w:t>
      </w:r>
      <w:r>
        <w:rPr>
          <w:rFonts w:hint="eastAsia" w:ascii="方正仿宋_GB2312" w:hAnsi="方正仿宋_GB2312" w:eastAsia="方正仿宋_GB2312" w:cs="方正仿宋_GB2312"/>
          <w:color w:val="auto"/>
          <w:sz w:val="32"/>
          <w:szCs w:val="32"/>
          <w:highlight w:val="none"/>
          <w:lang w:val="en-US" w:eastAsia="zh-CN"/>
        </w:rPr>
        <w:t>,详见附件四。</w:t>
      </w:r>
    </w:p>
    <w:p w14:paraId="3F589C8C">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6E9DC537">
      <w:pPr>
        <w:pStyle w:val="2"/>
        <w:rPr>
          <w:rFonts w:hint="eastAsia" w:ascii="仿宋_GB2312" w:hAnsi="Times New Roman" w:eastAsia="仿宋_GB2312" w:cs="Times New Roman"/>
          <w:color w:val="auto"/>
          <w:sz w:val="32"/>
          <w:szCs w:val="32"/>
          <w:highlight w:val="none"/>
          <w:lang w:val="en-US" w:eastAsia="zh-CN"/>
        </w:rPr>
      </w:pPr>
    </w:p>
    <w:p w14:paraId="1C116336">
      <w:pPr>
        <w:pStyle w:val="3"/>
        <w:rPr>
          <w:rFonts w:hint="eastAsia" w:ascii="仿宋_GB2312" w:hAnsi="Times New Roman" w:eastAsia="仿宋_GB2312" w:cs="Times New Roman"/>
          <w:color w:val="auto"/>
          <w:sz w:val="32"/>
          <w:szCs w:val="32"/>
          <w:highlight w:val="none"/>
          <w:lang w:val="en-US" w:eastAsia="zh-CN"/>
        </w:rPr>
      </w:pPr>
    </w:p>
    <w:p w14:paraId="4B7944FB">
      <w:pPr>
        <w:pStyle w:val="3"/>
        <w:rPr>
          <w:rFonts w:hint="eastAsia" w:ascii="仿宋_GB2312" w:hAnsi="Times New Roman" w:eastAsia="仿宋_GB2312" w:cs="Times New Roman"/>
          <w:color w:val="auto"/>
          <w:sz w:val="32"/>
          <w:szCs w:val="32"/>
          <w:highlight w:val="none"/>
          <w:lang w:val="en-US" w:eastAsia="zh-CN"/>
        </w:rPr>
      </w:pPr>
    </w:p>
    <w:p w14:paraId="609F3DDB">
      <w:pPr>
        <w:pStyle w:val="3"/>
        <w:rPr>
          <w:rFonts w:hint="eastAsia" w:ascii="仿宋_GB2312" w:hAnsi="Times New Roman" w:eastAsia="仿宋_GB2312" w:cs="Times New Roman"/>
          <w:color w:val="auto"/>
          <w:sz w:val="32"/>
          <w:szCs w:val="32"/>
          <w:highlight w:val="none"/>
          <w:lang w:val="en-US" w:eastAsia="zh-CN"/>
        </w:rPr>
      </w:pPr>
    </w:p>
    <w:p w14:paraId="53D7252C">
      <w:pPr>
        <w:pStyle w:val="3"/>
        <w:rPr>
          <w:rFonts w:hint="eastAsia" w:ascii="仿宋_GB2312" w:hAnsi="Times New Roman" w:eastAsia="仿宋_GB2312" w:cs="Times New Roman"/>
          <w:color w:val="auto"/>
          <w:sz w:val="32"/>
          <w:szCs w:val="32"/>
          <w:highlight w:val="none"/>
          <w:lang w:val="en-US" w:eastAsia="zh-CN"/>
        </w:rPr>
      </w:pPr>
    </w:p>
    <w:p w14:paraId="2136515B">
      <w:pPr>
        <w:pStyle w:val="3"/>
        <w:rPr>
          <w:rFonts w:hint="eastAsia" w:ascii="仿宋_GB2312" w:hAnsi="Times New Roman" w:eastAsia="仿宋_GB2312" w:cs="Times New Roman"/>
          <w:color w:val="auto"/>
          <w:sz w:val="32"/>
          <w:szCs w:val="32"/>
          <w:highlight w:val="none"/>
          <w:lang w:val="en-US" w:eastAsia="zh-CN"/>
        </w:rPr>
      </w:pPr>
    </w:p>
    <w:p w14:paraId="24F52B2D">
      <w:pPr>
        <w:pStyle w:val="5"/>
        <w:jc w:val="center"/>
        <w:rPr>
          <w:rFonts w:hint="eastAsia" w:ascii="方正小标宋简体" w:hAnsi="方正小标宋简体" w:eastAsia="方正小标宋简体" w:cs="方正小标宋简体"/>
          <w:b w:val="0"/>
          <w:bCs w:val="0"/>
        </w:rPr>
      </w:pPr>
      <w:bookmarkStart w:id="69" w:name="_Toc15377225"/>
      <w:bookmarkStart w:id="70" w:name="_Toc111208509"/>
      <w:bookmarkStart w:id="71" w:name="_Toc18122"/>
      <w:r>
        <w:rPr>
          <w:rFonts w:hint="eastAsia" w:ascii="方正小标宋简体" w:hAnsi="方正小标宋简体" w:eastAsia="方正小标宋简体" w:cs="方正小标宋简体"/>
          <w:b w:val="0"/>
          <w:bCs w:val="0"/>
        </w:rPr>
        <w:t>第三部分 名词解释</w:t>
      </w:r>
      <w:bookmarkEnd w:id="69"/>
      <w:bookmarkEnd w:id="70"/>
      <w:bookmarkEnd w:id="71"/>
    </w:p>
    <w:p w14:paraId="4347C2DF">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1.财政拨款收入：</w:t>
      </w:r>
      <w:r>
        <w:rPr>
          <w:rFonts w:hint="eastAsia" w:ascii="方正仿宋_GB2312" w:hAnsi="方正仿宋_GB2312" w:eastAsia="方正仿宋_GB2312" w:cs="方正仿宋_GB2312"/>
          <w:color w:val="000000"/>
          <w:sz w:val="32"/>
          <w:szCs w:val="32"/>
        </w:rPr>
        <w:t>指单位从同级财政部门取得的财政预算资金。</w:t>
      </w:r>
    </w:p>
    <w:p w14:paraId="19185D04">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2.事业收入：</w:t>
      </w:r>
      <w:r>
        <w:rPr>
          <w:rFonts w:hint="eastAsia" w:ascii="方正仿宋_GB2312" w:hAnsi="方正仿宋_GB2312" w:eastAsia="方正仿宋_GB2312" w:cs="方正仿宋_GB2312"/>
          <w:color w:val="000000"/>
          <w:sz w:val="32"/>
          <w:szCs w:val="32"/>
        </w:rPr>
        <w:t>指事业单位开展专业业务活动及辅助活动取得的收入。</w:t>
      </w:r>
    </w:p>
    <w:p w14:paraId="30600B52">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3.经营收入：</w:t>
      </w:r>
      <w:r>
        <w:rPr>
          <w:rFonts w:hint="eastAsia" w:ascii="方正仿宋_GB2312" w:hAnsi="方正仿宋_GB2312" w:eastAsia="方正仿宋_GB2312" w:cs="方正仿宋_GB2312"/>
          <w:color w:val="000000"/>
          <w:sz w:val="32"/>
          <w:szCs w:val="32"/>
        </w:rPr>
        <w:t>指事业单位在专业业务活动及其辅助活动之外开展非独立核算经营活动取得的收入</w:t>
      </w:r>
    </w:p>
    <w:p w14:paraId="69BBE870">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4.其他收入：</w:t>
      </w:r>
      <w:r>
        <w:rPr>
          <w:rFonts w:hint="eastAsia" w:ascii="方正仿宋_GB2312" w:hAnsi="方正仿宋_GB2312" w:eastAsia="方正仿宋_GB2312" w:cs="方正仿宋_GB2312"/>
          <w:color w:val="000000"/>
          <w:sz w:val="32"/>
          <w:szCs w:val="32"/>
        </w:rPr>
        <w:t>指单位取得的除上述收入以外的各项收入。</w:t>
      </w:r>
    </w:p>
    <w:p w14:paraId="3C4E4DEC">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5.使用非财政拨款结余（含专用结余）：</w:t>
      </w:r>
      <w:r>
        <w:rPr>
          <w:rFonts w:hint="eastAsia" w:ascii="方正仿宋_GB2312" w:hAnsi="方正仿宋_GB2312" w:eastAsia="方正仿宋_GB2312" w:cs="方正仿宋_GB2312"/>
          <w:color w:val="000000"/>
          <w:sz w:val="32"/>
          <w:szCs w:val="32"/>
        </w:rPr>
        <w:t xml:space="preserve">指事业单位使用以前年度积累的非财政拨款结余弥补当年收支差额的金额。 </w:t>
      </w:r>
    </w:p>
    <w:p w14:paraId="6E96F265">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6.年初结转和结余：</w:t>
      </w:r>
      <w:r>
        <w:rPr>
          <w:rFonts w:hint="eastAsia" w:ascii="方正仿宋_GB2312" w:hAnsi="方正仿宋_GB2312" w:eastAsia="方正仿宋_GB2312" w:cs="方正仿宋_GB2312"/>
          <w:color w:val="000000"/>
          <w:sz w:val="32"/>
          <w:szCs w:val="32"/>
        </w:rPr>
        <w:t xml:space="preserve">指以前年度尚未完成、结转到本年按有关规定继续使用的资金。 </w:t>
      </w:r>
    </w:p>
    <w:p w14:paraId="40670B2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7.结余分配：</w:t>
      </w:r>
      <w:r>
        <w:rPr>
          <w:rFonts w:hint="eastAsia" w:ascii="方正仿宋_GB2312" w:hAnsi="方正仿宋_GB2312" w:eastAsia="方正仿宋_GB2312" w:cs="方正仿宋_GB2312"/>
          <w:color w:val="000000"/>
          <w:sz w:val="32"/>
          <w:szCs w:val="32"/>
        </w:rPr>
        <w:t>指事业单位按照会计制度规定缴纳的所得税、提取的专用结余以及转入非财政拨款结余的金额等。</w:t>
      </w:r>
    </w:p>
    <w:p w14:paraId="105FB24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8.年末结转和结余：</w:t>
      </w:r>
      <w:r>
        <w:rPr>
          <w:rFonts w:hint="eastAsia" w:ascii="方正仿宋_GB2312" w:hAnsi="方正仿宋_GB2312" w:eastAsia="方正仿宋_GB2312" w:cs="方正仿宋_GB2312"/>
          <w:color w:val="000000"/>
          <w:sz w:val="32"/>
          <w:szCs w:val="32"/>
        </w:rPr>
        <w:t>指单位按有关规定结转到下年或以后年度继续使用的资金。</w:t>
      </w:r>
    </w:p>
    <w:p w14:paraId="3CF3EF1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9.文化旅游体育与传媒支出（类）新闻出版电影（款）出版发行（项）:</w:t>
      </w:r>
      <w:r>
        <w:rPr>
          <w:rFonts w:hint="eastAsia" w:ascii="方正仿宋_GB2312" w:hAnsi="方正仿宋_GB2312" w:eastAsia="方正仿宋_GB2312" w:cs="方正仿宋_GB2312"/>
          <w:color w:val="000000"/>
          <w:sz w:val="32"/>
          <w:szCs w:val="32"/>
        </w:rPr>
        <w:t>反映图书、报纸、期刊、音像、电子、网络出版物出版、印刷复制和发行等方面的支出。</w:t>
      </w:r>
    </w:p>
    <w:p w14:paraId="7B1AFB7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10.基本支出：</w:t>
      </w:r>
      <w:r>
        <w:rPr>
          <w:rFonts w:hint="eastAsia" w:ascii="方正仿宋_GB2312" w:hAnsi="方正仿宋_GB2312" w:eastAsia="方正仿宋_GB2312" w:cs="方正仿宋_GB2312"/>
          <w:color w:val="000000"/>
          <w:sz w:val="32"/>
          <w:szCs w:val="32"/>
          <w:u w:color="auto"/>
        </w:rPr>
        <w:t>指为保障机构正常运转、完成日常工作任务而发生的人员支出和公用支出。</w:t>
      </w:r>
    </w:p>
    <w:p w14:paraId="13C36EEA">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11.项目支出：</w:t>
      </w:r>
      <w:r>
        <w:rPr>
          <w:rFonts w:hint="eastAsia" w:ascii="方正仿宋_GB2312" w:hAnsi="方正仿宋_GB2312" w:eastAsia="方正仿宋_GB2312" w:cs="方正仿宋_GB2312"/>
          <w:color w:val="000000"/>
          <w:sz w:val="32"/>
          <w:szCs w:val="32"/>
          <w:u w:color="auto"/>
        </w:rPr>
        <w:t xml:space="preserve">指在基本支出之外为完成特定行政任务和事业发展目标所发生的支出。 </w:t>
      </w:r>
    </w:p>
    <w:p w14:paraId="157D9869">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12.经营支出：</w:t>
      </w:r>
      <w:r>
        <w:rPr>
          <w:rFonts w:hint="eastAsia" w:ascii="方正仿宋_GB2312" w:hAnsi="方正仿宋_GB2312" w:eastAsia="方正仿宋_GB2312" w:cs="方正仿宋_GB2312"/>
          <w:color w:val="000000"/>
          <w:sz w:val="32"/>
          <w:szCs w:val="32"/>
          <w:u w:color="auto"/>
        </w:rPr>
        <w:t>指事业单位在专业业务活动及其辅助活动之外开展非独立核算经营活动发生的支出。</w:t>
      </w:r>
    </w:p>
    <w:p w14:paraId="28FDD6E3">
      <w:pPr>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bCs/>
          <w:color w:val="000000"/>
          <w:sz w:val="32"/>
          <w:szCs w:val="32"/>
        </w:rPr>
        <w:t>13</w:t>
      </w:r>
      <w:r>
        <w:rPr>
          <w:rFonts w:hint="eastAsia" w:ascii="方正仿宋_GB2312" w:hAnsi="方正仿宋_GB2312" w:eastAsia="方正仿宋_GB2312" w:cs="方正仿宋_GB2312"/>
          <w:b/>
          <w:bCs/>
          <w:color w:val="000000"/>
          <w:sz w:val="32"/>
          <w:szCs w:val="32"/>
          <w:u w:color="auto"/>
        </w:rPr>
        <w:t>.“三公”经费：</w:t>
      </w:r>
      <w:r>
        <w:rPr>
          <w:rFonts w:hint="eastAsia" w:ascii="方正仿宋_GB2312" w:hAnsi="方正仿宋_GB2312" w:eastAsia="方正仿宋_GB2312" w:cs="方正仿宋_GB2312"/>
          <w:color w:val="000000"/>
          <w:sz w:val="32"/>
          <w:szCs w:val="32"/>
          <w:u w:color="auto"/>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F49607">
      <w:pPr>
        <w:widowControl/>
        <w:jc w:val="left"/>
        <w:rPr>
          <w:rStyle w:val="35"/>
          <w:rFonts w:hint="eastAsia" w:ascii="思源黑体 CN Normal" w:hAnsi="思源黑体 CN Normal" w:eastAsia="思源黑体 CN Normal" w:cs="思源黑体 CN Normal"/>
          <w:sz w:val="32"/>
          <w:szCs w:val="32"/>
        </w:rPr>
      </w:pPr>
      <w:r>
        <w:rPr>
          <w:rStyle w:val="35"/>
          <w:rFonts w:hint="eastAsia" w:ascii="思源黑体 CN Normal" w:hAnsi="思源黑体 CN Normal" w:eastAsia="思源黑体 CN Normal" w:cs="思源黑体 CN Normal"/>
          <w:sz w:val="32"/>
          <w:szCs w:val="32"/>
        </w:rPr>
        <w:br w:type="page"/>
      </w:r>
    </w:p>
    <w:p w14:paraId="6A2736A5">
      <w:pPr>
        <w:pStyle w:val="5"/>
        <w:jc w:val="center"/>
        <w:rPr>
          <w:rFonts w:hint="eastAsia" w:ascii="方正小标宋简体" w:hAnsi="方正小标宋简体" w:eastAsia="方正小标宋简体" w:cs="方正小标宋简体"/>
          <w:b w:val="0"/>
          <w:bCs w:val="0"/>
        </w:rPr>
      </w:pPr>
      <w:bookmarkStart w:id="72" w:name="_Toc25539"/>
      <w:bookmarkStart w:id="73" w:name="_Toc111208510"/>
      <w:r>
        <w:rPr>
          <w:rFonts w:hint="eastAsia" w:ascii="方正小标宋简体" w:hAnsi="方正小标宋简体" w:eastAsia="方正小标宋简体" w:cs="方正小标宋简体"/>
          <w:b w:val="0"/>
          <w:bCs w:val="0"/>
        </w:rPr>
        <w:t>第四部分 附件</w:t>
      </w:r>
      <w:bookmarkEnd w:id="72"/>
      <w:bookmarkEnd w:id="73"/>
    </w:p>
    <w:bookmarkEnd w:id="5"/>
    <w:tbl>
      <w:tblPr>
        <w:tblStyle w:val="20"/>
        <w:tblW w:w="10560" w:type="dxa"/>
        <w:jc w:val="center"/>
        <w:tblLayout w:type="fixed"/>
        <w:tblCellMar>
          <w:top w:w="15" w:type="dxa"/>
          <w:left w:w="15" w:type="dxa"/>
          <w:bottom w:w="15" w:type="dxa"/>
          <w:right w:w="15" w:type="dxa"/>
        </w:tblCellMar>
      </w:tblPr>
      <w:tblGrid>
        <w:gridCol w:w="1308"/>
        <w:gridCol w:w="1104"/>
        <w:gridCol w:w="1095"/>
        <w:gridCol w:w="1950"/>
        <w:gridCol w:w="960"/>
        <w:gridCol w:w="1045"/>
        <w:gridCol w:w="1058"/>
        <w:gridCol w:w="926"/>
        <w:gridCol w:w="1114"/>
      </w:tblGrid>
      <w:tr w14:paraId="796FF3AE">
        <w:tblPrEx>
          <w:tblCellMar>
            <w:top w:w="15" w:type="dxa"/>
            <w:left w:w="15" w:type="dxa"/>
            <w:bottom w:w="15" w:type="dxa"/>
            <w:right w:w="15" w:type="dxa"/>
          </w:tblCellMar>
        </w:tblPrEx>
        <w:trPr>
          <w:trHeight w:val="574" w:hRule="exact"/>
          <w:jc w:val="center"/>
        </w:trPr>
        <w:tc>
          <w:tcPr>
            <w:tcW w:w="10560" w:type="dxa"/>
            <w:gridSpan w:val="9"/>
            <w:shd w:val="clear" w:color="auto" w:fill="auto"/>
            <w:vAlign w:val="center"/>
          </w:tcPr>
          <w:p w14:paraId="6104AD69">
            <w:pPr>
              <w:widowControl/>
              <w:spacing w:line="600" w:lineRule="exact"/>
              <w:jc w:val="center"/>
              <w:textAlignment w:val="center"/>
              <w:rPr>
                <w:rFonts w:eastAsia="黑体"/>
                <w:color w:val="000000"/>
                <w:sz w:val="28"/>
                <w:szCs w:val="28"/>
              </w:rPr>
            </w:pPr>
            <w:r>
              <w:rPr>
                <w:rFonts w:eastAsia="方正小标宋简体"/>
                <w:color w:val="000000"/>
                <w:kern w:val="0"/>
                <w:sz w:val="36"/>
                <w:szCs w:val="36"/>
                <w:lang w:bidi="ar"/>
              </w:rPr>
              <w:t>部门整体绩效目标完成情况自评表</w:t>
            </w:r>
          </w:p>
        </w:tc>
      </w:tr>
      <w:tr w14:paraId="1B9C74C3">
        <w:tblPrEx>
          <w:tblCellMar>
            <w:top w:w="15" w:type="dxa"/>
            <w:left w:w="15" w:type="dxa"/>
            <w:bottom w:w="15" w:type="dxa"/>
            <w:right w:w="15" w:type="dxa"/>
          </w:tblCellMar>
        </w:tblPrEx>
        <w:trPr>
          <w:trHeight w:val="295" w:hRule="atLeast"/>
          <w:jc w:val="center"/>
        </w:trPr>
        <w:tc>
          <w:tcPr>
            <w:tcW w:w="10560" w:type="dxa"/>
            <w:gridSpan w:val="9"/>
            <w:shd w:val="clear" w:color="auto" w:fill="auto"/>
            <w:vAlign w:val="center"/>
          </w:tcPr>
          <w:p w14:paraId="312BAF3F">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14:paraId="3C3EFACE">
        <w:tblPrEx>
          <w:tblCellMar>
            <w:top w:w="15" w:type="dxa"/>
            <w:left w:w="15" w:type="dxa"/>
            <w:bottom w:w="15" w:type="dxa"/>
            <w:right w:w="15" w:type="dxa"/>
          </w:tblCellMar>
        </w:tblPrEx>
        <w:trPr>
          <w:trHeight w:val="257" w:hRule="atLeast"/>
          <w:jc w:val="center"/>
        </w:trPr>
        <w:tc>
          <w:tcPr>
            <w:tcW w:w="10560" w:type="dxa"/>
            <w:gridSpan w:val="9"/>
            <w:tcBorders>
              <w:bottom w:val="single" w:color="000000" w:sz="4" w:space="0"/>
            </w:tcBorders>
            <w:shd w:val="clear" w:color="auto" w:fill="auto"/>
            <w:vAlign w:val="center"/>
          </w:tcPr>
          <w:p w14:paraId="6079C57B">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5F30577B">
        <w:tblPrEx>
          <w:tblCellMar>
            <w:top w:w="15" w:type="dxa"/>
            <w:left w:w="15" w:type="dxa"/>
            <w:bottom w:w="15" w:type="dxa"/>
            <w:right w:w="15" w:type="dxa"/>
          </w:tblCellMar>
        </w:tblPrEx>
        <w:trPr>
          <w:trHeight w:val="23"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E86CF">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9F3A4A">
            <w:pPr>
              <w:widowControl/>
              <w:spacing w:line="300" w:lineRule="exact"/>
              <w:jc w:val="center"/>
              <w:textAlignment w:val="center"/>
              <w:rPr>
                <w:rFonts w:eastAsia="宋体"/>
                <w:color w:val="000000"/>
                <w:sz w:val="24"/>
              </w:rPr>
            </w:pPr>
            <w:r>
              <w:rPr>
                <w:rFonts w:hint="eastAsia" w:eastAsia="宋体"/>
                <w:color w:val="000000"/>
                <w:kern w:val="0"/>
                <w:sz w:val="24"/>
                <w:lang w:bidi="ar"/>
              </w:rPr>
              <w:t>茂县新华书店</w:t>
            </w:r>
          </w:p>
        </w:tc>
      </w:tr>
      <w:tr w14:paraId="28FB119C">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3D19">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47F93">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38DE">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1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6F801">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1A56700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0BBB">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7336C">
            <w:pPr>
              <w:widowControl/>
              <w:spacing w:line="300" w:lineRule="exact"/>
              <w:jc w:val="center"/>
              <w:textAlignment w:val="center"/>
              <w:rPr>
                <w:rFonts w:eastAsia="宋体"/>
                <w:color w:val="000000"/>
                <w:sz w:val="24"/>
              </w:rPr>
            </w:pPr>
            <w:r>
              <w:rPr>
                <w:rFonts w:hint="eastAsia" w:eastAsia="宋体"/>
                <w:color w:val="000000"/>
                <w:sz w:val="16"/>
                <w:szCs w:val="16"/>
                <w:lang w:val="en-US" w:eastAsia="zh-CN"/>
              </w:rPr>
              <w:t>95.17</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B0AEA">
            <w:pPr>
              <w:widowControl/>
              <w:spacing w:line="300" w:lineRule="exact"/>
              <w:jc w:val="center"/>
              <w:textAlignment w:val="center"/>
              <w:rPr>
                <w:rFonts w:eastAsia="宋体"/>
                <w:color w:val="000000"/>
                <w:sz w:val="24"/>
              </w:rPr>
            </w:pPr>
            <w:r>
              <w:rPr>
                <w:rFonts w:hint="eastAsia" w:eastAsia="宋体"/>
                <w:color w:val="000000"/>
                <w:sz w:val="16"/>
                <w:szCs w:val="16"/>
                <w:lang w:val="en-US" w:eastAsia="zh-CN"/>
              </w:rPr>
              <w:t>65.22</w:t>
            </w:r>
          </w:p>
        </w:tc>
        <w:tc>
          <w:tcPr>
            <w:tcW w:w="41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68AF2">
            <w:pPr>
              <w:widowControl/>
              <w:spacing w:line="300" w:lineRule="exact"/>
              <w:jc w:val="center"/>
              <w:textAlignment w:val="center"/>
              <w:rPr>
                <w:rFonts w:hint="eastAsia" w:eastAsia="宋体"/>
                <w:color w:val="000000"/>
                <w:sz w:val="24"/>
                <w:lang w:eastAsia="zh-CN"/>
              </w:rPr>
            </w:pPr>
            <w:r>
              <w:rPr>
                <w:rFonts w:hint="eastAsia" w:eastAsia="宋体"/>
                <w:color w:val="000000"/>
                <w:sz w:val="16"/>
                <w:szCs w:val="16"/>
                <w:lang w:val="en-US" w:eastAsia="zh-CN"/>
              </w:rPr>
              <w:t>29.96</w:t>
            </w:r>
          </w:p>
        </w:tc>
      </w:tr>
      <w:tr w14:paraId="1A62B6A5">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7CD6">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34DFA410">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E72E97">
            <w:pPr>
              <w:widowControl/>
              <w:spacing w:line="300" w:lineRule="exact"/>
              <w:jc w:val="left"/>
              <w:textAlignment w:val="center"/>
              <w:rPr>
                <w:rFonts w:eastAsia="宋体"/>
                <w:color w:val="000000"/>
                <w:sz w:val="24"/>
              </w:rPr>
            </w:pPr>
            <w:r>
              <w:rPr>
                <w:rFonts w:hint="eastAsia" w:eastAsia="宋体"/>
                <w:color w:val="000000"/>
                <w:kern w:val="0"/>
                <w:sz w:val="24"/>
                <w:lang w:bidi="ar"/>
              </w:rPr>
              <w:t>征订和发行2024年全县及区乡各中小学校教材和教辅，保证课前到书。</w:t>
            </w:r>
          </w:p>
        </w:tc>
      </w:tr>
      <w:tr w14:paraId="4F616659">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14:paraId="7A010CC3">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470F18AE">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6A8CE">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A5B76">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4CB879D2">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7557CC4D">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9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kern w:val="0"/>
                <w:sz w:val="20"/>
                <w:szCs w:val="20"/>
                <w:lang w:bidi="ar"/>
              </w:rPr>
              <w:t>教材教辅征订和发放工作</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6C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kern w:val="0"/>
                <w:sz w:val="20"/>
                <w:szCs w:val="20"/>
                <w:lang w:bidi="ar"/>
              </w:rPr>
              <w:t>全县中小学的教材教辅征订和发放工作</w:t>
            </w:r>
          </w:p>
        </w:tc>
      </w:tr>
      <w:tr w14:paraId="6F2069EA">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04333AD6">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8F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政治书籍及其他图书的订购和销售</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39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政治书籍及其他图书的订购和销售工作</w:t>
            </w:r>
          </w:p>
        </w:tc>
      </w:tr>
      <w:tr w14:paraId="613D8AAF">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62283DC4">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5A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图书库存管理</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B6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图书库存管理，以满足顾客需求。</w:t>
            </w:r>
          </w:p>
        </w:tc>
      </w:tr>
      <w:tr w14:paraId="5360378D">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76F8197D">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4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市场调研任务</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9E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市场调研任务，了解市场潜力，客户需求等。</w:t>
            </w:r>
          </w:p>
        </w:tc>
      </w:tr>
      <w:tr w14:paraId="0AC26B32">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3B890B2A">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141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文化推广服务</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B1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文化推广服务，通过各种渠道向公众传递知识和文化，提高公众阅读兴趣和素养。</w:t>
            </w:r>
          </w:p>
        </w:tc>
      </w:tr>
      <w:tr w14:paraId="73240741">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14:paraId="5E3EBE28">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了解新书出版信息</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24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了解新书出版信息，添购书籍，充实书库。</w:t>
            </w:r>
          </w:p>
        </w:tc>
      </w:tr>
      <w:tr w14:paraId="57898586">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bottom w:val="single" w:color="000000" w:sz="4" w:space="0"/>
              <w:right w:val="single" w:color="000000" w:sz="4" w:space="0"/>
            </w:tcBorders>
            <w:shd w:val="clear" w:color="auto" w:fill="auto"/>
            <w:vAlign w:val="center"/>
          </w:tcPr>
          <w:p w14:paraId="186B998E">
            <w:pPr>
              <w:widowControl/>
              <w:spacing w:line="300" w:lineRule="exact"/>
              <w:jc w:val="center"/>
              <w:rPr>
                <w:rFonts w:eastAsia="宋体"/>
                <w:color w:val="000000"/>
                <w:sz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C6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客户服务</w:t>
            </w:r>
          </w:p>
        </w:tc>
        <w:tc>
          <w:tcPr>
            <w:tcW w:w="70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9E3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客户服务任务，为客户提供图书咨询和推荐服务。</w:t>
            </w:r>
          </w:p>
        </w:tc>
      </w:tr>
      <w:tr w14:paraId="0157B255">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5015">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13EA90A3">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6DDB">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9D2">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二级指标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2E4E">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C9A">
            <w:pPr>
              <w:widowControl/>
              <w:spacing w:line="300" w:lineRule="exact"/>
              <w:jc w:val="center"/>
              <w:textAlignment w:val="center"/>
              <w:rPr>
                <w:rFonts w:eastAsia="宋体"/>
                <w:color w:val="000000"/>
                <w:kern w:val="0"/>
                <w:sz w:val="22"/>
                <w:szCs w:val="22"/>
                <w:lang w:bidi="ar"/>
              </w:rPr>
            </w:pPr>
            <w:r>
              <w:rPr>
                <w:rFonts w:eastAsia="宋体"/>
                <w:color w:val="000000"/>
                <w:kern w:val="0"/>
                <w:sz w:val="22"/>
                <w:szCs w:val="22"/>
                <w:lang w:bidi="ar"/>
              </w:rPr>
              <w:t>绩效指标</w:t>
            </w:r>
          </w:p>
          <w:p w14:paraId="20C9CC25">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性质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2B8">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7A48">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5AB6D8B3">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14F">
            <w:pPr>
              <w:widowControl/>
              <w:spacing w:line="300" w:lineRule="exact"/>
              <w:jc w:val="center"/>
              <w:textAlignment w:val="center"/>
              <w:rPr>
                <w:rFonts w:eastAsia="宋体"/>
                <w:color w:val="000000"/>
                <w:kern w:val="0"/>
                <w:sz w:val="22"/>
                <w:szCs w:val="22"/>
                <w:lang w:bidi="ar"/>
              </w:rPr>
            </w:pPr>
            <w:r>
              <w:rPr>
                <w:rFonts w:eastAsia="宋体"/>
                <w:color w:val="000000"/>
                <w:kern w:val="0"/>
                <w:sz w:val="22"/>
                <w:szCs w:val="22"/>
                <w:lang w:bidi="ar"/>
              </w:rPr>
              <w:t>实际完成</w:t>
            </w:r>
          </w:p>
          <w:p w14:paraId="1EDFB2D9">
            <w:pPr>
              <w:widowControl/>
              <w:spacing w:line="300" w:lineRule="exact"/>
              <w:jc w:val="center"/>
              <w:textAlignment w:val="center"/>
              <w:rPr>
                <w:rFonts w:eastAsia="宋体"/>
                <w:color w:val="000000"/>
                <w:sz w:val="22"/>
                <w:szCs w:val="22"/>
              </w:rPr>
            </w:pPr>
            <w:r>
              <w:rPr>
                <w:rFonts w:eastAsia="宋体"/>
                <w:color w:val="000000"/>
                <w:kern w:val="0"/>
                <w:sz w:val="22"/>
                <w:szCs w:val="22"/>
                <w:lang w:bidi="ar"/>
              </w:rPr>
              <w:t>指标值</w:t>
            </w:r>
          </w:p>
        </w:tc>
      </w:tr>
      <w:tr w14:paraId="4192AFB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6A1C">
            <w:pPr>
              <w:widowControl/>
              <w:spacing w:line="300" w:lineRule="exact"/>
              <w:jc w:val="center"/>
              <w:rPr>
                <w:rFonts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7AD9">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D6B">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1A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征订和发放全县中小学校教材教辅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FA1">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A59C">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11.15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AF4">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万册</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72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40</w:t>
            </w:r>
          </w:p>
        </w:tc>
        <w:tc>
          <w:tcPr>
            <w:tcW w:w="1114" w:type="dxa"/>
            <w:tcBorders>
              <w:left w:val="single" w:color="000000" w:sz="4" w:space="0"/>
              <w:bottom w:val="single" w:color="auto" w:sz="4" w:space="0"/>
              <w:right w:val="single" w:color="000000" w:sz="4" w:space="0"/>
            </w:tcBorders>
            <w:shd w:val="clear" w:color="auto" w:fill="auto"/>
            <w:vAlign w:val="center"/>
          </w:tcPr>
          <w:p w14:paraId="4E105F57">
            <w:pPr>
              <w:keepNext w:val="0"/>
              <w:keepLines w:val="0"/>
              <w:widowControl/>
              <w:suppressLineNumbers w:val="0"/>
              <w:jc w:val="center"/>
              <w:textAlignment w:val="center"/>
              <w:rPr>
                <w:rFonts w:hint="default" w:eastAsia="宋体"/>
                <w:color w:val="000000"/>
                <w:sz w:val="24"/>
                <w:lang w:val="en-US"/>
              </w:rPr>
            </w:pPr>
            <w:r>
              <w:rPr>
                <w:rFonts w:hint="eastAsia" w:ascii="宋体" w:hAnsi="宋体" w:eastAsia="宋体" w:cs="宋体"/>
                <w:i w:val="0"/>
                <w:iCs w:val="0"/>
                <w:color w:val="000000"/>
                <w:kern w:val="0"/>
                <w:sz w:val="18"/>
                <w:szCs w:val="18"/>
                <w:u w:val="none"/>
                <w:lang w:val="en-US" w:eastAsia="zh-CN" w:bidi="ar"/>
              </w:rPr>
              <w:t>12</w:t>
            </w:r>
          </w:p>
        </w:tc>
      </w:tr>
      <w:tr w14:paraId="6717331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6083">
            <w:pPr>
              <w:widowControl/>
              <w:spacing w:line="300" w:lineRule="exact"/>
              <w:jc w:val="center"/>
              <w:rPr>
                <w:rFonts w:eastAsia="宋体"/>
                <w:color w:val="000000"/>
                <w:sz w:val="24"/>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2DC9">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5E0D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E4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保证课前到书和服务好其他零星顾客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1E8">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5E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5F3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75B6A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1EC9A06C">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r>
      <w:tr w14:paraId="0122C5F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3662">
            <w:pPr>
              <w:widowControl/>
              <w:spacing w:line="300" w:lineRule="exact"/>
              <w:jc w:val="center"/>
              <w:rPr>
                <w:rFonts w:eastAsia="宋体"/>
                <w:color w:val="000000"/>
                <w:sz w:val="24"/>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F4F5">
            <w:pPr>
              <w:jc w:val="center"/>
              <w:rPr>
                <w:rFonts w:eastAsia="宋体"/>
                <w:color w:val="000000"/>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1D6F">
            <w:pPr>
              <w:jc w:val="center"/>
              <w:rPr>
                <w:rFonts w:eastAsia="宋体"/>
                <w:color w:val="000000"/>
                <w:sz w:val="24"/>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9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客户服务任务，为客户提供图书咨询和推荐服务。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40A">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D2D8">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6E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FDCAB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C1EC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6AAD21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8B5D">
            <w:pPr>
              <w:widowControl/>
              <w:spacing w:line="300" w:lineRule="exact"/>
              <w:jc w:val="center"/>
              <w:rPr>
                <w:rFonts w:eastAsia="宋体"/>
                <w:color w:val="000000"/>
                <w:sz w:val="24"/>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834A">
            <w:pPr>
              <w:jc w:val="center"/>
              <w:rPr>
                <w:rFonts w:eastAsia="宋体"/>
                <w:color w:val="000000"/>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9249">
            <w:pPr>
              <w:jc w:val="center"/>
              <w:rPr>
                <w:rFonts w:eastAsia="宋体"/>
                <w:color w:val="000000"/>
                <w:sz w:val="24"/>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693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了解新书出版信息，添购书籍，充实书库。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58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2324">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E1A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A5B64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A374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1302FD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C832">
            <w:pPr>
              <w:widowControl/>
              <w:spacing w:line="300" w:lineRule="exact"/>
              <w:jc w:val="center"/>
              <w:rPr>
                <w:rFonts w:eastAsia="宋体"/>
                <w:color w:val="000000"/>
                <w:sz w:val="24"/>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3480">
            <w:pPr>
              <w:jc w:val="center"/>
              <w:rPr>
                <w:rFonts w:eastAsia="宋体"/>
                <w:color w:val="000000"/>
                <w:sz w:val="24"/>
              </w:rPr>
            </w:pPr>
          </w:p>
        </w:tc>
        <w:tc>
          <w:tcPr>
            <w:tcW w:w="10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60FF26">
            <w:pPr>
              <w:jc w:val="center"/>
              <w:rPr>
                <w:rFonts w:eastAsia="宋体"/>
                <w:color w:val="000000"/>
                <w:sz w:val="24"/>
              </w:rPr>
            </w:pP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34D51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市场调研任务，了解市场潜力，客户需求等。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61B">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00A5">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61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68D">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2917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D0AA1E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ECC8">
            <w:pPr>
              <w:widowControl/>
              <w:spacing w:line="300" w:lineRule="exact"/>
              <w:jc w:val="center"/>
              <w:rPr>
                <w:rFonts w:eastAsia="宋体"/>
                <w:color w:val="000000"/>
                <w:sz w:val="24"/>
              </w:rPr>
            </w:pPr>
          </w:p>
        </w:tc>
        <w:tc>
          <w:tcPr>
            <w:tcW w:w="1104" w:type="dxa"/>
            <w:tcBorders>
              <w:top w:val="single" w:color="000000" w:sz="4" w:space="0"/>
              <w:left w:val="single" w:color="000000" w:sz="4" w:space="0"/>
              <w:bottom w:val="single" w:color="000000" w:sz="4" w:space="0"/>
              <w:right w:val="single" w:color="auto" w:sz="4" w:space="0"/>
            </w:tcBorders>
            <w:shd w:val="clear" w:color="auto" w:fill="auto"/>
            <w:vAlign w:val="center"/>
          </w:tcPr>
          <w:p w14:paraId="557C340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6832BE3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服务对象满意度指标</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DA898C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提高服务质量，提高学生及家长满席度</w:t>
            </w:r>
          </w:p>
        </w:tc>
        <w:tc>
          <w:tcPr>
            <w:tcW w:w="9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D339C">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0301">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85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309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086">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158E">
            <w:pPr>
              <w:keepNext w:val="0"/>
              <w:keepLines w:val="0"/>
              <w:widowControl/>
              <w:suppressLineNumbers w:val="0"/>
              <w:jc w:val="center"/>
              <w:textAlignment w:val="center"/>
              <w:rPr>
                <w:rFonts w:hint="default" w:eastAsia="宋体"/>
                <w:color w:val="000000"/>
                <w:sz w:val="24"/>
                <w:lang w:val="en-US"/>
              </w:rPr>
            </w:pPr>
            <w:r>
              <w:rPr>
                <w:rFonts w:hint="eastAsia" w:ascii="宋体" w:hAnsi="宋体" w:eastAsia="宋体" w:cs="宋体"/>
                <w:i w:val="0"/>
                <w:iCs w:val="0"/>
                <w:color w:val="000000"/>
                <w:kern w:val="0"/>
                <w:sz w:val="18"/>
                <w:szCs w:val="18"/>
                <w:u w:val="none"/>
                <w:lang w:val="en-US" w:eastAsia="zh-CN" w:bidi="ar"/>
              </w:rPr>
              <w:t>90%</w:t>
            </w:r>
          </w:p>
        </w:tc>
      </w:tr>
      <w:tr w14:paraId="401F29D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F894">
            <w:pPr>
              <w:widowControl/>
              <w:spacing w:line="300" w:lineRule="exact"/>
              <w:jc w:val="center"/>
              <w:rPr>
                <w:rFonts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21FE">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成本指标</w:t>
            </w:r>
          </w:p>
        </w:tc>
        <w:tc>
          <w:tcPr>
            <w:tcW w:w="1095" w:type="dxa"/>
            <w:tcBorders>
              <w:top w:val="single" w:color="auto" w:sz="4" w:space="0"/>
              <w:left w:val="single" w:color="000000" w:sz="4" w:space="0"/>
              <w:right w:val="single" w:color="000000" w:sz="4" w:space="0"/>
            </w:tcBorders>
            <w:shd w:val="clear" w:color="auto" w:fill="auto"/>
            <w:vAlign w:val="center"/>
          </w:tcPr>
          <w:p w14:paraId="3661A260">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经济成本指标</w:t>
            </w:r>
          </w:p>
        </w:tc>
        <w:tc>
          <w:tcPr>
            <w:tcW w:w="19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9F6E7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严格控制商品成本，提高经济效益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EB74">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E43F">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156.3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8E9">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290">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226C">
            <w:pPr>
              <w:keepNext w:val="0"/>
              <w:keepLines w:val="0"/>
              <w:widowControl/>
              <w:suppressLineNumbers w:val="0"/>
              <w:jc w:val="center"/>
              <w:textAlignment w:val="center"/>
              <w:rPr>
                <w:rFonts w:hint="default" w:eastAsia="宋体"/>
                <w:color w:val="000000"/>
                <w:sz w:val="24"/>
                <w:lang w:val="en-US"/>
              </w:rPr>
            </w:pPr>
            <w:r>
              <w:rPr>
                <w:rFonts w:hint="eastAsia" w:ascii="宋体" w:hAnsi="宋体" w:eastAsia="宋体" w:cs="宋体"/>
                <w:i w:val="0"/>
                <w:iCs w:val="0"/>
                <w:color w:val="000000"/>
                <w:kern w:val="0"/>
                <w:sz w:val="18"/>
                <w:szCs w:val="18"/>
                <w:u w:val="none"/>
                <w:lang w:val="en-US" w:eastAsia="zh-CN" w:bidi="ar"/>
              </w:rPr>
              <w:t>152.84万元</w:t>
            </w:r>
          </w:p>
        </w:tc>
      </w:tr>
      <w:tr w14:paraId="7C80485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63B2">
            <w:pPr>
              <w:widowControl/>
              <w:spacing w:line="300" w:lineRule="exact"/>
              <w:jc w:val="center"/>
              <w:rPr>
                <w:rFonts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5BE8">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D0F2">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9E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征订和发放全县中小学校教材教辅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CC70">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FE0">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11.15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BB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万册</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DDD">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513">
            <w:pPr>
              <w:keepNext w:val="0"/>
              <w:keepLines w:val="0"/>
              <w:widowControl/>
              <w:suppressLineNumbers w:val="0"/>
              <w:jc w:val="center"/>
              <w:textAlignment w:val="center"/>
              <w:rPr>
                <w:rFonts w:hint="default" w:eastAsia="宋体"/>
                <w:color w:val="000000"/>
                <w:sz w:val="24"/>
                <w:lang w:val="en-US"/>
              </w:rPr>
            </w:pPr>
            <w:r>
              <w:rPr>
                <w:rFonts w:hint="eastAsia" w:ascii="宋体" w:hAnsi="宋体" w:eastAsia="宋体" w:cs="宋体"/>
                <w:i w:val="0"/>
                <w:iCs w:val="0"/>
                <w:color w:val="000000"/>
                <w:kern w:val="0"/>
                <w:sz w:val="18"/>
                <w:szCs w:val="18"/>
                <w:u w:val="none"/>
                <w:lang w:val="en-US" w:eastAsia="zh-CN" w:bidi="ar"/>
              </w:rPr>
              <w:t>12万册</w:t>
            </w:r>
          </w:p>
        </w:tc>
      </w:tr>
      <w:tr w14:paraId="23B451F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6FC2">
            <w:pPr>
              <w:widowControl/>
              <w:spacing w:line="300" w:lineRule="exact"/>
              <w:jc w:val="center"/>
              <w:rPr>
                <w:rFonts w:eastAsia="宋体"/>
                <w:color w:val="000000"/>
                <w:sz w:val="24"/>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EF7">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20B7">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社会效益指标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D7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保证课前到书和服务好其他零星顾客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BF3">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AD39">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811B">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AA42">
            <w:pPr>
              <w:keepNext w:val="0"/>
              <w:keepLines w:val="0"/>
              <w:widowControl/>
              <w:suppressLineNumbers w:val="0"/>
              <w:jc w:val="center"/>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0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14:paraId="7176DD3A">
      <w:pPr>
        <w:pStyle w:val="3"/>
        <w:rPr>
          <w:rFonts w:eastAsia="黑体"/>
          <w:szCs w:val="32"/>
        </w:rPr>
      </w:pPr>
    </w:p>
    <w:p w14:paraId="1394FF77">
      <w:pPr>
        <w:pStyle w:val="3"/>
        <w:rPr>
          <w:rFonts w:eastAsia="黑体"/>
          <w:szCs w:val="32"/>
        </w:rPr>
      </w:pPr>
    </w:p>
    <w:p w14:paraId="3FBD70B4">
      <w:pPr>
        <w:keepNext w:val="0"/>
        <w:keepLines w:val="0"/>
        <w:pageBreakBefore w:val="0"/>
        <w:widowControl w:val="0"/>
        <w:kinsoku/>
        <w:wordWrap/>
        <w:overflowPunct/>
        <w:topLinePunct w:val="0"/>
        <w:autoSpaceDE/>
        <w:autoSpaceDN/>
        <w:bidi w:val="0"/>
        <w:adjustRightInd/>
        <w:snapToGrid/>
        <w:spacing w:line="20" w:lineRule="exact"/>
        <w:jc w:val="left"/>
        <w:textAlignment w:val="auto"/>
        <w:rPr>
          <w:rStyle w:val="40"/>
          <w:rFonts w:hint="eastAsia" w:ascii="黑体" w:hAnsi="黑体" w:eastAsia="黑体"/>
          <w:b w:val="0"/>
          <w:color w:val="auto"/>
          <w:highlight w:val="none"/>
        </w:rPr>
      </w:pPr>
      <w:bookmarkStart w:id="74" w:name="_Toc111208512"/>
      <w:bookmarkStart w:id="75" w:name="_Toc79163885"/>
      <w:bookmarkStart w:id="76" w:name="_Toc21200"/>
      <w:bookmarkStart w:id="77" w:name="_Toc79163635"/>
    </w:p>
    <w:p w14:paraId="077DCC36">
      <w:pPr>
        <w:pStyle w:val="5"/>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第五部分 附表</w:t>
      </w:r>
      <w:bookmarkEnd w:id="74"/>
      <w:bookmarkEnd w:id="75"/>
      <w:bookmarkEnd w:id="76"/>
      <w:bookmarkEnd w:id="77"/>
    </w:p>
    <w:p w14:paraId="1D5768F8">
      <w:pPr>
        <w:pStyle w:val="6"/>
        <w:ind w:firstLine="640" w:firstLineChars="200"/>
        <w:rPr>
          <w:rFonts w:hint="eastAsia" w:ascii="方正仿宋_GB2312" w:hAnsi="方正仿宋_GB2312" w:eastAsia="方正仿宋_GB2312" w:cs="方正仿宋_GB2312"/>
          <w:b w:val="0"/>
          <w:bCs/>
          <w:color w:val="000000"/>
        </w:rPr>
      </w:pPr>
      <w:bookmarkStart w:id="78" w:name="_Toc16431"/>
      <w:r>
        <w:rPr>
          <w:rFonts w:hint="eastAsia" w:ascii="方正仿宋_GB2312" w:hAnsi="方正仿宋_GB2312" w:eastAsia="方正仿宋_GB2312" w:cs="方正仿宋_GB2312"/>
          <w:b w:val="0"/>
          <w:bCs/>
          <w:color w:val="000000"/>
        </w:rPr>
        <w:t>一、收入支出决算总表</w:t>
      </w:r>
      <w:bookmarkEnd w:id="78"/>
    </w:p>
    <w:p w14:paraId="1C53FD14">
      <w:pPr>
        <w:pStyle w:val="6"/>
        <w:ind w:firstLine="640" w:firstLineChars="200"/>
        <w:rPr>
          <w:rFonts w:hint="eastAsia" w:ascii="方正仿宋_GB2312" w:hAnsi="方正仿宋_GB2312" w:eastAsia="方正仿宋_GB2312" w:cs="方正仿宋_GB2312"/>
          <w:b w:val="0"/>
          <w:bCs/>
          <w:color w:val="000000"/>
        </w:rPr>
      </w:pPr>
      <w:bookmarkStart w:id="79" w:name="_Toc25389"/>
      <w:r>
        <w:rPr>
          <w:rFonts w:hint="eastAsia" w:ascii="方正仿宋_GB2312" w:hAnsi="方正仿宋_GB2312" w:eastAsia="方正仿宋_GB2312" w:cs="方正仿宋_GB2312"/>
          <w:b w:val="0"/>
          <w:bCs/>
          <w:color w:val="000000"/>
        </w:rPr>
        <w:t>二、收入决算表</w:t>
      </w:r>
      <w:bookmarkEnd w:id="79"/>
    </w:p>
    <w:p w14:paraId="66A6416F">
      <w:pPr>
        <w:pStyle w:val="6"/>
        <w:ind w:firstLine="640" w:firstLineChars="200"/>
        <w:rPr>
          <w:rFonts w:hint="eastAsia" w:ascii="方正仿宋_GB2312" w:hAnsi="方正仿宋_GB2312" w:eastAsia="方正仿宋_GB2312" w:cs="方正仿宋_GB2312"/>
          <w:b w:val="0"/>
          <w:bCs/>
          <w:color w:val="000000"/>
        </w:rPr>
      </w:pPr>
      <w:bookmarkStart w:id="80" w:name="_Toc10450"/>
      <w:r>
        <w:rPr>
          <w:rFonts w:hint="eastAsia" w:ascii="方正仿宋_GB2312" w:hAnsi="方正仿宋_GB2312" w:eastAsia="方正仿宋_GB2312" w:cs="方正仿宋_GB2312"/>
          <w:b w:val="0"/>
          <w:bCs/>
          <w:color w:val="000000"/>
        </w:rPr>
        <w:t>三、支出决算表</w:t>
      </w:r>
      <w:bookmarkEnd w:id="80"/>
    </w:p>
    <w:p w14:paraId="5CE5B6D8">
      <w:pPr>
        <w:pStyle w:val="6"/>
        <w:ind w:firstLine="640" w:firstLineChars="200"/>
        <w:rPr>
          <w:rFonts w:hint="eastAsia" w:ascii="方正仿宋_GB2312" w:hAnsi="方正仿宋_GB2312" w:eastAsia="方正仿宋_GB2312" w:cs="方正仿宋_GB2312"/>
          <w:b w:val="0"/>
          <w:bCs/>
          <w:color w:val="000000"/>
        </w:rPr>
      </w:pPr>
      <w:bookmarkStart w:id="81" w:name="_Toc15415"/>
      <w:r>
        <w:rPr>
          <w:rFonts w:hint="eastAsia" w:ascii="方正仿宋_GB2312" w:hAnsi="方正仿宋_GB2312" w:eastAsia="方正仿宋_GB2312" w:cs="方正仿宋_GB2312"/>
          <w:b w:val="0"/>
          <w:bCs/>
          <w:color w:val="000000"/>
        </w:rPr>
        <w:t>四、财政拨款收入支出决算总表</w:t>
      </w:r>
      <w:bookmarkEnd w:id="81"/>
    </w:p>
    <w:p w14:paraId="6056EE22">
      <w:pPr>
        <w:pStyle w:val="6"/>
        <w:ind w:firstLine="640" w:firstLineChars="200"/>
        <w:rPr>
          <w:rFonts w:hint="eastAsia" w:ascii="方正仿宋_GB2312" w:hAnsi="方正仿宋_GB2312" w:eastAsia="方正仿宋_GB2312" w:cs="方正仿宋_GB2312"/>
          <w:b w:val="0"/>
          <w:bCs/>
          <w:color w:val="000000"/>
        </w:rPr>
      </w:pPr>
      <w:bookmarkStart w:id="82" w:name="_Toc17530"/>
      <w:r>
        <w:rPr>
          <w:rFonts w:hint="eastAsia" w:ascii="方正仿宋_GB2312" w:hAnsi="方正仿宋_GB2312" w:eastAsia="方正仿宋_GB2312" w:cs="方正仿宋_GB2312"/>
          <w:b w:val="0"/>
          <w:bCs/>
          <w:color w:val="000000"/>
        </w:rPr>
        <w:t>五、财政拨款支出决算明细表</w:t>
      </w:r>
      <w:bookmarkEnd w:id="82"/>
    </w:p>
    <w:p w14:paraId="0056C55C">
      <w:pPr>
        <w:pStyle w:val="6"/>
        <w:ind w:firstLine="640" w:firstLineChars="200"/>
        <w:rPr>
          <w:rFonts w:hint="eastAsia" w:ascii="方正仿宋_GB2312" w:hAnsi="方正仿宋_GB2312" w:eastAsia="方正仿宋_GB2312" w:cs="方正仿宋_GB2312"/>
          <w:b w:val="0"/>
          <w:bCs/>
          <w:color w:val="000000"/>
        </w:rPr>
      </w:pPr>
      <w:bookmarkStart w:id="83" w:name="_Toc22032"/>
      <w:r>
        <w:rPr>
          <w:rFonts w:hint="eastAsia" w:ascii="方正仿宋_GB2312" w:hAnsi="方正仿宋_GB2312" w:eastAsia="方正仿宋_GB2312" w:cs="方正仿宋_GB2312"/>
          <w:b w:val="0"/>
          <w:bCs/>
          <w:color w:val="000000"/>
        </w:rPr>
        <w:t>六、一般公共预算财政拨款支出决算表</w:t>
      </w:r>
      <w:bookmarkEnd w:id="83"/>
    </w:p>
    <w:p w14:paraId="7AB2851B">
      <w:pPr>
        <w:pStyle w:val="6"/>
        <w:ind w:firstLine="640" w:firstLineChars="200"/>
        <w:rPr>
          <w:rFonts w:hint="eastAsia" w:ascii="方正仿宋_GB2312" w:hAnsi="方正仿宋_GB2312" w:eastAsia="方正仿宋_GB2312" w:cs="方正仿宋_GB2312"/>
          <w:b w:val="0"/>
          <w:bCs/>
          <w:color w:val="000000"/>
        </w:rPr>
      </w:pPr>
      <w:bookmarkStart w:id="84" w:name="_Toc3364"/>
      <w:r>
        <w:rPr>
          <w:rFonts w:hint="eastAsia" w:ascii="方正仿宋_GB2312" w:hAnsi="方正仿宋_GB2312" w:eastAsia="方正仿宋_GB2312" w:cs="方正仿宋_GB2312"/>
          <w:b w:val="0"/>
          <w:bCs/>
          <w:color w:val="000000"/>
        </w:rPr>
        <w:t>七、一般公共预算财政拨款支出决算明细表</w:t>
      </w:r>
      <w:bookmarkEnd w:id="84"/>
    </w:p>
    <w:p w14:paraId="15DA9DFE">
      <w:pPr>
        <w:pStyle w:val="6"/>
        <w:ind w:firstLine="640" w:firstLineChars="200"/>
        <w:rPr>
          <w:rFonts w:hint="eastAsia" w:ascii="方正仿宋_GB2312" w:hAnsi="方正仿宋_GB2312" w:eastAsia="方正仿宋_GB2312" w:cs="方正仿宋_GB2312"/>
          <w:b w:val="0"/>
          <w:bCs/>
          <w:color w:val="000000"/>
        </w:rPr>
      </w:pPr>
      <w:bookmarkStart w:id="85" w:name="_Toc9110"/>
      <w:r>
        <w:rPr>
          <w:rFonts w:hint="eastAsia" w:ascii="方正仿宋_GB2312" w:hAnsi="方正仿宋_GB2312" w:eastAsia="方正仿宋_GB2312" w:cs="方正仿宋_GB2312"/>
          <w:b w:val="0"/>
          <w:bCs/>
          <w:color w:val="000000"/>
        </w:rPr>
        <w:t>八、一般公共预算财政拨款基本支出决算表</w:t>
      </w:r>
      <w:bookmarkEnd w:id="85"/>
    </w:p>
    <w:p w14:paraId="53B3E2D7">
      <w:pPr>
        <w:pStyle w:val="6"/>
        <w:ind w:firstLine="640" w:firstLineChars="200"/>
        <w:rPr>
          <w:rFonts w:hint="eastAsia" w:ascii="方正仿宋_GB2312" w:hAnsi="方正仿宋_GB2312" w:eastAsia="方正仿宋_GB2312" w:cs="方正仿宋_GB2312"/>
          <w:b w:val="0"/>
          <w:bCs/>
          <w:color w:val="000000"/>
        </w:rPr>
      </w:pPr>
      <w:bookmarkStart w:id="86" w:name="_Toc28582"/>
      <w:r>
        <w:rPr>
          <w:rFonts w:hint="eastAsia" w:ascii="方正仿宋_GB2312" w:hAnsi="方正仿宋_GB2312" w:eastAsia="方正仿宋_GB2312" w:cs="方正仿宋_GB2312"/>
          <w:b w:val="0"/>
          <w:bCs/>
          <w:color w:val="000000"/>
        </w:rPr>
        <w:t>九、一般公共预算财政拨款项目支出决算表</w:t>
      </w:r>
      <w:bookmarkEnd w:id="86"/>
    </w:p>
    <w:p w14:paraId="267BBC6F">
      <w:pPr>
        <w:pStyle w:val="6"/>
        <w:ind w:firstLine="640" w:firstLineChars="200"/>
        <w:rPr>
          <w:rFonts w:hint="eastAsia" w:ascii="方正仿宋_GB2312" w:hAnsi="方正仿宋_GB2312" w:eastAsia="方正仿宋_GB2312" w:cs="方正仿宋_GB2312"/>
          <w:b w:val="0"/>
          <w:bCs/>
          <w:color w:val="000000"/>
        </w:rPr>
      </w:pPr>
      <w:bookmarkStart w:id="87" w:name="_Toc22001"/>
      <w:r>
        <w:rPr>
          <w:rFonts w:hint="eastAsia" w:ascii="方正仿宋_GB2312" w:hAnsi="方正仿宋_GB2312" w:eastAsia="方正仿宋_GB2312" w:cs="方正仿宋_GB2312"/>
          <w:b w:val="0"/>
          <w:bCs/>
          <w:color w:val="000000"/>
        </w:rPr>
        <w:t>十、政府性基金预算财政拨款收入支出决算表</w:t>
      </w:r>
      <w:bookmarkEnd w:id="87"/>
    </w:p>
    <w:p w14:paraId="3E103835">
      <w:pPr>
        <w:pStyle w:val="6"/>
        <w:ind w:firstLine="640" w:firstLineChars="200"/>
        <w:rPr>
          <w:rFonts w:hint="eastAsia" w:ascii="方正仿宋_GB2312" w:hAnsi="方正仿宋_GB2312" w:eastAsia="方正仿宋_GB2312" w:cs="方正仿宋_GB2312"/>
          <w:b w:val="0"/>
          <w:bCs/>
          <w:color w:val="000000"/>
        </w:rPr>
      </w:pPr>
      <w:bookmarkStart w:id="88" w:name="_Toc6538"/>
      <w:r>
        <w:rPr>
          <w:rFonts w:hint="eastAsia" w:ascii="方正仿宋_GB2312" w:hAnsi="方正仿宋_GB2312" w:eastAsia="方正仿宋_GB2312" w:cs="方正仿宋_GB2312"/>
          <w:b w:val="0"/>
          <w:bCs/>
          <w:color w:val="000000"/>
        </w:rPr>
        <w:t>十一、国有资本经营预算财政拨款收入支出决算表</w:t>
      </w:r>
      <w:bookmarkEnd w:id="88"/>
    </w:p>
    <w:p w14:paraId="24EDDF75">
      <w:pPr>
        <w:pStyle w:val="6"/>
        <w:ind w:firstLine="640" w:firstLineChars="200"/>
        <w:rPr>
          <w:rFonts w:hint="eastAsia" w:ascii="方正仿宋_GB2312" w:hAnsi="方正仿宋_GB2312" w:eastAsia="方正仿宋_GB2312" w:cs="方正仿宋_GB2312"/>
          <w:b w:val="0"/>
          <w:bCs/>
          <w:color w:val="000000"/>
        </w:rPr>
      </w:pPr>
      <w:bookmarkStart w:id="89" w:name="_Toc10625"/>
      <w:r>
        <w:rPr>
          <w:rFonts w:hint="eastAsia" w:ascii="方正仿宋_GB2312" w:hAnsi="方正仿宋_GB2312" w:eastAsia="方正仿宋_GB2312" w:cs="方正仿宋_GB2312"/>
          <w:b w:val="0"/>
          <w:bCs/>
          <w:color w:val="000000"/>
        </w:rPr>
        <w:t>十二、国有资本经营预算财政拨款支出决算表</w:t>
      </w:r>
      <w:bookmarkEnd w:id="89"/>
    </w:p>
    <w:p w14:paraId="3846B960">
      <w:pPr>
        <w:pStyle w:val="6"/>
        <w:ind w:firstLine="640" w:firstLineChars="200"/>
        <w:rPr>
          <w:rFonts w:hint="eastAsia" w:ascii="方正仿宋_GB2312" w:hAnsi="方正仿宋_GB2312" w:eastAsia="方正仿宋_GB2312" w:cs="方正仿宋_GB2312"/>
          <w:b w:val="0"/>
          <w:bCs/>
          <w:color w:val="000000"/>
        </w:rPr>
      </w:pPr>
      <w:bookmarkStart w:id="90" w:name="_Toc28356"/>
      <w:r>
        <w:rPr>
          <w:rFonts w:hint="eastAsia" w:ascii="方正仿宋_GB2312" w:hAnsi="方正仿宋_GB2312" w:eastAsia="方正仿宋_GB2312" w:cs="方正仿宋_GB2312"/>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25159D-3850-4609-98D5-B879D54509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B6A018F-9F15-404E-A31B-1BD1B42432E3}"/>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9B277D0-ABDA-4F67-90A4-8844FCEE1A66}"/>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思源黑体 CN Normal">
    <w:altName w:val="黑体"/>
    <w:panose1 w:val="020B0400000000000000"/>
    <w:charset w:val="86"/>
    <w:family w:val="auto"/>
    <w:pitch w:val="default"/>
    <w:sig w:usb0="00000000" w:usb1="00000000" w:usb2="00000016" w:usb3="00000000" w:csb0="60060107" w:csb1="00000000"/>
    <w:embedRegular r:id="rId4" w:fontKey="{1249E83E-CF6C-4EF7-8F23-E8647DC92143}"/>
  </w:font>
  <w:font w:name="方正小标宋简体">
    <w:panose1 w:val="03000509000000000000"/>
    <w:charset w:val="86"/>
    <w:family w:val="auto"/>
    <w:pitch w:val="default"/>
    <w:sig w:usb0="00000001" w:usb1="080E0000" w:usb2="00000000" w:usb3="00000000" w:csb0="00040000" w:csb1="00000000"/>
    <w:embedRegular r:id="rId5" w:fontKey="{1BF73446-94AF-4741-B27F-BA158AC7BA22}"/>
  </w:font>
  <w:font w:name="方正仿宋_GB2312">
    <w:panose1 w:val="02000000000000000000"/>
    <w:charset w:val="86"/>
    <w:family w:val="auto"/>
    <w:pitch w:val="default"/>
    <w:sig w:usb0="A00002BF" w:usb1="184F6CFA" w:usb2="00000012" w:usb3="00000000" w:csb0="00040001" w:csb1="00000000"/>
    <w:embedRegular r:id="rId6" w:fontKey="{0B75D145-37E9-431B-926F-824A25E053F6}"/>
  </w:font>
  <w:font w:name="楷体">
    <w:panose1 w:val="02010609060101010101"/>
    <w:charset w:val="86"/>
    <w:family w:val="auto"/>
    <w:pitch w:val="default"/>
    <w:sig w:usb0="800002BF" w:usb1="38CF7CFA" w:usb2="00000016" w:usb3="00000000" w:csb0="00040001" w:csb1="00000000"/>
    <w:embedRegular r:id="rId7" w:fontKey="{73360CE3-D9B5-4F86-A8C1-DF02D6E572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A31C">
    <w:pPr>
      <w:pStyle w:val="14"/>
      <w:jc w:val="center"/>
    </w:pPr>
  </w:p>
  <w:p w14:paraId="4E07946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DA38">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2CB24629">
                              <w:pPr>
                                <w:pStyle w:val="14"/>
                                <w:jc w:val="center"/>
                              </w:pPr>
                              <w:r>
                                <w:fldChar w:fldCharType="begin"/>
                              </w:r>
                              <w:r>
                                <w:instrText xml:space="preserve">PAGE   \* MERGEFORMAT</w:instrText>
                              </w:r>
                              <w:r>
                                <w:fldChar w:fldCharType="separate"/>
                              </w:r>
                              <w:r>
                                <w:rPr>
                                  <w:lang w:val="zh-CN"/>
                                </w:rPr>
                                <w:t>4</w:t>
                              </w:r>
                              <w:r>
                                <w:fldChar w:fldCharType="end"/>
                              </w:r>
                            </w:p>
                          </w:sdtContent>
                        </w:sdt>
                        <w:p w14:paraId="593202E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2CB24629">
                        <w:pPr>
                          <w:pStyle w:val="14"/>
                          <w:jc w:val="center"/>
                        </w:pPr>
                        <w:r>
                          <w:fldChar w:fldCharType="begin"/>
                        </w:r>
                        <w:r>
                          <w:instrText xml:space="preserve">PAGE   \* MERGEFORMAT</w:instrText>
                        </w:r>
                        <w:r>
                          <w:fldChar w:fldCharType="separate"/>
                        </w:r>
                        <w:r>
                          <w:rPr>
                            <w:lang w:val="zh-CN"/>
                          </w:rPr>
                          <w:t>4</w:t>
                        </w:r>
                        <w:r>
                          <w:fldChar w:fldCharType="end"/>
                        </w:r>
                      </w:p>
                    </w:sdtContent>
                  </w:sdt>
                  <w:p w14:paraId="593202E6">
                    <w:pPr>
                      <w:pStyle w:val="2"/>
                    </w:pPr>
                  </w:p>
                </w:txbxContent>
              </v:textbox>
            </v:shape>
          </w:pict>
        </mc:Fallback>
      </mc:AlternateContent>
    </w:r>
  </w:p>
  <w:p w14:paraId="4C36DAA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55F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6719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26719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006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2664D"/>
    <w:multiLevelType w:val="singleLevel"/>
    <w:tmpl w:val="D5C2664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09515E"/>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7A21B08"/>
    <w:rsid w:val="088F55D5"/>
    <w:rsid w:val="089C4B49"/>
    <w:rsid w:val="08AA0601"/>
    <w:rsid w:val="09081517"/>
    <w:rsid w:val="091B747D"/>
    <w:rsid w:val="092E626A"/>
    <w:rsid w:val="09A572B6"/>
    <w:rsid w:val="0A19737C"/>
    <w:rsid w:val="0B7218AA"/>
    <w:rsid w:val="0B99373B"/>
    <w:rsid w:val="0BA37CB5"/>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1C4634"/>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E66831"/>
    <w:rsid w:val="1BF260EF"/>
    <w:rsid w:val="1BF70747"/>
    <w:rsid w:val="1C06153F"/>
    <w:rsid w:val="1C986C96"/>
    <w:rsid w:val="1D7371C3"/>
    <w:rsid w:val="1DDC2BB3"/>
    <w:rsid w:val="1E34479D"/>
    <w:rsid w:val="1EF81F78"/>
    <w:rsid w:val="1F620905"/>
    <w:rsid w:val="1FD12B34"/>
    <w:rsid w:val="201A6AB0"/>
    <w:rsid w:val="203B66A0"/>
    <w:rsid w:val="206D278F"/>
    <w:rsid w:val="21063631"/>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0C1BFF"/>
    <w:rsid w:val="265C1D1F"/>
    <w:rsid w:val="268F0D53"/>
    <w:rsid w:val="26BB36DB"/>
    <w:rsid w:val="271C5A93"/>
    <w:rsid w:val="276F1834"/>
    <w:rsid w:val="27B459F9"/>
    <w:rsid w:val="27C51E91"/>
    <w:rsid w:val="280173B2"/>
    <w:rsid w:val="28513369"/>
    <w:rsid w:val="28BF6D42"/>
    <w:rsid w:val="28C822A0"/>
    <w:rsid w:val="292E058E"/>
    <w:rsid w:val="29FD04D3"/>
    <w:rsid w:val="2C1E1BB4"/>
    <w:rsid w:val="2CAE1BBE"/>
    <w:rsid w:val="2CCF04B2"/>
    <w:rsid w:val="2DF079DB"/>
    <w:rsid w:val="2E4C04E0"/>
    <w:rsid w:val="2E67588F"/>
    <w:rsid w:val="2F803D16"/>
    <w:rsid w:val="2FF22B1D"/>
    <w:rsid w:val="30CB71E3"/>
    <w:rsid w:val="30E36C85"/>
    <w:rsid w:val="30E65649"/>
    <w:rsid w:val="31810DA9"/>
    <w:rsid w:val="31903F88"/>
    <w:rsid w:val="319F7F4E"/>
    <w:rsid w:val="31B72CAD"/>
    <w:rsid w:val="32004B5E"/>
    <w:rsid w:val="323A1C2F"/>
    <w:rsid w:val="32690A61"/>
    <w:rsid w:val="329448A6"/>
    <w:rsid w:val="32F45598"/>
    <w:rsid w:val="33204932"/>
    <w:rsid w:val="33447C07"/>
    <w:rsid w:val="345D075E"/>
    <w:rsid w:val="34DF325D"/>
    <w:rsid w:val="35244754"/>
    <w:rsid w:val="361C390A"/>
    <w:rsid w:val="364D41F6"/>
    <w:rsid w:val="36FD0156"/>
    <w:rsid w:val="38207F4E"/>
    <w:rsid w:val="38821930"/>
    <w:rsid w:val="38F8371D"/>
    <w:rsid w:val="39226F5F"/>
    <w:rsid w:val="39902098"/>
    <w:rsid w:val="39FD5F33"/>
    <w:rsid w:val="3A3A0F35"/>
    <w:rsid w:val="3A4E1148"/>
    <w:rsid w:val="3AF15A98"/>
    <w:rsid w:val="3C096E11"/>
    <w:rsid w:val="3C8D2F9D"/>
    <w:rsid w:val="3CB322FE"/>
    <w:rsid w:val="3CE0510E"/>
    <w:rsid w:val="3D0E3B71"/>
    <w:rsid w:val="3D1927CA"/>
    <w:rsid w:val="3D1E4B3E"/>
    <w:rsid w:val="3D6F2272"/>
    <w:rsid w:val="3D8344ED"/>
    <w:rsid w:val="3E03620E"/>
    <w:rsid w:val="3E343C22"/>
    <w:rsid w:val="3F512FA9"/>
    <w:rsid w:val="3F7C601F"/>
    <w:rsid w:val="3FAC4683"/>
    <w:rsid w:val="3FEA5DFB"/>
    <w:rsid w:val="40035B02"/>
    <w:rsid w:val="401C35B7"/>
    <w:rsid w:val="40EA7211"/>
    <w:rsid w:val="4119235A"/>
    <w:rsid w:val="41677310"/>
    <w:rsid w:val="419672C5"/>
    <w:rsid w:val="422C2C46"/>
    <w:rsid w:val="4251506E"/>
    <w:rsid w:val="42B75819"/>
    <w:rsid w:val="43684120"/>
    <w:rsid w:val="444F07DA"/>
    <w:rsid w:val="44601E28"/>
    <w:rsid w:val="45C01D24"/>
    <w:rsid w:val="472E4611"/>
    <w:rsid w:val="475E72DC"/>
    <w:rsid w:val="47F514AF"/>
    <w:rsid w:val="4839282C"/>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062392"/>
    <w:rsid w:val="4E290981"/>
    <w:rsid w:val="4E832A53"/>
    <w:rsid w:val="4E9E44C2"/>
    <w:rsid w:val="4EBC1A30"/>
    <w:rsid w:val="4F395B30"/>
    <w:rsid w:val="4F3B530F"/>
    <w:rsid w:val="4F6F7A34"/>
    <w:rsid w:val="4FD74194"/>
    <w:rsid w:val="4FDA49F5"/>
    <w:rsid w:val="50AE413E"/>
    <w:rsid w:val="51B15B29"/>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586071"/>
    <w:rsid w:val="55872E29"/>
    <w:rsid w:val="55923320"/>
    <w:rsid w:val="56D0674C"/>
    <w:rsid w:val="56E30533"/>
    <w:rsid w:val="57D23F06"/>
    <w:rsid w:val="58BA52C3"/>
    <w:rsid w:val="58BC5D23"/>
    <w:rsid w:val="59177DCC"/>
    <w:rsid w:val="59E040FC"/>
    <w:rsid w:val="59E11CD3"/>
    <w:rsid w:val="5A857BDE"/>
    <w:rsid w:val="5B2A4567"/>
    <w:rsid w:val="5BE202EA"/>
    <w:rsid w:val="5C2E2FF4"/>
    <w:rsid w:val="5CAD7C22"/>
    <w:rsid w:val="5CE95B0C"/>
    <w:rsid w:val="5CF115BC"/>
    <w:rsid w:val="5CF437DA"/>
    <w:rsid w:val="5CFA7F1D"/>
    <w:rsid w:val="5D577E65"/>
    <w:rsid w:val="5D6F6B2F"/>
    <w:rsid w:val="5DCF7A63"/>
    <w:rsid w:val="5E2506F8"/>
    <w:rsid w:val="5E5E7F75"/>
    <w:rsid w:val="5EA316D6"/>
    <w:rsid w:val="5ECE1AC8"/>
    <w:rsid w:val="5EF556B7"/>
    <w:rsid w:val="5F3A07D2"/>
    <w:rsid w:val="5F593A88"/>
    <w:rsid w:val="5FE356D0"/>
    <w:rsid w:val="5FF901AE"/>
    <w:rsid w:val="606473E2"/>
    <w:rsid w:val="60651EAC"/>
    <w:rsid w:val="60BB3927"/>
    <w:rsid w:val="6200749A"/>
    <w:rsid w:val="620F0B35"/>
    <w:rsid w:val="6240022D"/>
    <w:rsid w:val="62A42EE2"/>
    <w:rsid w:val="62BE686B"/>
    <w:rsid w:val="62F14F12"/>
    <w:rsid w:val="630D013F"/>
    <w:rsid w:val="63347FC4"/>
    <w:rsid w:val="63604CB9"/>
    <w:rsid w:val="636E721D"/>
    <w:rsid w:val="64432374"/>
    <w:rsid w:val="645C1924"/>
    <w:rsid w:val="64A36D0B"/>
    <w:rsid w:val="64C656C1"/>
    <w:rsid w:val="64F77166"/>
    <w:rsid w:val="65201386"/>
    <w:rsid w:val="657F4183"/>
    <w:rsid w:val="658466A7"/>
    <w:rsid w:val="6596487B"/>
    <w:rsid w:val="65DF63C9"/>
    <w:rsid w:val="65E950BC"/>
    <w:rsid w:val="662A7F2C"/>
    <w:rsid w:val="66627873"/>
    <w:rsid w:val="66821BCF"/>
    <w:rsid w:val="66D65FFA"/>
    <w:rsid w:val="674072DB"/>
    <w:rsid w:val="67C24194"/>
    <w:rsid w:val="67EB36EB"/>
    <w:rsid w:val="682377F1"/>
    <w:rsid w:val="68DA2DB6"/>
    <w:rsid w:val="69725134"/>
    <w:rsid w:val="6AF7460A"/>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720F11"/>
    <w:rsid w:val="73BE3A62"/>
    <w:rsid w:val="746C7E4B"/>
    <w:rsid w:val="750E6C6B"/>
    <w:rsid w:val="755E374E"/>
    <w:rsid w:val="75884CEA"/>
    <w:rsid w:val="758B206A"/>
    <w:rsid w:val="75B310E7"/>
    <w:rsid w:val="75B318F4"/>
    <w:rsid w:val="75F61299"/>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CF97884"/>
    <w:rsid w:val="7DE859ED"/>
    <w:rsid w:val="7E4C610E"/>
    <w:rsid w:val="7E703499"/>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link w:val="44"/>
    <w:qFormat/>
    <w:uiPriority w:val="0"/>
    <w:pPr>
      <w:spacing w:after="120"/>
      <w:ind w:left="200" w:leftChars="200"/>
    </w:pPr>
    <w:rPr>
      <w:rFonts w:ascii="仿宋_GB2312"/>
      <w:szCs w:val="32"/>
    </w:rPr>
  </w:style>
  <w:style w:type="paragraph" w:styleId="8">
    <w:name w:val="Normal Indent"/>
    <w:basedOn w:val="1"/>
    <w:link w:val="46"/>
    <w:qFormat/>
    <w:uiPriority w:val="0"/>
    <w:pPr>
      <w:spacing w:before="156" w:beforeLines="50" w:line="360" w:lineRule="auto"/>
      <w:ind w:firstLine="480" w:firstLineChars="200"/>
    </w:pPr>
    <w:rPr>
      <w:rFonts w:eastAsia="仿宋"/>
      <w:sz w:val="24"/>
      <w:szCs w:val="23"/>
      <w:lang w:eastAsia="ar-SA"/>
    </w:rPr>
  </w:style>
  <w:style w:type="paragraph" w:styleId="9">
    <w:name w:val="Document Map"/>
    <w:basedOn w:val="1"/>
    <w:qFormat/>
    <w:uiPriority w:val="0"/>
    <w:rPr>
      <w:rFonts w:ascii="宋体" w:eastAsia="宋体"/>
      <w:sz w:val="18"/>
      <w:szCs w:val="18"/>
    </w:rPr>
  </w:style>
  <w:style w:type="paragraph" w:styleId="10">
    <w:name w:val="annotation text"/>
    <w:basedOn w:val="1"/>
    <w:semiHidden/>
    <w:unhideWhenUsed/>
    <w:qFormat/>
    <w:uiPriority w:val="99"/>
    <w:pPr>
      <w:jc w:val="left"/>
    </w:pPr>
  </w:style>
  <w:style w:type="paragraph" w:styleId="11">
    <w:name w:val="Body Text"/>
    <w:basedOn w:val="1"/>
    <w:link w:val="33"/>
    <w:qFormat/>
    <w:uiPriority w:val="0"/>
    <w:pPr>
      <w:spacing w:after="120"/>
    </w:p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8"/>
    <w:semiHidden/>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rFonts w:eastAsia="宋体"/>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6">
    <w:name w:val="toc 1"/>
    <w:basedOn w:val="1"/>
    <w:next w:val="1"/>
    <w:qFormat/>
    <w:uiPriority w:val="0"/>
    <w:pPr>
      <w:tabs>
        <w:tab w:val="right" w:leader="dot" w:pos="8296"/>
      </w:tabs>
    </w:pPr>
  </w:style>
  <w:style w:type="paragraph" w:styleId="17">
    <w:name w:val="table of figures"/>
    <w:basedOn w:val="1"/>
    <w:next w:val="1"/>
    <w:qFormat/>
    <w:uiPriority w:val="0"/>
    <w:pPr>
      <w:ind w:left="200" w:leftChars="200" w:hanging="200" w:hangingChars="200"/>
    </w:pPr>
  </w:style>
  <w:style w:type="paragraph" w:styleId="18">
    <w:name w:val="toc 2"/>
    <w:basedOn w:val="1"/>
    <w:next w:val="1"/>
    <w:link w:val="43"/>
    <w:unhideWhenUsed/>
    <w:qFormat/>
    <w:uiPriority w:val="39"/>
    <w:pPr>
      <w:tabs>
        <w:tab w:val="right" w:leader="dot" w:pos="8296"/>
      </w:tabs>
      <w:ind w:left="420" w:leftChars="200"/>
    </w:p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link w:val="14"/>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8">
    <w:name w:val="Header Char"/>
    <w:basedOn w:val="22"/>
    <w:semiHidden/>
    <w:qFormat/>
    <w:uiPriority w:val="99"/>
    <w:rPr>
      <w:rFonts w:ascii="Times New Roman" w:hAnsi="Times New Roman"/>
      <w:sz w:val="18"/>
      <w:szCs w:val="18"/>
    </w:rPr>
  </w:style>
  <w:style w:type="character" w:customStyle="1" w:styleId="29">
    <w:name w:val="页眉 字符"/>
    <w:link w:val="15"/>
    <w:semiHidden/>
    <w:qFormat/>
    <w:locked/>
    <w:uiPriority w:val="99"/>
    <w:rPr>
      <w:sz w:val="18"/>
    </w:rPr>
  </w:style>
  <w:style w:type="character" w:customStyle="1" w:styleId="30">
    <w:name w:val="Footer Char"/>
    <w:basedOn w:val="22"/>
    <w:semiHidden/>
    <w:qFormat/>
    <w:uiPriority w:val="99"/>
    <w:rPr>
      <w:rFonts w:ascii="Times New Roman" w:hAnsi="Times New Roman"/>
      <w:sz w:val="18"/>
      <w:szCs w:val="18"/>
    </w:rPr>
  </w:style>
  <w:style w:type="character" w:customStyle="1" w:styleId="31">
    <w:name w:val="页脚 字符"/>
    <w:link w:val="14"/>
    <w:qFormat/>
    <w:locked/>
    <w:uiPriority w:val="99"/>
    <w:rPr>
      <w:sz w:val="18"/>
    </w:rPr>
  </w:style>
  <w:style w:type="character" w:customStyle="1" w:styleId="32">
    <w:name w:val="Body Text Char"/>
    <w:basedOn w:val="22"/>
    <w:semiHidden/>
    <w:qFormat/>
    <w:uiPriority w:val="99"/>
    <w:rPr>
      <w:rFonts w:ascii="Times New Roman" w:hAnsi="Times New Roman"/>
      <w:szCs w:val="24"/>
    </w:rPr>
  </w:style>
  <w:style w:type="character" w:customStyle="1" w:styleId="33">
    <w:name w:val="正文文本 字符"/>
    <w:link w:val="11"/>
    <w:qFormat/>
    <w:locked/>
    <w:uiPriority w:val="99"/>
    <w:rPr>
      <w:rFonts w:ascii="仿宋_GB2312" w:hAnsi="Times New Roman" w:eastAsia="仿宋_GB2312"/>
      <w:sz w:val="24"/>
    </w:rPr>
  </w:style>
  <w:style w:type="paragraph" w:styleId="34">
    <w:name w:val="List Paragraph"/>
    <w:basedOn w:val="1"/>
    <w:qFormat/>
    <w:uiPriority w:val="34"/>
    <w:pPr>
      <w:ind w:firstLine="420" w:firstLineChars="200"/>
    </w:pPr>
  </w:style>
  <w:style w:type="character" w:customStyle="1" w:styleId="35">
    <w:name w:val="标题 1 字符"/>
    <w:basedOn w:val="22"/>
    <w:link w:val="5"/>
    <w:qFormat/>
    <w:uiPriority w:val="9"/>
    <w:rPr>
      <w:rFonts w:ascii="Times New Roman" w:hAnsi="Times New Roman"/>
      <w:b/>
      <w:bCs/>
      <w:kern w:val="44"/>
      <w:sz w:val="44"/>
      <w:szCs w:val="44"/>
    </w:rPr>
  </w:style>
  <w:style w:type="character" w:customStyle="1" w:styleId="36">
    <w:name w:val="标题 2 字符"/>
    <w:basedOn w:val="22"/>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2"/>
    <w:link w:val="13"/>
    <w:semiHidden/>
    <w:qFormat/>
    <w:uiPriority w:val="99"/>
    <w:rPr>
      <w:rFonts w:ascii="Times New Roman" w:hAnsi="Times New Roman"/>
      <w:kern w:val="2"/>
      <w:sz w:val="18"/>
      <w:szCs w:val="18"/>
    </w:rPr>
  </w:style>
  <w:style w:type="character" w:customStyle="1" w:styleId="39">
    <w:name w:val="标题 3 字符"/>
    <w:basedOn w:val="22"/>
    <w:link w:val="7"/>
    <w:qFormat/>
    <w:uiPriority w:val="9"/>
    <w:rPr>
      <w:rFonts w:ascii="Times New Roman" w:hAnsi="Times New Roman"/>
      <w:b/>
      <w:bCs/>
      <w:kern w:val="2"/>
      <w:sz w:val="32"/>
      <w:szCs w:val="32"/>
    </w:rPr>
  </w:style>
  <w:style w:type="character" w:customStyle="1" w:styleId="40">
    <w:name w:val="标题 1 Char"/>
    <w:basedOn w:val="22"/>
    <w:link w:val="5"/>
    <w:qFormat/>
    <w:uiPriority w:val="9"/>
    <w:rPr>
      <w:b/>
      <w:bCs/>
      <w:kern w:val="44"/>
      <w:sz w:val="44"/>
      <w:szCs w:val="44"/>
    </w:rPr>
  </w:style>
  <w:style w:type="paragraph" w:customStyle="1" w:styleId="4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42">
    <w:name w:val="四号正文"/>
    <w:basedOn w:val="1"/>
    <w:qFormat/>
    <w:uiPriority w:val="0"/>
    <w:pPr>
      <w:spacing w:line="360" w:lineRule="auto"/>
    </w:pPr>
    <w:rPr>
      <w:rFonts w:ascii="??" w:hAnsi="??" w:eastAsia="宋体" w:cs="宋体"/>
      <w:color w:val="000000"/>
      <w:kern w:val="0"/>
      <w:sz w:val="28"/>
      <w:szCs w:val="21"/>
    </w:rPr>
  </w:style>
  <w:style w:type="character" w:customStyle="1" w:styleId="43">
    <w:name w:val="四号正文 Char"/>
    <w:basedOn w:val="22"/>
    <w:link w:val="18"/>
    <w:qFormat/>
    <w:uiPriority w:val="0"/>
    <w:rPr>
      <w:rFonts w:ascii="??" w:hAnsi="??" w:eastAsia="宋体" w:cs="宋体"/>
      <w:color w:val="000000"/>
      <w:sz w:val="28"/>
      <w:szCs w:val="21"/>
      <w:lang w:val="en-US" w:eastAsia="zh-CN" w:bidi="ar-SA"/>
    </w:rPr>
  </w:style>
  <w:style w:type="character" w:customStyle="1" w:styleId="44">
    <w:name w:val="文档结构图 Char"/>
    <w:basedOn w:val="22"/>
    <w:link w:val="4"/>
    <w:qFormat/>
    <w:uiPriority w:val="0"/>
    <w:rPr>
      <w:rFonts w:ascii="宋体"/>
      <w:kern w:val="2"/>
      <w:sz w:val="18"/>
      <w:szCs w:val="18"/>
    </w:rPr>
  </w:style>
  <w:style w:type="paragraph" w:customStyle="1" w:styleId="45">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6">
    <w:name w:val="页脚 Char"/>
    <w:basedOn w:val="22"/>
    <w:link w:val="8"/>
    <w:qFormat/>
    <w:uiPriority w:val="99"/>
    <w:rPr>
      <w:kern w:val="2"/>
      <w:sz w:val="18"/>
      <w:szCs w:val="18"/>
    </w:rPr>
  </w:style>
  <w:style w:type="character" w:customStyle="1" w:styleId="47">
    <w:name w:val="font31"/>
    <w:basedOn w:val="22"/>
    <w:qFormat/>
    <w:uiPriority w:val="0"/>
    <w:rPr>
      <w:rFonts w:hint="eastAsia" w:ascii="宋体" w:hAnsi="宋体" w:eastAsia="宋体" w:cs="宋体"/>
      <w:color w:val="000000"/>
      <w:sz w:val="24"/>
      <w:szCs w:val="24"/>
      <w:u w:val="none"/>
    </w:rPr>
  </w:style>
  <w:style w:type="character" w:customStyle="1" w:styleId="48">
    <w:name w:val="font51"/>
    <w:basedOn w:val="22"/>
    <w:qFormat/>
    <w:uiPriority w:val="0"/>
    <w:rPr>
      <w:rFonts w:hint="default" w:ascii="Wingdings 2" w:hAnsi="Wingdings 2" w:eastAsia="Wingdings 2" w:cs="Wingdings 2"/>
      <w:color w:val="000000"/>
      <w:sz w:val="18"/>
      <w:szCs w:val="18"/>
      <w:u w:val="none"/>
    </w:rPr>
  </w:style>
  <w:style w:type="character" w:customStyle="1" w:styleId="49">
    <w:name w:val="font01"/>
    <w:basedOn w:val="22"/>
    <w:qFormat/>
    <w:uiPriority w:val="0"/>
    <w:rPr>
      <w:rFonts w:ascii="宋体" w:hAnsi="宋体" w:eastAsia="宋体" w:cs="宋体"/>
      <w:color w:val="000000"/>
      <w:sz w:val="18"/>
      <w:szCs w:val="18"/>
      <w:u w:val="none"/>
    </w:rPr>
  </w:style>
  <w:style w:type="character" w:customStyle="1" w:styleId="50">
    <w:name w:val="font41"/>
    <w:basedOn w:val="22"/>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收、支决算总计变动情况图</a:t>
            </a:r>
            <a:endParaRPr lang="zh-CN" sz="1200">
              <a:solidFill>
                <a:schemeClr val="tx1"/>
              </a:solidFill>
              <a:uFillTx/>
            </a:endParaRPr>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{97.4,95.17}</c:f>
              <c:numCache>
                <c:formatCode>General</c:formatCode>
                <c:ptCount val="2"/>
                <c:pt idx="0">
                  <c:v>97.4</c:v>
                </c:pt>
                <c:pt idx="1">
                  <c:v>95.17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db07b9-7fea-4b47-b018-419e7da3f7d7}"/>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收入决算结构图</a:t>
            </a:r>
            <a:endParaRPr lang="zh-CN" sz="1200">
              <a:solidFill>
                <a:schemeClr val="tx1"/>
              </a:solidFill>
              <a:uFillTx/>
            </a:endParaRPr>
          </a:p>
        </c:rich>
      </c:tx>
      <c:layout>
        <c:manualLayout>
          <c:xMode val="edge"/>
          <c:yMode val="edge"/>
          <c:x val="0.381169423101966"/>
          <c:y val="0.0357262103505843"/>
        </c:manualLayout>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{"一般公共预算财政拨款收入","事业收入"}</c:f>
              <c:strCache>
                <c:ptCount val="2"/>
                <c:pt idx="0">
                  <c:v>一般公共预算财政拨款收入</c:v>
                </c:pt>
                <c:pt idx="1">
                  <c:v>事业收入</c:v>
                </c:pt>
              </c:strCache>
            </c:strRef>
          </c:cat>
          <c:val>
            <c:numRef>
              <c:f>{65.22,29.96}</c:f>
              <c:numCache>
                <c:formatCode>General</c:formatCode>
                <c:ptCount val="2"/>
                <c:pt idx="0">
                  <c:v>65.22</c:v>
                </c:pt>
                <c:pt idx="1">
                  <c:v>29.96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74e71177-f1dc-4156-a20f-ec2592c4b8e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400" b="1" i="0" u="none" strike="noStrike" kern="1200" baseline="0">
                <a:solidFill>
                  <a:schemeClr val="tx1"/>
                </a:solidFill>
                <a:latin typeface="+mn-lt"/>
                <a:ea typeface="+mn-ea"/>
                <a:cs typeface="+mn-cs"/>
              </a:defRPr>
            </a:pPr>
            <a:r>
              <a:rPr lang="zh-CN" sz="1400"/>
              <a:t>支出决算结构图</a:t>
            </a:r>
            <a:endParaRPr lang="en-US" sz="1400"/>
          </a:p>
        </c:rich>
      </c:tx>
      <c:layout/>
      <c:overlay val="0"/>
    </c:title>
    <c:autoTitleDeleted val="0"/>
    <c:plotArea>
      <c:layout/>
      <c:pieChart>
        <c:varyColors val="1"/>
        <c:ser>
          <c:idx val="1"/>
          <c:order val="0"/>
          <c:explosion val="0"/>
          <c:dPt>
            <c:idx val="0"/>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{95.17}</c:f>
              <c:numCache>
                <c:formatCode>General</c:formatCode>
                <c:ptCount val="1"/>
                <c:pt idx="0">
                  <c:v>95.17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7a945af8-37cf-4530-9794-e89b722c7f18}"/>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sz="1200">
                <a:solidFill>
                  <a:schemeClr val="tx2"/>
                </a:solidFill>
                <a:uFillTx/>
              </a:rPr>
              <a:t>财政拨款收、支决算总计变动情况</a:t>
            </a:r>
            <a:endParaRPr lang="en-US" altLang="zh-CN" sz="1200">
              <a:solidFill>
                <a:schemeClr val="tx2"/>
              </a:solidFill>
              <a:uFillTx/>
            </a:endParaRPr>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{70.87,65.22}</c:f>
              <c:numCache>
                <c:formatCode>General</c:formatCode>
                <c:ptCount val="2"/>
                <c:pt idx="0">
                  <c:v>70.87</c:v>
                </c:pt>
                <c:pt idx="1">
                  <c:v>65.22</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3e185736-9df1-4ead-8519-d3d69e1cff65}"/>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{70.87}</c:f>
              <c:numCache>
                <c:formatCode>General</c:formatCode>
                <c:ptCount val="1"/>
                <c:pt idx="0">
                  <c:v>70.87</c:v>
                </c:pt>
              </c:numCache>
            </c:numRef>
          </c:val>
        </c:ser>
        <c:ser>
          <c:idx val="2"/>
          <c:order val="1"/>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{65.22}</c:f>
              <c:numCache>
                <c:formatCode>General</c:formatCode>
                <c:ptCount val="1"/>
                <c:pt idx="0">
                  <c:v>65.22</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3237a5-2be1-46ea-a98d-275944b85c2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一般公共预算财政拨款支出</a:t>
            </a:r>
            <a:endParaRPr lang="zh-CN" sz="1200">
              <a:solidFill>
                <a:schemeClr val="tx1"/>
              </a:solidFill>
              <a:uFillTx/>
            </a:endParaRPr>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c:f>
              <c:strCache>
                <c:ptCount val="1"/>
                <c:pt idx="0">
                  <c:v>文化旅游体育与传媒支出</c:v>
                </c:pt>
              </c:strCache>
            </c:strRef>
          </c:cat>
          <c:val>
            <c:numRef>
              <c:f>{65.22}</c:f>
              <c:numCache>
                <c:formatCode>General</c:formatCode>
                <c:ptCount val="1"/>
                <c:pt idx="0">
                  <c:v>65.22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ab47065-1c8c-4113-91bc-3bde926cc051}"/>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sz="1200">
                <a:solidFill>
                  <a:schemeClr val="tx1"/>
                </a:solidFill>
                <a:uFillTx/>
              </a:rPr>
              <a:t>三公经费</a:t>
            </a:r>
            <a:endParaRPr lang="zh-CN" sz="1200">
              <a:solidFill>
                <a:schemeClr val="tx1"/>
              </a:solidFill>
              <a:uFillTx/>
            </a:endParaRPr>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07431aa-8c18-4a3f-920f-5f99f580dfc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1221</Words>
  <Characters>1397</Characters>
  <Lines>48</Lines>
  <Paragraphs>13</Paragraphs>
  <TotalTime>3</TotalTime>
  <ScaleCrop>false</ScaleCrop>
  <LinksUpToDate>false</LinksUpToDate>
  <CharactersWithSpaces>1440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日西佳</cp:lastModifiedBy>
  <cp:lastPrinted>2025-09-16T02:11:00Z</cp:lastPrinted>
  <dcterms:modified xsi:type="dcterms:W3CDTF">2025-09-23T07:22:50Z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D40155A31EBC4190B91A42922FE70386_13</vt:lpwstr>
  </property>
  <property fmtid="{D5CDD505-2E9C-101B-9397-08002B2CF9AE}" pid="4" name="KSOTemplateDocerSaveRecord">
    <vt:lpwstr>eyJoZGlkIjoiMzcwNzZhMWIzM2UwN2YxNzllZWY0NjkwN2JjNjM3MzUiLCJ1c2VySWQiOiIzNzQ1MTg1OTIifQ==</vt:lpwstr>
  </property>
</Properties>
</file>