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bookmarkStart w:id="59" w:name="_GoBack"/>
      <w:bookmarkEnd w:id="59"/>
      <w:r>
        <w:rPr>
          <w:rFonts w:hint="eastAsia" w:ascii="方正小标宋简体" w:hAnsi="宋体" w:eastAsia="方正小标宋简体"/>
          <w:color w:val="000000"/>
          <w:sz w:val="72"/>
          <w:szCs w:val="72"/>
        </w:rPr>
        <w:t xml:space="preserve">  </w:t>
      </w: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44"/>
          <w:szCs w:val="44"/>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8441"/>
      <w:bookmarkStart w:id="2" w:name="_Toc15396597"/>
      <w:bookmarkStart w:id="3" w:name="_Toc15396475"/>
      <w:bookmarkStart w:id="4" w:name="_Toc15377425"/>
      <w:bookmarkStart w:id="5" w:name="_Toc15377193"/>
      <w:r>
        <w:rPr>
          <w:rFonts w:ascii="方正小标宋简体" w:hAnsi="方正小标宋简体" w:eastAsia="方正小标宋简体" w:cs="方正小标宋简体"/>
          <w:color w:val="000000"/>
          <w:sz w:val="44"/>
          <w:szCs w:val="44"/>
        </w:rPr>
        <w:t>2020</w:t>
      </w:r>
      <w:r>
        <w:rPr>
          <w:rFonts w:hint="eastAsia" w:ascii="方正小标宋简体" w:hAnsi="方正小标宋简体" w:eastAsia="方正小标宋简体" w:cs="方正小标宋简体"/>
          <w:color w:val="000000"/>
          <w:sz w:val="44"/>
          <w:szCs w:val="44"/>
        </w:rPr>
        <w:t>年度</w:t>
      </w:r>
      <w:bookmarkEnd w:id="1"/>
      <w:bookmarkEnd w:id="2"/>
      <w:bookmarkEnd w:id="3"/>
      <w:bookmarkEnd w:id="4"/>
      <w:bookmarkEnd w:id="5"/>
    </w:p>
    <w:p>
      <w:pPr>
        <w:adjustRightInd w:val="0"/>
        <w:snapToGrid w:val="0"/>
        <w:spacing w:line="360" w:lineRule="auto"/>
        <w:jc w:val="center"/>
        <w:outlineLvl w:val="0"/>
        <w:rPr>
          <w:rFonts w:ascii="方正小标宋简体" w:hAnsi="宋体" w:eastAsia="方正小标宋简体"/>
          <w:color w:val="000000"/>
          <w:sz w:val="44"/>
          <w:szCs w:val="44"/>
        </w:rPr>
      </w:pPr>
      <w:bookmarkStart w:id="6" w:name="_Toc15396476"/>
      <w:bookmarkStart w:id="7" w:name="_Toc15378442"/>
      <w:bookmarkStart w:id="8" w:name="_Toc15377426"/>
      <w:bookmarkStart w:id="9" w:name="_Toc15377194"/>
      <w:bookmarkStart w:id="10" w:name="_Toc15396598"/>
      <w:r>
        <w:rPr>
          <w:rFonts w:hint="eastAsia" w:ascii="方正小标宋简体" w:hAnsi="宋体" w:eastAsia="方正小标宋简体"/>
          <w:color w:val="000000"/>
          <w:sz w:val="44"/>
          <w:szCs w:val="44"/>
        </w:rPr>
        <w:t>四川省</w:t>
      </w:r>
      <w:bookmarkEnd w:id="0"/>
      <w:bookmarkStart w:id="11" w:name="_Toc15306268"/>
      <w:r>
        <w:rPr>
          <w:rFonts w:hint="eastAsia" w:ascii="方正小标宋简体" w:hAnsi="宋体" w:eastAsia="方正小标宋简体"/>
          <w:color w:val="000000"/>
          <w:sz w:val="44"/>
          <w:szCs w:val="44"/>
        </w:rPr>
        <w:t>茂县粮食和物资储备中心部门决算</w:t>
      </w:r>
      <w:bookmarkEnd w:id="6"/>
      <w:bookmarkEnd w:id="7"/>
      <w:bookmarkEnd w:id="8"/>
      <w:bookmarkEnd w:id="9"/>
      <w:bookmarkEnd w:id="10"/>
      <w:bookmarkEnd w:id="11"/>
    </w:p>
    <w:p>
      <w:pPr>
        <w:adjustRightInd w:val="0"/>
        <w:snapToGrid w:val="0"/>
        <w:spacing w:line="360" w:lineRule="auto"/>
        <w:jc w:val="center"/>
        <w:outlineLvl w:val="0"/>
        <w:rPr>
          <w:rFonts w:ascii="方正小标宋简体" w:hAnsi="宋体" w:eastAsia="方正小标宋简体"/>
          <w:color w:val="000000"/>
          <w:sz w:val="52"/>
          <w:szCs w:val="52"/>
        </w:rPr>
      </w:pPr>
    </w:p>
    <w:p>
      <w:pPr>
        <w:adjustRightInd w:val="0"/>
        <w:snapToGrid w:val="0"/>
        <w:spacing w:line="360" w:lineRule="auto"/>
        <w:jc w:val="center"/>
        <w:outlineLvl w:val="0"/>
        <w:rPr>
          <w:rFonts w:ascii="方正小标宋简体" w:hAnsi="宋体" w:eastAsia="方正小标宋简体"/>
          <w:color w:val="000000"/>
          <w:sz w:val="36"/>
          <w:szCs w:val="36"/>
        </w:rPr>
      </w:pPr>
    </w:p>
    <w:p>
      <w:pPr>
        <w:adjustRightInd w:val="0"/>
        <w:snapToGrid w:val="0"/>
        <w:spacing w:line="360" w:lineRule="auto"/>
        <w:jc w:val="center"/>
        <w:outlineLvl w:val="0"/>
        <w:rPr>
          <w:rFonts w:ascii="方正小标宋简体" w:hAnsi="宋体" w:eastAsia="方正小标宋简体"/>
          <w:color w:val="000000"/>
          <w:sz w:val="36"/>
          <w:szCs w:val="36"/>
        </w:rPr>
      </w:pPr>
    </w:p>
    <w:p>
      <w:pPr>
        <w:adjustRightInd w:val="0"/>
        <w:snapToGrid w:val="0"/>
        <w:spacing w:line="360" w:lineRule="auto"/>
        <w:jc w:val="center"/>
        <w:outlineLvl w:val="0"/>
        <w:rPr>
          <w:rFonts w:ascii="方正小标宋简体" w:hAnsi="宋体" w:eastAsia="方正小标宋简体"/>
          <w:color w:val="000000"/>
          <w:sz w:val="36"/>
          <w:szCs w:val="36"/>
        </w:rPr>
      </w:pPr>
    </w:p>
    <w:p>
      <w:pPr>
        <w:adjustRightInd w:val="0"/>
        <w:snapToGrid w:val="0"/>
        <w:spacing w:line="360" w:lineRule="auto"/>
        <w:jc w:val="center"/>
        <w:outlineLvl w:val="0"/>
        <w:rPr>
          <w:rFonts w:ascii="方正小标宋简体" w:hAnsi="宋体" w:eastAsia="方正小标宋简体"/>
          <w:color w:val="000000"/>
          <w:sz w:val="36"/>
          <w:szCs w:val="36"/>
        </w:rPr>
      </w:pPr>
    </w:p>
    <w:p>
      <w:pPr>
        <w:adjustRightInd w:val="0"/>
        <w:snapToGrid w:val="0"/>
        <w:spacing w:line="360" w:lineRule="auto"/>
        <w:jc w:val="center"/>
        <w:outlineLvl w:val="0"/>
        <w:rPr>
          <w:rFonts w:ascii="方正小标宋简体" w:hAnsi="宋体" w:eastAsia="方正小标宋简体"/>
          <w:color w:val="000000"/>
          <w:sz w:val="36"/>
          <w:szCs w:val="36"/>
        </w:rPr>
      </w:pPr>
    </w:p>
    <w:p>
      <w:pPr>
        <w:adjustRightInd w:val="0"/>
        <w:snapToGrid w:val="0"/>
        <w:spacing w:line="360" w:lineRule="auto"/>
        <w:jc w:val="center"/>
        <w:outlineLvl w:val="0"/>
        <w:rPr>
          <w:rFonts w:ascii="方正小标宋简体" w:hAnsi="宋体" w:eastAsia="方正小标宋简体"/>
          <w:color w:val="000000"/>
          <w:sz w:val="36"/>
          <w:szCs w:val="36"/>
        </w:rPr>
      </w:pPr>
    </w:p>
    <w:p>
      <w:pPr>
        <w:adjustRightInd w:val="0"/>
        <w:snapToGrid w:val="0"/>
        <w:spacing w:line="360" w:lineRule="auto"/>
        <w:jc w:val="center"/>
        <w:outlineLvl w:val="0"/>
        <w:rPr>
          <w:rFonts w:ascii="方正小标宋简体" w:hAnsi="宋体" w:eastAsia="方正小标宋简体"/>
          <w:color w:val="000000"/>
          <w:sz w:val="36"/>
          <w:szCs w:val="36"/>
        </w:rPr>
      </w:pPr>
    </w:p>
    <w:p>
      <w:pPr>
        <w:adjustRightInd w:val="0"/>
        <w:snapToGrid w:val="0"/>
        <w:spacing w:line="360" w:lineRule="auto"/>
        <w:outlineLvl w:val="0"/>
        <w:rPr>
          <w:rFonts w:ascii="黑体" w:hAnsi="黑体" w:eastAsia="黑体" w:cs="黑体"/>
          <w:color w:val="000000"/>
          <w:sz w:val="32"/>
          <w:szCs w:val="32"/>
        </w:rPr>
      </w:pPr>
      <w:r>
        <w:rPr>
          <w:rFonts w:hint="eastAsia" w:ascii="黑体" w:hAnsi="黑体" w:eastAsia="黑体" w:cs="黑体"/>
          <w:color w:val="000000"/>
          <w:sz w:val="32"/>
          <w:szCs w:val="32"/>
        </w:rPr>
        <w:t>保密审查情况：已经保密审查，请在政府门户网站公开</w:t>
      </w:r>
    </w:p>
    <w:p>
      <w:pPr>
        <w:adjustRightInd w:val="0"/>
        <w:snapToGrid w:val="0"/>
        <w:spacing w:line="360" w:lineRule="auto"/>
        <w:jc w:val="center"/>
        <w:outlineLvl w:val="0"/>
        <w:rPr>
          <w:rFonts w:ascii="黑体" w:hAnsi="黑体" w:eastAsia="黑体"/>
          <w:color w:val="000000"/>
          <w:sz w:val="48"/>
          <w:szCs w:val="48"/>
        </w:rPr>
      </w:pPr>
      <w:r>
        <w:rPr>
          <w:rFonts w:hint="eastAsia" w:ascii="黑体" w:hAnsi="黑体" w:eastAsia="黑体" w:cs="黑体"/>
          <w:color w:val="000000"/>
          <w:sz w:val="32"/>
          <w:szCs w:val="32"/>
        </w:rPr>
        <w:t>部门主要负责人审签情况：</w:t>
      </w:r>
      <w:r>
        <w:rPr>
          <w:rFonts w:ascii="黑体" w:hAnsi="黑体" w:eastAsia="黑体" w:cs="黑体"/>
          <w:color w:val="000000"/>
          <w:sz w:val="32"/>
          <w:szCs w:val="32"/>
        </w:rPr>
        <w:br w:type="page"/>
      </w:r>
      <w:r>
        <w:rPr>
          <w:rFonts w:hint="eastAsia" w:ascii="方正小标宋简体" w:hAnsi="方正小标宋简体" w:eastAsia="方正小标宋简体" w:cs="方正小标宋简体"/>
          <w:color w:val="000000"/>
          <w:sz w:val="44"/>
          <w:szCs w:val="44"/>
        </w:rPr>
        <w:t>目录</w:t>
      </w:r>
    </w:p>
    <w:p>
      <w:pPr>
        <w:widowControl/>
        <w:jc w:val="center"/>
        <w:rPr>
          <w:rFonts w:ascii="仿宋_GB2312" w:hAnsi="仿宋_GB2312" w:eastAsia="仿宋_GB2312" w:cs="仿宋_GB2312"/>
          <w:sz w:val="32"/>
          <w:szCs w:val="32"/>
        </w:rPr>
      </w:pPr>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p>
      <w:pPr>
        <w:pStyle w:val="8"/>
        <w:rPr>
          <w:rFonts w:ascii="仿宋_GB2312" w:hAnsi="仿宋_GB2312" w:eastAsia="仿宋_GB2312" w:cs="仿宋_GB2312"/>
          <w:sz w:val="32"/>
          <w:szCs w:val="32"/>
        </w:rPr>
      </w:pPr>
      <w:r>
        <w:fldChar w:fldCharType="begin"/>
      </w:r>
      <w:r>
        <w:instrText xml:space="preserve"> HYPERLINK \l "_Toc15396599" </w:instrText>
      </w:r>
      <w:r>
        <w:fldChar w:fldCharType="separate"/>
      </w:r>
      <w:r>
        <w:rPr>
          <w:rStyle w:val="17"/>
          <w:rFonts w:hint="eastAsia" w:ascii="宋体" w:hAnsi="宋体" w:eastAsia="宋体" w:cs="宋体"/>
          <w:sz w:val="32"/>
          <w:szCs w:val="32"/>
        </w:rPr>
        <w:t>第一部分部门概况</w:t>
      </w:r>
      <w:r>
        <w:rPr>
          <w:rFonts w:ascii="仿宋_GB2312" w:hAnsi="仿宋_GB2312" w:eastAsia="仿宋_GB2312" w:cs="仿宋_GB2312"/>
          <w:sz w:val="32"/>
          <w:szCs w:val="32"/>
        </w:rPr>
        <w:tab/>
      </w:r>
      <w:r>
        <w:rPr>
          <w:rFonts w:ascii="仿宋_GB2312" w:hAnsi="仿宋_GB2312" w:eastAsia="仿宋_GB2312" w:cs="仿宋_GB2312"/>
          <w:sz w:val="32"/>
          <w:szCs w:val="32"/>
        </w:rPr>
        <w:t>1</w:t>
      </w:r>
      <w:r>
        <w:rPr>
          <w:rFonts w:ascii="仿宋_GB2312" w:hAnsi="仿宋_GB2312" w:eastAsia="仿宋_GB2312" w:cs="仿宋_GB2312"/>
          <w:sz w:val="32"/>
          <w:szCs w:val="32"/>
        </w:rPr>
        <w:fldChar w:fldCharType="end"/>
      </w:r>
    </w:p>
    <w:p>
      <w:pPr>
        <w:pStyle w:val="9"/>
        <w:rPr>
          <w:rFonts w:ascii="仿宋_GB2312" w:hAnsi="仿宋_GB2312" w:eastAsia="仿宋_GB2312" w:cs="仿宋_GB2312"/>
          <w:sz w:val="32"/>
          <w:szCs w:val="32"/>
        </w:rPr>
      </w:pPr>
      <w:r>
        <w:fldChar w:fldCharType="begin"/>
      </w:r>
      <w:r>
        <w:instrText xml:space="preserve"> HYPERLINK \l "_Toc15396600" </w:instrText>
      </w:r>
      <w:r>
        <w:fldChar w:fldCharType="separate"/>
      </w:r>
      <w:r>
        <w:rPr>
          <w:rStyle w:val="17"/>
          <w:rFonts w:hint="eastAsia" w:ascii="宋体" w:hAnsi="宋体" w:cs="宋体"/>
          <w:sz w:val="32"/>
          <w:szCs w:val="32"/>
        </w:rPr>
        <w:t>一</w:t>
      </w:r>
      <w:r>
        <w:rPr>
          <w:rStyle w:val="17"/>
          <w:rFonts w:hint="eastAsia" w:ascii="Malgun Gothic Semilight" w:hAnsi="Malgun Gothic Semilight" w:eastAsia="Malgun Gothic Semilight" w:cs="Malgun Gothic Semilight"/>
          <w:sz w:val="32"/>
          <w:szCs w:val="32"/>
        </w:rPr>
        <w:t>、</w:t>
      </w:r>
      <w:r>
        <w:rPr>
          <w:rStyle w:val="17"/>
          <w:rFonts w:hint="eastAsia" w:ascii="宋体" w:hAnsi="宋体" w:cs="宋体"/>
          <w:sz w:val="32"/>
          <w:szCs w:val="32"/>
        </w:rPr>
        <w:t>基本职能及主要工作</w:t>
      </w:r>
      <w:r>
        <w:rPr>
          <w:rFonts w:ascii="仿宋_GB2312" w:hAnsi="仿宋_GB2312" w:eastAsia="仿宋_GB2312" w:cs="仿宋_GB2312"/>
          <w:sz w:val="32"/>
          <w:szCs w:val="32"/>
        </w:rPr>
        <w:tab/>
      </w:r>
      <w:r>
        <w:rPr>
          <w:rFonts w:ascii="仿宋_GB2312" w:hAnsi="仿宋_GB2312" w:eastAsia="仿宋_GB2312" w:cs="仿宋_GB2312"/>
          <w:sz w:val="32"/>
          <w:szCs w:val="32"/>
        </w:rPr>
        <w:t xml:space="preserve"> 1</w:t>
      </w:r>
      <w:r>
        <w:rPr>
          <w:rFonts w:ascii="仿宋_GB2312" w:hAnsi="仿宋_GB2312" w:eastAsia="仿宋_GB2312" w:cs="仿宋_GB2312"/>
          <w:sz w:val="32"/>
          <w:szCs w:val="32"/>
        </w:rPr>
        <w:fldChar w:fldCharType="end"/>
      </w:r>
    </w:p>
    <w:p>
      <w:pPr>
        <w:pStyle w:val="9"/>
        <w:rPr>
          <w:rFonts w:ascii="仿宋_GB2312" w:hAnsi="仿宋_GB2312" w:eastAsia="仿宋_GB2312" w:cs="仿宋_GB2312"/>
          <w:sz w:val="32"/>
          <w:szCs w:val="32"/>
        </w:rPr>
      </w:pPr>
      <w:r>
        <w:fldChar w:fldCharType="begin"/>
      </w:r>
      <w:r>
        <w:instrText xml:space="preserve"> HYPERLINK \l "_Toc15396601" </w:instrText>
      </w:r>
      <w:r>
        <w:fldChar w:fldCharType="separate"/>
      </w:r>
      <w:r>
        <w:rPr>
          <w:rStyle w:val="17"/>
          <w:rFonts w:hint="eastAsia" w:ascii="宋体" w:hAnsi="宋体" w:cs="宋体"/>
          <w:sz w:val="32"/>
          <w:szCs w:val="32"/>
        </w:rPr>
        <w:t>二</w:t>
      </w:r>
      <w:r>
        <w:rPr>
          <w:rStyle w:val="17"/>
          <w:rFonts w:hint="eastAsia" w:ascii="Malgun Gothic Semilight" w:hAnsi="Malgun Gothic Semilight" w:eastAsia="Malgun Gothic Semilight" w:cs="Malgun Gothic Semilight"/>
          <w:sz w:val="32"/>
          <w:szCs w:val="32"/>
        </w:rPr>
        <w:t>、</w:t>
      </w:r>
      <w:r>
        <w:rPr>
          <w:rStyle w:val="17"/>
          <w:rFonts w:hint="eastAsia" w:ascii="宋体" w:hAnsi="宋体" w:cs="宋体"/>
          <w:sz w:val="32"/>
          <w:szCs w:val="32"/>
        </w:rPr>
        <w:t>机构设置</w:t>
      </w:r>
      <w:r>
        <w:rPr>
          <w:rFonts w:ascii="仿宋_GB2312" w:hAnsi="仿宋_GB2312" w:eastAsia="仿宋_GB2312" w:cs="仿宋_GB2312"/>
          <w:sz w:val="32"/>
          <w:szCs w:val="32"/>
        </w:rPr>
        <w:tab/>
      </w:r>
      <w:r>
        <w:rPr>
          <w:rFonts w:ascii="仿宋_GB2312" w:hAnsi="仿宋_GB2312" w:eastAsia="仿宋_GB2312" w:cs="仿宋_GB2312"/>
          <w:sz w:val="32"/>
          <w:szCs w:val="32"/>
        </w:rPr>
        <w:t>3</w:t>
      </w:r>
      <w:r>
        <w:rPr>
          <w:rFonts w:ascii="仿宋_GB2312" w:hAnsi="仿宋_GB2312" w:eastAsia="仿宋_GB2312" w:cs="仿宋_GB2312"/>
          <w:sz w:val="32"/>
          <w:szCs w:val="32"/>
        </w:rPr>
        <w:fldChar w:fldCharType="end"/>
      </w:r>
    </w:p>
    <w:p>
      <w:pPr>
        <w:pStyle w:val="8"/>
        <w:rPr>
          <w:rFonts w:ascii="仿宋_GB2312" w:hAnsi="仿宋_GB2312" w:eastAsia="仿宋_GB2312" w:cs="仿宋_GB2312"/>
          <w:sz w:val="32"/>
          <w:szCs w:val="32"/>
        </w:rPr>
      </w:pPr>
      <w:r>
        <w:fldChar w:fldCharType="begin"/>
      </w:r>
      <w:r>
        <w:instrText xml:space="preserve"> HYPERLINK \l "_Toc15396602" </w:instrText>
      </w:r>
      <w:r>
        <w:fldChar w:fldCharType="separate"/>
      </w:r>
      <w:r>
        <w:rPr>
          <w:rStyle w:val="17"/>
          <w:rFonts w:hint="eastAsia" w:ascii="宋体" w:hAnsi="宋体" w:eastAsia="宋体" w:cs="宋体"/>
          <w:sz w:val="32"/>
          <w:szCs w:val="32"/>
        </w:rPr>
        <w:t>第二部分</w:t>
      </w:r>
      <w:r>
        <w:rPr>
          <w:rStyle w:val="17"/>
          <w:rFonts w:ascii="仿宋_GB2312" w:hAnsi="仿宋_GB2312" w:eastAsia="仿宋_GB2312" w:cs="仿宋_GB2312"/>
          <w:sz w:val="32"/>
          <w:szCs w:val="32"/>
        </w:rPr>
        <w:t xml:space="preserve"> 2020</w:t>
      </w:r>
      <w:r>
        <w:rPr>
          <w:rStyle w:val="17"/>
          <w:rFonts w:hint="eastAsia" w:ascii="宋体" w:hAnsi="宋体" w:eastAsia="宋体" w:cs="宋体"/>
          <w:sz w:val="32"/>
          <w:szCs w:val="32"/>
        </w:rPr>
        <w:t>年度部门决算情况说明</w:t>
      </w:r>
      <w:r>
        <w:rPr>
          <w:rFonts w:ascii="仿宋_GB2312" w:hAnsi="仿宋_GB2312" w:eastAsia="仿宋_GB2312" w:cs="仿宋_GB2312"/>
          <w:sz w:val="32"/>
          <w:szCs w:val="32"/>
        </w:rPr>
        <w:tab/>
      </w:r>
      <w:r>
        <w:rPr>
          <w:rFonts w:ascii="仿宋_GB2312" w:hAnsi="仿宋_GB2312" w:eastAsia="仿宋_GB2312" w:cs="仿宋_GB2312"/>
          <w:sz w:val="32"/>
          <w:szCs w:val="32"/>
        </w:rPr>
        <w:t>4</w:t>
      </w:r>
      <w:r>
        <w:rPr>
          <w:rFonts w:ascii="仿宋_GB2312" w:hAnsi="仿宋_GB2312" w:eastAsia="仿宋_GB2312" w:cs="仿宋_GB2312"/>
          <w:sz w:val="32"/>
          <w:szCs w:val="32"/>
        </w:rPr>
        <w:fldChar w:fldCharType="end"/>
      </w:r>
    </w:p>
    <w:p>
      <w:pPr>
        <w:pStyle w:val="9"/>
        <w:rPr>
          <w:rFonts w:ascii="仿宋_GB2312" w:hAnsi="仿宋_GB2312" w:eastAsia="仿宋_GB2312" w:cs="仿宋_GB2312"/>
          <w:sz w:val="32"/>
          <w:szCs w:val="32"/>
        </w:rPr>
      </w:pPr>
      <w:r>
        <w:fldChar w:fldCharType="begin"/>
      </w:r>
      <w:r>
        <w:instrText xml:space="preserve"> HYPERLINK \l "_Toc15396603" </w:instrText>
      </w:r>
      <w:r>
        <w:fldChar w:fldCharType="separate"/>
      </w:r>
      <w:r>
        <w:rPr>
          <w:rStyle w:val="17"/>
          <w:rFonts w:hint="eastAsia" w:ascii="宋体" w:hAnsi="宋体" w:cs="宋体"/>
          <w:bCs/>
          <w:sz w:val="32"/>
          <w:szCs w:val="32"/>
        </w:rPr>
        <w:t>一</w:t>
      </w:r>
      <w:r>
        <w:rPr>
          <w:rStyle w:val="17"/>
          <w:rFonts w:hint="eastAsia" w:ascii="Malgun Gothic Semilight" w:hAnsi="Malgun Gothic Semilight" w:eastAsia="Malgun Gothic Semilight" w:cs="Malgun Gothic Semilight"/>
          <w:bCs/>
          <w:sz w:val="32"/>
          <w:szCs w:val="32"/>
        </w:rPr>
        <w:t>、</w:t>
      </w:r>
      <w:r>
        <w:rPr>
          <w:rStyle w:val="17"/>
          <w:rFonts w:hint="eastAsia" w:ascii="宋体" w:hAnsi="宋体" w:cs="宋体"/>
          <w:sz w:val="32"/>
          <w:szCs w:val="32"/>
        </w:rPr>
        <w:t>收</w:t>
      </w:r>
      <w:r>
        <w:rPr>
          <w:rStyle w:val="17"/>
          <w:rFonts w:hint="eastAsia" w:ascii="宋体" w:hAnsi="宋体" w:cs="宋体"/>
          <w:bCs/>
          <w:sz w:val="32"/>
          <w:szCs w:val="32"/>
        </w:rPr>
        <w:t>入支出决算总体情况说明</w:t>
      </w:r>
      <w:r>
        <w:rPr>
          <w:rFonts w:ascii="仿宋_GB2312" w:hAnsi="仿宋_GB2312" w:eastAsia="仿宋_GB2312" w:cs="仿宋_GB2312"/>
          <w:sz w:val="32"/>
          <w:szCs w:val="32"/>
        </w:rPr>
        <w:tab/>
      </w:r>
      <w:r>
        <w:rPr>
          <w:rFonts w:ascii="仿宋_GB2312" w:hAnsi="仿宋_GB2312" w:eastAsia="仿宋_GB2312" w:cs="仿宋_GB2312"/>
          <w:sz w:val="32"/>
          <w:szCs w:val="32"/>
        </w:rPr>
        <w:t>4</w:t>
      </w:r>
      <w:r>
        <w:rPr>
          <w:rFonts w:ascii="仿宋_GB2312" w:hAnsi="仿宋_GB2312" w:eastAsia="仿宋_GB2312" w:cs="仿宋_GB2312"/>
          <w:sz w:val="32"/>
          <w:szCs w:val="32"/>
        </w:rPr>
        <w:fldChar w:fldCharType="end"/>
      </w:r>
    </w:p>
    <w:p>
      <w:pPr>
        <w:pStyle w:val="9"/>
        <w:rPr>
          <w:rFonts w:ascii="仿宋_GB2312" w:hAnsi="仿宋_GB2312" w:eastAsia="仿宋_GB2312" w:cs="仿宋_GB2312"/>
          <w:sz w:val="32"/>
          <w:szCs w:val="32"/>
        </w:rPr>
      </w:pPr>
      <w:r>
        <w:fldChar w:fldCharType="begin"/>
      </w:r>
      <w:r>
        <w:instrText xml:space="preserve"> HYPERLINK \l "_Toc15396604" </w:instrText>
      </w:r>
      <w:r>
        <w:fldChar w:fldCharType="separate"/>
      </w:r>
      <w:r>
        <w:rPr>
          <w:rStyle w:val="17"/>
          <w:rFonts w:hint="eastAsia" w:ascii="宋体" w:hAnsi="宋体" w:cs="宋体"/>
          <w:bCs/>
          <w:sz w:val="32"/>
          <w:szCs w:val="32"/>
        </w:rPr>
        <w:t>二</w:t>
      </w:r>
      <w:r>
        <w:rPr>
          <w:rStyle w:val="17"/>
          <w:rFonts w:hint="eastAsia" w:ascii="Malgun Gothic Semilight" w:hAnsi="Malgun Gothic Semilight" w:eastAsia="Malgun Gothic Semilight" w:cs="Malgun Gothic Semilight"/>
          <w:bCs/>
          <w:sz w:val="32"/>
          <w:szCs w:val="32"/>
        </w:rPr>
        <w:t>、</w:t>
      </w:r>
      <w:r>
        <w:rPr>
          <w:rStyle w:val="17"/>
          <w:rFonts w:hint="eastAsia" w:ascii="宋体" w:hAnsi="宋体" w:cs="宋体"/>
          <w:sz w:val="32"/>
          <w:szCs w:val="32"/>
        </w:rPr>
        <w:t>收</w:t>
      </w:r>
      <w:r>
        <w:rPr>
          <w:rStyle w:val="17"/>
          <w:rFonts w:hint="eastAsia" w:ascii="宋体" w:hAnsi="宋体" w:cs="宋体"/>
          <w:bCs/>
          <w:sz w:val="32"/>
          <w:szCs w:val="32"/>
        </w:rPr>
        <w:t>入决算情况说明</w:t>
      </w:r>
      <w:r>
        <w:rPr>
          <w:rFonts w:ascii="仿宋_GB2312" w:hAnsi="仿宋_GB2312" w:eastAsia="仿宋_GB2312" w:cs="仿宋_GB2312"/>
          <w:sz w:val="32"/>
          <w:szCs w:val="32"/>
        </w:rPr>
        <w:tab/>
      </w:r>
      <w:r>
        <w:rPr>
          <w:rFonts w:ascii="仿宋_GB2312" w:hAnsi="仿宋_GB2312" w:eastAsia="仿宋_GB2312" w:cs="仿宋_GB2312"/>
          <w:sz w:val="32"/>
          <w:szCs w:val="32"/>
        </w:rPr>
        <w:t>4</w:t>
      </w:r>
      <w:r>
        <w:rPr>
          <w:rFonts w:ascii="仿宋_GB2312" w:hAnsi="仿宋_GB2312" w:eastAsia="仿宋_GB2312" w:cs="仿宋_GB2312"/>
          <w:sz w:val="32"/>
          <w:szCs w:val="32"/>
        </w:rPr>
        <w:fldChar w:fldCharType="end"/>
      </w:r>
    </w:p>
    <w:p>
      <w:pPr>
        <w:pStyle w:val="9"/>
        <w:rPr>
          <w:rFonts w:ascii="仿宋_GB2312" w:hAnsi="仿宋_GB2312" w:eastAsia="仿宋_GB2312" w:cs="仿宋_GB2312"/>
          <w:sz w:val="32"/>
          <w:szCs w:val="32"/>
        </w:rPr>
      </w:pPr>
      <w:r>
        <w:fldChar w:fldCharType="begin"/>
      </w:r>
      <w:r>
        <w:instrText xml:space="preserve"> HYPERLINK \l "_Toc15396605" </w:instrText>
      </w:r>
      <w:r>
        <w:fldChar w:fldCharType="separate"/>
      </w:r>
      <w:r>
        <w:rPr>
          <w:rStyle w:val="17"/>
          <w:rFonts w:hint="eastAsia" w:ascii="宋体" w:hAnsi="宋体" w:cs="宋体"/>
          <w:bCs/>
          <w:sz w:val="32"/>
          <w:szCs w:val="32"/>
        </w:rPr>
        <w:t>三</w:t>
      </w:r>
      <w:r>
        <w:rPr>
          <w:rStyle w:val="17"/>
          <w:rFonts w:hint="eastAsia" w:ascii="Malgun Gothic Semilight" w:hAnsi="Malgun Gothic Semilight" w:eastAsia="Malgun Gothic Semilight" w:cs="Malgun Gothic Semilight"/>
          <w:bCs/>
          <w:sz w:val="32"/>
          <w:szCs w:val="32"/>
        </w:rPr>
        <w:t>、</w:t>
      </w:r>
      <w:r>
        <w:rPr>
          <w:rStyle w:val="17"/>
          <w:rFonts w:hint="eastAsia" w:ascii="宋体" w:hAnsi="宋体" w:cs="宋体"/>
          <w:sz w:val="32"/>
          <w:szCs w:val="32"/>
        </w:rPr>
        <w:t>支</w:t>
      </w:r>
      <w:r>
        <w:rPr>
          <w:rStyle w:val="17"/>
          <w:rFonts w:hint="eastAsia" w:ascii="宋体" w:hAnsi="宋体" w:cs="宋体"/>
          <w:bCs/>
          <w:sz w:val="32"/>
          <w:szCs w:val="32"/>
        </w:rPr>
        <w:t>出决算情况说明</w:t>
      </w:r>
      <w:r>
        <w:rPr>
          <w:rFonts w:ascii="仿宋_GB2312" w:hAnsi="仿宋_GB2312" w:eastAsia="仿宋_GB2312" w:cs="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_Toc15396605 \h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8</w:t>
      </w:r>
      <w:r>
        <w:rPr>
          <w:rFonts w:ascii="仿宋_GB2312" w:hAnsi="仿宋_GB2312" w:eastAsia="仿宋_GB2312" w:cs="仿宋_GB2312"/>
          <w:sz w:val="32"/>
          <w:szCs w:val="32"/>
        </w:rPr>
        <w:fldChar w:fldCharType="end"/>
      </w:r>
      <w:r>
        <w:rPr>
          <w:rFonts w:ascii="仿宋_GB2312" w:hAnsi="仿宋_GB2312" w:eastAsia="仿宋_GB2312" w:cs="仿宋_GB2312"/>
          <w:sz w:val="32"/>
          <w:szCs w:val="32"/>
        </w:rPr>
        <w:fldChar w:fldCharType="end"/>
      </w:r>
    </w:p>
    <w:p>
      <w:pPr>
        <w:pStyle w:val="9"/>
        <w:rPr>
          <w:rFonts w:ascii="仿宋_GB2312" w:hAnsi="仿宋_GB2312" w:eastAsia="仿宋_GB2312" w:cs="仿宋_GB2312"/>
          <w:sz w:val="32"/>
          <w:szCs w:val="32"/>
        </w:rPr>
      </w:pPr>
      <w:r>
        <w:fldChar w:fldCharType="begin"/>
      </w:r>
      <w:r>
        <w:instrText xml:space="preserve"> HYPERLINK \l "_Toc15396606" </w:instrText>
      </w:r>
      <w:r>
        <w:fldChar w:fldCharType="separate"/>
      </w:r>
      <w:r>
        <w:rPr>
          <w:rStyle w:val="17"/>
          <w:rFonts w:hint="eastAsia" w:ascii="宋体" w:hAnsi="宋体" w:cs="宋体"/>
          <w:sz w:val="32"/>
          <w:szCs w:val="32"/>
        </w:rPr>
        <w:t>四</w:t>
      </w:r>
      <w:r>
        <w:rPr>
          <w:rStyle w:val="17"/>
          <w:rFonts w:hint="eastAsia" w:ascii="Malgun Gothic Semilight" w:hAnsi="Malgun Gothic Semilight" w:eastAsia="Malgun Gothic Semilight" w:cs="Malgun Gothic Semilight"/>
          <w:sz w:val="32"/>
          <w:szCs w:val="32"/>
        </w:rPr>
        <w:t>、</w:t>
      </w:r>
      <w:r>
        <w:rPr>
          <w:rStyle w:val="17"/>
          <w:rFonts w:hint="eastAsia" w:ascii="宋体" w:hAnsi="宋体" w:cs="宋体"/>
          <w:sz w:val="32"/>
          <w:szCs w:val="32"/>
        </w:rPr>
        <w:t>财</w:t>
      </w:r>
      <w:r>
        <w:rPr>
          <w:rStyle w:val="17"/>
          <w:rFonts w:hint="eastAsia" w:ascii="宋体" w:hAnsi="宋体" w:cs="宋体"/>
          <w:bCs/>
          <w:sz w:val="32"/>
          <w:szCs w:val="32"/>
        </w:rPr>
        <w:t>政拨款收入支出决算总体情况说明</w:t>
      </w:r>
      <w:r>
        <w:rPr>
          <w:rFonts w:ascii="仿宋_GB2312" w:hAnsi="仿宋_GB2312" w:eastAsia="仿宋_GB2312" w:cs="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_Toc15396606 \h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8</w:t>
      </w:r>
      <w:r>
        <w:rPr>
          <w:rFonts w:ascii="仿宋_GB2312" w:hAnsi="仿宋_GB2312" w:eastAsia="仿宋_GB2312" w:cs="仿宋_GB2312"/>
          <w:sz w:val="32"/>
          <w:szCs w:val="32"/>
        </w:rPr>
        <w:fldChar w:fldCharType="end"/>
      </w:r>
      <w:r>
        <w:rPr>
          <w:rFonts w:ascii="仿宋_GB2312" w:hAnsi="仿宋_GB2312" w:eastAsia="仿宋_GB2312" w:cs="仿宋_GB2312"/>
          <w:sz w:val="32"/>
          <w:szCs w:val="32"/>
        </w:rPr>
        <w:fldChar w:fldCharType="end"/>
      </w:r>
    </w:p>
    <w:p>
      <w:pPr>
        <w:pStyle w:val="9"/>
        <w:rPr>
          <w:rFonts w:ascii="仿宋_GB2312" w:hAnsi="仿宋_GB2312" w:eastAsia="仿宋_GB2312" w:cs="仿宋_GB2312"/>
          <w:sz w:val="32"/>
          <w:szCs w:val="32"/>
        </w:rPr>
      </w:pPr>
      <w:r>
        <w:fldChar w:fldCharType="begin"/>
      </w:r>
      <w:r>
        <w:instrText xml:space="preserve"> HYPERLINK \l "_Toc15396607" </w:instrText>
      </w:r>
      <w:r>
        <w:fldChar w:fldCharType="separate"/>
      </w:r>
      <w:r>
        <w:rPr>
          <w:rStyle w:val="17"/>
          <w:rFonts w:hint="eastAsia" w:ascii="宋体" w:hAnsi="宋体" w:cs="宋体"/>
          <w:sz w:val="32"/>
          <w:szCs w:val="32"/>
        </w:rPr>
        <w:t>五</w:t>
      </w:r>
      <w:r>
        <w:rPr>
          <w:rStyle w:val="17"/>
          <w:rFonts w:hint="eastAsia" w:ascii="Malgun Gothic Semilight" w:hAnsi="Malgun Gothic Semilight" w:eastAsia="Malgun Gothic Semilight" w:cs="Malgun Gothic Semilight"/>
          <w:sz w:val="32"/>
          <w:szCs w:val="32"/>
        </w:rPr>
        <w:t>、</w:t>
      </w:r>
      <w:r>
        <w:rPr>
          <w:rStyle w:val="17"/>
          <w:rFonts w:hint="eastAsia" w:ascii="宋体" w:hAnsi="宋体" w:cs="宋体"/>
          <w:sz w:val="32"/>
          <w:szCs w:val="32"/>
        </w:rPr>
        <w:t>一</w:t>
      </w:r>
      <w:r>
        <w:rPr>
          <w:rStyle w:val="17"/>
          <w:rFonts w:hint="eastAsia" w:ascii="宋体" w:hAnsi="宋体" w:cs="宋体"/>
          <w:bCs/>
          <w:sz w:val="32"/>
          <w:szCs w:val="32"/>
        </w:rPr>
        <w:t>般公共预算财政拨款支出决算情况说明</w:t>
      </w:r>
      <w:r>
        <w:rPr>
          <w:rFonts w:ascii="仿宋_GB2312" w:hAnsi="仿宋_GB2312" w:eastAsia="仿宋_GB2312" w:cs="仿宋_GB2312"/>
          <w:sz w:val="32"/>
          <w:szCs w:val="32"/>
        </w:rPr>
        <w:tab/>
      </w:r>
      <w:r>
        <w:rPr>
          <w:rFonts w:ascii="仿宋_GB2312" w:hAnsi="仿宋_GB2312" w:eastAsia="仿宋_GB2312" w:cs="仿宋_GB2312"/>
          <w:sz w:val="32"/>
          <w:szCs w:val="32"/>
        </w:rPr>
        <w:t>6</w:t>
      </w:r>
      <w:r>
        <w:rPr>
          <w:rFonts w:ascii="仿宋_GB2312" w:hAnsi="仿宋_GB2312" w:eastAsia="仿宋_GB2312" w:cs="仿宋_GB2312"/>
          <w:sz w:val="32"/>
          <w:szCs w:val="32"/>
        </w:rPr>
        <w:fldChar w:fldCharType="end"/>
      </w:r>
    </w:p>
    <w:p>
      <w:pPr>
        <w:pStyle w:val="9"/>
        <w:rPr>
          <w:rFonts w:ascii="仿宋_GB2312" w:hAnsi="仿宋_GB2312" w:eastAsia="仿宋_GB2312" w:cs="仿宋_GB2312"/>
          <w:sz w:val="32"/>
          <w:szCs w:val="32"/>
        </w:rPr>
      </w:pPr>
      <w:r>
        <w:fldChar w:fldCharType="begin"/>
      </w:r>
      <w:r>
        <w:instrText xml:space="preserve"> HYPERLINK \l "_Toc15396608" </w:instrText>
      </w:r>
      <w:r>
        <w:fldChar w:fldCharType="separate"/>
      </w:r>
      <w:r>
        <w:rPr>
          <w:rStyle w:val="17"/>
          <w:rFonts w:hint="eastAsia" w:ascii="宋体" w:hAnsi="宋体" w:cs="宋体"/>
          <w:sz w:val="32"/>
          <w:szCs w:val="32"/>
        </w:rPr>
        <w:t>六</w:t>
      </w:r>
      <w:r>
        <w:rPr>
          <w:rStyle w:val="17"/>
          <w:rFonts w:hint="eastAsia" w:ascii="Malgun Gothic Semilight" w:hAnsi="Malgun Gothic Semilight" w:eastAsia="Malgun Gothic Semilight" w:cs="Malgun Gothic Semilight"/>
          <w:sz w:val="32"/>
          <w:szCs w:val="32"/>
        </w:rPr>
        <w:t>、</w:t>
      </w:r>
      <w:r>
        <w:rPr>
          <w:rStyle w:val="17"/>
          <w:rFonts w:hint="eastAsia" w:ascii="宋体" w:hAnsi="宋体" w:cs="宋体"/>
          <w:sz w:val="32"/>
          <w:szCs w:val="32"/>
        </w:rPr>
        <w:t>一</w:t>
      </w:r>
      <w:r>
        <w:rPr>
          <w:rStyle w:val="17"/>
          <w:rFonts w:hint="eastAsia" w:ascii="宋体" w:hAnsi="宋体" w:cs="宋体"/>
          <w:bCs/>
          <w:sz w:val="32"/>
          <w:szCs w:val="32"/>
        </w:rPr>
        <w:t>般公共预算财政拨款基本支出决算情况说明</w:t>
      </w:r>
      <w:r>
        <w:rPr>
          <w:rFonts w:ascii="仿宋_GB2312" w:hAnsi="仿宋_GB2312" w:eastAsia="仿宋_GB2312" w:cs="仿宋_GB2312"/>
          <w:sz w:val="32"/>
          <w:szCs w:val="32"/>
        </w:rPr>
        <w:tab/>
      </w:r>
      <w:r>
        <w:rPr>
          <w:rFonts w:ascii="仿宋_GB2312" w:hAnsi="仿宋_GB2312" w:eastAsia="仿宋_GB2312" w:cs="仿宋_GB2312"/>
          <w:sz w:val="32"/>
          <w:szCs w:val="32"/>
        </w:rPr>
        <w:t>7</w:t>
      </w:r>
      <w:r>
        <w:rPr>
          <w:rFonts w:ascii="仿宋_GB2312" w:hAnsi="仿宋_GB2312" w:eastAsia="仿宋_GB2312" w:cs="仿宋_GB2312"/>
          <w:sz w:val="32"/>
          <w:szCs w:val="32"/>
        </w:rPr>
        <w:fldChar w:fldCharType="end"/>
      </w:r>
    </w:p>
    <w:p>
      <w:pPr>
        <w:pStyle w:val="9"/>
        <w:rPr>
          <w:rFonts w:ascii="仿宋_GB2312" w:hAnsi="仿宋_GB2312" w:eastAsia="仿宋_GB2312" w:cs="仿宋_GB2312"/>
          <w:sz w:val="32"/>
          <w:szCs w:val="32"/>
        </w:rPr>
      </w:pPr>
      <w:r>
        <w:fldChar w:fldCharType="begin"/>
      </w:r>
      <w:r>
        <w:instrText xml:space="preserve"> HYPERLINK \l "_Toc15396609" </w:instrText>
      </w:r>
      <w:r>
        <w:fldChar w:fldCharType="separate"/>
      </w:r>
      <w:r>
        <w:rPr>
          <w:rStyle w:val="17"/>
          <w:rFonts w:hint="eastAsia" w:ascii="宋体" w:hAnsi="宋体" w:cs="宋体"/>
          <w:sz w:val="32"/>
          <w:szCs w:val="32"/>
        </w:rPr>
        <w:t>七</w:t>
      </w:r>
      <w:r>
        <w:rPr>
          <w:rStyle w:val="17"/>
          <w:rFonts w:hint="eastAsia" w:ascii="Malgun Gothic Semilight" w:hAnsi="Malgun Gothic Semilight" w:eastAsia="Malgun Gothic Semilight" w:cs="Malgun Gothic Semilight"/>
          <w:sz w:val="32"/>
          <w:szCs w:val="32"/>
        </w:rPr>
        <w:t>、“</w:t>
      </w:r>
      <w:r>
        <w:rPr>
          <w:rStyle w:val="17"/>
          <w:rFonts w:hint="eastAsia" w:ascii="宋体" w:hAnsi="宋体" w:cs="宋体"/>
          <w:bCs/>
          <w:sz w:val="32"/>
          <w:szCs w:val="32"/>
        </w:rPr>
        <w:t>三公</w:t>
      </w:r>
      <w:r>
        <w:rPr>
          <w:rStyle w:val="17"/>
          <w:rFonts w:hint="eastAsia" w:ascii="Malgun Gothic Semilight" w:hAnsi="Malgun Gothic Semilight" w:eastAsia="Malgun Gothic Semilight" w:cs="Malgun Gothic Semilight"/>
          <w:bCs/>
          <w:sz w:val="32"/>
          <w:szCs w:val="32"/>
        </w:rPr>
        <w:t>”</w:t>
      </w:r>
      <w:r>
        <w:rPr>
          <w:rStyle w:val="17"/>
          <w:rFonts w:hint="eastAsia" w:ascii="宋体" w:hAnsi="宋体" w:cs="宋体"/>
          <w:bCs/>
          <w:sz w:val="32"/>
          <w:szCs w:val="32"/>
        </w:rPr>
        <w:t>经费财政拨款支出决算情况说明</w:t>
      </w:r>
      <w:r>
        <w:rPr>
          <w:rFonts w:ascii="仿宋_GB2312" w:hAnsi="仿宋_GB2312" w:eastAsia="仿宋_GB2312" w:cs="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_Toc15396609 \h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11</w:t>
      </w:r>
      <w:r>
        <w:rPr>
          <w:rFonts w:ascii="仿宋_GB2312" w:hAnsi="仿宋_GB2312" w:eastAsia="仿宋_GB2312" w:cs="仿宋_GB2312"/>
          <w:sz w:val="32"/>
          <w:szCs w:val="32"/>
        </w:rPr>
        <w:fldChar w:fldCharType="end"/>
      </w:r>
      <w:r>
        <w:rPr>
          <w:rFonts w:ascii="仿宋_GB2312" w:hAnsi="仿宋_GB2312" w:eastAsia="仿宋_GB2312" w:cs="仿宋_GB2312"/>
          <w:sz w:val="32"/>
          <w:szCs w:val="32"/>
        </w:rPr>
        <w:fldChar w:fldCharType="end"/>
      </w:r>
    </w:p>
    <w:p>
      <w:pPr>
        <w:pStyle w:val="9"/>
        <w:rPr>
          <w:rFonts w:ascii="仿宋_GB2312" w:hAnsi="仿宋_GB2312" w:eastAsia="仿宋_GB2312" w:cs="仿宋_GB2312"/>
          <w:sz w:val="32"/>
          <w:szCs w:val="32"/>
        </w:rPr>
      </w:pPr>
      <w:r>
        <w:fldChar w:fldCharType="begin"/>
      </w:r>
      <w:r>
        <w:instrText xml:space="preserve"> HYPERLINK \l "_Toc15396610" </w:instrText>
      </w:r>
      <w:r>
        <w:fldChar w:fldCharType="separate"/>
      </w:r>
      <w:r>
        <w:rPr>
          <w:rStyle w:val="17"/>
          <w:rFonts w:hint="eastAsia" w:ascii="宋体" w:hAnsi="宋体" w:cs="宋体"/>
          <w:sz w:val="32"/>
          <w:szCs w:val="32"/>
        </w:rPr>
        <w:t>八</w:t>
      </w:r>
      <w:r>
        <w:rPr>
          <w:rStyle w:val="17"/>
          <w:rFonts w:hint="eastAsia" w:ascii="Malgun Gothic Semilight" w:hAnsi="Malgun Gothic Semilight" w:eastAsia="Malgun Gothic Semilight" w:cs="Malgun Gothic Semilight"/>
          <w:sz w:val="32"/>
          <w:szCs w:val="32"/>
        </w:rPr>
        <w:t>、</w:t>
      </w:r>
      <w:r>
        <w:rPr>
          <w:rStyle w:val="17"/>
          <w:rFonts w:hint="eastAsia" w:ascii="宋体" w:hAnsi="宋体" w:cs="宋体"/>
          <w:bCs/>
          <w:sz w:val="32"/>
          <w:szCs w:val="32"/>
        </w:rPr>
        <w:t>政府性基金预算支出决算情况说明</w:t>
      </w:r>
      <w:r>
        <w:rPr>
          <w:rFonts w:ascii="仿宋_GB2312" w:hAnsi="仿宋_GB2312" w:eastAsia="仿宋_GB2312" w:cs="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_Toc15396610 \h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12</w:t>
      </w:r>
      <w:r>
        <w:rPr>
          <w:rFonts w:ascii="仿宋_GB2312" w:hAnsi="仿宋_GB2312" w:eastAsia="仿宋_GB2312" w:cs="仿宋_GB2312"/>
          <w:sz w:val="32"/>
          <w:szCs w:val="32"/>
        </w:rPr>
        <w:fldChar w:fldCharType="end"/>
      </w:r>
      <w:r>
        <w:rPr>
          <w:rFonts w:ascii="仿宋_GB2312" w:hAnsi="仿宋_GB2312" w:eastAsia="仿宋_GB2312" w:cs="仿宋_GB2312"/>
          <w:sz w:val="32"/>
          <w:szCs w:val="32"/>
        </w:rPr>
        <w:fldChar w:fldCharType="end"/>
      </w:r>
    </w:p>
    <w:p>
      <w:pPr>
        <w:pStyle w:val="9"/>
        <w:rPr>
          <w:rFonts w:ascii="仿宋_GB2312" w:hAnsi="仿宋_GB2312" w:eastAsia="仿宋_GB2312" w:cs="仿宋_GB2312"/>
          <w:sz w:val="32"/>
          <w:szCs w:val="32"/>
        </w:rPr>
      </w:pPr>
      <w:r>
        <w:fldChar w:fldCharType="begin"/>
      </w:r>
      <w:r>
        <w:instrText xml:space="preserve"> HYPERLINK \l "_Toc15396611" </w:instrText>
      </w:r>
      <w:r>
        <w:fldChar w:fldCharType="separate"/>
      </w:r>
      <w:r>
        <w:rPr>
          <w:rStyle w:val="17"/>
          <w:rFonts w:hint="eastAsia" w:ascii="宋体" w:hAnsi="宋体" w:cs="宋体"/>
          <w:bCs/>
          <w:sz w:val="32"/>
          <w:szCs w:val="32"/>
        </w:rPr>
        <w:t>九</w:t>
      </w:r>
      <w:r>
        <w:rPr>
          <w:rStyle w:val="17"/>
          <w:rFonts w:hint="eastAsia" w:ascii="Malgun Gothic Semilight" w:hAnsi="Malgun Gothic Semilight" w:eastAsia="Malgun Gothic Semilight" w:cs="Malgun Gothic Semilight"/>
          <w:bCs/>
          <w:sz w:val="32"/>
          <w:szCs w:val="32"/>
        </w:rPr>
        <w:t>、</w:t>
      </w:r>
      <w:r>
        <w:rPr>
          <w:rStyle w:val="17"/>
          <w:rFonts w:hint="eastAsia" w:ascii="宋体" w:hAnsi="宋体" w:cs="宋体"/>
          <w:sz w:val="32"/>
          <w:szCs w:val="32"/>
        </w:rPr>
        <w:t>国</w:t>
      </w:r>
      <w:r>
        <w:rPr>
          <w:rStyle w:val="17"/>
          <w:rFonts w:hint="eastAsia" w:ascii="宋体" w:hAnsi="宋体" w:cs="宋体"/>
          <w:bCs/>
          <w:sz w:val="32"/>
          <w:szCs w:val="32"/>
        </w:rPr>
        <w:t>有资本经营预算支出决算情况说明</w:t>
      </w:r>
      <w:r>
        <w:rPr>
          <w:rFonts w:ascii="仿宋_GB2312" w:hAnsi="仿宋_GB2312" w:eastAsia="仿宋_GB2312" w:cs="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_Toc15396611 \h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12</w:t>
      </w:r>
      <w:r>
        <w:rPr>
          <w:rFonts w:ascii="仿宋_GB2312" w:hAnsi="仿宋_GB2312" w:eastAsia="仿宋_GB2312" w:cs="仿宋_GB2312"/>
          <w:sz w:val="32"/>
          <w:szCs w:val="32"/>
        </w:rPr>
        <w:fldChar w:fldCharType="end"/>
      </w:r>
      <w:r>
        <w:rPr>
          <w:rFonts w:ascii="仿宋_GB2312" w:hAnsi="仿宋_GB2312" w:eastAsia="仿宋_GB2312" w:cs="仿宋_GB2312"/>
          <w:sz w:val="32"/>
          <w:szCs w:val="32"/>
        </w:rPr>
        <w:fldChar w:fldCharType="end"/>
      </w:r>
    </w:p>
    <w:p>
      <w:pPr>
        <w:pStyle w:val="9"/>
      </w:pPr>
      <w:r>
        <w:fldChar w:fldCharType="begin"/>
      </w:r>
      <w:r>
        <w:instrText xml:space="preserve"> HYPERLINK \l "_Toc15396611" </w:instrText>
      </w:r>
      <w:r>
        <w:fldChar w:fldCharType="separate"/>
      </w:r>
      <w:r>
        <w:rPr>
          <w:rStyle w:val="17"/>
          <w:rFonts w:hint="eastAsia" w:ascii="宋体" w:hAnsi="宋体" w:cs="宋体"/>
          <w:bCs/>
          <w:sz w:val="32"/>
          <w:szCs w:val="32"/>
        </w:rPr>
        <w:t>十</w:t>
      </w:r>
      <w:r>
        <w:rPr>
          <w:rStyle w:val="17"/>
          <w:rFonts w:hint="eastAsia" w:ascii="Malgun Gothic Semilight" w:hAnsi="Malgun Gothic Semilight" w:eastAsia="Malgun Gothic Semilight" w:cs="Malgun Gothic Semilight"/>
          <w:bCs/>
          <w:sz w:val="32"/>
          <w:szCs w:val="32"/>
        </w:rPr>
        <w:t>、</w:t>
      </w:r>
      <w:r>
        <w:rPr>
          <w:rStyle w:val="17"/>
          <w:rFonts w:hint="eastAsia" w:ascii="宋体" w:hAnsi="宋体" w:cs="宋体"/>
          <w:sz w:val="32"/>
          <w:szCs w:val="32"/>
        </w:rPr>
        <w:t>预算绩效</w:t>
      </w:r>
      <w:r>
        <w:rPr>
          <w:rStyle w:val="17"/>
          <w:rFonts w:hint="eastAsia" w:ascii="宋体" w:hAnsi="宋体" w:cs="宋体"/>
          <w:bCs/>
          <w:sz w:val="32"/>
          <w:szCs w:val="32"/>
        </w:rPr>
        <w:t>情况说明</w:t>
      </w:r>
      <w:r>
        <w:rPr>
          <w:rFonts w:ascii="仿宋_GB2312" w:hAnsi="仿宋_GB2312" w:eastAsia="仿宋_GB2312" w:cs="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_Toc15396611 \h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12</w:t>
      </w:r>
      <w:r>
        <w:rPr>
          <w:rFonts w:ascii="仿宋_GB2312" w:hAnsi="仿宋_GB2312" w:eastAsia="仿宋_GB2312" w:cs="仿宋_GB2312"/>
          <w:sz w:val="32"/>
          <w:szCs w:val="32"/>
        </w:rPr>
        <w:fldChar w:fldCharType="end"/>
      </w:r>
      <w:r>
        <w:rPr>
          <w:rFonts w:ascii="仿宋_GB2312" w:hAnsi="仿宋_GB2312" w:eastAsia="仿宋_GB2312" w:cs="仿宋_GB2312"/>
          <w:sz w:val="32"/>
          <w:szCs w:val="32"/>
        </w:rPr>
        <w:fldChar w:fldCharType="end"/>
      </w:r>
    </w:p>
    <w:p>
      <w:pPr>
        <w:pStyle w:val="9"/>
        <w:rPr>
          <w:rFonts w:ascii="仿宋_GB2312" w:hAnsi="仿宋_GB2312" w:eastAsia="仿宋_GB2312" w:cs="仿宋_GB2312"/>
          <w:sz w:val="32"/>
          <w:szCs w:val="32"/>
        </w:rPr>
      </w:pPr>
      <w:r>
        <w:fldChar w:fldCharType="begin"/>
      </w:r>
      <w:r>
        <w:instrText xml:space="preserve"> HYPERLINK \l "_Toc15396612" </w:instrText>
      </w:r>
      <w:r>
        <w:fldChar w:fldCharType="separate"/>
      </w:r>
      <w:r>
        <w:rPr>
          <w:rStyle w:val="17"/>
          <w:rFonts w:hint="eastAsia" w:ascii="宋体" w:hAnsi="宋体" w:cs="宋体"/>
          <w:sz w:val="32"/>
          <w:szCs w:val="32"/>
        </w:rPr>
        <w:t>十</w:t>
      </w:r>
      <w:r>
        <w:rPr>
          <w:rStyle w:val="17"/>
          <w:rFonts w:hint="eastAsia" w:ascii="宋体" w:hAnsi="宋体" w:cs="宋体"/>
          <w:bCs/>
          <w:sz w:val="32"/>
          <w:szCs w:val="32"/>
        </w:rPr>
        <w:t>一</w:t>
      </w:r>
      <w:r>
        <w:rPr>
          <w:rStyle w:val="17"/>
          <w:rFonts w:hint="eastAsia" w:ascii="Malgun Gothic Semilight" w:hAnsi="Malgun Gothic Semilight" w:eastAsia="Malgun Gothic Semilight" w:cs="Malgun Gothic Semilight"/>
          <w:bCs/>
          <w:sz w:val="32"/>
          <w:szCs w:val="32"/>
        </w:rPr>
        <w:t>、</w:t>
      </w:r>
      <w:r>
        <w:rPr>
          <w:rStyle w:val="17"/>
          <w:rFonts w:hint="eastAsia" w:ascii="宋体" w:hAnsi="宋体" w:cs="宋体"/>
          <w:bCs/>
          <w:sz w:val="32"/>
          <w:szCs w:val="32"/>
        </w:rPr>
        <w:t>其他重要事项的情况说明</w:t>
      </w:r>
      <w:r>
        <w:rPr>
          <w:rFonts w:ascii="仿宋_GB2312" w:hAnsi="仿宋_GB2312" w:eastAsia="仿宋_GB2312" w:cs="仿宋_GB2312"/>
          <w:sz w:val="32"/>
          <w:szCs w:val="32"/>
        </w:rPr>
        <w:tab/>
      </w:r>
      <w:r>
        <w:rPr>
          <w:rFonts w:ascii="仿宋_GB2312" w:hAnsi="仿宋_GB2312" w:eastAsia="仿宋_GB2312" w:cs="仿宋_GB2312"/>
          <w:sz w:val="32"/>
          <w:szCs w:val="32"/>
        </w:rPr>
        <w:t>1</w:t>
      </w:r>
      <w:r>
        <w:rPr>
          <w:rFonts w:ascii="仿宋_GB2312" w:hAnsi="仿宋_GB2312" w:eastAsia="仿宋_GB2312" w:cs="仿宋_GB2312"/>
          <w:sz w:val="32"/>
          <w:szCs w:val="32"/>
        </w:rPr>
        <w:fldChar w:fldCharType="end"/>
      </w:r>
      <w:r>
        <w:rPr>
          <w:rFonts w:ascii="仿宋_GB2312" w:hAnsi="仿宋_GB2312" w:eastAsia="仿宋_GB2312" w:cs="仿宋_GB2312"/>
          <w:sz w:val="32"/>
          <w:szCs w:val="32"/>
        </w:rPr>
        <w:t>3</w:t>
      </w:r>
    </w:p>
    <w:p>
      <w:pPr>
        <w:pStyle w:val="8"/>
        <w:rPr>
          <w:rFonts w:ascii="仿宋_GB2312" w:hAnsi="仿宋_GB2312" w:eastAsia="仿宋_GB2312" w:cs="仿宋_GB2312"/>
          <w:sz w:val="32"/>
          <w:szCs w:val="32"/>
        </w:rPr>
      </w:pPr>
      <w:r>
        <w:fldChar w:fldCharType="begin"/>
      </w:r>
      <w:r>
        <w:instrText xml:space="preserve"> HYPERLINK \l "_Toc15396613" </w:instrText>
      </w:r>
      <w:r>
        <w:fldChar w:fldCharType="separate"/>
      </w:r>
      <w:r>
        <w:rPr>
          <w:rStyle w:val="17"/>
          <w:rFonts w:hint="eastAsia" w:ascii="宋体" w:hAnsi="宋体" w:eastAsia="宋体" w:cs="宋体"/>
          <w:bCs/>
          <w:kern w:val="44"/>
          <w:sz w:val="32"/>
          <w:szCs w:val="32"/>
        </w:rPr>
        <w:t>第三部分</w:t>
      </w:r>
      <w:r>
        <w:rPr>
          <w:rStyle w:val="17"/>
          <w:rFonts w:hint="eastAsia" w:ascii="宋体" w:hAnsi="宋体" w:eastAsia="宋体" w:cs="宋体"/>
          <w:sz w:val="32"/>
          <w:szCs w:val="32"/>
        </w:rPr>
        <w:t>名</w:t>
      </w:r>
      <w:r>
        <w:rPr>
          <w:rStyle w:val="17"/>
          <w:rFonts w:hint="eastAsia" w:ascii="宋体" w:hAnsi="宋体" w:eastAsia="宋体" w:cs="宋体"/>
          <w:bCs/>
          <w:kern w:val="44"/>
          <w:sz w:val="32"/>
          <w:szCs w:val="32"/>
        </w:rPr>
        <w:t>词解释</w:t>
      </w:r>
      <w:r>
        <w:rPr>
          <w:rFonts w:ascii="仿宋_GB2312" w:hAnsi="仿宋_GB2312" w:eastAsia="仿宋_GB2312" w:cs="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_Toc15396613 \h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17</w:t>
      </w:r>
      <w:r>
        <w:rPr>
          <w:rFonts w:ascii="仿宋_GB2312" w:hAnsi="仿宋_GB2312" w:eastAsia="仿宋_GB2312" w:cs="仿宋_GB2312"/>
          <w:sz w:val="32"/>
          <w:szCs w:val="32"/>
        </w:rPr>
        <w:fldChar w:fldCharType="end"/>
      </w:r>
      <w:r>
        <w:rPr>
          <w:rFonts w:ascii="仿宋_GB2312" w:hAnsi="仿宋_GB2312" w:eastAsia="仿宋_GB2312" w:cs="仿宋_GB2312"/>
          <w:sz w:val="32"/>
          <w:szCs w:val="32"/>
        </w:rPr>
        <w:fldChar w:fldCharType="end"/>
      </w:r>
    </w:p>
    <w:p>
      <w:pPr>
        <w:pStyle w:val="8"/>
        <w:rPr>
          <w:rFonts w:ascii="仿宋_GB2312" w:hAnsi="仿宋_GB2312" w:eastAsia="仿宋_GB2312" w:cs="仿宋_GB2312"/>
          <w:sz w:val="32"/>
          <w:szCs w:val="32"/>
        </w:rPr>
      </w:pPr>
      <w:r>
        <w:fldChar w:fldCharType="begin"/>
      </w:r>
      <w:r>
        <w:instrText xml:space="preserve"> HYPERLINK \l "_Toc15396614" </w:instrText>
      </w:r>
      <w:r>
        <w:fldChar w:fldCharType="separate"/>
      </w:r>
      <w:r>
        <w:rPr>
          <w:rStyle w:val="17"/>
          <w:rFonts w:hint="eastAsia" w:ascii="宋体" w:hAnsi="宋体" w:eastAsia="宋体" w:cs="宋体"/>
          <w:sz w:val="32"/>
          <w:szCs w:val="32"/>
        </w:rPr>
        <w:t>第</w:t>
      </w:r>
      <w:r>
        <w:rPr>
          <w:rStyle w:val="17"/>
          <w:rFonts w:hint="eastAsia" w:ascii="宋体" w:hAnsi="宋体" w:eastAsia="宋体" w:cs="宋体"/>
          <w:bCs/>
          <w:kern w:val="44"/>
          <w:sz w:val="32"/>
          <w:szCs w:val="32"/>
        </w:rPr>
        <w:t>四部分附件</w:t>
      </w:r>
      <w:r>
        <w:rPr>
          <w:rFonts w:ascii="仿宋_GB2312" w:hAnsi="仿宋_GB2312" w:eastAsia="仿宋_GB2312" w:cs="仿宋_GB2312"/>
          <w:sz w:val="32"/>
          <w:szCs w:val="32"/>
        </w:rPr>
        <w:tab/>
      </w:r>
      <w:r>
        <w:rPr>
          <w:rFonts w:hint="eastAsia" w:ascii="仿宋_GB2312" w:hAnsi="仿宋_GB2312" w:eastAsia="仿宋_GB2312" w:cs="仿宋_GB2312"/>
          <w:sz w:val="32"/>
          <w:szCs w:val="32"/>
        </w:rPr>
        <w:t>…</w:t>
      </w:r>
      <w:r>
        <w:rPr>
          <w:rFonts w:ascii="仿宋_GB2312" w:hAnsi="仿宋_GB2312" w:eastAsia="仿宋_GB2312" w:cs="仿宋_GB2312"/>
          <w:sz w:val="32"/>
          <w:szCs w:val="32"/>
        </w:rPr>
        <w:t>.  21</w:t>
      </w:r>
      <w:r>
        <w:rPr>
          <w:rFonts w:ascii="仿宋_GB2312" w:hAnsi="仿宋_GB2312" w:eastAsia="仿宋_GB2312" w:cs="仿宋_GB2312"/>
          <w:sz w:val="32"/>
          <w:szCs w:val="32"/>
        </w:rPr>
        <w:fldChar w:fldCharType="end"/>
      </w:r>
    </w:p>
    <w:p>
      <w:pPr>
        <w:rPr>
          <w:rFonts w:eastAsia="仿宋_GB2312"/>
        </w:rPr>
      </w:pPr>
      <w:r>
        <w:rPr>
          <w:rFonts w:hint="eastAsia" w:ascii="仿宋_GB2312" w:hAnsi="仿宋_GB2312" w:eastAsia="仿宋_GB2312" w:cs="仿宋_GB2312"/>
          <w:sz w:val="32"/>
          <w:szCs w:val="32"/>
        </w:rPr>
        <w:t>茂县粮食和物资储备中心</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年部门整体支出绩效评价报告</w:t>
      </w:r>
      <w:r>
        <w:rPr>
          <w:rFonts w:ascii="仿宋_GB2312" w:hAnsi="仿宋_GB2312" w:eastAsia="仿宋_GB2312" w:cs="仿宋_GB2312"/>
          <w:sz w:val="32"/>
          <w:szCs w:val="32"/>
        </w:rPr>
        <w:t xml:space="preserve">.......................................................... .........................................22 </w:t>
      </w:r>
    </w:p>
    <w:p>
      <w:pPr>
        <w:pStyle w:val="8"/>
        <w:rPr>
          <w:rFonts w:ascii="仿宋_GB2312" w:hAnsi="仿宋_GB2312" w:eastAsia="仿宋_GB2312" w:cs="仿宋_GB2312"/>
          <w:sz w:val="32"/>
          <w:szCs w:val="32"/>
        </w:rPr>
      </w:pPr>
      <w:r>
        <w:fldChar w:fldCharType="begin"/>
      </w:r>
      <w:r>
        <w:instrText xml:space="preserve"> HYPERLINK \l "_Toc15396618" </w:instrText>
      </w:r>
      <w:r>
        <w:fldChar w:fldCharType="separate"/>
      </w:r>
      <w:r>
        <w:rPr>
          <w:rStyle w:val="17"/>
          <w:rFonts w:hint="eastAsia" w:ascii="宋体" w:hAnsi="宋体" w:eastAsia="宋体" w:cs="宋体"/>
          <w:sz w:val="32"/>
          <w:szCs w:val="32"/>
        </w:rPr>
        <w:t>第</w:t>
      </w:r>
      <w:r>
        <w:rPr>
          <w:rStyle w:val="17"/>
          <w:rFonts w:hint="eastAsia" w:ascii="宋体" w:hAnsi="宋体" w:eastAsia="宋体" w:cs="宋体"/>
          <w:bCs/>
          <w:kern w:val="44"/>
          <w:sz w:val="32"/>
          <w:szCs w:val="32"/>
        </w:rPr>
        <w:t>五部分附表</w:t>
      </w:r>
      <w:r>
        <w:rPr>
          <w:rFonts w:ascii="仿宋_GB2312" w:hAnsi="仿宋_GB2312" w:eastAsia="仿宋_GB2312" w:cs="仿宋_GB2312"/>
          <w:sz w:val="32"/>
          <w:szCs w:val="32"/>
        </w:rPr>
        <w:tab/>
      </w:r>
      <w:r>
        <w:rPr>
          <w:rFonts w:ascii="仿宋_GB2312" w:hAnsi="仿宋_GB2312" w:eastAsia="仿宋_GB2312" w:cs="仿宋_GB2312"/>
          <w:sz w:val="32"/>
          <w:szCs w:val="32"/>
        </w:rPr>
        <w:t>22</w:t>
      </w:r>
      <w:r>
        <w:rPr>
          <w:rFonts w:ascii="仿宋_GB2312" w:hAnsi="仿宋_GB2312" w:eastAsia="仿宋_GB2312" w:cs="仿宋_GB2312"/>
          <w:sz w:val="32"/>
          <w:szCs w:val="32"/>
        </w:rPr>
        <w:fldChar w:fldCharType="end"/>
      </w:r>
    </w:p>
    <w:p>
      <w:pPr>
        <w:pStyle w:val="9"/>
        <w:rPr>
          <w:rFonts w:ascii="仿宋_GB2312" w:hAnsi="仿宋_GB2312" w:eastAsia="仿宋_GB2312" w:cs="仿宋_GB2312"/>
          <w:sz w:val="32"/>
          <w:szCs w:val="32"/>
        </w:rPr>
      </w:pPr>
      <w:r>
        <w:rPr>
          <w:rFonts w:hint="eastAsia" w:ascii="仿宋_GB2312" w:hAnsi="仿宋_GB2312" w:eastAsia="仿宋_GB2312" w:cs="仿宋_GB2312"/>
          <w:sz w:val="32"/>
          <w:szCs w:val="32"/>
        </w:rPr>
        <w:t>一、</w:t>
      </w:r>
      <w:r>
        <w:fldChar w:fldCharType="begin"/>
      </w:r>
      <w:r>
        <w:instrText xml:space="preserve"> HYPERLINK \l "_Toc15396619" </w:instrText>
      </w:r>
      <w:r>
        <w:fldChar w:fldCharType="separate"/>
      </w:r>
      <w:r>
        <w:rPr>
          <w:rStyle w:val="17"/>
          <w:rFonts w:hint="eastAsia" w:ascii="宋体" w:hAnsi="宋体" w:cs="宋体"/>
          <w:sz w:val="32"/>
          <w:szCs w:val="32"/>
        </w:rPr>
        <w:t>收入支出决算总表</w:t>
      </w:r>
      <w:r>
        <w:rPr>
          <w:rFonts w:ascii="仿宋_GB2312" w:hAnsi="仿宋_GB2312" w:eastAsia="仿宋_GB2312" w:cs="仿宋_GB2312"/>
          <w:sz w:val="32"/>
          <w:szCs w:val="32"/>
        </w:rPr>
        <w:tab/>
      </w:r>
      <w:r>
        <w:rPr>
          <w:rFonts w:ascii="仿宋_GB2312" w:hAnsi="仿宋_GB2312" w:eastAsia="仿宋_GB2312" w:cs="仿宋_GB2312"/>
          <w:sz w:val="32"/>
          <w:szCs w:val="32"/>
        </w:rPr>
        <w:t>23</w:t>
      </w:r>
      <w:r>
        <w:rPr>
          <w:rFonts w:ascii="仿宋_GB2312" w:hAnsi="仿宋_GB2312" w:eastAsia="仿宋_GB2312" w:cs="仿宋_GB2312"/>
          <w:sz w:val="32"/>
          <w:szCs w:val="32"/>
        </w:rPr>
        <w:fldChar w:fldCharType="end"/>
      </w:r>
    </w:p>
    <w:p>
      <w:pPr>
        <w:pStyle w:val="9"/>
        <w:rPr>
          <w:rFonts w:ascii="仿宋_GB2312" w:hAnsi="仿宋_GB2312" w:eastAsia="仿宋_GB2312" w:cs="仿宋_GB2312"/>
          <w:sz w:val="32"/>
          <w:szCs w:val="32"/>
        </w:rPr>
      </w:pPr>
      <w:r>
        <w:rPr>
          <w:rFonts w:hint="eastAsia" w:ascii="仿宋_GB2312" w:hAnsi="仿宋_GB2312" w:eastAsia="仿宋_GB2312" w:cs="仿宋_GB2312"/>
          <w:sz w:val="32"/>
          <w:szCs w:val="32"/>
        </w:rPr>
        <w:t>二、</w:t>
      </w:r>
      <w:r>
        <w:fldChar w:fldCharType="begin"/>
      </w:r>
      <w:r>
        <w:instrText xml:space="preserve"> HYPERLINK \l "_Toc15396620" </w:instrText>
      </w:r>
      <w:r>
        <w:fldChar w:fldCharType="separate"/>
      </w:r>
      <w:r>
        <w:rPr>
          <w:rStyle w:val="17"/>
          <w:rFonts w:hint="eastAsia" w:ascii="宋体" w:hAnsi="宋体" w:cs="宋体"/>
          <w:sz w:val="32"/>
          <w:szCs w:val="32"/>
        </w:rPr>
        <w:t>收入总表</w:t>
      </w:r>
      <w:r>
        <w:rPr>
          <w:rFonts w:ascii="仿宋_GB2312" w:hAnsi="仿宋_GB2312" w:eastAsia="仿宋_GB2312" w:cs="仿宋_GB2312"/>
          <w:sz w:val="32"/>
          <w:szCs w:val="32"/>
        </w:rPr>
        <w:tab/>
      </w:r>
      <w:r>
        <w:rPr>
          <w:rFonts w:ascii="仿宋_GB2312" w:hAnsi="仿宋_GB2312" w:eastAsia="仿宋_GB2312" w:cs="仿宋_GB2312"/>
          <w:sz w:val="32"/>
          <w:szCs w:val="32"/>
        </w:rPr>
        <w:t>24</w:t>
      </w:r>
      <w:r>
        <w:rPr>
          <w:rFonts w:ascii="仿宋_GB2312" w:hAnsi="仿宋_GB2312" w:eastAsia="仿宋_GB2312" w:cs="仿宋_GB2312"/>
          <w:sz w:val="32"/>
          <w:szCs w:val="32"/>
        </w:rPr>
        <w:fldChar w:fldCharType="end"/>
      </w:r>
    </w:p>
    <w:p>
      <w:pPr>
        <w:pStyle w:val="9"/>
        <w:rPr>
          <w:rFonts w:ascii="仿宋_GB2312" w:hAnsi="仿宋_GB2312" w:eastAsia="仿宋_GB2312" w:cs="仿宋_GB2312"/>
          <w:sz w:val="32"/>
          <w:szCs w:val="32"/>
        </w:rPr>
      </w:pPr>
      <w:r>
        <w:rPr>
          <w:rFonts w:hint="eastAsia" w:ascii="仿宋_GB2312" w:hAnsi="仿宋_GB2312" w:eastAsia="仿宋_GB2312" w:cs="仿宋_GB2312"/>
          <w:sz w:val="32"/>
          <w:szCs w:val="32"/>
        </w:rPr>
        <w:t>三、</w:t>
      </w:r>
      <w:r>
        <w:fldChar w:fldCharType="begin"/>
      </w:r>
      <w:r>
        <w:instrText xml:space="preserve"> HYPERLINK \l "_Toc15396621" </w:instrText>
      </w:r>
      <w:r>
        <w:fldChar w:fldCharType="separate"/>
      </w:r>
      <w:r>
        <w:rPr>
          <w:rStyle w:val="17"/>
          <w:rFonts w:hint="eastAsia" w:ascii="宋体" w:hAnsi="宋体" w:cs="宋体"/>
          <w:sz w:val="32"/>
          <w:szCs w:val="32"/>
        </w:rPr>
        <w:t>支出总表</w:t>
      </w:r>
      <w:r>
        <w:rPr>
          <w:rFonts w:ascii="仿宋_GB2312" w:hAnsi="仿宋_GB2312" w:eastAsia="仿宋_GB2312" w:cs="仿宋_GB2312"/>
          <w:sz w:val="32"/>
          <w:szCs w:val="32"/>
        </w:rPr>
        <w:tab/>
      </w:r>
      <w:r>
        <w:rPr>
          <w:rFonts w:ascii="仿宋_GB2312" w:hAnsi="仿宋_GB2312" w:eastAsia="仿宋_GB2312" w:cs="仿宋_GB2312"/>
          <w:sz w:val="32"/>
          <w:szCs w:val="32"/>
        </w:rPr>
        <w:t>2</w:t>
      </w:r>
      <w:r>
        <w:rPr>
          <w:rFonts w:ascii="仿宋_GB2312" w:hAnsi="仿宋_GB2312" w:eastAsia="仿宋_GB2312" w:cs="仿宋_GB2312"/>
          <w:sz w:val="32"/>
          <w:szCs w:val="32"/>
        </w:rPr>
        <w:fldChar w:fldCharType="end"/>
      </w:r>
      <w:r>
        <w:rPr>
          <w:rFonts w:ascii="仿宋_GB2312" w:hAnsi="仿宋_GB2312" w:eastAsia="仿宋_GB2312" w:cs="仿宋_GB2312"/>
          <w:sz w:val="32"/>
          <w:szCs w:val="32"/>
        </w:rPr>
        <w:t>5</w:t>
      </w:r>
    </w:p>
    <w:p>
      <w:pPr>
        <w:pStyle w:val="9"/>
        <w:spacing w:line="576"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四、</w:t>
      </w:r>
      <w:r>
        <w:fldChar w:fldCharType="begin"/>
      </w:r>
      <w:r>
        <w:instrText xml:space="preserve"> HYPERLINK \l "_Toc15396622" </w:instrText>
      </w:r>
      <w:r>
        <w:fldChar w:fldCharType="separate"/>
      </w:r>
      <w:r>
        <w:rPr>
          <w:rStyle w:val="17"/>
          <w:rFonts w:hint="eastAsia" w:ascii="宋体" w:hAnsi="宋体" w:cs="宋体"/>
          <w:sz w:val="32"/>
          <w:szCs w:val="32"/>
        </w:rPr>
        <w:t>财政拨款收入支出决算总表</w:t>
      </w:r>
      <w:r>
        <w:rPr>
          <w:rFonts w:ascii="仿宋_GB2312" w:hAnsi="仿宋_GB2312" w:eastAsia="仿宋_GB2312" w:cs="仿宋_GB2312"/>
          <w:sz w:val="32"/>
          <w:szCs w:val="32"/>
        </w:rPr>
        <w:tab/>
      </w:r>
      <w:r>
        <w:rPr>
          <w:rFonts w:ascii="仿宋_GB2312" w:hAnsi="仿宋_GB2312" w:eastAsia="仿宋_GB2312" w:cs="仿宋_GB2312"/>
          <w:sz w:val="32"/>
          <w:szCs w:val="32"/>
        </w:rPr>
        <w:t>2</w:t>
      </w:r>
      <w:r>
        <w:rPr>
          <w:rFonts w:ascii="仿宋_GB2312" w:hAnsi="仿宋_GB2312" w:eastAsia="仿宋_GB2312" w:cs="仿宋_GB2312"/>
          <w:sz w:val="32"/>
          <w:szCs w:val="32"/>
        </w:rPr>
        <w:fldChar w:fldCharType="end"/>
      </w:r>
      <w:r>
        <w:rPr>
          <w:rFonts w:ascii="仿宋_GB2312" w:hAnsi="仿宋_GB2312" w:eastAsia="仿宋_GB2312" w:cs="仿宋_GB2312"/>
          <w:sz w:val="32"/>
          <w:szCs w:val="32"/>
        </w:rPr>
        <w:t>6</w:t>
      </w:r>
    </w:p>
    <w:p>
      <w:pPr>
        <w:pStyle w:val="9"/>
        <w:rPr>
          <w:rFonts w:ascii="仿宋_GB2312" w:hAnsi="仿宋_GB2312" w:eastAsia="仿宋_GB2312" w:cs="仿宋_GB2312"/>
          <w:sz w:val="32"/>
          <w:szCs w:val="32"/>
        </w:rPr>
      </w:pPr>
      <w:r>
        <w:rPr>
          <w:rFonts w:hint="eastAsia" w:ascii="仿宋_GB2312" w:hAnsi="仿宋_GB2312" w:eastAsia="仿宋_GB2312" w:cs="仿宋_GB2312"/>
          <w:sz w:val="32"/>
          <w:szCs w:val="32"/>
        </w:rPr>
        <w:t>五、</w:t>
      </w:r>
      <w:r>
        <w:fldChar w:fldCharType="begin"/>
      </w:r>
      <w:r>
        <w:instrText xml:space="preserve"> HYPERLINK \l "_Toc15396623" </w:instrText>
      </w:r>
      <w:r>
        <w:fldChar w:fldCharType="separate"/>
      </w:r>
      <w:r>
        <w:rPr>
          <w:rFonts w:hint="eastAsia" w:ascii="宋体" w:hAnsi="宋体" w:cs="宋体"/>
          <w:sz w:val="32"/>
          <w:szCs w:val="32"/>
        </w:rPr>
        <w:t>财政拨款支出决算明细表</w:t>
      </w:r>
      <w:r>
        <w:rPr>
          <w:rFonts w:hint="eastAsia" w:ascii="Malgun Gothic Semilight" w:hAnsi="Malgun Gothic Semilight" w:eastAsia="Malgun Gothic Semilight" w:cs="Malgun Gothic Semilight"/>
          <w:sz w:val="32"/>
          <w:szCs w:val="32"/>
        </w:rPr>
        <w:t>（</w:t>
      </w:r>
      <w:r>
        <w:rPr>
          <w:rFonts w:hint="eastAsia" w:ascii="宋体" w:hAnsi="宋体" w:cs="宋体"/>
          <w:sz w:val="32"/>
          <w:szCs w:val="32"/>
        </w:rPr>
        <w:t>政府经济分类科目</w:t>
      </w:r>
      <w:r>
        <w:rPr>
          <w:rFonts w:hint="eastAsia" w:ascii="Malgun Gothic Semilight" w:hAnsi="Malgun Gothic Semilight" w:eastAsia="Malgun Gothic Semilight" w:cs="Malgun Gothic Semilight"/>
          <w:sz w:val="32"/>
          <w:szCs w:val="32"/>
        </w:rPr>
        <w:t>）</w:t>
      </w:r>
      <w:r>
        <w:rPr>
          <w:rFonts w:ascii="仿宋_GB2312" w:hAnsi="仿宋_GB2312" w:eastAsia="仿宋_GB2312" w:cs="仿宋_GB2312"/>
          <w:sz w:val="32"/>
          <w:szCs w:val="32"/>
        </w:rPr>
        <w:tab/>
      </w:r>
      <w:r>
        <w:rPr>
          <w:rFonts w:ascii="仿宋_GB2312" w:hAnsi="仿宋_GB2312" w:eastAsia="仿宋_GB2312" w:cs="仿宋_GB2312"/>
          <w:sz w:val="32"/>
          <w:szCs w:val="32"/>
        </w:rPr>
        <w:fldChar w:fldCharType="end"/>
      </w:r>
      <w:r>
        <w:rPr>
          <w:rFonts w:ascii="仿宋_GB2312" w:hAnsi="仿宋_GB2312" w:eastAsia="仿宋_GB2312" w:cs="仿宋_GB2312"/>
          <w:sz w:val="32"/>
          <w:szCs w:val="32"/>
        </w:rPr>
        <w:t>27</w:t>
      </w:r>
    </w:p>
    <w:p>
      <w:pPr>
        <w:pStyle w:val="9"/>
        <w:rPr>
          <w:rFonts w:ascii="仿宋_GB2312" w:hAnsi="仿宋_GB2312" w:eastAsia="仿宋_GB2312" w:cs="仿宋_GB2312"/>
          <w:sz w:val="32"/>
          <w:szCs w:val="32"/>
        </w:rPr>
      </w:pPr>
      <w:r>
        <w:rPr>
          <w:rFonts w:hint="eastAsia" w:ascii="仿宋_GB2312" w:hAnsi="仿宋_GB2312" w:eastAsia="仿宋_GB2312" w:cs="仿宋_GB2312"/>
          <w:sz w:val="32"/>
          <w:szCs w:val="32"/>
        </w:rPr>
        <w:t>六、</w:t>
      </w:r>
      <w:r>
        <w:fldChar w:fldCharType="begin"/>
      </w:r>
      <w:r>
        <w:instrText xml:space="preserve"> HYPERLINK \l "_Toc15396624" </w:instrText>
      </w:r>
      <w:r>
        <w:fldChar w:fldCharType="separate"/>
      </w:r>
      <w:r>
        <w:rPr>
          <w:rStyle w:val="17"/>
          <w:rFonts w:hint="eastAsia" w:ascii="宋体" w:hAnsi="宋体" w:cs="宋体"/>
          <w:sz w:val="32"/>
          <w:szCs w:val="32"/>
        </w:rPr>
        <w:t>一般公共预算财政拨款支出决算表</w:t>
      </w:r>
      <w:r>
        <w:rPr>
          <w:rFonts w:ascii="仿宋_GB2312" w:hAnsi="仿宋_GB2312" w:eastAsia="仿宋_GB2312" w:cs="仿宋_GB2312"/>
          <w:sz w:val="32"/>
          <w:szCs w:val="32"/>
        </w:rPr>
        <w:tab/>
      </w:r>
      <w:r>
        <w:rPr>
          <w:rFonts w:ascii="仿宋_GB2312" w:hAnsi="仿宋_GB2312" w:eastAsia="仿宋_GB2312" w:cs="仿宋_GB2312"/>
          <w:sz w:val="32"/>
          <w:szCs w:val="32"/>
        </w:rPr>
        <w:t>2</w:t>
      </w:r>
      <w:r>
        <w:rPr>
          <w:rFonts w:ascii="仿宋_GB2312" w:hAnsi="仿宋_GB2312" w:eastAsia="仿宋_GB2312" w:cs="仿宋_GB2312"/>
          <w:sz w:val="32"/>
          <w:szCs w:val="32"/>
        </w:rPr>
        <w:fldChar w:fldCharType="end"/>
      </w:r>
      <w:r>
        <w:rPr>
          <w:rFonts w:ascii="仿宋_GB2312" w:hAnsi="仿宋_GB2312" w:eastAsia="仿宋_GB2312" w:cs="仿宋_GB2312"/>
          <w:sz w:val="32"/>
          <w:szCs w:val="32"/>
        </w:rPr>
        <w:t>8</w:t>
      </w:r>
    </w:p>
    <w:p>
      <w:pPr>
        <w:pStyle w:val="9"/>
        <w:rPr>
          <w:rFonts w:ascii="仿宋_GB2312" w:hAnsi="仿宋_GB2312" w:eastAsia="仿宋_GB2312" w:cs="仿宋_GB2312"/>
          <w:sz w:val="32"/>
          <w:szCs w:val="32"/>
        </w:rPr>
      </w:pPr>
      <w:r>
        <w:rPr>
          <w:rFonts w:hint="eastAsia" w:ascii="仿宋_GB2312" w:hAnsi="仿宋_GB2312" w:eastAsia="仿宋_GB2312" w:cs="仿宋_GB2312"/>
          <w:sz w:val="32"/>
          <w:szCs w:val="32"/>
        </w:rPr>
        <w:t>七、</w:t>
      </w:r>
      <w:r>
        <w:fldChar w:fldCharType="begin"/>
      </w:r>
      <w:r>
        <w:instrText xml:space="preserve"> HYPERLINK \l "_Toc15396625" </w:instrText>
      </w:r>
      <w:r>
        <w:fldChar w:fldCharType="separate"/>
      </w:r>
      <w:r>
        <w:rPr>
          <w:rStyle w:val="17"/>
          <w:rFonts w:hint="eastAsia" w:ascii="宋体" w:hAnsi="宋体" w:cs="宋体"/>
          <w:sz w:val="32"/>
          <w:szCs w:val="32"/>
        </w:rPr>
        <w:t>一般公共预算财政拨款支出决算明细表</w:t>
      </w:r>
      <w:r>
        <w:rPr>
          <w:rFonts w:ascii="仿宋_GB2312" w:hAnsi="仿宋_GB2312" w:eastAsia="仿宋_GB2312" w:cs="仿宋_GB2312"/>
          <w:sz w:val="32"/>
          <w:szCs w:val="32"/>
        </w:rPr>
        <w:tab/>
      </w:r>
      <w:r>
        <w:rPr>
          <w:rFonts w:ascii="仿宋_GB2312" w:hAnsi="仿宋_GB2312" w:eastAsia="仿宋_GB2312" w:cs="仿宋_GB2312"/>
          <w:sz w:val="32"/>
          <w:szCs w:val="32"/>
        </w:rPr>
        <w:t>2</w:t>
      </w:r>
      <w:r>
        <w:rPr>
          <w:rFonts w:ascii="仿宋_GB2312" w:hAnsi="仿宋_GB2312" w:eastAsia="仿宋_GB2312" w:cs="仿宋_GB2312"/>
          <w:sz w:val="32"/>
          <w:szCs w:val="32"/>
        </w:rPr>
        <w:fldChar w:fldCharType="end"/>
      </w:r>
      <w:r>
        <w:rPr>
          <w:rFonts w:ascii="仿宋_GB2312" w:hAnsi="仿宋_GB2312" w:eastAsia="仿宋_GB2312" w:cs="仿宋_GB2312"/>
          <w:sz w:val="32"/>
          <w:szCs w:val="32"/>
        </w:rPr>
        <w:t>9</w:t>
      </w:r>
    </w:p>
    <w:p>
      <w:pPr>
        <w:pStyle w:val="9"/>
        <w:rPr>
          <w:rFonts w:ascii="仿宋_GB2312" w:hAnsi="仿宋_GB2312" w:eastAsia="仿宋_GB2312" w:cs="仿宋_GB2312"/>
          <w:sz w:val="32"/>
          <w:szCs w:val="32"/>
        </w:rPr>
      </w:pPr>
      <w:r>
        <w:rPr>
          <w:rFonts w:hint="eastAsia" w:ascii="仿宋_GB2312" w:hAnsi="仿宋_GB2312" w:eastAsia="仿宋_GB2312" w:cs="仿宋_GB2312"/>
          <w:sz w:val="32"/>
          <w:szCs w:val="32"/>
        </w:rPr>
        <w:t>八、</w:t>
      </w:r>
      <w:r>
        <w:fldChar w:fldCharType="begin"/>
      </w:r>
      <w:r>
        <w:instrText xml:space="preserve"> HYPERLINK \l "_Toc15396626" </w:instrText>
      </w:r>
      <w:r>
        <w:fldChar w:fldCharType="separate"/>
      </w:r>
      <w:r>
        <w:rPr>
          <w:rStyle w:val="17"/>
          <w:rFonts w:hint="eastAsia" w:ascii="宋体" w:hAnsi="宋体" w:cs="宋体"/>
          <w:sz w:val="32"/>
          <w:szCs w:val="32"/>
        </w:rPr>
        <w:t>一般公共预算财政拨款基本支出决算表</w:t>
      </w:r>
      <w:r>
        <w:rPr>
          <w:rFonts w:ascii="仿宋_GB2312" w:hAnsi="仿宋_GB2312" w:eastAsia="仿宋_GB2312" w:cs="仿宋_GB2312"/>
          <w:sz w:val="32"/>
          <w:szCs w:val="32"/>
        </w:rPr>
        <w:tab/>
      </w:r>
      <w:r>
        <w:rPr>
          <w:rFonts w:ascii="仿宋_GB2312" w:hAnsi="仿宋_GB2312" w:eastAsia="仿宋_GB2312" w:cs="仿宋_GB2312"/>
          <w:sz w:val="32"/>
          <w:szCs w:val="32"/>
        </w:rPr>
        <w:t>3</w:t>
      </w:r>
      <w:r>
        <w:rPr>
          <w:rFonts w:ascii="仿宋_GB2312" w:hAnsi="仿宋_GB2312" w:eastAsia="仿宋_GB2312" w:cs="仿宋_GB2312"/>
          <w:sz w:val="32"/>
          <w:szCs w:val="32"/>
        </w:rPr>
        <w:fldChar w:fldCharType="end"/>
      </w:r>
      <w:r>
        <w:rPr>
          <w:rFonts w:ascii="仿宋_GB2312" w:hAnsi="仿宋_GB2312" w:eastAsia="仿宋_GB2312" w:cs="仿宋_GB2312"/>
          <w:sz w:val="32"/>
          <w:szCs w:val="32"/>
        </w:rPr>
        <w:t>0</w:t>
      </w:r>
    </w:p>
    <w:p>
      <w:pPr>
        <w:pStyle w:val="9"/>
        <w:rPr>
          <w:rFonts w:ascii="仿宋_GB2312" w:hAnsi="仿宋_GB2312" w:eastAsia="仿宋_GB2312" w:cs="仿宋_GB2312"/>
          <w:sz w:val="32"/>
          <w:szCs w:val="32"/>
        </w:rPr>
      </w:pPr>
      <w:r>
        <w:rPr>
          <w:rFonts w:hint="eastAsia" w:ascii="仿宋_GB2312" w:hAnsi="仿宋_GB2312" w:eastAsia="仿宋_GB2312" w:cs="仿宋_GB2312"/>
          <w:sz w:val="32"/>
          <w:szCs w:val="32"/>
        </w:rPr>
        <w:t>九、</w:t>
      </w:r>
      <w:r>
        <w:fldChar w:fldCharType="begin"/>
      </w:r>
      <w:r>
        <w:instrText xml:space="preserve"> HYPERLINK \l "_Toc15396627" </w:instrText>
      </w:r>
      <w:r>
        <w:fldChar w:fldCharType="separate"/>
      </w:r>
      <w:r>
        <w:rPr>
          <w:rStyle w:val="17"/>
          <w:rFonts w:hint="eastAsia" w:ascii="宋体" w:hAnsi="宋体" w:cs="宋体"/>
          <w:sz w:val="32"/>
          <w:szCs w:val="32"/>
        </w:rPr>
        <w:t>一般公共预算财政拨款项目支出决算表</w:t>
      </w:r>
      <w:r>
        <w:rPr>
          <w:rFonts w:ascii="仿宋_GB2312" w:hAnsi="仿宋_GB2312" w:eastAsia="仿宋_GB2312" w:cs="仿宋_GB2312"/>
          <w:sz w:val="32"/>
          <w:szCs w:val="32"/>
        </w:rPr>
        <w:tab/>
      </w:r>
      <w:r>
        <w:rPr>
          <w:rFonts w:ascii="仿宋_GB2312" w:hAnsi="仿宋_GB2312" w:eastAsia="仿宋_GB2312" w:cs="仿宋_GB2312"/>
          <w:sz w:val="32"/>
          <w:szCs w:val="32"/>
        </w:rPr>
        <w:t>3</w:t>
      </w:r>
      <w:r>
        <w:rPr>
          <w:rFonts w:ascii="仿宋_GB2312" w:hAnsi="仿宋_GB2312" w:eastAsia="仿宋_GB2312" w:cs="仿宋_GB2312"/>
          <w:sz w:val="32"/>
          <w:szCs w:val="32"/>
        </w:rPr>
        <w:fldChar w:fldCharType="end"/>
      </w:r>
      <w:r>
        <w:rPr>
          <w:rFonts w:ascii="仿宋_GB2312" w:hAnsi="仿宋_GB2312" w:eastAsia="仿宋_GB2312" w:cs="仿宋_GB2312"/>
          <w:sz w:val="32"/>
          <w:szCs w:val="32"/>
        </w:rPr>
        <w:t>1</w:t>
      </w:r>
    </w:p>
    <w:p>
      <w:pPr>
        <w:pStyle w:val="9"/>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十、</w:t>
      </w:r>
      <w:r>
        <w:fldChar w:fldCharType="begin"/>
      </w:r>
      <w:r>
        <w:instrText xml:space="preserve"> HYPERLINK \l "_Toc15396628" </w:instrText>
      </w:r>
      <w:r>
        <w:fldChar w:fldCharType="separate"/>
      </w:r>
      <w:r>
        <w:rPr>
          <w:rStyle w:val="17"/>
          <w:rFonts w:hint="eastAsia" w:ascii="宋体" w:hAnsi="宋体" w:cs="宋体"/>
          <w:sz w:val="32"/>
          <w:szCs w:val="32"/>
        </w:rPr>
        <w:t>一般公共预算财政拨款</w:t>
      </w:r>
      <w:r>
        <w:rPr>
          <w:rStyle w:val="17"/>
          <w:rFonts w:hint="eastAsia" w:ascii="Malgun Gothic Semilight" w:hAnsi="Malgun Gothic Semilight" w:eastAsia="Malgun Gothic Semilight" w:cs="Malgun Gothic Semilight"/>
          <w:sz w:val="32"/>
          <w:szCs w:val="32"/>
        </w:rPr>
        <w:t>“</w:t>
      </w:r>
      <w:r>
        <w:rPr>
          <w:rStyle w:val="17"/>
          <w:rFonts w:hint="eastAsia" w:ascii="宋体" w:hAnsi="宋体" w:cs="宋体"/>
          <w:sz w:val="32"/>
          <w:szCs w:val="32"/>
        </w:rPr>
        <w:t>三公</w:t>
      </w:r>
      <w:r>
        <w:rPr>
          <w:rStyle w:val="17"/>
          <w:rFonts w:hint="eastAsia" w:ascii="Malgun Gothic Semilight" w:hAnsi="Malgun Gothic Semilight" w:eastAsia="Malgun Gothic Semilight" w:cs="Malgun Gothic Semilight"/>
          <w:sz w:val="32"/>
          <w:szCs w:val="32"/>
        </w:rPr>
        <w:t>”</w:t>
      </w:r>
      <w:r>
        <w:rPr>
          <w:rStyle w:val="17"/>
          <w:rFonts w:hint="eastAsia" w:ascii="宋体" w:hAnsi="宋体" w:cs="宋体"/>
          <w:sz w:val="32"/>
          <w:szCs w:val="32"/>
        </w:rPr>
        <w:t>经费支出决算表</w:t>
      </w:r>
      <w:r>
        <w:rPr>
          <w:rFonts w:ascii="仿宋_GB2312" w:hAnsi="仿宋_GB2312" w:eastAsia="仿宋_GB2312" w:cs="仿宋_GB2312"/>
          <w:sz w:val="32"/>
          <w:szCs w:val="32"/>
        </w:rPr>
        <w:tab/>
      </w:r>
      <w:r>
        <w:rPr>
          <w:rFonts w:ascii="仿宋_GB2312" w:hAnsi="仿宋_GB2312" w:eastAsia="仿宋_GB2312" w:cs="仿宋_GB2312"/>
          <w:sz w:val="32"/>
          <w:szCs w:val="32"/>
        </w:rPr>
        <w:t>3</w:t>
      </w:r>
      <w:r>
        <w:rPr>
          <w:rFonts w:ascii="仿宋_GB2312" w:hAnsi="仿宋_GB2312" w:eastAsia="仿宋_GB2312" w:cs="仿宋_GB2312"/>
          <w:sz w:val="32"/>
          <w:szCs w:val="32"/>
        </w:rPr>
        <w:fldChar w:fldCharType="end"/>
      </w:r>
      <w:r>
        <w:rPr>
          <w:rFonts w:ascii="仿宋_GB2312" w:hAnsi="仿宋_GB2312" w:eastAsia="仿宋_GB2312" w:cs="仿宋_GB2312"/>
          <w:sz w:val="32"/>
          <w:szCs w:val="32"/>
        </w:rPr>
        <w:t>2</w:t>
      </w:r>
    </w:p>
    <w:p>
      <w:pPr>
        <w:pStyle w:val="9"/>
        <w:rPr>
          <w:rFonts w:ascii="仿宋_GB2312" w:hAnsi="仿宋_GB2312" w:eastAsia="仿宋_GB2312" w:cs="仿宋_GB2312"/>
          <w:sz w:val="32"/>
          <w:szCs w:val="32"/>
        </w:rPr>
      </w:pPr>
      <w:r>
        <w:rPr>
          <w:rFonts w:hint="eastAsia" w:ascii="仿宋_GB2312" w:hAnsi="仿宋_GB2312" w:eastAsia="仿宋_GB2312" w:cs="仿宋_GB2312"/>
          <w:sz w:val="32"/>
          <w:szCs w:val="32"/>
        </w:rPr>
        <w:t>十一、</w:t>
      </w:r>
      <w:r>
        <w:fldChar w:fldCharType="begin"/>
      </w:r>
      <w:r>
        <w:instrText xml:space="preserve"> HYPERLINK \l "_Toc15396629" </w:instrText>
      </w:r>
      <w:r>
        <w:fldChar w:fldCharType="separate"/>
      </w:r>
      <w:r>
        <w:rPr>
          <w:rStyle w:val="17"/>
          <w:rFonts w:hint="eastAsia" w:ascii="宋体" w:hAnsi="宋体" w:cs="宋体"/>
          <w:sz w:val="32"/>
          <w:szCs w:val="32"/>
        </w:rPr>
        <w:t>政府性基金预算财政拨款收入支出决算表</w:t>
      </w:r>
      <w:r>
        <w:rPr>
          <w:rFonts w:ascii="仿宋_GB2312" w:hAnsi="仿宋_GB2312" w:eastAsia="仿宋_GB2312" w:cs="仿宋_GB2312"/>
          <w:sz w:val="32"/>
          <w:szCs w:val="32"/>
        </w:rPr>
        <w:tab/>
      </w:r>
      <w:r>
        <w:rPr>
          <w:rFonts w:ascii="仿宋_GB2312" w:hAnsi="仿宋_GB2312" w:eastAsia="仿宋_GB2312" w:cs="仿宋_GB2312"/>
          <w:sz w:val="32"/>
          <w:szCs w:val="32"/>
        </w:rPr>
        <w:t>3</w:t>
      </w:r>
      <w:r>
        <w:rPr>
          <w:rFonts w:ascii="仿宋_GB2312" w:hAnsi="仿宋_GB2312" w:eastAsia="仿宋_GB2312" w:cs="仿宋_GB2312"/>
          <w:sz w:val="32"/>
          <w:szCs w:val="32"/>
        </w:rPr>
        <w:fldChar w:fldCharType="end"/>
      </w:r>
      <w:r>
        <w:rPr>
          <w:rFonts w:ascii="仿宋_GB2312" w:hAnsi="仿宋_GB2312" w:eastAsia="仿宋_GB2312" w:cs="仿宋_GB2312"/>
          <w:sz w:val="32"/>
          <w:szCs w:val="32"/>
        </w:rPr>
        <w:t>3</w:t>
      </w:r>
    </w:p>
    <w:p>
      <w:pPr>
        <w:pStyle w:val="9"/>
        <w:rPr>
          <w:rFonts w:ascii="仿宋_GB2312" w:hAnsi="仿宋_GB2312" w:eastAsia="仿宋_GB2312" w:cs="仿宋_GB2312"/>
          <w:sz w:val="32"/>
          <w:szCs w:val="32"/>
        </w:rPr>
      </w:pPr>
      <w:r>
        <w:rPr>
          <w:rFonts w:hint="eastAsia" w:ascii="仿宋_GB2312" w:hAnsi="仿宋_GB2312" w:eastAsia="仿宋_GB2312" w:cs="仿宋_GB2312"/>
          <w:sz w:val="32"/>
          <w:szCs w:val="32"/>
        </w:rPr>
        <w:t>十二、</w:t>
      </w:r>
      <w:r>
        <w:fldChar w:fldCharType="begin"/>
      </w:r>
      <w:r>
        <w:instrText xml:space="preserve"> HYPERLINK \l "_Toc15396630" </w:instrText>
      </w:r>
      <w:r>
        <w:fldChar w:fldCharType="separate"/>
      </w:r>
      <w:r>
        <w:rPr>
          <w:rStyle w:val="17"/>
          <w:rFonts w:hint="eastAsia" w:ascii="宋体" w:hAnsi="宋体" w:cs="宋体"/>
          <w:sz w:val="32"/>
          <w:szCs w:val="32"/>
        </w:rPr>
        <w:t>政府性基金预算财政拨款</w:t>
      </w:r>
      <w:r>
        <w:rPr>
          <w:rStyle w:val="17"/>
          <w:rFonts w:hint="eastAsia" w:ascii="Malgun Gothic Semilight" w:hAnsi="Malgun Gothic Semilight" w:eastAsia="Malgun Gothic Semilight" w:cs="Malgun Gothic Semilight"/>
          <w:sz w:val="32"/>
          <w:szCs w:val="32"/>
        </w:rPr>
        <w:t>“</w:t>
      </w:r>
      <w:r>
        <w:rPr>
          <w:rStyle w:val="17"/>
          <w:rFonts w:hint="eastAsia" w:ascii="宋体" w:hAnsi="宋体" w:cs="宋体"/>
          <w:sz w:val="32"/>
          <w:szCs w:val="32"/>
        </w:rPr>
        <w:t>三公</w:t>
      </w:r>
      <w:r>
        <w:rPr>
          <w:rStyle w:val="17"/>
          <w:rFonts w:hint="eastAsia" w:ascii="Malgun Gothic Semilight" w:hAnsi="Malgun Gothic Semilight" w:eastAsia="Malgun Gothic Semilight" w:cs="Malgun Gothic Semilight"/>
          <w:sz w:val="32"/>
          <w:szCs w:val="32"/>
        </w:rPr>
        <w:t>”</w:t>
      </w:r>
      <w:r>
        <w:rPr>
          <w:rStyle w:val="17"/>
          <w:rFonts w:hint="eastAsia" w:ascii="宋体" w:hAnsi="宋体" w:cs="宋体"/>
          <w:sz w:val="32"/>
          <w:szCs w:val="32"/>
        </w:rPr>
        <w:t>经费支出决算表</w:t>
      </w:r>
      <w:r>
        <w:rPr>
          <w:rFonts w:ascii="仿宋_GB2312" w:hAnsi="仿宋_GB2312" w:eastAsia="仿宋_GB2312" w:cs="仿宋_GB2312"/>
          <w:sz w:val="32"/>
          <w:szCs w:val="32"/>
        </w:rPr>
        <w:tab/>
      </w:r>
      <w:r>
        <w:rPr>
          <w:rFonts w:ascii="仿宋_GB2312" w:hAnsi="仿宋_GB2312" w:eastAsia="仿宋_GB2312" w:cs="仿宋_GB2312"/>
          <w:sz w:val="32"/>
          <w:szCs w:val="32"/>
        </w:rPr>
        <w:t>3</w:t>
      </w:r>
      <w:r>
        <w:rPr>
          <w:rFonts w:ascii="仿宋_GB2312" w:hAnsi="仿宋_GB2312" w:eastAsia="仿宋_GB2312" w:cs="仿宋_GB2312"/>
          <w:sz w:val="32"/>
          <w:szCs w:val="32"/>
        </w:rPr>
        <w:fldChar w:fldCharType="end"/>
      </w:r>
      <w:r>
        <w:rPr>
          <w:rFonts w:ascii="仿宋_GB2312" w:hAnsi="仿宋_GB2312" w:eastAsia="仿宋_GB2312" w:cs="仿宋_GB2312"/>
          <w:sz w:val="32"/>
          <w:szCs w:val="32"/>
        </w:rPr>
        <w:t>4</w:t>
      </w:r>
    </w:p>
    <w:p>
      <w:pPr>
        <w:pStyle w:val="9"/>
        <w:rPr>
          <w:rFonts w:ascii="仿宋" w:hAnsi="仿宋" w:eastAsia="仿宋_GB2312"/>
          <w:sz w:val="24"/>
        </w:rPr>
      </w:pPr>
      <w:r>
        <w:rPr>
          <w:rFonts w:hint="eastAsia" w:ascii="仿宋_GB2312" w:hAnsi="仿宋_GB2312" w:eastAsia="仿宋_GB2312" w:cs="仿宋_GB2312"/>
          <w:sz w:val="32"/>
          <w:szCs w:val="32"/>
        </w:rPr>
        <w:t>十三、</w:t>
      </w:r>
      <w:r>
        <w:fldChar w:fldCharType="begin"/>
      </w:r>
      <w:r>
        <w:instrText xml:space="preserve"> HYPERLINK \l "_Toc15396631" </w:instrText>
      </w:r>
      <w:r>
        <w:fldChar w:fldCharType="separate"/>
      </w:r>
      <w:r>
        <w:rPr>
          <w:rStyle w:val="17"/>
          <w:rFonts w:hint="eastAsia" w:ascii="宋体" w:hAnsi="宋体" w:cs="宋体"/>
          <w:sz w:val="32"/>
          <w:szCs w:val="32"/>
        </w:rPr>
        <w:t>国有资本经营预算支出决算表</w:t>
      </w:r>
      <w:r>
        <w:rPr>
          <w:rFonts w:ascii="仿宋_GB2312" w:hAnsi="仿宋_GB2312" w:eastAsia="仿宋_GB2312" w:cs="仿宋_GB2312"/>
          <w:sz w:val="32"/>
          <w:szCs w:val="32"/>
        </w:rPr>
        <w:tab/>
      </w:r>
      <w:r>
        <w:rPr>
          <w:rFonts w:ascii="仿宋_GB2312" w:hAnsi="仿宋_GB2312" w:eastAsia="仿宋_GB2312" w:cs="仿宋_GB2312"/>
          <w:sz w:val="32"/>
          <w:szCs w:val="32"/>
        </w:rPr>
        <w:t>3</w:t>
      </w:r>
      <w:r>
        <w:rPr>
          <w:rFonts w:ascii="仿宋_GB2312" w:hAnsi="仿宋_GB2312" w:eastAsia="仿宋_GB2312" w:cs="仿宋_GB2312"/>
          <w:sz w:val="32"/>
          <w:szCs w:val="32"/>
        </w:rPr>
        <w:fldChar w:fldCharType="end"/>
      </w:r>
      <w:r>
        <w:rPr>
          <w:rFonts w:ascii="仿宋_GB2312" w:hAnsi="仿宋_GB2312" w:eastAsia="仿宋_GB2312" w:cs="仿宋_GB2312"/>
          <w:sz w:val="32"/>
          <w:szCs w:val="32"/>
        </w:rPr>
        <w:t>5</w:t>
      </w:r>
    </w:p>
    <w:p>
      <w:pPr>
        <w:widowControl/>
        <w:jc w:val="left"/>
        <w:rPr>
          <w:rFonts w:ascii="仿宋" w:hAnsi="仿宋" w:eastAsia="仿宋"/>
          <w:color w:val="000000"/>
          <w:sz w:val="24"/>
        </w:rPr>
      </w:pPr>
      <w:r>
        <w:rPr>
          <w:rFonts w:ascii="黑体" w:hAnsi="黑体" w:eastAsia="黑体"/>
          <w:color w:val="000000"/>
          <w:sz w:val="48"/>
          <w:szCs w:val="48"/>
        </w:rPr>
        <w:fldChar w:fldCharType="end"/>
      </w:r>
    </w:p>
    <w:p>
      <w:pPr>
        <w:widowControl/>
        <w:jc w:val="left"/>
        <w:rPr>
          <w:rFonts w:ascii="黑体" w:hAnsi="黑体" w:eastAsia="黑体"/>
          <w:bCs/>
          <w:kern w:val="44"/>
          <w:sz w:val="44"/>
          <w:szCs w:val="44"/>
        </w:rPr>
      </w:pPr>
      <w:bookmarkStart w:id="12" w:name="_Toc15396599"/>
      <w:bookmarkStart w:id="13" w:name="_Toc15377196"/>
    </w:p>
    <w:p>
      <w:pPr>
        <w:widowControl/>
        <w:jc w:val="left"/>
        <w:rPr>
          <w:rFonts w:ascii="黑体" w:hAnsi="黑体" w:eastAsia="黑体"/>
          <w:bCs/>
          <w:kern w:val="44"/>
          <w:sz w:val="44"/>
          <w:szCs w:val="44"/>
        </w:rPr>
      </w:pPr>
    </w:p>
    <w:p>
      <w:pPr>
        <w:widowControl/>
        <w:jc w:val="left"/>
        <w:rPr>
          <w:rFonts w:ascii="黑体" w:hAnsi="黑体" w:eastAsia="黑体"/>
          <w:bCs/>
          <w:kern w:val="44"/>
          <w:sz w:val="44"/>
          <w:szCs w:val="44"/>
        </w:rPr>
      </w:pPr>
    </w:p>
    <w:p>
      <w:pPr>
        <w:widowControl/>
        <w:jc w:val="left"/>
        <w:rPr>
          <w:rFonts w:ascii="黑体" w:hAnsi="黑体" w:eastAsia="黑体"/>
          <w:bCs/>
          <w:kern w:val="44"/>
          <w:sz w:val="44"/>
          <w:szCs w:val="44"/>
        </w:rPr>
      </w:pPr>
    </w:p>
    <w:p>
      <w:pPr>
        <w:widowControl/>
        <w:jc w:val="center"/>
        <w:rPr>
          <w:rFonts w:ascii="黑体" w:hAnsi="黑体" w:eastAsia="黑体"/>
        </w:rPr>
      </w:pPr>
    </w:p>
    <w:p>
      <w:pPr>
        <w:widowControl/>
        <w:jc w:val="center"/>
        <w:rPr>
          <w:rFonts w:ascii="黑体" w:hAnsi="黑体" w:eastAsia="黑体"/>
        </w:rPr>
      </w:pPr>
    </w:p>
    <w:p>
      <w:pPr>
        <w:widowControl/>
        <w:jc w:val="center"/>
        <w:rPr>
          <w:rFonts w:ascii="黑体" w:hAnsi="黑体" w:eastAsia="黑体"/>
        </w:rPr>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p>
    <w:p>
      <w:pPr>
        <w:widowControl/>
        <w:rPr>
          <w:rFonts w:ascii="黑体" w:hAnsi="黑体" w:eastAsia="黑体"/>
        </w:rPr>
      </w:pPr>
    </w:p>
    <w:p>
      <w:pPr>
        <w:adjustRightInd w:val="0"/>
        <w:snapToGrid w:val="0"/>
        <w:spacing w:line="360" w:lineRule="auto"/>
        <w:jc w:val="center"/>
        <w:outlineLvl w:val="0"/>
        <w:rPr>
          <w:rFonts w:ascii="黑体" w:eastAsia="黑体"/>
          <w:color w:val="000000"/>
          <w:sz w:val="32"/>
          <w:szCs w:val="32"/>
        </w:rPr>
      </w:pPr>
      <w:r>
        <w:rPr>
          <w:rFonts w:hint="eastAsia" w:ascii="方正小标宋简体" w:hAnsi="方正小标宋简体" w:eastAsia="方正小标宋简体" w:cs="方正小标宋简体"/>
          <w:sz w:val="44"/>
          <w:szCs w:val="44"/>
        </w:rPr>
        <w:t>第一部分</w:t>
      </w:r>
      <w:r>
        <w:rPr>
          <w:rStyle w:val="22"/>
          <w:rFonts w:hint="eastAsia" w:ascii="方正小标宋简体" w:hAnsi="方正小标宋简体" w:eastAsia="方正小标宋简体" w:cs="方正小标宋简体"/>
          <w:b w:val="0"/>
          <w:bCs w:val="0"/>
        </w:rPr>
        <w:t>部门概况</w:t>
      </w:r>
      <w:bookmarkEnd w:id="12"/>
      <w:bookmarkEnd w:id="13"/>
    </w:p>
    <w:p>
      <w:pPr>
        <w:pStyle w:val="3"/>
        <w:ind w:firstLine="640" w:firstLineChars="200"/>
        <w:rPr>
          <w:rFonts w:ascii="仿宋" w:hAnsi="仿宋" w:eastAsia="仿宋"/>
          <w:b w:val="0"/>
          <w:color w:val="000000"/>
        </w:rPr>
      </w:pPr>
      <w:bookmarkStart w:id="14" w:name="_Toc15377197"/>
      <w:bookmarkStart w:id="15" w:name="_Toc15396600"/>
      <w:bookmarkStart w:id="16" w:name="_Toc15396604"/>
      <w:bookmarkStart w:id="17" w:name="_Toc15377206"/>
      <w:bookmarkStart w:id="18" w:name="_Toc15377209"/>
      <w:bookmarkStart w:id="19" w:name="_Toc15396607"/>
      <w:bookmarkStart w:id="20" w:name="_Toc15377212"/>
      <w:r>
        <w:rPr>
          <w:rFonts w:hint="eastAsia" w:ascii="黑体" w:hAnsi="黑体" w:eastAsia="黑体" w:cs="黑体"/>
          <w:b w:val="0"/>
          <w:color w:val="000000"/>
        </w:rPr>
        <w:t>一、基</w:t>
      </w:r>
      <w:r>
        <w:rPr>
          <w:rStyle w:val="23"/>
          <w:rFonts w:hint="eastAsia" w:ascii="黑体" w:hAnsi="黑体" w:eastAsia="黑体" w:cs="黑体"/>
          <w:b/>
          <w:bCs w:val="0"/>
        </w:rPr>
        <w:t>本职能及主要工作</w:t>
      </w:r>
      <w:bookmarkEnd w:id="14"/>
      <w:bookmarkEnd w:id="15"/>
      <w:bookmarkStart w:id="21" w:name="_Toc15377198"/>
      <w:bookmarkStart w:id="22" w:name="_Toc15378445"/>
    </w:p>
    <w:bookmarkEnd w:id="21"/>
    <w:bookmarkEnd w:id="22"/>
    <w:p>
      <w:pPr>
        <w:spacing w:line="576" w:lineRule="atLeast"/>
        <w:ind w:firstLine="642" w:firstLineChars="200"/>
        <w:outlineLvl w:val="1"/>
        <w:rPr>
          <w:rFonts w:ascii="仿宋" w:hAnsi="仿宋" w:eastAsia="仿宋"/>
          <w:color w:val="000000"/>
          <w:sz w:val="32"/>
          <w:szCs w:val="32"/>
        </w:rPr>
      </w:pPr>
      <w:bookmarkStart w:id="23" w:name="_Toc15396601"/>
      <w:bookmarkStart w:id="24" w:name="_Toc15377200"/>
      <w:r>
        <w:rPr>
          <w:rFonts w:hint="eastAsia" w:ascii="楷体" w:hAnsi="楷体" w:eastAsia="楷体" w:cs="楷体"/>
          <w:b/>
          <w:color w:val="000000"/>
          <w:sz w:val="32"/>
          <w:szCs w:val="32"/>
        </w:rPr>
        <w:t>（一）主要职能</w:t>
      </w:r>
    </w:p>
    <w:p>
      <w:pPr>
        <w:spacing w:line="576" w:lineRule="exact"/>
        <w:ind w:firstLine="640" w:firstLineChars="200"/>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贯彻执行《粮食流通管理条例》和储备粮管理的方针、政策及法律、法规；加强粮食行政执法。拟定本县粮食流通和县级储备粮管理办法、粮食应急预案、规章制度和有关政策，并组织执行。拟订全县粮食流通体制改革方案并组织实施，推动国有粮食企业改革。提出发展现代粮食流通产业战略建议。承担粮食行政调解、行政复议、行政应诉工作。</w:t>
      </w:r>
    </w:p>
    <w:p>
      <w:pPr>
        <w:spacing w:line="576" w:lineRule="exact"/>
        <w:ind w:firstLine="640" w:firstLineChars="200"/>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研究提出全县粮食宏观调控、总量平衡以及粮食流通的中长期规划、收购、储存、动用县级储备粮的建议，并组织实施；拟定粮食产业化经营的措施，配合有关部门抓好商品粮油品种结构调整。</w:t>
      </w:r>
    </w:p>
    <w:p>
      <w:pPr>
        <w:spacing w:line="576" w:lineRule="exact"/>
        <w:ind w:firstLine="640" w:firstLineChars="200"/>
        <w:rPr>
          <w:rFonts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rPr>
        <w:t>负责省、州、县储备粮管理，指导全县粮食储备体系建设；制定县级储备粮管理的技术规范并监督执行；监督检查省、州、县储备粮库存数量、质量和安全；研究提出县级储备粮的收购、轮换、抛售计划，并组织实施。</w:t>
      </w:r>
    </w:p>
    <w:p>
      <w:pPr>
        <w:spacing w:line="576" w:lineRule="exact"/>
        <w:ind w:firstLine="640" w:firstLineChars="200"/>
        <w:rPr>
          <w:rFonts w:ascii="仿宋" w:hAnsi="仿宋" w:eastAsia="仿宋" w:cs="仿宋"/>
          <w:sz w:val="32"/>
          <w:szCs w:val="32"/>
        </w:rPr>
      </w:pPr>
      <w:r>
        <w:rPr>
          <w:rFonts w:ascii="仿宋" w:hAnsi="仿宋" w:eastAsia="仿宋" w:cs="仿宋"/>
          <w:sz w:val="32"/>
          <w:szCs w:val="32"/>
        </w:rPr>
        <w:t>4.</w:t>
      </w:r>
      <w:r>
        <w:rPr>
          <w:rFonts w:hint="eastAsia" w:ascii="仿宋" w:hAnsi="仿宋" w:eastAsia="仿宋" w:cs="仿宋"/>
          <w:sz w:val="32"/>
          <w:szCs w:val="32"/>
        </w:rPr>
        <w:t>管理社会粮食流通，保障军队、城镇居民、农村群众、应急救灾、缺粮贫困地区、退耕还林、大骨节病人和国家重点建设项目的粮食供应。</w:t>
      </w:r>
    </w:p>
    <w:p>
      <w:pPr>
        <w:spacing w:line="576" w:lineRule="exact"/>
        <w:ind w:firstLine="640" w:firstLineChars="200"/>
        <w:rPr>
          <w:rFonts w:ascii="仿宋" w:hAnsi="仿宋" w:eastAsia="仿宋" w:cs="仿宋"/>
          <w:sz w:val="32"/>
          <w:szCs w:val="32"/>
        </w:rPr>
      </w:pPr>
      <w:r>
        <w:rPr>
          <w:rFonts w:ascii="仿宋" w:hAnsi="仿宋" w:eastAsia="仿宋" w:cs="仿宋"/>
          <w:sz w:val="32"/>
          <w:szCs w:val="32"/>
        </w:rPr>
        <w:t>5.</w:t>
      </w:r>
      <w:r>
        <w:rPr>
          <w:rFonts w:hint="eastAsia" w:ascii="仿宋" w:hAnsi="仿宋" w:eastAsia="仿宋" w:cs="仿宋"/>
          <w:sz w:val="32"/>
          <w:szCs w:val="32"/>
        </w:rPr>
        <w:t>指导和协调全县粮食流通基础设施建设，编制全县粮油仓储、加工设施建设计划并组织实施；指导安全粮油网点建设，负责粮油仓储设施的报废、占用、拆迁等。</w:t>
      </w:r>
    </w:p>
    <w:p>
      <w:pPr>
        <w:spacing w:line="576" w:lineRule="exact"/>
        <w:ind w:firstLine="640" w:firstLineChars="200"/>
        <w:rPr>
          <w:rFonts w:ascii="仿宋" w:hAnsi="仿宋" w:eastAsia="仿宋" w:cs="仿宋"/>
          <w:sz w:val="32"/>
          <w:szCs w:val="32"/>
        </w:rPr>
      </w:pPr>
      <w:r>
        <w:rPr>
          <w:rFonts w:ascii="仿宋" w:hAnsi="仿宋" w:eastAsia="仿宋" w:cs="仿宋"/>
          <w:sz w:val="32"/>
          <w:szCs w:val="32"/>
        </w:rPr>
        <w:t>6.</w:t>
      </w:r>
      <w:r>
        <w:rPr>
          <w:rFonts w:hint="eastAsia" w:ascii="仿宋" w:hAnsi="仿宋" w:eastAsia="仿宋" w:cs="仿宋"/>
          <w:sz w:val="32"/>
          <w:szCs w:val="32"/>
        </w:rPr>
        <w:t>指导全县粮食流通市场的行业行政管理、国有粮食企业的改革；指导并推动行业的技术改造、新技术推广应用、安全生产和抢险救灾工作；指导全县农村科学储粮工作；承担行业统计工作。</w:t>
      </w:r>
    </w:p>
    <w:p>
      <w:pPr>
        <w:spacing w:line="576" w:lineRule="exact"/>
        <w:ind w:firstLine="640" w:firstLineChars="200"/>
        <w:rPr>
          <w:rFonts w:ascii="仿宋" w:hAnsi="仿宋" w:eastAsia="仿宋" w:cs="仿宋"/>
          <w:sz w:val="32"/>
          <w:szCs w:val="32"/>
        </w:rPr>
      </w:pPr>
      <w:r>
        <w:rPr>
          <w:rFonts w:ascii="仿宋" w:hAnsi="仿宋" w:eastAsia="仿宋" w:cs="仿宋"/>
          <w:sz w:val="32"/>
          <w:szCs w:val="32"/>
        </w:rPr>
        <w:t>7.</w:t>
      </w:r>
      <w:r>
        <w:rPr>
          <w:rFonts w:hint="eastAsia" w:ascii="仿宋" w:hAnsi="仿宋" w:eastAsia="仿宋" w:cs="仿宋"/>
          <w:sz w:val="32"/>
          <w:szCs w:val="32"/>
        </w:rPr>
        <w:t>指导全县粮食财务管理工作；组织实施粮食财务和会计制度工作，负责国有企业资产的监督管理；会同有关部门做好粮食收购资金使用；编报全县粮食系统财务报表，组织编制年度决算。</w:t>
      </w:r>
    </w:p>
    <w:p>
      <w:pPr>
        <w:spacing w:line="576" w:lineRule="exact"/>
        <w:ind w:firstLine="640" w:firstLineChars="200"/>
        <w:rPr>
          <w:rFonts w:ascii="仿宋" w:hAnsi="仿宋" w:eastAsia="仿宋" w:cs="仿宋"/>
          <w:sz w:val="32"/>
          <w:szCs w:val="32"/>
        </w:rPr>
      </w:pPr>
      <w:r>
        <w:rPr>
          <w:rFonts w:ascii="仿宋" w:hAnsi="仿宋" w:eastAsia="仿宋" w:cs="仿宋"/>
          <w:sz w:val="32"/>
          <w:szCs w:val="32"/>
        </w:rPr>
        <w:t>8.</w:t>
      </w:r>
      <w:r>
        <w:rPr>
          <w:rFonts w:hint="eastAsia" w:ascii="仿宋" w:hAnsi="仿宋" w:eastAsia="仿宋" w:cs="仿宋"/>
          <w:sz w:val="32"/>
          <w:szCs w:val="32"/>
        </w:rPr>
        <w:t>协同质量技术监督部门做好粮食质量标准的管理工作；制定粮食储存、运输的技术规范，并监督执行。</w:t>
      </w:r>
    </w:p>
    <w:p>
      <w:pPr>
        <w:spacing w:line="576" w:lineRule="exact"/>
        <w:ind w:firstLine="640" w:firstLineChars="200"/>
        <w:rPr>
          <w:rFonts w:ascii="仿宋" w:hAnsi="仿宋" w:eastAsia="仿宋" w:cs="仿宋"/>
          <w:sz w:val="32"/>
          <w:szCs w:val="32"/>
        </w:rPr>
      </w:pPr>
      <w:r>
        <w:rPr>
          <w:rFonts w:ascii="仿宋" w:hAnsi="仿宋" w:eastAsia="仿宋" w:cs="仿宋"/>
          <w:sz w:val="32"/>
          <w:szCs w:val="32"/>
        </w:rPr>
        <w:t>9.</w:t>
      </w:r>
      <w:r>
        <w:rPr>
          <w:rFonts w:hint="eastAsia" w:ascii="仿宋" w:hAnsi="仿宋" w:eastAsia="仿宋" w:cs="仿宋"/>
          <w:sz w:val="32"/>
          <w:szCs w:val="32"/>
        </w:rPr>
        <w:t>负责全县各级储备粮轮换工作，并对外地粮食行业进行经济技术合作交流。</w:t>
      </w:r>
    </w:p>
    <w:p>
      <w:pPr>
        <w:spacing w:line="576" w:lineRule="exact"/>
        <w:ind w:firstLine="640" w:firstLineChars="200"/>
        <w:rPr>
          <w:rFonts w:ascii="仿宋" w:hAnsi="仿宋" w:eastAsia="仿宋" w:cs="仿宋"/>
          <w:sz w:val="32"/>
          <w:szCs w:val="32"/>
        </w:rPr>
      </w:pPr>
      <w:r>
        <w:rPr>
          <w:rFonts w:ascii="仿宋" w:hAnsi="仿宋" w:eastAsia="仿宋" w:cs="仿宋"/>
          <w:sz w:val="32"/>
          <w:szCs w:val="32"/>
        </w:rPr>
        <w:t>10.</w:t>
      </w:r>
      <w:r>
        <w:rPr>
          <w:rFonts w:hint="eastAsia" w:ascii="仿宋" w:hAnsi="仿宋" w:eastAsia="仿宋" w:cs="仿宋"/>
          <w:sz w:val="32"/>
          <w:szCs w:val="32"/>
        </w:rPr>
        <w:t>制订粮食系统人才发展规划，指导行业的职业教育；负责局机关的人事管理、机构编制管理工作。</w:t>
      </w:r>
    </w:p>
    <w:p>
      <w:pPr>
        <w:snapToGrid w:val="0"/>
        <w:spacing w:line="588" w:lineRule="exact"/>
        <w:ind w:firstLine="640" w:firstLineChars="200"/>
        <w:rPr>
          <w:rFonts w:ascii="仿宋" w:hAnsi="仿宋" w:eastAsia="仿宋" w:cs="仿宋"/>
          <w:sz w:val="32"/>
          <w:szCs w:val="32"/>
        </w:rPr>
      </w:pPr>
      <w:r>
        <w:rPr>
          <w:rFonts w:ascii="仿宋" w:hAnsi="仿宋" w:eastAsia="仿宋" w:cs="仿宋"/>
          <w:sz w:val="32"/>
          <w:szCs w:val="32"/>
        </w:rPr>
        <w:t>11.</w:t>
      </w:r>
      <w:r>
        <w:rPr>
          <w:rFonts w:hint="eastAsia" w:ascii="仿宋" w:hAnsi="仿宋" w:eastAsia="仿宋" w:cs="仿宋"/>
          <w:sz w:val="32"/>
          <w:szCs w:val="32"/>
        </w:rPr>
        <w:t>承办县政府交办的其他事项。</w:t>
      </w:r>
    </w:p>
    <w:p>
      <w:pPr>
        <w:snapToGrid w:val="0"/>
        <w:spacing w:line="588" w:lineRule="exact"/>
        <w:ind w:firstLine="640" w:firstLineChars="200"/>
        <w:rPr>
          <w:rFonts w:ascii="仿宋" w:hAnsi="仿宋" w:eastAsia="仿宋" w:cs="仿宋"/>
          <w:sz w:val="32"/>
          <w:szCs w:val="32"/>
        </w:rPr>
      </w:pPr>
      <w:r>
        <w:rPr>
          <w:rFonts w:hint="eastAsia" w:ascii="仿宋" w:hAnsi="仿宋" w:eastAsia="仿宋" w:cs="仿宋"/>
          <w:sz w:val="32"/>
          <w:szCs w:val="32"/>
        </w:rPr>
        <w:t>（二）重点工作</w:t>
      </w:r>
    </w:p>
    <w:p>
      <w:pPr>
        <w:snapToGrid w:val="0"/>
        <w:spacing w:line="588" w:lineRule="exact"/>
        <w:ind w:firstLine="640" w:firstLineChars="200"/>
        <w:rPr>
          <w:rFonts w:ascii="仿宋" w:hAnsi="仿宋" w:eastAsia="仿宋" w:cs="仿宋"/>
          <w:sz w:val="32"/>
          <w:szCs w:val="32"/>
        </w:rPr>
      </w:pPr>
      <w:r>
        <w:rPr>
          <w:rFonts w:hint="eastAsia" w:ascii="仿宋" w:hAnsi="仿宋" w:eastAsia="仿宋" w:cs="仿宋"/>
          <w:sz w:val="32"/>
          <w:szCs w:val="32"/>
        </w:rPr>
        <w:t>2020年指导粮食企业完成了年初下达的目标任务，为政府储备了</w:t>
      </w:r>
      <w:r>
        <w:rPr>
          <w:rFonts w:ascii="仿宋" w:hAnsi="仿宋" w:eastAsia="仿宋" w:cs="仿宋"/>
          <w:sz w:val="32"/>
          <w:szCs w:val="32"/>
        </w:rPr>
        <w:t>2450</w:t>
      </w:r>
      <w:r>
        <w:rPr>
          <w:rFonts w:hint="eastAsia" w:ascii="仿宋" w:hAnsi="仿宋" w:eastAsia="仿宋" w:cs="仿宋"/>
          <w:sz w:val="32"/>
          <w:szCs w:val="32"/>
        </w:rPr>
        <w:t>吨粮食，顺利进行了轮换，确保储备粮食保值增值。全面完成了县政府交办的其他任务。</w:t>
      </w:r>
    </w:p>
    <w:p>
      <w:pPr>
        <w:snapToGrid w:val="0"/>
        <w:spacing w:line="588" w:lineRule="exact"/>
        <w:ind w:firstLine="640" w:firstLineChars="200"/>
        <w:rPr>
          <w:rFonts w:ascii="仿宋" w:hAnsi="仿宋" w:eastAsia="仿宋" w:cs="仿宋"/>
          <w:sz w:val="32"/>
          <w:szCs w:val="32"/>
        </w:rPr>
      </w:pPr>
    </w:p>
    <w:p>
      <w:pPr>
        <w:pStyle w:val="3"/>
        <w:spacing w:line="576" w:lineRule="atLeast"/>
        <w:ind w:firstLine="626" w:firstLineChars="195"/>
        <w:rPr>
          <w:rStyle w:val="23"/>
          <w:rFonts w:ascii="黑体" w:hAnsi="黑体" w:eastAsia="黑体" w:cs="黑体"/>
          <w:b w:val="0"/>
          <w:bCs w:val="0"/>
        </w:rPr>
      </w:pPr>
      <w:r>
        <w:rPr>
          <w:rFonts w:hint="eastAsia" w:ascii="黑体" w:hAnsi="黑体" w:eastAsia="黑体" w:cs="黑体"/>
          <w:bCs w:val="0"/>
          <w:color w:val="000000"/>
        </w:rPr>
        <w:t>二、机</w:t>
      </w:r>
      <w:r>
        <w:rPr>
          <w:rStyle w:val="23"/>
          <w:rFonts w:hint="eastAsia" w:ascii="黑体" w:hAnsi="黑体" w:eastAsia="黑体" w:cs="黑体"/>
          <w:b w:val="0"/>
          <w:bCs w:val="0"/>
        </w:rPr>
        <w:t>构设置</w:t>
      </w:r>
      <w:bookmarkEnd w:id="23"/>
      <w:bookmarkEnd w:id="24"/>
    </w:p>
    <w:p>
      <w:pPr>
        <w:pStyle w:val="4"/>
        <w:adjustRightInd w:val="0"/>
        <w:snapToGrid w:val="0"/>
        <w:spacing w:before="93" w:line="58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茂县粮食局是参照公务员法管理的事业单位。因机构改革，现成为发展改革委员会的下设中心，现更名为茂县物资和储备中心。</w:t>
      </w:r>
    </w:p>
    <w:p>
      <w:pPr>
        <w:pStyle w:val="4"/>
        <w:adjustRightInd w:val="0"/>
        <w:snapToGrid w:val="0"/>
        <w:spacing w:before="93" w:line="580" w:lineRule="exact"/>
        <w:ind w:left="638" w:leftChars="304"/>
        <w:rPr>
          <w:sz w:val="32"/>
          <w:szCs w:val="32"/>
        </w:rPr>
      </w:pPr>
      <w:r>
        <w:rPr>
          <w:rFonts w:ascii="仿宋" w:hAnsi="仿宋" w:eastAsia="仿宋"/>
          <w:sz w:val="32"/>
          <w:szCs w:val="32"/>
        </w:rPr>
        <w:t>2.</w:t>
      </w:r>
      <w:r>
        <w:rPr>
          <w:rFonts w:hint="eastAsia" w:ascii="仿宋" w:hAnsi="仿宋" w:eastAsia="仿宋"/>
          <w:sz w:val="32"/>
          <w:szCs w:val="32"/>
        </w:rPr>
        <w:t>人员情况。编制</w:t>
      </w:r>
      <w:r>
        <w:rPr>
          <w:rFonts w:ascii="仿宋" w:hAnsi="仿宋" w:eastAsia="仿宋"/>
          <w:sz w:val="32"/>
          <w:szCs w:val="32"/>
        </w:rPr>
        <w:t>15</w:t>
      </w:r>
      <w:r>
        <w:rPr>
          <w:rFonts w:hint="eastAsia" w:ascii="仿宋" w:hAnsi="仿宋" w:eastAsia="仿宋"/>
          <w:sz w:val="32"/>
          <w:szCs w:val="32"/>
        </w:rPr>
        <w:t>人，在职职工</w:t>
      </w:r>
      <w:r>
        <w:rPr>
          <w:rFonts w:ascii="仿宋" w:hAnsi="仿宋" w:eastAsia="仿宋"/>
          <w:sz w:val="32"/>
          <w:szCs w:val="32"/>
        </w:rPr>
        <w:t>15</w:t>
      </w:r>
      <w:r>
        <w:rPr>
          <w:rFonts w:hint="eastAsia" w:ascii="仿宋" w:hAnsi="仿宋" w:eastAsia="仿宋"/>
          <w:sz w:val="32"/>
          <w:szCs w:val="32"/>
        </w:rPr>
        <w:t>人；遗属</w:t>
      </w:r>
      <w:r>
        <w:rPr>
          <w:rFonts w:ascii="仿宋" w:hAnsi="仿宋" w:eastAsia="仿宋"/>
          <w:sz w:val="32"/>
          <w:szCs w:val="32"/>
        </w:rPr>
        <w:t>6</w:t>
      </w:r>
      <w:r>
        <w:rPr>
          <w:rFonts w:hint="eastAsia" w:ascii="仿宋" w:hAnsi="仿宋" w:eastAsia="仿宋"/>
          <w:sz w:val="32"/>
          <w:szCs w:val="32"/>
        </w:rPr>
        <w:t>人。</w:t>
      </w:r>
    </w:p>
    <w:p>
      <w:pPr>
        <w:adjustRightInd w:val="0"/>
        <w:snapToGrid w:val="0"/>
        <w:spacing w:line="360" w:lineRule="auto"/>
        <w:jc w:val="center"/>
        <w:outlineLvl w:val="0"/>
        <w:rPr>
          <w:rStyle w:val="22"/>
          <w:rFonts w:ascii="方正小标宋简体" w:hAnsi="方正小标宋简体" w:eastAsia="方正小标宋简体" w:cs="方正小标宋简体"/>
          <w:b w:val="0"/>
          <w:bCs w:val="0"/>
        </w:rPr>
      </w:pPr>
      <w:bookmarkStart w:id="25" w:name="_Toc15377204"/>
      <w:bookmarkStart w:id="26" w:name="_Toc15396602"/>
    </w:p>
    <w:p>
      <w:pPr>
        <w:adjustRightInd w:val="0"/>
        <w:snapToGrid w:val="0"/>
        <w:spacing w:line="360" w:lineRule="auto"/>
        <w:jc w:val="center"/>
        <w:outlineLvl w:val="0"/>
        <w:rPr>
          <w:rStyle w:val="22"/>
          <w:rFonts w:hint="eastAsia" w:ascii="方正小标宋简体" w:hAnsi="方正小标宋简体" w:eastAsia="方正小标宋简体" w:cs="方正小标宋简体"/>
          <w:b w:val="0"/>
          <w:bCs w:val="0"/>
        </w:rPr>
      </w:pPr>
    </w:p>
    <w:p>
      <w:pPr>
        <w:adjustRightInd w:val="0"/>
        <w:snapToGrid w:val="0"/>
        <w:spacing w:line="360" w:lineRule="auto"/>
        <w:jc w:val="center"/>
        <w:outlineLvl w:val="0"/>
        <w:rPr>
          <w:rStyle w:val="22"/>
          <w:rFonts w:hint="eastAsia" w:ascii="方正小标宋简体" w:hAnsi="方正小标宋简体" w:eastAsia="方正小标宋简体" w:cs="方正小标宋简体"/>
          <w:b w:val="0"/>
          <w:bCs w:val="0"/>
        </w:rPr>
      </w:pPr>
    </w:p>
    <w:p>
      <w:pPr>
        <w:adjustRightInd w:val="0"/>
        <w:snapToGrid w:val="0"/>
        <w:spacing w:line="360" w:lineRule="auto"/>
        <w:jc w:val="center"/>
        <w:outlineLvl w:val="0"/>
        <w:rPr>
          <w:rStyle w:val="22"/>
          <w:rFonts w:hint="eastAsia" w:ascii="方正小标宋简体" w:hAnsi="方正小标宋简体" w:eastAsia="方正小标宋简体" w:cs="方正小标宋简体"/>
          <w:b w:val="0"/>
          <w:bCs w:val="0"/>
        </w:rPr>
      </w:pPr>
    </w:p>
    <w:p>
      <w:pPr>
        <w:adjustRightInd w:val="0"/>
        <w:snapToGrid w:val="0"/>
        <w:spacing w:line="360" w:lineRule="auto"/>
        <w:jc w:val="center"/>
        <w:outlineLvl w:val="0"/>
        <w:rPr>
          <w:rStyle w:val="22"/>
          <w:rFonts w:hint="eastAsia" w:ascii="方正小标宋简体" w:hAnsi="方正小标宋简体" w:eastAsia="方正小标宋简体" w:cs="方正小标宋简体"/>
          <w:b w:val="0"/>
          <w:bCs w:val="0"/>
        </w:rPr>
      </w:pPr>
    </w:p>
    <w:p>
      <w:pPr>
        <w:adjustRightInd w:val="0"/>
        <w:snapToGrid w:val="0"/>
        <w:spacing w:line="360" w:lineRule="auto"/>
        <w:jc w:val="center"/>
        <w:outlineLvl w:val="0"/>
        <w:rPr>
          <w:rStyle w:val="22"/>
          <w:rFonts w:hint="eastAsia" w:ascii="方正小标宋简体" w:hAnsi="方正小标宋简体" w:eastAsia="方正小标宋简体" w:cs="方正小标宋简体"/>
          <w:b w:val="0"/>
          <w:bCs w:val="0"/>
        </w:rPr>
      </w:pPr>
    </w:p>
    <w:p>
      <w:pPr>
        <w:adjustRightInd w:val="0"/>
        <w:snapToGrid w:val="0"/>
        <w:spacing w:line="360" w:lineRule="auto"/>
        <w:jc w:val="center"/>
        <w:outlineLvl w:val="0"/>
        <w:rPr>
          <w:rStyle w:val="22"/>
          <w:rFonts w:hint="eastAsia" w:ascii="方正小标宋简体" w:hAnsi="方正小标宋简体" w:eastAsia="方正小标宋简体" w:cs="方正小标宋简体"/>
          <w:b w:val="0"/>
          <w:bCs w:val="0"/>
        </w:rPr>
      </w:pPr>
    </w:p>
    <w:p>
      <w:pPr>
        <w:adjustRightInd w:val="0"/>
        <w:snapToGrid w:val="0"/>
        <w:spacing w:line="360" w:lineRule="auto"/>
        <w:jc w:val="center"/>
        <w:outlineLvl w:val="0"/>
        <w:rPr>
          <w:rStyle w:val="22"/>
          <w:rFonts w:hint="eastAsia" w:ascii="方正小标宋简体" w:hAnsi="方正小标宋简体" w:eastAsia="方正小标宋简体" w:cs="方正小标宋简体"/>
          <w:b w:val="0"/>
          <w:bCs w:val="0"/>
        </w:rPr>
      </w:pPr>
    </w:p>
    <w:p>
      <w:pPr>
        <w:adjustRightInd w:val="0"/>
        <w:snapToGrid w:val="0"/>
        <w:spacing w:line="360" w:lineRule="auto"/>
        <w:jc w:val="center"/>
        <w:outlineLvl w:val="0"/>
        <w:rPr>
          <w:rStyle w:val="22"/>
          <w:rFonts w:hint="eastAsia" w:ascii="方正小标宋简体" w:hAnsi="方正小标宋简体" w:eastAsia="方正小标宋简体" w:cs="方正小标宋简体"/>
          <w:b w:val="0"/>
          <w:bCs w:val="0"/>
        </w:rPr>
      </w:pPr>
    </w:p>
    <w:p>
      <w:pPr>
        <w:adjustRightInd w:val="0"/>
        <w:snapToGrid w:val="0"/>
        <w:spacing w:line="360" w:lineRule="auto"/>
        <w:jc w:val="center"/>
        <w:outlineLvl w:val="0"/>
        <w:rPr>
          <w:rStyle w:val="22"/>
          <w:rFonts w:hint="eastAsia" w:ascii="方正小标宋简体" w:hAnsi="方正小标宋简体" w:eastAsia="方正小标宋简体" w:cs="方正小标宋简体"/>
          <w:b w:val="0"/>
          <w:bCs w:val="0"/>
        </w:rPr>
      </w:pPr>
    </w:p>
    <w:p>
      <w:pPr>
        <w:adjustRightInd w:val="0"/>
        <w:snapToGrid w:val="0"/>
        <w:spacing w:line="360" w:lineRule="auto"/>
        <w:jc w:val="both"/>
        <w:outlineLvl w:val="0"/>
        <w:rPr>
          <w:sz w:val="44"/>
          <w:szCs w:val="44"/>
        </w:rPr>
      </w:pPr>
      <w:r>
        <w:rPr>
          <w:rStyle w:val="22"/>
          <w:rFonts w:hint="eastAsia" w:ascii="方正小标宋简体" w:hAnsi="方正小标宋简体" w:eastAsia="方正小标宋简体" w:cs="方正小标宋简体"/>
          <w:b w:val="0"/>
          <w:bCs w:val="0"/>
        </w:rPr>
        <w:t>第二部分</w:t>
      </w:r>
      <w:r>
        <w:rPr>
          <w:rStyle w:val="22"/>
          <w:rFonts w:ascii="方正小标宋简体" w:hAnsi="方正小标宋简体" w:eastAsia="方正小标宋简体" w:cs="方正小标宋简体"/>
          <w:b w:val="0"/>
          <w:bCs w:val="0"/>
        </w:rPr>
        <w:t xml:space="preserve"> 2020</w:t>
      </w:r>
      <w:r>
        <w:rPr>
          <w:rStyle w:val="22"/>
          <w:rFonts w:hint="eastAsia" w:ascii="方正小标宋简体" w:hAnsi="方正小标宋简体" w:eastAsia="方正小标宋简体" w:cs="方正小标宋简体"/>
          <w:b w:val="0"/>
          <w:bCs w:val="0"/>
        </w:rPr>
        <w:t>年度部门决算情况说明</w:t>
      </w:r>
      <w:bookmarkEnd w:id="25"/>
      <w:bookmarkEnd w:id="26"/>
    </w:p>
    <w:p>
      <w:pPr>
        <w:pStyle w:val="28"/>
        <w:numPr>
          <w:ilvl w:val="0"/>
          <w:numId w:val="1"/>
        </w:numPr>
        <w:spacing w:line="600" w:lineRule="exact"/>
        <w:ind w:firstLineChars="0"/>
        <w:outlineLvl w:val="1"/>
        <w:rPr>
          <w:rStyle w:val="23"/>
          <w:rFonts w:ascii="黑体" w:hAnsi="黑体" w:eastAsia="黑体" w:cs="黑体"/>
          <w:b w:val="0"/>
          <w:bCs w:val="0"/>
        </w:rPr>
      </w:pPr>
      <w:bookmarkStart w:id="27" w:name="_Toc15396603"/>
      <w:bookmarkStart w:id="28" w:name="_Toc15377205"/>
      <w:r>
        <w:rPr>
          <w:rFonts w:hint="eastAsia" w:ascii="黑体" w:hAnsi="黑体" w:eastAsia="黑体" w:cs="黑体"/>
          <w:color w:val="000000"/>
          <w:sz w:val="32"/>
          <w:szCs w:val="32"/>
        </w:rPr>
        <w:t>收</w:t>
      </w:r>
      <w:r>
        <w:rPr>
          <w:rStyle w:val="23"/>
          <w:rFonts w:hint="eastAsia" w:ascii="黑体" w:hAnsi="黑体" w:eastAsia="黑体" w:cs="黑体"/>
          <w:b w:val="0"/>
          <w:bCs w:val="0"/>
        </w:rPr>
        <w:t>入支出决算总体情况说明</w:t>
      </w:r>
      <w:bookmarkEnd w:id="27"/>
      <w:bookmarkEnd w:id="28"/>
    </w:p>
    <w:p>
      <w:pPr>
        <w:spacing w:line="576" w:lineRule="exact"/>
        <w:ind w:firstLine="601"/>
        <w:rPr>
          <w:rFonts w:ascii="仿宋_GB2312" w:hAnsi="仿宋_GB2312" w:eastAsia="仿宋_GB2312" w:cs="仿宋_GB2312"/>
          <w:color w:val="000000"/>
          <w:sz w:val="32"/>
          <w:szCs w:val="32"/>
        </w:rPr>
      </w:pPr>
      <w:r>
        <w:pict>
          <v:shape id="_x0000_s1028" o:spid="_x0000_s1028" o:spt="75" type="#_x0000_t75" style="position:absolute;left:0pt;margin-left:153pt;margin-top:121.6pt;height:149.1pt;width:198pt;mso-wrap-distance-bottom:0pt;mso-wrap-distance-left:9pt;mso-wrap-distance-right:9pt;mso-wrap-distance-top:0pt;z-index:251660288;mso-width-relative:page;mso-height-relative:page;" o:ole="t" filled="f" o:preferrelative="t" stroked="f" coordsize="21600,21600">
            <v:path/>
            <v:fill on="f" focussize="0,0"/>
            <v:stroke on="f" joinstyle="miter"/>
            <v:imagedata r:id="rId9" o:title=""/>
            <o:lock v:ext="edit" aspectratio="t"/>
            <w10:wrap type="square" side="right"/>
          </v:shape>
          <o:OLEObject Type="Embed" ProgID="MSGraph.Chart.8" ShapeID="_x0000_s1028" DrawAspect="Content" ObjectID="_1468075725" r:id="rId8">
            <o:LockedField>false</o:LockedField>
          </o:OLEObject>
        </w:pict>
      </w:r>
      <w:r>
        <w:rPr>
          <w:rFonts w:ascii="仿宋_GB2312" w:hAnsi="仿宋_GB2312" w:eastAsia="仿宋_GB2312" w:cs="仿宋_GB2312"/>
          <w:color w:val="000000"/>
          <w:sz w:val="32"/>
          <w:szCs w:val="32"/>
        </w:rPr>
        <w:t>2020</w:t>
      </w:r>
      <w:r>
        <w:rPr>
          <w:rFonts w:hint="eastAsia" w:ascii="仿宋_GB2312" w:hAnsi="仿宋_GB2312" w:eastAsia="仿宋_GB2312" w:cs="仿宋_GB2312"/>
          <w:color w:val="000000"/>
          <w:sz w:val="32"/>
          <w:szCs w:val="32"/>
        </w:rPr>
        <w:t>年度收</w:t>
      </w:r>
      <w:r>
        <w:rPr>
          <w:rFonts w:hint="eastAsia" w:ascii="宋体" w:hAnsi="宋体" w:cs="宋体"/>
          <w:color w:val="000000"/>
          <w:sz w:val="32"/>
          <w:szCs w:val="32"/>
        </w:rPr>
        <w:t>入</w:t>
      </w:r>
      <w:r>
        <w:rPr>
          <w:rFonts w:ascii="仿宋_GB2312" w:hAnsi="仿宋_GB2312" w:eastAsia="仿宋_GB2312" w:cs="仿宋_GB2312"/>
          <w:color w:val="000000"/>
          <w:sz w:val="32"/>
          <w:szCs w:val="32"/>
        </w:rPr>
        <w:t>1411.35</w:t>
      </w:r>
      <w:r>
        <w:rPr>
          <w:rFonts w:hint="eastAsia" w:ascii="仿宋_GB2312" w:hAnsi="仿宋_GB2312" w:eastAsia="仿宋_GB2312" w:cs="仿宋_GB2312"/>
          <w:color w:val="000000"/>
          <w:sz w:val="32"/>
          <w:szCs w:val="32"/>
        </w:rPr>
        <w:t>万元，支出</w:t>
      </w:r>
      <w:r>
        <w:rPr>
          <w:rFonts w:ascii="仿宋_GB2312" w:hAnsi="仿宋_GB2312" w:eastAsia="仿宋_GB2312" w:cs="仿宋_GB2312"/>
          <w:color w:val="000000"/>
          <w:sz w:val="32"/>
          <w:szCs w:val="32"/>
        </w:rPr>
        <w:t>1040.04</w:t>
      </w:r>
      <w:r>
        <w:rPr>
          <w:rFonts w:hint="eastAsia" w:ascii="仿宋_GB2312" w:hAnsi="仿宋_GB2312" w:eastAsia="仿宋_GB2312" w:cs="仿宋_GB2312"/>
          <w:color w:val="000000"/>
          <w:sz w:val="32"/>
          <w:szCs w:val="32"/>
        </w:rPr>
        <w:t>万元。与</w:t>
      </w:r>
      <w:r>
        <w:rPr>
          <w:rFonts w:ascii="仿宋_GB2312" w:hAnsi="仿宋_GB2312" w:eastAsia="仿宋_GB2312" w:cs="仿宋_GB2312"/>
          <w:color w:val="000000"/>
          <w:sz w:val="32"/>
          <w:szCs w:val="32"/>
        </w:rPr>
        <w:t>2019</w:t>
      </w:r>
      <w:r>
        <w:rPr>
          <w:rFonts w:hint="eastAsia" w:ascii="仿宋_GB2312" w:hAnsi="仿宋_GB2312" w:eastAsia="仿宋_GB2312" w:cs="仿宋_GB2312"/>
          <w:color w:val="000000"/>
          <w:sz w:val="32"/>
          <w:szCs w:val="32"/>
        </w:rPr>
        <w:t>年相比，收</w:t>
      </w:r>
      <w:r>
        <w:rPr>
          <w:rFonts w:hint="eastAsia" w:ascii="宋体" w:hAnsi="宋体" w:cs="宋体"/>
          <w:color w:val="000000"/>
          <w:sz w:val="32"/>
          <w:szCs w:val="32"/>
        </w:rPr>
        <w:t>入</w:t>
      </w:r>
      <w:r>
        <w:rPr>
          <w:rFonts w:hint="eastAsia" w:ascii="仿宋_GB2312" w:hAnsi="仿宋_GB2312" w:eastAsia="仿宋_GB2312" w:cs="仿宋_GB2312"/>
          <w:color w:val="000000"/>
          <w:sz w:val="32"/>
          <w:szCs w:val="32"/>
        </w:rPr>
        <w:t>增加</w:t>
      </w:r>
      <w:r>
        <w:rPr>
          <w:rFonts w:ascii="仿宋_GB2312" w:hAnsi="仿宋_GB2312" w:eastAsia="仿宋_GB2312" w:cs="仿宋_GB2312"/>
          <w:color w:val="000000"/>
          <w:sz w:val="32"/>
          <w:szCs w:val="32"/>
        </w:rPr>
        <w:t>1004.80</w:t>
      </w:r>
      <w:r>
        <w:rPr>
          <w:rFonts w:hint="eastAsia" w:ascii="仿宋_GB2312" w:hAnsi="仿宋_GB2312" w:eastAsia="仿宋_GB2312" w:cs="仿宋_GB2312"/>
          <w:color w:val="000000"/>
          <w:sz w:val="32"/>
          <w:szCs w:val="32"/>
        </w:rPr>
        <w:t>万元，增</w:t>
      </w:r>
      <w:r>
        <w:rPr>
          <w:rFonts w:hint="eastAsia" w:ascii="宋体" w:hAnsi="宋体" w:cs="宋体"/>
          <w:color w:val="000000"/>
          <w:sz w:val="32"/>
          <w:szCs w:val="32"/>
        </w:rPr>
        <w:t>长</w:t>
      </w:r>
      <w:r>
        <w:rPr>
          <w:rFonts w:hint="eastAsia" w:ascii="仿宋_GB2312" w:hAnsi="仿宋_GB2312" w:eastAsia="仿宋_GB2312" w:cs="仿宋_GB2312"/>
          <w:color w:val="000000"/>
          <w:sz w:val="32"/>
          <w:szCs w:val="32"/>
        </w:rPr>
        <w:t>275.28</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；支出增加</w:t>
      </w:r>
      <w:r>
        <w:rPr>
          <w:rFonts w:ascii="仿宋_GB2312" w:hAnsi="仿宋_GB2312" w:eastAsia="仿宋_GB2312" w:cs="仿宋_GB2312"/>
          <w:color w:val="000000"/>
          <w:sz w:val="32"/>
          <w:szCs w:val="32"/>
        </w:rPr>
        <w:t>633.50</w:t>
      </w:r>
      <w:r>
        <w:rPr>
          <w:rFonts w:hint="eastAsia" w:ascii="仿宋_GB2312" w:hAnsi="仿宋_GB2312" w:eastAsia="仿宋_GB2312" w:cs="仿宋_GB2312"/>
          <w:color w:val="000000"/>
          <w:sz w:val="32"/>
          <w:szCs w:val="32"/>
        </w:rPr>
        <w:t>万元</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增</w:t>
      </w:r>
      <w:r>
        <w:rPr>
          <w:rFonts w:hint="eastAsia" w:ascii="宋体" w:hAnsi="宋体" w:cs="宋体"/>
          <w:color w:val="000000"/>
          <w:sz w:val="32"/>
          <w:szCs w:val="32"/>
        </w:rPr>
        <w:t>长</w:t>
      </w:r>
      <w:r>
        <w:rPr>
          <w:rFonts w:hint="eastAsia" w:ascii="仿宋_GB2312" w:hAnsi="仿宋_GB2312" w:eastAsia="仿宋_GB2312" w:cs="仿宋_GB2312"/>
          <w:color w:val="000000"/>
          <w:sz w:val="32"/>
          <w:szCs w:val="32"/>
        </w:rPr>
        <w:t>236.32</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。主要变动原因项目资金增加。</w:t>
      </w:r>
      <w:r>
        <w:rPr>
          <w:rFonts w:ascii="仿宋_GB2312" w:hAnsi="仿宋_GB2312" w:eastAsia="仿宋_GB2312" w:cs="仿宋_GB2312"/>
          <w:color w:val="000000"/>
          <w:sz w:val="32"/>
          <w:szCs w:val="32"/>
        </w:rPr>
        <w:br w:type="textWrapping" w:clear="all"/>
      </w:r>
    </w:p>
    <w:p>
      <w:pPr>
        <w:pStyle w:val="28"/>
        <w:spacing w:line="600" w:lineRule="exact"/>
        <w:ind w:left="709" w:firstLine="0" w:firstLineChars="0"/>
        <w:outlineLvl w:val="1"/>
        <w:rPr>
          <w:rFonts w:ascii="黑体" w:hAnsi="黑体" w:eastAsia="黑体"/>
          <w:sz w:val="32"/>
          <w:szCs w:val="32"/>
        </w:rPr>
      </w:pPr>
    </w:p>
    <w:p>
      <w:pPr>
        <w:pStyle w:val="28"/>
        <w:spacing w:line="600" w:lineRule="exact"/>
        <w:ind w:left="709" w:firstLine="0" w:firstLineChars="0"/>
        <w:outlineLvl w:val="1"/>
        <w:rPr>
          <w:rFonts w:ascii="黑体" w:hAnsi="黑体" w:eastAsia="黑体"/>
          <w:sz w:val="32"/>
          <w:szCs w:val="32"/>
        </w:rPr>
      </w:pPr>
    </w:p>
    <w:p>
      <w:pPr>
        <w:pStyle w:val="28"/>
        <w:spacing w:line="600" w:lineRule="exact"/>
        <w:ind w:left="709" w:firstLine="0" w:firstLineChars="0"/>
        <w:outlineLvl w:val="1"/>
        <w:rPr>
          <w:rFonts w:ascii="黑体" w:hAnsi="黑体" w:eastAsia="黑体"/>
          <w:sz w:val="32"/>
          <w:szCs w:val="32"/>
        </w:rPr>
      </w:pPr>
    </w:p>
    <w:p>
      <w:pPr>
        <w:pStyle w:val="28"/>
        <w:spacing w:line="600" w:lineRule="exact"/>
        <w:ind w:left="709" w:firstLine="0" w:firstLineChars="0"/>
        <w:outlineLvl w:val="1"/>
        <w:rPr>
          <w:rFonts w:ascii="黑体" w:hAnsi="黑体" w:eastAsia="黑体"/>
          <w:sz w:val="32"/>
          <w:szCs w:val="32"/>
        </w:rPr>
      </w:pPr>
    </w:p>
    <w:p>
      <w:pPr>
        <w:pStyle w:val="28"/>
        <w:spacing w:line="600" w:lineRule="exact"/>
        <w:ind w:left="709" w:firstLine="0" w:firstLineChars="0"/>
        <w:outlineLvl w:val="1"/>
        <w:rPr>
          <w:rFonts w:ascii="黑体" w:hAnsi="黑体" w:eastAsia="黑体"/>
          <w:sz w:val="32"/>
          <w:szCs w:val="32"/>
        </w:rPr>
      </w:pPr>
    </w:p>
    <w:p>
      <w:pPr>
        <w:pStyle w:val="28"/>
        <w:spacing w:line="600" w:lineRule="exact"/>
        <w:ind w:firstLine="0" w:firstLineChars="0"/>
        <w:outlineLvl w:val="1"/>
        <w:rPr>
          <w:rFonts w:ascii="黑体" w:hAnsi="黑体" w:eastAsia="黑体"/>
          <w:color w:val="000000"/>
          <w:sz w:val="32"/>
          <w:szCs w:val="32"/>
        </w:rPr>
      </w:pPr>
    </w:p>
    <w:p>
      <w:pPr>
        <w:pStyle w:val="28"/>
        <w:spacing w:line="600" w:lineRule="exact"/>
        <w:ind w:firstLine="0" w:firstLineChars="0"/>
        <w:outlineLvl w:val="1"/>
        <w:rPr>
          <w:rStyle w:val="23"/>
          <w:rFonts w:ascii="黑体" w:hAnsi="黑体" w:eastAsia="黑体"/>
          <w:b w:val="0"/>
          <w:bCs w:val="0"/>
        </w:rPr>
      </w:pPr>
      <w:r>
        <w:rPr>
          <w:rFonts w:hint="eastAsia" w:ascii="黑体" w:hAnsi="黑体" w:eastAsia="黑体"/>
          <w:color w:val="000000"/>
          <w:sz w:val="32"/>
          <w:szCs w:val="32"/>
        </w:rPr>
        <w:t>二、收</w:t>
      </w:r>
      <w:r>
        <w:rPr>
          <w:rStyle w:val="23"/>
          <w:rFonts w:hint="eastAsia" w:ascii="黑体" w:hAnsi="黑体" w:eastAsia="黑体"/>
          <w:b w:val="0"/>
          <w:bCs w:val="0"/>
        </w:rPr>
        <w:t>入决算情况说明</w:t>
      </w:r>
      <w:bookmarkEnd w:id="16"/>
      <w:bookmarkEnd w:id="17"/>
    </w:p>
    <w:p>
      <w:pPr>
        <w:spacing w:line="576" w:lineRule="exact"/>
        <w:ind w:firstLine="640" w:firstLineChars="200"/>
        <w:outlineLvl w:val="1"/>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2020</w:t>
      </w:r>
      <w:r>
        <w:rPr>
          <w:rFonts w:hint="eastAsia" w:ascii="仿宋_GB2312" w:hAnsi="仿宋_GB2312" w:eastAsia="仿宋_GB2312" w:cs="仿宋_GB2312"/>
          <w:color w:val="000000"/>
          <w:sz w:val="32"/>
          <w:szCs w:val="32"/>
        </w:rPr>
        <w:t>年本年收入合计</w:t>
      </w:r>
      <w:r>
        <w:rPr>
          <w:rFonts w:ascii="仿宋_GB2312" w:hAnsi="仿宋_GB2312" w:eastAsia="仿宋_GB2312" w:cs="仿宋_GB2312"/>
          <w:color w:val="000000"/>
          <w:sz w:val="32"/>
          <w:szCs w:val="32"/>
        </w:rPr>
        <w:t>1411.35</w:t>
      </w:r>
      <w:r>
        <w:rPr>
          <w:rFonts w:hint="eastAsia" w:ascii="仿宋_GB2312" w:hAnsi="仿宋_GB2312" w:eastAsia="仿宋_GB2312" w:cs="仿宋_GB2312"/>
          <w:color w:val="000000"/>
          <w:sz w:val="32"/>
          <w:szCs w:val="32"/>
        </w:rPr>
        <w:t>万元，其中：一般公共预算财政拨款收入</w:t>
      </w:r>
      <w:r>
        <w:rPr>
          <w:rFonts w:ascii="仿宋_GB2312" w:hAnsi="仿宋_GB2312" w:eastAsia="仿宋_GB2312" w:cs="仿宋_GB2312"/>
          <w:color w:val="000000"/>
          <w:sz w:val="32"/>
          <w:szCs w:val="32"/>
        </w:rPr>
        <w:t>1411.35</w:t>
      </w:r>
      <w:r>
        <w:rPr>
          <w:rFonts w:hint="eastAsia" w:ascii="仿宋_GB2312" w:hAnsi="仿宋_GB2312" w:eastAsia="仿宋_GB2312" w:cs="仿宋_GB2312"/>
          <w:color w:val="000000"/>
          <w:sz w:val="32"/>
          <w:szCs w:val="32"/>
        </w:rPr>
        <w:t>万元，占</w:t>
      </w:r>
      <w:r>
        <w:rPr>
          <w:rFonts w:ascii="仿宋_GB2312" w:hAnsi="仿宋_GB2312" w:eastAsia="仿宋_GB2312" w:cs="仿宋_GB2312"/>
          <w:color w:val="000000"/>
          <w:sz w:val="32"/>
          <w:szCs w:val="32"/>
        </w:rPr>
        <w:t>100%</w:t>
      </w:r>
      <w:r>
        <w:rPr>
          <w:rFonts w:hint="eastAsia" w:ascii="仿宋_GB2312" w:hAnsi="仿宋_GB2312" w:eastAsia="仿宋_GB2312" w:cs="仿宋_GB2312"/>
          <w:color w:val="000000"/>
          <w:sz w:val="32"/>
          <w:szCs w:val="32"/>
        </w:rPr>
        <w:t>；政府性基金预算财政拨款收入</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万元；国有资本经营预算财政拨款收入</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万元；事业收入</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万元；经营收入</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万元；附属单位上缴收入</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万元；其他收入</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万元。</w:t>
      </w:r>
    </w:p>
    <w:p>
      <w:pPr>
        <w:spacing w:line="576" w:lineRule="exact"/>
        <w:ind w:firstLine="630" w:firstLineChars="300"/>
        <w:outlineLvl w:val="1"/>
        <w:rPr>
          <w:rFonts w:ascii="仿宋_GB2312" w:hAnsi="仿宋_GB2312" w:eastAsia="仿宋_GB2312" w:cs="仿宋_GB2312"/>
          <w:color w:val="000000"/>
          <w:sz w:val="32"/>
          <w:szCs w:val="32"/>
        </w:rPr>
      </w:pPr>
      <w:r>
        <w:drawing>
          <wp:anchor distT="0" distB="0" distL="114300" distR="114300" simplePos="0" relativeHeight="251659264" behindDoc="0" locked="0" layoutInCell="1" allowOverlap="1">
            <wp:simplePos x="0" y="0"/>
            <wp:positionH relativeFrom="column">
              <wp:posOffset>200025</wp:posOffset>
            </wp:positionH>
            <wp:positionV relativeFrom="paragraph">
              <wp:posOffset>478155</wp:posOffset>
            </wp:positionV>
            <wp:extent cx="5146040" cy="2426335"/>
            <wp:effectExtent l="0" t="0" r="16510" b="12065"/>
            <wp:wrapTopAndBottom/>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0"/>
                    <a:stretch>
                      <a:fillRect/>
                    </a:stretch>
                  </pic:blipFill>
                  <pic:spPr>
                    <a:xfrm>
                      <a:off x="0" y="0"/>
                      <a:ext cx="5146040" cy="2426335"/>
                    </a:xfrm>
                    <a:prstGeom prst="rect">
                      <a:avLst/>
                    </a:prstGeom>
                    <a:noFill/>
                    <a:ln>
                      <a:noFill/>
                    </a:ln>
                  </pic:spPr>
                </pic:pic>
              </a:graphicData>
            </a:graphic>
          </wp:anchor>
        </w:drawing>
      </w:r>
    </w:p>
    <w:p>
      <w:pPr>
        <w:spacing w:line="576" w:lineRule="exact"/>
        <w:ind w:firstLine="960" w:firstLineChars="300"/>
        <w:outlineLvl w:val="1"/>
        <w:rPr>
          <w:rFonts w:ascii="仿宋_GB2312" w:hAnsi="仿宋_GB2312" w:eastAsia="仿宋_GB2312" w:cs="仿宋_GB2312"/>
          <w:color w:val="000000"/>
          <w:sz w:val="32"/>
          <w:szCs w:val="32"/>
        </w:rPr>
      </w:pPr>
    </w:p>
    <w:p>
      <w:pPr>
        <w:spacing w:line="576" w:lineRule="exact"/>
        <w:ind w:firstLine="640" w:firstLineChars="200"/>
        <w:outlineLvl w:val="1"/>
        <w:rPr>
          <w:rFonts w:ascii="仿宋_GB2312" w:hAnsi="仿宋_GB2312" w:eastAsia="仿宋_GB2312" w:cs="仿宋_GB2312"/>
          <w:color w:val="000000"/>
          <w:sz w:val="32"/>
          <w:szCs w:val="32"/>
        </w:rPr>
      </w:pPr>
    </w:p>
    <w:p>
      <w:pPr>
        <w:pStyle w:val="28"/>
        <w:tabs>
          <w:tab w:val="left" w:pos="631"/>
        </w:tabs>
        <w:spacing w:line="600" w:lineRule="exact"/>
        <w:ind w:left="709" w:firstLine="0" w:firstLineChars="0"/>
        <w:outlineLvl w:val="1"/>
        <w:rPr>
          <w:rStyle w:val="23"/>
          <w:rFonts w:ascii="黑体" w:hAnsi="黑体" w:eastAsia="黑体" w:cs="黑体"/>
          <w:b w:val="0"/>
          <w:bCs w:val="0"/>
        </w:rPr>
      </w:pPr>
      <w:bookmarkStart w:id="29" w:name="_Toc15396605"/>
      <w:bookmarkStart w:id="30" w:name="_Toc15377207"/>
      <w:r>
        <w:rPr>
          <w:rFonts w:hint="eastAsia" w:ascii="黑体" w:hAnsi="黑体" w:eastAsia="黑体" w:cs="黑体"/>
          <w:color w:val="000000"/>
          <w:sz w:val="32"/>
          <w:szCs w:val="32"/>
        </w:rPr>
        <w:t>三、支</w:t>
      </w:r>
      <w:r>
        <w:rPr>
          <w:rStyle w:val="23"/>
          <w:rFonts w:hint="eastAsia" w:ascii="黑体" w:hAnsi="黑体" w:eastAsia="黑体" w:cs="黑体"/>
          <w:b w:val="0"/>
          <w:bCs w:val="0"/>
        </w:rPr>
        <w:t>出决算情况说明</w:t>
      </w:r>
      <w:bookmarkEnd w:id="29"/>
      <w:bookmarkEnd w:id="30"/>
    </w:p>
    <w:p>
      <w:pPr>
        <w:spacing w:line="576" w:lineRule="exact"/>
        <w:ind w:firstLine="641"/>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2020</w:t>
      </w:r>
      <w:r>
        <w:rPr>
          <w:rFonts w:hint="eastAsia" w:ascii="仿宋_GB2312" w:hAnsi="仿宋_GB2312" w:eastAsia="仿宋_GB2312" w:cs="仿宋_GB2312"/>
          <w:color w:val="000000"/>
          <w:sz w:val="32"/>
          <w:szCs w:val="32"/>
        </w:rPr>
        <w:t>年本年支出合计</w:t>
      </w:r>
      <w:r>
        <w:rPr>
          <w:rFonts w:ascii="仿宋_GB2312" w:hAnsi="仿宋_GB2312" w:eastAsia="仿宋_GB2312" w:cs="仿宋_GB2312"/>
          <w:color w:val="000000"/>
          <w:sz w:val="32"/>
          <w:szCs w:val="32"/>
        </w:rPr>
        <w:t>1040.04</w:t>
      </w:r>
      <w:r>
        <w:rPr>
          <w:rFonts w:hint="eastAsia" w:ascii="仿宋_GB2312" w:hAnsi="仿宋_GB2312" w:eastAsia="仿宋_GB2312" w:cs="仿宋_GB2312"/>
          <w:color w:val="000000"/>
          <w:sz w:val="32"/>
          <w:szCs w:val="32"/>
        </w:rPr>
        <w:t>万元，其中：基本支出</w:t>
      </w:r>
      <w:r>
        <w:rPr>
          <w:rFonts w:ascii="仿宋_GB2312" w:hAnsi="仿宋_GB2312" w:eastAsia="仿宋_GB2312" w:cs="仿宋_GB2312"/>
          <w:color w:val="000000"/>
          <w:sz w:val="32"/>
          <w:szCs w:val="32"/>
        </w:rPr>
        <w:t>1040.04</w:t>
      </w:r>
      <w:r>
        <w:rPr>
          <w:rFonts w:hint="eastAsia" w:ascii="仿宋_GB2312" w:hAnsi="仿宋_GB2312" w:eastAsia="仿宋_GB2312" w:cs="仿宋_GB2312"/>
          <w:color w:val="000000"/>
          <w:sz w:val="32"/>
          <w:szCs w:val="32"/>
        </w:rPr>
        <w:t>万元，占</w:t>
      </w:r>
      <w:r>
        <w:rPr>
          <w:rFonts w:ascii="仿宋_GB2312" w:hAnsi="仿宋_GB2312" w:eastAsia="仿宋_GB2312" w:cs="仿宋_GB2312"/>
          <w:color w:val="000000"/>
          <w:sz w:val="32"/>
          <w:szCs w:val="32"/>
        </w:rPr>
        <w:t>100%</w:t>
      </w:r>
      <w:r>
        <w:rPr>
          <w:rFonts w:hint="eastAsia" w:ascii="仿宋_GB2312" w:hAnsi="仿宋_GB2312" w:eastAsia="仿宋_GB2312" w:cs="仿宋_GB2312"/>
          <w:color w:val="000000"/>
          <w:sz w:val="32"/>
          <w:szCs w:val="32"/>
        </w:rPr>
        <w:t>；</w:t>
      </w:r>
    </w:p>
    <w:p>
      <w:pPr>
        <w:spacing w:line="576" w:lineRule="exact"/>
        <w:ind w:firstLine="915" w:firstLineChars="436"/>
        <w:rPr>
          <w:rFonts w:ascii="仿宋_GB2312" w:hAnsi="仿宋_GB2312" w:eastAsia="仿宋_GB2312" w:cs="仿宋_GB2312"/>
          <w:color w:val="000000"/>
          <w:sz w:val="32"/>
          <w:szCs w:val="32"/>
        </w:rPr>
      </w:pPr>
      <w:r>
        <w:pict>
          <v:shape id="_x0000_s1030" o:spid="_x0000_s1030" o:spt="75" type="#_x0000_t75" style="position:absolute;left:0pt;margin-left:72pt;margin-top:0.5pt;height:144pt;width:216.45pt;mso-wrap-distance-bottom:0pt;mso-wrap-distance-left:9pt;mso-wrap-distance-right:9pt;mso-wrap-distance-top:0pt;z-index:251661312;mso-width-relative:page;mso-height-relative:page;" o:ole="t" filled="f" o:preferrelative="t" stroked="f" coordsize="21600,21600">
            <v:path/>
            <v:fill on="f" focussize="0,0"/>
            <v:stroke on="f" joinstyle="miter"/>
            <v:imagedata r:id="rId12" o:title=""/>
            <o:lock v:ext="edit" aspectratio="t"/>
            <w10:wrap type="square"/>
          </v:shape>
          <o:OLEObject Type="Embed" ProgID="MSGraph.Chart.8" ShapeID="_x0000_s1030" DrawAspect="Content" ObjectID="_1468075726" r:id="rId11">
            <o:LockedField>false</o:LockedField>
          </o:OLEObject>
        </w:pict>
      </w:r>
      <w:r>
        <w:rPr>
          <w:rFonts w:ascii="仿宋_GB2312" w:hAnsi="仿宋_GB2312" w:eastAsia="仿宋_GB2312" w:cs="仿宋_GB2312"/>
          <w:color w:val="000000"/>
          <w:sz w:val="32"/>
          <w:szCs w:val="32"/>
        </w:rPr>
        <w:object>
          <v:shape id="_x0000_i1025" o:spt="75" type="#_x0000_t75" style="height:144pt;width:216.75pt;" o:ole="t" filled="f" o:preferrelative="t" stroked="f" coordsize="21600,21600">
            <v:path/>
            <v:fill on="f" focussize="0,0"/>
            <v:stroke on="f" joinstyle="miter"/>
            <v:imagedata r:id="rId14" o:title=""/>
            <o:lock v:ext="edit" aspectratio="t"/>
            <w10:wrap type="none"/>
            <w10:anchorlock/>
          </v:shape>
          <o:OLEObject Type="Embed" ProgID="MSGraph.Chart.8" ShapeID="_x0000_i1025" DrawAspect="Content" ObjectID="_1468075727" r:id="rId13">
            <o:LockedField>false</o:LockedField>
          </o:OLEObject>
        </w:object>
      </w:r>
    </w:p>
    <w:p>
      <w:pPr>
        <w:pStyle w:val="28"/>
        <w:spacing w:line="600" w:lineRule="exact"/>
        <w:ind w:firstLine="480" w:firstLineChars="150"/>
        <w:outlineLvl w:val="1"/>
        <w:rPr>
          <w:rStyle w:val="23"/>
          <w:rFonts w:ascii="黑体" w:hAnsi="黑体" w:eastAsia="黑体" w:cs="黑体"/>
          <w:b w:val="0"/>
          <w:bCs w:val="0"/>
        </w:rPr>
      </w:pPr>
      <w:bookmarkStart w:id="31" w:name="_Toc15377208"/>
      <w:bookmarkStart w:id="32" w:name="_Toc15396606"/>
      <w:r>
        <w:rPr>
          <w:rFonts w:hint="eastAsia" w:ascii="黑体" w:hAnsi="黑体" w:eastAsia="黑体" w:cs="黑体"/>
          <w:color w:val="000000"/>
          <w:sz w:val="32"/>
          <w:szCs w:val="32"/>
        </w:rPr>
        <w:t>四、财</w:t>
      </w:r>
      <w:r>
        <w:rPr>
          <w:rStyle w:val="23"/>
          <w:rFonts w:hint="eastAsia" w:ascii="黑体" w:hAnsi="黑体" w:eastAsia="黑体" w:cs="黑体"/>
          <w:b w:val="0"/>
          <w:bCs w:val="0"/>
        </w:rPr>
        <w:t>政</w:t>
      </w:r>
      <w:r>
        <w:rPr>
          <w:rFonts w:hint="eastAsia" w:ascii="黑体" w:hAnsi="黑体" w:eastAsia="黑体" w:cs="黑体"/>
          <w:color w:val="000000"/>
          <w:sz w:val="32"/>
          <w:szCs w:val="32"/>
        </w:rPr>
        <w:t>拨款</w:t>
      </w:r>
      <w:r>
        <w:rPr>
          <w:rStyle w:val="23"/>
          <w:rFonts w:hint="eastAsia" w:ascii="黑体" w:hAnsi="黑体" w:eastAsia="黑体" w:cs="黑体"/>
          <w:b w:val="0"/>
          <w:bCs w:val="0"/>
        </w:rPr>
        <w:t>收入支出决算总体情况说明</w:t>
      </w:r>
      <w:bookmarkEnd w:id="31"/>
      <w:bookmarkEnd w:id="32"/>
    </w:p>
    <w:p>
      <w:pPr>
        <w:spacing w:line="576" w:lineRule="exact"/>
        <w:ind w:firstLine="601"/>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2020</w:t>
      </w:r>
      <w:r>
        <w:rPr>
          <w:rFonts w:hint="eastAsia" w:ascii="仿宋_GB2312" w:hAnsi="仿宋_GB2312" w:eastAsia="仿宋_GB2312" w:cs="仿宋_GB2312"/>
          <w:color w:val="000000"/>
          <w:sz w:val="32"/>
          <w:szCs w:val="32"/>
        </w:rPr>
        <w:t>年度收</w:t>
      </w:r>
      <w:r>
        <w:rPr>
          <w:rFonts w:hint="eastAsia" w:ascii="宋体" w:hAnsi="宋体" w:cs="宋体"/>
          <w:color w:val="000000"/>
          <w:sz w:val="32"/>
          <w:szCs w:val="32"/>
        </w:rPr>
        <w:t>入</w:t>
      </w:r>
      <w:r>
        <w:rPr>
          <w:rFonts w:ascii="仿宋_GB2312" w:hAnsi="仿宋_GB2312" w:eastAsia="仿宋_GB2312" w:cs="仿宋_GB2312"/>
          <w:color w:val="000000"/>
          <w:sz w:val="32"/>
          <w:szCs w:val="32"/>
        </w:rPr>
        <w:t>1411.35</w:t>
      </w:r>
      <w:r>
        <w:rPr>
          <w:rFonts w:hint="eastAsia" w:ascii="仿宋_GB2312" w:hAnsi="仿宋_GB2312" w:eastAsia="仿宋_GB2312" w:cs="仿宋_GB2312"/>
          <w:color w:val="000000"/>
          <w:sz w:val="32"/>
          <w:szCs w:val="32"/>
        </w:rPr>
        <w:t>万元，支出</w:t>
      </w:r>
      <w:r>
        <w:rPr>
          <w:rFonts w:ascii="仿宋_GB2312" w:hAnsi="仿宋_GB2312" w:eastAsia="仿宋_GB2312" w:cs="仿宋_GB2312"/>
          <w:color w:val="000000"/>
          <w:sz w:val="32"/>
          <w:szCs w:val="32"/>
        </w:rPr>
        <w:t>1040.04</w:t>
      </w:r>
      <w:r>
        <w:rPr>
          <w:rFonts w:hint="eastAsia" w:ascii="仿宋_GB2312" w:hAnsi="仿宋_GB2312" w:eastAsia="仿宋_GB2312" w:cs="仿宋_GB2312"/>
          <w:color w:val="000000"/>
          <w:sz w:val="32"/>
          <w:szCs w:val="32"/>
        </w:rPr>
        <w:t>万元。与</w:t>
      </w:r>
      <w:r>
        <w:rPr>
          <w:rFonts w:ascii="仿宋_GB2312" w:hAnsi="仿宋_GB2312" w:eastAsia="仿宋_GB2312" w:cs="仿宋_GB2312"/>
          <w:color w:val="000000"/>
          <w:sz w:val="32"/>
          <w:szCs w:val="32"/>
        </w:rPr>
        <w:t>2019</w:t>
      </w:r>
      <w:r>
        <w:rPr>
          <w:rFonts w:hint="eastAsia" w:ascii="仿宋_GB2312" w:hAnsi="仿宋_GB2312" w:eastAsia="仿宋_GB2312" w:cs="仿宋_GB2312"/>
          <w:color w:val="000000"/>
          <w:sz w:val="32"/>
          <w:szCs w:val="32"/>
        </w:rPr>
        <w:t>年相比，收</w:t>
      </w:r>
      <w:r>
        <w:rPr>
          <w:rFonts w:hint="eastAsia" w:ascii="宋体" w:hAnsi="宋体" w:cs="宋体"/>
          <w:color w:val="000000"/>
          <w:sz w:val="32"/>
          <w:szCs w:val="32"/>
        </w:rPr>
        <w:t>入</w:t>
      </w:r>
      <w:r>
        <w:rPr>
          <w:rFonts w:hint="eastAsia" w:ascii="仿宋_GB2312" w:hAnsi="仿宋_GB2312" w:eastAsia="仿宋_GB2312" w:cs="仿宋_GB2312"/>
          <w:color w:val="000000"/>
          <w:sz w:val="32"/>
          <w:szCs w:val="32"/>
        </w:rPr>
        <w:t>增加</w:t>
      </w:r>
      <w:r>
        <w:rPr>
          <w:rFonts w:ascii="仿宋_GB2312" w:hAnsi="仿宋_GB2312" w:eastAsia="仿宋_GB2312" w:cs="仿宋_GB2312"/>
          <w:color w:val="000000"/>
          <w:sz w:val="32"/>
          <w:szCs w:val="32"/>
        </w:rPr>
        <w:t>1004.80</w:t>
      </w:r>
      <w:r>
        <w:rPr>
          <w:rFonts w:hint="eastAsia" w:ascii="仿宋_GB2312" w:hAnsi="仿宋_GB2312" w:eastAsia="仿宋_GB2312" w:cs="仿宋_GB2312"/>
          <w:color w:val="000000"/>
          <w:sz w:val="32"/>
          <w:szCs w:val="32"/>
        </w:rPr>
        <w:t>万元，增</w:t>
      </w:r>
      <w:r>
        <w:rPr>
          <w:rFonts w:hint="eastAsia" w:ascii="宋体" w:hAnsi="宋体" w:cs="宋体"/>
          <w:color w:val="000000"/>
          <w:sz w:val="32"/>
          <w:szCs w:val="32"/>
        </w:rPr>
        <w:t>长</w:t>
      </w:r>
      <w:r>
        <w:rPr>
          <w:rFonts w:hint="eastAsia" w:ascii="仿宋_GB2312" w:hAnsi="仿宋_GB2312" w:eastAsia="仿宋_GB2312" w:cs="仿宋_GB2312"/>
          <w:color w:val="000000"/>
          <w:sz w:val="32"/>
          <w:szCs w:val="32"/>
        </w:rPr>
        <w:t>275.28</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w:t>
      </w:r>
      <w:r>
        <w:rPr>
          <w:rFonts w:hint="eastAsia" w:ascii="宋体" w:hAnsi="宋体" w:cs="宋体"/>
          <w:color w:val="000000"/>
          <w:sz w:val="32"/>
          <w:szCs w:val="32"/>
        </w:rPr>
        <w:t>支出增加</w:t>
      </w:r>
      <w:r>
        <w:rPr>
          <w:rFonts w:ascii="仿宋_GB2312" w:hAnsi="仿宋_GB2312" w:eastAsia="仿宋_GB2312" w:cs="仿宋_GB2312"/>
          <w:color w:val="000000"/>
          <w:sz w:val="32"/>
          <w:szCs w:val="32"/>
        </w:rPr>
        <w:t>633.50</w:t>
      </w:r>
      <w:r>
        <w:rPr>
          <w:rFonts w:hint="eastAsia" w:ascii="仿宋_GB2312" w:hAnsi="仿宋_GB2312" w:eastAsia="仿宋_GB2312" w:cs="仿宋_GB2312"/>
          <w:color w:val="000000"/>
          <w:sz w:val="32"/>
          <w:szCs w:val="32"/>
        </w:rPr>
        <w:t>万元</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增长236.32</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。主要变动原因项目资金增加。</w:t>
      </w:r>
    </w:p>
    <w:p>
      <w:pPr>
        <w:pStyle w:val="28"/>
        <w:spacing w:line="600" w:lineRule="exact"/>
        <w:ind w:left="640" w:firstLine="0" w:firstLineChars="0"/>
        <w:outlineLvl w:val="1"/>
        <w:rPr>
          <w:rFonts w:ascii="仿宋" w:hAnsi="仿宋" w:eastAsia="仿宋"/>
          <w:color w:val="000000"/>
          <w:sz w:val="32"/>
          <w:szCs w:val="32"/>
        </w:rPr>
      </w:pPr>
      <w:r>
        <w:rPr>
          <w:rStyle w:val="23"/>
          <w:rFonts w:hint="eastAsia" w:ascii="黑体" w:hAnsi="黑体" w:eastAsia="黑体"/>
          <w:b w:val="0"/>
          <w:bCs w:val="0"/>
        </w:rPr>
        <w:t>五、一般公共预算财政拨款支出决算情况说明</w:t>
      </w:r>
      <w:bookmarkEnd w:id="18"/>
      <w:bookmarkEnd w:id="19"/>
      <w:bookmarkStart w:id="33" w:name="_Toc15377210"/>
    </w:p>
    <w:p>
      <w:pPr>
        <w:numPr>
          <w:ilvl w:val="0"/>
          <w:numId w:val="2"/>
        </w:numPr>
        <w:spacing w:line="600" w:lineRule="exact"/>
        <w:outlineLvl w:val="1"/>
        <w:rPr>
          <w:rFonts w:ascii="楷体" w:hAnsi="楷体" w:eastAsia="楷体" w:cs="楷体"/>
          <w:b/>
          <w:color w:val="000000"/>
          <w:sz w:val="32"/>
          <w:szCs w:val="32"/>
        </w:rPr>
      </w:pPr>
      <w:r>
        <w:rPr>
          <w:rFonts w:hint="eastAsia" w:ascii="楷体" w:hAnsi="楷体" w:eastAsia="楷体" w:cs="楷体"/>
          <w:b/>
          <w:color w:val="000000"/>
          <w:sz w:val="32"/>
          <w:szCs w:val="32"/>
        </w:rPr>
        <w:t>一般公共预算财政拨款支出决算总体情况</w:t>
      </w:r>
      <w:bookmarkEnd w:id="33"/>
    </w:p>
    <w:p>
      <w:pPr>
        <w:spacing w:line="600" w:lineRule="exact"/>
        <w:outlineLvl w:val="1"/>
        <w:rPr>
          <w:rFonts w:ascii="楷体" w:hAnsi="楷体" w:eastAsia="楷体" w:cs="楷体"/>
          <w:b/>
          <w:color w:val="000000"/>
          <w:sz w:val="32"/>
          <w:szCs w:val="32"/>
        </w:rPr>
      </w:pPr>
      <w:r>
        <w:pict>
          <v:shape id="_x0000_s1031" o:spid="_x0000_s1031" o:spt="75" type="#_x0000_t75" style="position:absolute;left:0pt;margin-left:0pt;margin-top:20.4pt;height:134.6pt;width:405pt;mso-wrap-distance-left:9pt;mso-wrap-distance-right:9pt;z-index:251661312;mso-width-relative:page;mso-height-relative:page;" o:ole="t" filled="f" o:preferrelative="t" stroked="f" coordsize="21600,21600" wrapcoords="3120 1810 1760 2655 1760 3620 2600 3741 1920 4827 1720 5309 1720 5792 1920 7602 1920 8206 2360 9533 1960 9654 1960 10619 2600 11464 1920 12308 1920 13032 2600 13394 2080 14360 1920 14842 1920 15325 2320 17256 1840 18221 1840 18342 2240 18945 7160 18945 8320 18945 17760 17497 17920 17256 18280 15928 18240 13394 18560 13394 21240 11705 21320 9774 21040 9654 18240 9533 18200 1810 3120 1810">
            <v:path/>
            <v:fill on="f" focussize="0,0"/>
            <v:stroke on="f" joinstyle="miter"/>
            <v:imagedata r:id="rId16" o:title=""/>
            <o:lock v:ext="edit" aspectratio="t"/>
            <w10:wrap type="tight"/>
          </v:shape>
          <o:OLEObject Type="Embed" ProgID="MSGraph.Chart.8" ShapeID="_x0000_s1031" DrawAspect="Content" ObjectID="_1468075728" r:id="rId15">
            <o:LockedField>false</o:LockedField>
          </o:OLEObject>
        </w:pict>
      </w:r>
    </w:p>
    <w:p>
      <w:pPr>
        <w:spacing w:line="576" w:lineRule="exact"/>
        <w:ind w:firstLine="640" w:firstLineChars="200"/>
        <w:rPr>
          <w:rFonts w:ascii="仿宋_GB2312" w:hAnsi="仿宋_GB2312" w:eastAsia="仿宋_GB2312" w:cs="仿宋_GB2312"/>
          <w:color w:val="000000"/>
          <w:sz w:val="32"/>
          <w:szCs w:val="32"/>
        </w:rPr>
      </w:pPr>
    </w:p>
    <w:p>
      <w:pPr>
        <w:spacing w:line="576" w:lineRule="exact"/>
        <w:ind w:firstLine="640" w:firstLineChars="200"/>
        <w:rPr>
          <w:rFonts w:ascii="仿宋_GB2312" w:hAnsi="仿宋_GB2312" w:eastAsia="仿宋_GB2312" w:cs="仿宋_GB2312"/>
          <w:color w:val="000000"/>
          <w:sz w:val="32"/>
          <w:szCs w:val="32"/>
        </w:rPr>
      </w:pPr>
    </w:p>
    <w:p>
      <w:pPr>
        <w:spacing w:line="576" w:lineRule="exact"/>
        <w:ind w:firstLine="640" w:firstLineChars="200"/>
        <w:rPr>
          <w:rFonts w:ascii="仿宋_GB2312" w:hAnsi="仿宋_GB2312" w:eastAsia="仿宋_GB2312" w:cs="仿宋_GB2312"/>
          <w:color w:val="000000"/>
          <w:sz w:val="32"/>
          <w:szCs w:val="32"/>
        </w:rPr>
      </w:pPr>
    </w:p>
    <w:p>
      <w:pPr>
        <w:spacing w:line="576" w:lineRule="exact"/>
        <w:ind w:firstLine="640" w:firstLineChars="200"/>
        <w:rPr>
          <w:rFonts w:ascii="仿宋_GB2312" w:hAnsi="仿宋_GB2312" w:eastAsia="仿宋_GB2312" w:cs="仿宋_GB2312"/>
          <w:color w:val="000000"/>
          <w:sz w:val="32"/>
          <w:szCs w:val="32"/>
        </w:rPr>
      </w:pPr>
    </w:p>
    <w:p>
      <w:pPr>
        <w:spacing w:line="576" w:lineRule="exact"/>
        <w:ind w:firstLine="320" w:firstLineChars="100"/>
        <w:rPr>
          <w:rFonts w:ascii="仿宋" w:hAnsi="仿宋" w:eastAsia="仿宋"/>
          <w:color w:val="000000"/>
          <w:sz w:val="32"/>
          <w:szCs w:val="32"/>
        </w:rPr>
      </w:pPr>
      <w:r>
        <w:rPr>
          <w:rFonts w:hint="eastAsia" w:ascii="仿宋_GB2312" w:hAnsi="仿宋_GB2312" w:eastAsia="仿宋_GB2312" w:cs="仿宋_GB2312"/>
          <w:color w:val="000000"/>
          <w:sz w:val="32"/>
          <w:szCs w:val="32"/>
        </w:rPr>
        <w:t>公共预算财政拨款支出</w:t>
      </w:r>
      <w:r>
        <w:rPr>
          <w:rFonts w:ascii="仿宋_GB2312" w:hAnsi="仿宋_GB2312" w:eastAsia="仿宋_GB2312" w:cs="仿宋_GB2312"/>
          <w:color w:val="000000"/>
          <w:sz w:val="32"/>
          <w:szCs w:val="32"/>
        </w:rPr>
        <w:t>1040.04</w:t>
      </w:r>
      <w:r>
        <w:rPr>
          <w:rFonts w:hint="eastAsia" w:ascii="仿宋_GB2312" w:hAnsi="仿宋_GB2312" w:eastAsia="仿宋_GB2312" w:cs="仿宋_GB2312"/>
          <w:color w:val="000000"/>
          <w:sz w:val="32"/>
          <w:szCs w:val="32"/>
        </w:rPr>
        <w:t>万元，占本年支出合计的</w:t>
      </w:r>
      <w:r>
        <w:rPr>
          <w:rFonts w:ascii="仿宋_GB2312" w:hAnsi="仿宋_GB2312" w:eastAsia="仿宋_GB2312" w:cs="仿宋_GB2312"/>
          <w:color w:val="000000"/>
          <w:sz w:val="32"/>
          <w:szCs w:val="32"/>
        </w:rPr>
        <w:t>100%</w:t>
      </w:r>
      <w:r>
        <w:rPr>
          <w:rFonts w:hint="eastAsia" w:ascii="仿宋_GB2312" w:hAnsi="仿宋_GB2312" w:eastAsia="仿宋_GB2312" w:cs="仿宋_GB2312"/>
          <w:color w:val="000000"/>
          <w:sz w:val="32"/>
          <w:szCs w:val="32"/>
        </w:rPr>
        <w:t>。与</w:t>
      </w:r>
      <w:r>
        <w:rPr>
          <w:rFonts w:ascii="仿宋_GB2312" w:hAnsi="仿宋_GB2312" w:eastAsia="仿宋_GB2312" w:cs="仿宋_GB2312"/>
          <w:color w:val="000000"/>
          <w:sz w:val="32"/>
          <w:szCs w:val="32"/>
        </w:rPr>
        <w:t>2019</w:t>
      </w:r>
      <w:r>
        <w:rPr>
          <w:rFonts w:hint="eastAsia" w:ascii="仿宋_GB2312" w:hAnsi="仿宋_GB2312" w:eastAsia="仿宋_GB2312" w:cs="仿宋_GB2312"/>
          <w:color w:val="000000"/>
          <w:sz w:val="32"/>
          <w:szCs w:val="32"/>
        </w:rPr>
        <w:t>年相比，一般公共预算财政拨款支出增加</w:t>
      </w:r>
      <w:r>
        <w:rPr>
          <w:rFonts w:ascii="仿宋_GB2312" w:hAnsi="仿宋_GB2312" w:eastAsia="仿宋_GB2312" w:cs="仿宋_GB2312"/>
          <w:color w:val="000000"/>
          <w:sz w:val="32"/>
          <w:szCs w:val="32"/>
        </w:rPr>
        <w:t>633.50</w:t>
      </w:r>
      <w:r>
        <w:rPr>
          <w:rFonts w:hint="eastAsia" w:ascii="仿宋_GB2312" w:hAnsi="仿宋_GB2312" w:eastAsia="仿宋_GB2312" w:cs="仿宋_GB2312"/>
          <w:color w:val="000000"/>
          <w:sz w:val="32"/>
          <w:szCs w:val="32"/>
        </w:rPr>
        <w:t>万元，增长280.26</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。主要变动原因是项目资金增加。</w:t>
      </w:r>
    </w:p>
    <w:p>
      <w:pPr>
        <w:numPr>
          <w:ilvl w:val="0"/>
          <w:numId w:val="2"/>
        </w:numPr>
        <w:spacing w:line="600" w:lineRule="exact"/>
        <w:outlineLvl w:val="1"/>
        <w:rPr>
          <w:rFonts w:ascii="楷体" w:hAnsi="楷体" w:eastAsia="楷体" w:cs="楷体"/>
          <w:b/>
          <w:color w:val="000000"/>
          <w:sz w:val="32"/>
          <w:szCs w:val="32"/>
        </w:rPr>
      </w:pPr>
      <w:bookmarkStart w:id="34" w:name="_Toc15377211"/>
      <w:r>
        <w:rPr>
          <w:rFonts w:hint="eastAsia" w:ascii="楷体" w:hAnsi="楷体" w:eastAsia="楷体" w:cs="楷体"/>
          <w:b/>
          <w:color w:val="000000"/>
          <w:sz w:val="32"/>
          <w:szCs w:val="32"/>
        </w:rPr>
        <w:t>一般公共预算财政拨款支出决算结构情况</w:t>
      </w:r>
      <w:bookmarkEnd w:id="34"/>
    </w:p>
    <w:p>
      <w:pPr>
        <w:spacing w:line="576" w:lineRule="exact"/>
        <w:ind w:firstLine="641"/>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2020</w:t>
      </w:r>
      <w:r>
        <w:rPr>
          <w:rFonts w:hint="eastAsia" w:ascii="仿宋_GB2312" w:hAnsi="仿宋_GB2312" w:eastAsia="仿宋_GB2312" w:cs="仿宋_GB2312"/>
          <w:color w:val="000000"/>
          <w:sz w:val="32"/>
          <w:szCs w:val="32"/>
        </w:rPr>
        <w:t>年一般公共预算财政拨款支出</w:t>
      </w:r>
      <w:r>
        <w:rPr>
          <w:rFonts w:ascii="仿宋_GB2312" w:hAnsi="仿宋_GB2312" w:eastAsia="仿宋_GB2312" w:cs="仿宋_GB2312"/>
          <w:color w:val="000000"/>
          <w:sz w:val="32"/>
          <w:szCs w:val="32"/>
        </w:rPr>
        <w:t>1040.04</w:t>
      </w:r>
      <w:r>
        <w:rPr>
          <w:rFonts w:hint="eastAsia" w:ascii="仿宋_GB2312" w:hAnsi="仿宋_GB2312" w:eastAsia="仿宋_GB2312" w:cs="仿宋_GB2312"/>
          <w:color w:val="000000"/>
          <w:sz w:val="32"/>
          <w:szCs w:val="32"/>
        </w:rPr>
        <w:t>万元，主要用于以下方面</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社会保障和就业（类）支出</w:t>
      </w:r>
      <w:r>
        <w:rPr>
          <w:rFonts w:ascii="仿宋_GB2312" w:hAnsi="仿宋_GB2312" w:eastAsia="仿宋_GB2312" w:cs="仿宋_GB2312"/>
          <w:color w:val="000000"/>
          <w:sz w:val="32"/>
          <w:szCs w:val="32"/>
        </w:rPr>
        <w:t>27.28</w:t>
      </w:r>
      <w:r>
        <w:rPr>
          <w:rFonts w:hint="eastAsia" w:ascii="仿宋_GB2312" w:hAnsi="仿宋_GB2312" w:eastAsia="仿宋_GB2312" w:cs="仿宋_GB2312"/>
          <w:color w:val="000000"/>
          <w:sz w:val="32"/>
          <w:szCs w:val="32"/>
        </w:rPr>
        <w:t>万元，占</w:t>
      </w:r>
      <w:r>
        <w:rPr>
          <w:rFonts w:ascii="仿宋_GB2312" w:hAnsi="仿宋_GB2312" w:eastAsia="仿宋_GB2312" w:cs="仿宋_GB2312"/>
          <w:color w:val="000000"/>
          <w:sz w:val="32"/>
          <w:szCs w:val="32"/>
        </w:rPr>
        <w:t>2.62%</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bCs/>
          <w:color w:val="000000"/>
          <w:sz w:val="32"/>
          <w:szCs w:val="32"/>
        </w:rPr>
        <w:t>医疗卫生与计划生育（类）</w:t>
      </w:r>
      <w:r>
        <w:rPr>
          <w:rFonts w:hint="eastAsia" w:ascii="仿宋_GB2312" w:hAnsi="仿宋_GB2312" w:eastAsia="仿宋_GB2312" w:cs="仿宋_GB2312"/>
          <w:color w:val="000000"/>
          <w:sz w:val="32"/>
          <w:szCs w:val="32"/>
        </w:rPr>
        <w:t>支出</w:t>
      </w:r>
      <w:r>
        <w:rPr>
          <w:rFonts w:ascii="仿宋_GB2312" w:hAnsi="仿宋_GB2312" w:eastAsia="仿宋_GB2312" w:cs="仿宋_GB2312"/>
          <w:color w:val="000000"/>
          <w:sz w:val="32"/>
          <w:szCs w:val="32"/>
        </w:rPr>
        <w:t>16.40</w:t>
      </w:r>
      <w:r>
        <w:rPr>
          <w:rFonts w:hint="eastAsia" w:ascii="仿宋_GB2312" w:hAnsi="仿宋_GB2312" w:eastAsia="仿宋_GB2312" w:cs="仿宋_GB2312"/>
          <w:color w:val="000000"/>
          <w:sz w:val="32"/>
          <w:szCs w:val="32"/>
        </w:rPr>
        <w:t>万元，占</w:t>
      </w:r>
      <w:r>
        <w:rPr>
          <w:rFonts w:ascii="仿宋_GB2312" w:hAnsi="仿宋_GB2312" w:eastAsia="仿宋_GB2312" w:cs="仿宋_GB2312"/>
          <w:color w:val="000000"/>
          <w:sz w:val="32"/>
          <w:szCs w:val="32"/>
        </w:rPr>
        <w:t>1.6%</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bCs/>
          <w:color w:val="000000"/>
          <w:sz w:val="32"/>
          <w:szCs w:val="32"/>
        </w:rPr>
        <w:t>农林水（类）</w:t>
      </w:r>
      <w:r>
        <w:rPr>
          <w:rFonts w:hint="eastAsia" w:ascii="仿宋_GB2312" w:hAnsi="仿宋_GB2312" w:eastAsia="仿宋_GB2312" w:cs="仿宋_GB2312"/>
          <w:color w:val="000000"/>
          <w:sz w:val="32"/>
          <w:szCs w:val="32"/>
        </w:rPr>
        <w:t>支出</w:t>
      </w:r>
      <w:r>
        <w:rPr>
          <w:rFonts w:ascii="仿宋_GB2312" w:hAnsi="仿宋_GB2312" w:eastAsia="仿宋_GB2312" w:cs="仿宋_GB2312"/>
          <w:color w:val="000000"/>
          <w:sz w:val="32"/>
          <w:szCs w:val="32"/>
        </w:rPr>
        <w:t>3.07</w:t>
      </w:r>
      <w:r>
        <w:rPr>
          <w:rFonts w:hint="eastAsia" w:ascii="仿宋_GB2312" w:hAnsi="仿宋_GB2312" w:eastAsia="仿宋_GB2312" w:cs="仿宋_GB2312"/>
          <w:color w:val="000000"/>
          <w:sz w:val="32"/>
          <w:szCs w:val="32"/>
        </w:rPr>
        <w:t>万元，占</w:t>
      </w:r>
      <w:r>
        <w:rPr>
          <w:rFonts w:ascii="仿宋_GB2312" w:hAnsi="仿宋_GB2312" w:eastAsia="仿宋_GB2312" w:cs="仿宋_GB2312"/>
          <w:color w:val="000000"/>
          <w:sz w:val="32"/>
          <w:szCs w:val="32"/>
        </w:rPr>
        <w:t>0.3%</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bCs/>
          <w:color w:val="000000"/>
          <w:sz w:val="32"/>
          <w:szCs w:val="32"/>
        </w:rPr>
        <w:t>粮油物资储备事务（类）</w:t>
      </w:r>
      <w:r>
        <w:rPr>
          <w:rFonts w:hint="eastAsia" w:ascii="仿宋_GB2312" w:hAnsi="仿宋_GB2312" w:eastAsia="仿宋_GB2312" w:cs="仿宋_GB2312"/>
          <w:color w:val="000000"/>
          <w:sz w:val="32"/>
          <w:szCs w:val="32"/>
        </w:rPr>
        <w:t>支出</w:t>
      </w:r>
      <w:r>
        <w:rPr>
          <w:rFonts w:ascii="仿宋_GB2312" w:hAnsi="仿宋_GB2312" w:eastAsia="仿宋_GB2312" w:cs="仿宋_GB2312"/>
          <w:color w:val="000000"/>
          <w:sz w:val="32"/>
          <w:szCs w:val="32"/>
        </w:rPr>
        <w:t>974.16</w:t>
      </w:r>
      <w:r>
        <w:rPr>
          <w:rFonts w:hint="eastAsia" w:ascii="仿宋_GB2312" w:hAnsi="仿宋_GB2312" w:eastAsia="仿宋_GB2312" w:cs="仿宋_GB2312"/>
          <w:color w:val="000000"/>
          <w:sz w:val="32"/>
          <w:szCs w:val="32"/>
        </w:rPr>
        <w:t>万元，占</w:t>
      </w:r>
      <w:r>
        <w:rPr>
          <w:rFonts w:ascii="仿宋_GB2312" w:hAnsi="仿宋_GB2312" w:eastAsia="仿宋_GB2312" w:cs="仿宋_GB2312"/>
          <w:color w:val="000000"/>
          <w:sz w:val="32"/>
          <w:szCs w:val="32"/>
        </w:rPr>
        <w:t>93.65%</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bCs/>
          <w:color w:val="000000"/>
          <w:sz w:val="32"/>
          <w:szCs w:val="32"/>
        </w:rPr>
        <w:t>住房保障（类）</w:t>
      </w:r>
      <w:r>
        <w:rPr>
          <w:rFonts w:hint="eastAsia" w:ascii="仿宋_GB2312" w:hAnsi="仿宋_GB2312" w:eastAsia="仿宋_GB2312" w:cs="仿宋_GB2312"/>
          <w:color w:val="000000"/>
          <w:sz w:val="32"/>
          <w:szCs w:val="32"/>
        </w:rPr>
        <w:t>支出</w:t>
      </w:r>
      <w:r>
        <w:rPr>
          <w:rFonts w:ascii="仿宋_GB2312" w:hAnsi="仿宋_GB2312" w:eastAsia="仿宋_GB2312" w:cs="仿宋_GB2312"/>
          <w:color w:val="000000"/>
          <w:sz w:val="32"/>
          <w:szCs w:val="32"/>
        </w:rPr>
        <w:t>19.13</w:t>
      </w:r>
      <w:r>
        <w:rPr>
          <w:rFonts w:hint="eastAsia" w:ascii="仿宋_GB2312" w:hAnsi="仿宋_GB2312" w:eastAsia="仿宋_GB2312" w:cs="仿宋_GB2312"/>
          <w:color w:val="000000"/>
          <w:sz w:val="32"/>
          <w:szCs w:val="32"/>
        </w:rPr>
        <w:t>万元，占</w:t>
      </w:r>
      <w:r>
        <w:rPr>
          <w:rFonts w:ascii="仿宋_GB2312" w:hAnsi="仿宋_GB2312" w:eastAsia="仿宋_GB2312" w:cs="仿宋_GB2312"/>
          <w:color w:val="000000"/>
          <w:sz w:val="32"/>
          <w:szCs w:val="32"/>
        </w:rPr>
        <w:t>1.8%</w:t>
      </w:r>
      <w:r>
        <w:rPr>
          <w:rFonts w:hint="eastAsia" w:ascii="仿宋_GB2312" w:hAnsi="仿宋_GB2312" w:eastAsia="仿宋_GB2312" w:cs="仿宋_GB2312"/>
          <w:color w:val="000000"/>
          <w:sz w:val="32"/>
          <w:szCs w:val="32"/>
        </w:rPr>
        <w:t>。</w:t>
      </w:r>
    </w:p>
    <w:p>
      <w:pPr>
        <w:spacing w:line="576" w:lineRule="exact"/>
        <w:ind w:firstLine="321" w:firstLineChars="100"/>
        <w:rPr>
          <w:rFonts w:ascii="仿宋" w:hAnsi="仿宋" w:eastAsia="仿宋"/>
          <w:b/>
          <w:color w:val="000000"/>
          <w:sz w:val="32"/>
          <w:szCs w:val="32"/>
        </w:rPr>
      </w:pPr>
      <w:r>
        <w:rPr>
          <w:rFonts w:hint="eastAsia" w:ascii="仿宋" w:hAnsi="仿宋" w:eastAsia="仿宋"/>
          <w:b/>
          <w:color w:val="000000"/>
          <w:sz w:val="32"/>
          <w:szCs w:val="32"/>
        </w:rPr>
        <w:t>（</w:t>
      </w:r>
      <w:r>
        <w:rPr>
          <w:rFonts w:hint="eastAsia" w:ascii="楷体" w:hAnsi="楷体" w:eastAsia="楷体" w:cs="楷体"/>
          <w:b/>
          <w:color w:val="000000"/>
          <w:sz w:val="32"/>
          <w:szCs w:val="32"/>
        </w:rPr>
        <w:t>三）一般公共预算财政拨款支出决算具体情况</w:t>
      </w:r>
      <w:bookmarkEnd w:id="20"/>
    </w:p>
    <w:p>
      <w:pPr>
        <w:spacing w:line="576" w:lineRule="exact"/>
        <w:ind w:firstLine="640" w:firstLineChars="200"/>
        <w:outlineLvl w:val="2"/>
        <w:rPr>
          <w:rStyle w:val="12"/>
          <w:rFonts w:ascii="仿宋" w:hAnsi="仿宋" w:eastAsia="仿宋" w:cs="仿宋_GB2312"/>
          <w:b w:val="0"/>
          <w:bCs/>
          <w:color w:val="000000"/>
          <w:sz w:val="32"/>
          <w:szCs w:val="32"/>
        </w:rPr>
      </w:pPr>
      <w:bookmarkStart w:id="35" w:name="_Toc15378460"/>
      <w:bookmarkStart w:id="36" w:name="_Toc15377213"/>
      <w:bookmarkStart w:id="37" w:name="_Toc15377444"/>
      <w:r>
        <w:rPr>
          <w:rFonts w:ascii="仿宋" w:hAnsi="仿宋" w:eastAsia="仿宋" w:cs="仿宋_GB2312"/>
          <w:bCs/>
          <w:color w:val="000000"/>
          <w:sz w:val="32"/>
          <w:szCs w:val="32"/>
        </w:rPr>
        <w:t>2020</w:t>
      </w:r>
      <w:r>
        <w:rPr>
          <w:rFonts w:hint="eastAsia" w:ascii="仿宋" w:hAnsi="仿宋" w:eastAsia="仿宋" w:cs="仿宋_GB2312"/>
          <w:bCs/>
          <w:color w:val="000000"/>
          <w:sz w:val="32"/>
          <w:szCs w:val="32"/>
        </w:rPr>
        <w:t>年一般公共预算支出决算数为</w:t>
      </w:r>
      <w:r>
        <w:rPr>
          <w:rFonts w:ascii="仿宋" w:hAnsi="仿宋" w:eastAsia="仿宋" w:cs="仿宋_GB2312"/>
          <w:bCs/>
          <w:color w:val="000000"/>
          <w:sz w:val="32"/>
          <w:szCs w:val="32"/>
        </w:rPr>
        <w:t>1040.04</w:t>
      </w:r>
      <w:r>
        <w:rPr>
          <w:rFonts w:hint="eastAsia" w:ascii="仿宋" w:hAnsi="仿宋" w:eastAsia="仿宋" w:cs="仿宋_GB2312"/>
          <w:bCs/>
          <w:color w:val="000000"/>
          <w:sz w:val="32"/>
          <w:szCs w:val="32"/>
        </w:rPr>
        <w:t>万元，</w:t>
      </w:r>
      <w:r>
        <w:rPr>
          <w:rStyle w:val="12"/>
          <w:rFonts w:hint="eastAsia" w:ascii="仿宋" w:hAnsi="仿宋" w:eastAsia="仿宋" w:cs="仿宋_GB2312"/>
          <w:b w:val="0"/>
          <w:bCs/>
          <w:color w:val="000000"/>
          <w:sz w:val="32"/>
          <w:szCs w:val="32"/>
        </w:rPr>
        <w:t>完成</w:t>
      </w:r>
    </w:p>
    <w:p>
      <w:pPr>
        <w:spacing w:line="576" w:lineRule="exact"/>
        <w:outlineLvl w:val="2"/>
        <w:rPr>
          <w:rFonts w:ascii="仿宋_GB2312" w:hAnsi="仿宋_GB2312" w:eastAsia="仿宋_GB2312" w:cs="仿宋_GB2312"/>
          <w:bCs/>
          <w:color w:val="FF0000"/>
          <w:sz w:val="32"/>
          <w:szCs w:val="32"/>
        </w:rPr>
      </w:pPr>
      <w:r>
        <w:rPr>
          <w:rStyle w:val="12"/>
          <w:rFonts w:hint="eastAsia" w:ascii="仿宋_GB2312" w:hAnsi="仿宋_GB2312" w:eastAsia="仿宋_GB2312" w:cs="仿宋_GB2312"/>
          <w:b w:val="0"/>
          <w:bCs/>
          <w:color w:val="000000"/>
          <w:sz w:val="32"/>
          <w:szCs w:val="32"/>
        </w:rPr>
        <w:t>预算</w:t>
      </w:r>
      <w:r>
        <w:rPr>
          <w:rStyle w:val="12"/>
          <w:rFonts w:ascii="仿宋_GB2312" w:hAnsi="仿宋_GB2312" w:eastAsia="仿宋_GB2312" w:cs="仿宋_GB2312"/>
          <w:b w:val="0"/>
          <w:bCs/>
          <w:color w:val="000000"/>
          <w:sz w:val="32"/>
          <w:szCs w:val="32"/>
        </w:rPr>
        <w:t>100%</w:t>
      </w:r>
      <w:r>
        <w:rPr>
          <w:rStyle w:val="12"/>
          <w:rFonts w:hint="eastAsia" w:ascii="仿宋_GB2312" w:hAnsi="仿宋_GB2312" w:eastAsia="仿宋_GB2312" w:cs="仿宋_GB2312"/>
          <w:b w:val="0"/>
          <w:bCs/>
          <w:color w:val="000000"/>
          <w:sz w:val="32"/>
          <w:szCs w:val="32"/>
        </w:rPr>
        <w:t>。其中：</w:t>
      </w:r>
      <w:bookmarkEnd w:id="35"/>
      <w:bookmarkEnd w:id="36"/>
      <w:bookmarkEnd w:id="37"/>
    </w:p>
    <w:p>
      <w:pPr>
        <w:spacing w:line="576" w:lineRule="exact"/>
        <w:ind w:firstLine="642" w:firstLineChars="200"/>
        <w:rPr>
          <w:rStyle w:val="12"/>
          <w:rFonts w:ascii="仿宋_GB2312" w:hAnsi="仿宋_GB2312" w:eastAsia="仿宋_GB2312" w:cs="仿宋_GB2312"/>
          <w:b w:val="0"/>
          <w:bCs/>
          <w:color w:val="000000"/>
          <w:sz w:val="32"/>
          <w:szCs w:val="32"/>
        </w:rPr>
      </w:pPr>
      <w:r>
        <w:rPr>
          <w:rStyle w:val="12"/>
          <w:rFonts w:ascii="仿宋_GB2312" w:hAnsi="仿宋_GB2312" w:eastAsia="仿宋_GB2312" w:cs="仿宋_GB2312"/>
          <w:bCs/>
          <w:color w:val="000000"/>
          <w:sz w:val="32"/>
          <w:szCs w:val="32"/>
        </w:rPr>
        <w:t>1.</w:t>
      </w:r>
      <w:r>
        <w:rPr>
          <w:rStyle w:val="12"/>
          <w:rFonts w:hint="eastAsia" w:ascii="仿宋_GB2312" w:hAnsi="仿宋_GB2312" w:eastAsia="仿宋_GB2312" w:cs="仿宋_GB2312"/>
          <w:bCs/>
          <w:color w:val="000000"/>
          <w:sz w:val="32"/>
          <w:szCs w:val="32"/>
        </w:rPr>
        <w:t>社会保障和就业（类）行政事业单位离退休（款）机关事业单位职业年金缴费支出（项）</w:t>
      </w:r>
      <w:r>
        <w:rPr>
          <w:rStyle w:val="12"/>
          <w:rFonts w:ascii="仿宋_GB2312" w:hAnsi="仿宋_GB2312" w:eastAsia="仿宋_GB2312" w:cs="仿宋_GB2312"/>
          <w:bCs/>
          <w:color w:val="000000"/>
          <w:sz w:val="32"/>
          <w:szCs w:val="32"/>
        </w:rPr>
        <w:t>:</w:t>
      </w:r>
      <w:r>
        <w:rPr>
          <w:rStyle w:val="12"/>
          <w:rFonts w:hint="eastAsia" w:ascii="仿宋_GB2312" w:hAnsi="仿宋_GB2312" w:eastAsia="仿宋_GB2312" w:cs="仿宋_GB2312"/>
          <w:b w:val="0"/>
          <w:bCs/>
          <w:color w:val="000000"/>
          <w:sz w:val="32"/>
          <w:szCs w:val="32"/>
        </w:rPr>
        <w:t>支出决算为</w:t>
      </w:r>
      <w:r>
        <w:rPr>
          <w:rStyle w:val="12"/>
          <w:rFonts w:ascii="仿宋_GB2312" w:hAnsi="仿宋_GB2312" w:eastAsia="仿宋_GB2312" w:cs="仿宋_GB2312"/>
          <w:b w:val="0"/>
          <w:bCs/>
          <w:color w:val="000000"/>
          <w:sz w:val="32"/>
          <w:szCs w:val="32"/>
        </w:rPr>
        <w:t>9.0</w:t>
      </w:r>
      <w:r>
        <w:rPr>
          <w:rStyle w:val="12"/>
          <w:rFonts w:hint="eastAsia" w:ascii="仿宋_GB2312" w:hAnsi="仿宋_GB2312" w:eastAsia="仿宋_GB2312" w:cs="仿宋_GB2312"/>
          <w:b w:val="0"/>
          <w:bCs/>
          <w:color w:val="000000"/>
          <w:sz w:val="32"/>
          <w:szCs w:val="32"/>
        </w:rPr>
        <w:t>万元，完成预算</w:t>
      </w:r>
      <w:r>
        <w:rPr>
          <w:rStyle w:val="12"/>
          <w:rFonts w:ascii="仿宋_GB2312" w:hAnsi="仿宋_GB2312" w:eastAsia="仿宋_GB2312" w:cs="仿宋_GB2312"/>
          <w:b w:val="0"/>
          <w:bCs/>
          <w:color w:val="000000"/>
          <w:sz w:val="32"/>
          <w:szCs w:val="32"/>
        </w:rPr>
        <w:t>100%</w:t>
      </w:r>
      <w:r>
        <w:rPr>
          <w:rStyle w:val="12"/>
          <w:rFonts w:hint="eastAsia" w:ascii="仿宋_GB2312" w:hAnsi="仿宋_GB2312" w:eastAsia="仿宋_GB2312" w:cs="仿宋_GB2312"/>
          <w:b w:val="0"/>
          <w:bCs/>
          <w:color w:val="000000"/>
          <w:sz w:val="32"/>
          <w:szCs w:val="32"/>
        </w:rPr>
        <w:t>，决算数等于预算数。</w:t>
      </w:r>
    </w:p>
    <w:p>
      <w:pPr>
        <w:spacing w:line="576" w:lineRule="exact"/>
        <w:ind w:firstLine="642" w:firstLineChars="200"/>
        <w:rPr>
          <w:rStyle w:val="12"/>
          <w:rFonts w:ascii="仿宋_GB2312" w:hAnsi="仿宋_GB2312" w:eastAsia="仿宋_GB2312" w:cs="仿宋_GB2312"/>
          <w:b w:val="0"/>
          <w:bCs/>
          <w:color w:val="000000"/>
          <w:sz w:val="32"/>
          <w:szCs w:val="32"/>
        </w:rPr>
      </w:pPr>
      <w:r>
        <w:rPr>
          <w:rStyle w:val="12"/>
          <w:rFonts w:ascii="仿宋_GB2312" w:hAnsi="仿宋_GB2312" w:eastAsia="仿宋_GB2312" w:cs="仿宋_GB2312"/>
          <w:bCs/>
          <w:color w:val="000000"/>
          <w:sz w:val="32"/>
          <w:szCs w:val="32"/>
        </w:rPr>
        <w:t>2.</w:t>
      </w:r>
      <w:r>
        <w:rPr>
          <w:rStyle w:val="12"/>
          <w:rFonts w:hint="eastAsia" w:ascii="仿宋_GB2312" w:hAnsi="仿宋_GB2312" w:eastAsia="仿宋_GB2312" w:cs="仿宋_GB2312"/>
          <w:bCs/>
          <w:color w:val="000000"/>
          <w:sz w:val="32"/>
          <w:szCs w:val="32"/>
        </w:rPr>
        <w:t>社会保障和就业（类）行政事业单位离退休（款）机关事业单位基本养老保险缴费支出（项）</w:t>
      </w:r>
      <w:r>
        <w:rPr>
          <w:rStyle w:val="12"/>
          <w:rFonts w:ascii="仿宋_GB2312" w:hAnsi="仿宋_GB2312" w:eastAsia="仿宋_GB2312" w:cs="仿宋_GB2312"/>
          <w:bCs/>
          <w:color w:val="000000"/>
          <w:sz w:val="32"/>
          <w:szCs w:val="32"/>
        </w:rPr>
        <w:t>:</w:t>
      </w:r>
      <w:r>
        <w:rPr>
          <w:rStyle w:val="12"/>
          <w:rFonts w:hint="eastAsia" w:ascii="仿宋_GB2312" w:hAnsi="仿宋_GB2312" w:eastAsia="仿宋_GB2312" w:cs="仿宋_GB2312"/>
          <w:b w:val="0"/>
          <w:bCs/>
          <w:color w:val="000000"/>
          <w:sz w:val="32"/>
          <w:szCs w:val="32"/>
        </w:rPr>
        <w:t>支出决算为</w:t>
      </w:r>
      <w:r>
        <w:rPr>
          <w:rStyle w:val="12"/>
          <w:rFonts w:ascii="仿宋_GB2312" w:hAnsi="仿宋_GB2312" w:eastAsia="仿宋_GB2312" w:cs="仿宋_GB2312"/>
          <w:b w:val="0"/>
          <w:bCs/>
          <w:color w:val="000000"/>
          <w:sz w:val="32"/>
          <w:szCs w:val="32"/>
        </w:rPr>
        <w:t>18.19</w:t>
      </w:r>
      <w:r>
        <w:rPr>
          <w:rStyle w:val="12"/>
          <w:rFonts w:hint="eastAsia" w:ascii="仿宋_GB2312" w:hAnsi="仿宋_GB2312" w:eastAsia="仿宋_GB2312" w:cs="仿宋_GB2312"/>
          <w:b w:val="0"/>
          <w:bCs/>
          <w:color w:val="000000"/>
          <w:sz w:val="32"/>
          <w:szCs w:val="32"/>
        </w:rPr>
        <w:t>万元，完成预算</w:t>
      </w:r>
      <w:r>
        <w:rPr>
          <w:rStyle w:val="12"/>
          <w:rFonts w:ascii="仿宋_GB2312" w:hAnsi="仿宋_GB2312" w:eastAsia="仿宋_GB2312" w:cs="仿宋_GB2312"/>
          <w:b w:val="0"/>
          <w:bCs/>
          <w:color w:val="000000"/>
          <w:sz w:val="32"/>
          <w:szCs w:val="32"/>
        </w:rPr>
        <w:t>100%</w:t>
      </w:r>
      <w:r>
        <w:rPr>
          <w:rStyle w:val="12"/>
          <w:rFonts w:hint="eastAsia" w:ascii="仿宋_GB2312" w:hAnsi="仿宋_GB2312" w:eastAsia="仿宋_GB2312" w:cs="仿宋_GB2312"/>
          <w:b w:val="0"/>
          <w:bCs/>
          <w:color w:val="000000"/>
          <w:sz w:val="32"/>
          <w:szCs w:val="32"/>
        </w:rPr>
        <w:t>，决算数等于预算数。</w:t>
      </w:r>
    </w:p>
    <w:p>
      <w:pPr>
        <w:spacing w:line="576" w:lineRule="exact"/>
        <w:ind w:firstLine="642" w:firstLineChars="200"/>
        <w:rPr>
          <w:rStyle w:val="12"/>
          <w:rFonts w:ascii="仿宋_GB2312" w:hAnsi="仿宋_GB2312" w:eastAsia="仿宋_GB2312" w:cs="仿宋_GB2312"/>
          <w:b w:val="0"/>
          <w:bCs/>
          <w:color w:val="000000"/>
          <w:sz w:val="32"/>
          <w:szCs w:val="32"/>
        </w:rPr>
      </w:pPr>
      <w:r>
        <w:rPr>
          <w:rStyle w:val="12"/>
          <w:rFonts w:ascii="仿宋_GB2312" w:hAnsi="仿宋_GB2312" w:eastAsia="仿宋_GB2312" w:cs="仿宋_GB2312"/>
          <w:bCs/>
          <w:color w:val="000000"/>
          <w:sz w:val="32"/>
          <w:szCs w:val="32"/>
        </w:rPr>
        <w:t>3.</w:t>
      </w:r>
      <w:r>
        <w:rPr>
          <w:rStyle w:val="12"/>
          <w:rFonts w:hint="eastAsia" w:ascii="仿宋_GB2312" w:hAnsi="仿宋_GB2312" w:eastAsia="仿宋_GB2312" w:cs="仿宋_GB2312"/>
          <w:bCs/>
          <w:color w:val="000000"/>
          <w:sz w:val="32"/>
          <w:szCs w:val="32"/>
        </w:rPr>
        <w:t>医疗卫生与计划生育支出（类）行政事业单位医疗（款）行政单位医疗（项）</w:t>
      </w:r>
      <w:r>
        <w:rPr>
          <w:rStyle w:val="12"/>
          <w:rFonts w:ascii="仿宋_GB2312" w:hAnsi="仿宋_GB2312" w:eastAsia="仿宋_GB2312" w:cs="仿宋_GB2312"/>
          <w:bCs/>
          <w:color w:val="000000"/>
          <w:sz w:val="32"/>
          <w:szCs w:val="32"/>
        </w:rPr>
        <w:t>:</w:t>
      </w:r>
      <w:r>
        <w:rPr>
          <w:rStyle w:val="12"/>
          <w:rFonts w:hint="eastAsia" w:ascii="仿宋_GB2312" w:hAnsi="仿宋_GB2312" w:eastAsia="仿宋_GB2312" w:cs="仿宋_GB2312"/>
          <w:b w:val="0"/>
          <w:bCs/>
          <w:color w:val="000000"/>
          <w:sz w:val="32"/>
          <w:szCs w:val="32"/>
        </w:rPr>
        <w:t>支出决算为</w:t>
      </w:r>
      <w:r>
        <w:rPr>
          <w:rStyle w:val="12"/>
          <w:rFonts w:ascii="仿宋_GB2312" w:hAnsi="仿宋_GB2312" w:eastAsia="仿宋_GB2312" w:cs="仿宋_GB2312"/>
          <w:b w:val="0"/>
          <w:bCs/>
          <w:color w:val="000000"/>
          <w:sz w:val="32"/>
          <w:szCs w:val="32"/>
        </w:rPr>
        <w:t>16.40</w:t>
      </w:r>
      <w:r>
        <w:rPr>
          <w:rStyle w:val="12"/>
          <w:rFonts w:hint="eastAsia" w:ascii="仿宋_GB2312" w:hAnsi="仿宋_GB2312" w:eastAsia="仿宋_GB2312" w:cs="仿宋_GB2312"/>
          <w:b w:val="0"/>
          <w:bCs/>
          <w:color w:val="000000"/>
          <w:sz w:val="32"/>
          <w:szCs w:val="32"/>
        </w:rPr>
        <w:t>元，完成预算</w:t>
      </w:r>
      <w:r>
        <w:rPr>
          <w:rStyle w:val="12"/>
          <w:rFonts w:ascii="仿宋_GB2312" w:hAnsi="仿宋_GB2312" w:eastAsia="仿宋_GB2312" w:cs="仿宋_GB2312"/>
          <w:b w:val="0"/>
          <w:bCs/>
          <w:color w:val="000000"/>
          <w:sz w:val="32"/>
          <w:szCs w:val="32"/>
        </w:rPr>
        <w:t>100%</w:t>
      </w:r>
      <w:r>
        <w:rPr>
          <w:rStyle w:val="12"/>
          <w:rFonts w:hint="eastAsia" w:ascii="仿宋_GB2312" w:hAnsi="仿宋_GB2312" w:eastAsia="仿宋_GB2312" w:cs="仿宋_GB2312"/>
          <w:b w:val="0"/>
          <w:bCs/>
          <w:color w:val="000000"/>
          <w:sz w:val="32"/>
          <w:szCs w:val="32"/>
        </w:rPr>
        <w:t>，决算数等于预算数。</w:t>
      </w:r>
    </w:p>
    <w:p>
      <w:pPr>
        <w:spacing w:line="576" w:lineRule="exact"/>
        <w:ind w:firstLine="642" w:firstLineChars="200"/>
        <w:rPr>
          <w:rStyle w:val="12"/>
          <w:rFonts w:ascii="仿宋_GB2312" w:hAnsi="仿宋_GB2312" w:eastAsia="仿宋_GB2312" w:cs="仿宋_GB2312"/>
          <w:b w:val="0"/>
          <w:bCs/>
          <w:color w:val="000000"/>
          <w:sz w:val="32"/>
          <w:szCs w:val="32"/>
        </w:rPr>
      </w:pPr>
      <w:r>
        <w:rPr>
          <w:rStyle w:val="12"/>
          <w:rFonts w:ascii="仿宋_GB2312" w:hAnsi="仿宋_GB2312" w:eastAsia="仿宋_GB2312" w:cs="仿宋_GB2312"/>
          <w:bCs/>
          <w:color w:val="000000"/>
          <w:sz w:val="32"/>
          <w:szCs w:val="32"/>
        </w:rPr>
        <w:t>4.</w:t>
      </w:r>
      <w:r>
        <w:rPr>
          <w:rStyle w:val="12"/>
          <w:rFonts w:hint="eastAsia" w:ascii="仿宋_GB2312" w:hAnsi="仿宋_GB2312" w:eastAsia="仿宋_GB2312" w:cs="仿宋_GB2312"/>
          <w:bCs/>
          <w:color w:val="000000"/>
          <w:sz w:val="32"/>
          <w:szCs w:val="32"/>
        </w:rPr>
        <w:t>农林水支出（类）扶贫（款）农村基础设施建设（项）</w:t>
      </w:r>
      <w:r>
        <w:rPr>
          <w:rStyle w:val="12"/>
          <w:rFonts w:ascii="仿宋_GB2312" w:hAnsi="仿宋_GB2312" w:eastAsia="仿宋_GB2312" w:cs="仿宋_GB2312"/>
          <w:bCs/>
          <w:color w:val="000000"/>
          <w:sz w:val="32"/>
          <w:szCs w:val="32"/>
        </w:rPr>
        <w:t>:</w:t>
      </w:r>
      <w:r>
        <w:rPr>
          <w:rStyle w:val="12"/>
          <w:rFonts w:hint="eastAsia" w:ascii="仿宋_GB2312" w:hAnsi="仿宋_GB2312" w:eastAsia="仿宋_GB2312" w:cs="仿宋_GB2312"/>
          <w:b w:val="0"/>
          <w:bCs/>
          <w:color w:val="000000"/>
          <w:sz w:val="32"/>
          <w:szCs w:val="32"/>
        </w:rPr>
        <w:t>支出决算为</w:t>
      </w:r>
      <w:r>
        <w:rPr>
          <w:rStyle w:val="12"/>
          <w:rFonts w:ascii="仿宋_GB2312" w:hAnsi="仿宋_GB2312" w:eastAsia="仿宋_GB2312" w:cs="仿宋_GB2312"/>
          <w:b w:val="0"/>
          <w:bCs/>
          <w:color w:val="000000"/>
          <w:sz w:val="32"/>
          <w:szCs w:val="32"/>
        </w:rPr>
        <w:t>3.0</w:t>
      </w:r>
      <w:r>
        <w:rPr>
          <w:rStyle w:val="12"/>
          <w:rFonts w:hint="eastAsia" w:ascii="仿宋_GB2312" w:hAnsi="仿宋_GB2312" w:eastAsia="仿宋_GB2312" w:cs="仿宋_GB2312"/>
          <w:b w:val="0"/>
          <w:bCs/>
          <w:color w:val="000000"/>
          <w:sz w:val="32"/>
          <w:szCs w:val="32"/>
        </w:rPr>
        <w:t>万元，完成预算</w:t>
      </w:r>
      <w:r>
        <w:rPr>
          <w:rStyle w:val="12"/>
          <w:rFonts w:ascii="仿宋_GB2312" w:hAnsi="仿宋_GB2312" w:eastAsia="仿宋_GB2312" w:cs="仿宋_GB2312"/>
          <w:b w:val="0"/>
          <w:bCs/>
          <w:color w:val="000000"/>
          <w:sz w:val="32"/>
          <w:szCs w:val="32"/>
        </w:rPr>
        <w:t>100%</w:t>
      </w:r>
      <w:r>
        <w:rPr>
          <w:rStyle w:val="12"/>
          <w:rFonts w:hint="eastAsia" w:ascii="仿宋_GB2312" w:hAnsi="仿宋_GB2312" w:eastAsia="仿宋_GB2312" w:cs="仿宋_GB2312"/>
          <w:b w:val="0"/>
          <w:bCs/>
          <w:color w:val="000000"/>
          <w:sz w:val="32"/>
          <w:szCs w:val="32"/>
        </w:rPr>
        <w:t>，决算数等于预算数。</w:t>
      </w:r>
    </w:p>
    <w:p>
      <w:pPr>
        <w:spacing w:line="576" w:lineRule="exact"/>
        <w:ind w:firstLine="642" w:firstLineChars="200"/>
        <w:rPr>
          <w:rStyle w:val="12"/>
          <w:rFonts w:ascii="仿宋_GB2312" w:hAnsi="仿宋_GB2312" w:eastAsia="仿宋_GB2312" w:cs="仿宋_GB2312"/>
          <w:bCs/>
          <w:color w:val="000000"/>
          <w:sz w:val="32"/>
          <w:szCs w:val="32"/>
        </w:rPr>
      </w:pPr>
      <w:r>
        <w:rPr>
          <w:rStyle w:val="12"/>
          <w:rFonts w:ascii="仿宋_GB2312" w:hAnsi="仿宋_GB2312" w:eastAsia="仿宋_GB2312" w:cs="仿宋_GB2312"/>
          <w:bCs/>
          <w:color w:val="000000"/>
          <w:sz w:val="32"/>
          <w:szCs w:val="32"/>
        </w:rPr>
        <w:t>5.</w:t>
      </w:r>
      <w:r>
        <w:rPr>
          <w:rStyle w:val="12"/>
          <w:rFonts w:hint="eastAsia" w:ascii="仿宋_GB2312" w:hAnsi="仿宋_GB2312" w:eastAsia="仿宋_GB2312" w:cs="仿宋_GB2312"/>
          <w:bCs/>
          <w:color w:val="000000"/>
          <w:sz w:val="32"/>
          <w:szCs w:val="32"/>
        </w:rPr>
        <w:t>粮油物资储备等支出（类）粮食事务（款）行政运行（项）</w:t>
      </w:r>
      <w:r>
        <w:rPr>
          <w:rStyle w:val="12"/>
          <w:rFonts w:ascii="仿宋_GB2312" w:hAnsi="仿宋_GB2312" w:eastAsia="仿宋_GB2312" w:cs="仿宋_GB2312"/>
          <w:bCs/>
          <w:color w:val="000000"/>
          <w:sz w:val="32"/>
          <w:szCs w:val="32"/>
        </w:rPr>
        <w:t>:</w:t>
      </w:r>
      <w:r>
        <w:rPr>
          <w:rStyle w:val="12"/>
          <w:rFonts w:hint="eastAsia" w:ascii="仿宋_GB2312" w:hAnsi="仿宋_GB2312" w:eastAsia="仿宋_GB2312" w:cs="仿宋_GB2312"/>
          <w:b w:val="0"/>
          <w:bCs/>
          <w:color w:val="000000"/>
          <w:sz w:val="32"/>
          <w:szCs w:val="32"/>
        </w:rPr>
        <w:t>支出决算为</w:t>
      </w:r>
      <w:r>
        <w:rPr>
          <w:rStyle w:val="12"/>
          <w:rFonts w:ascii="仿宋_GB2312" w:hAnsi="仿宋_GB2312" w:eastAsia="仿宋_GB2312" w:cs="仿宋_GB2312"/>
          <w:b w:val="0"/>
          <w:bCs/>
          <w:color w:val="000000"/>
          <w:sz w:val="32"/>
          <w:szCs w:val="32"/>
        </w:rPr>
        <w:t>974.16</w:t>
      </w:r>
      <w:r>
        <w:rPr>
          <w:rStyle w:val="12"/>
          <w:rFonts w:hint="eastAsia" w:ascii="仿宋_GB2312" w:hAnsi="仿宋_GB2312" w:eastAsia="仿宋_GB2312" w:cs="仿宋_GB2312"/>
          <w:b w:val="0"/>
          <w:bCs/>
          <w:color w:val="000000"/>
          <w:sz w:val="32"/>
          <w:szCs w:val="32"/>
        </w:rPr>
        <w:t>万元，完成预算</w:t>
      </w:r>
      <w:r>
        <w:rPr>
          <w:rStyle w:val="12"/>
          <w:rFonts w:ascii="仿宋_GB2312" w:hAnsi="仿宋_GB2312" w:eastAsia="仿宋_GB2312" w:cs="仿宋_GB2312"/>
          <w:b w:val="0"/>
          <w:bCs/>
          <w:color w:val="000000"/>
          <w:sz w:val="32"/>
          <w:szCs w:val="32"/>
        </w:rPr>
        <w:t>100%</w:t>
      </w:r>
      <w:r>
        <w:rPr>
          <w:rStyle w:val="12"/>
          <w:rFonts w:hint="eastAsia" w:ascii="仿宋_GB2312" w:hAnsi="仿宋_GB2312" w:eastAsia="仿宋_GB2312" w:cs="仿宋_GB2312"/>
          <w:b w:val="0"/>
          <w:bCs/>
          <w:color w:val="000000"/>
          <w:sz w:val="32"/>
          <w:szCs w:val="32"/>
        </w:rPr>
        <w:t>，决算数等于预算数。</w:t>
      </w:r>
    </w:p>
    <w:p>
      <w:pPr>
        <w:spacing w:line="576" w:lineRule="exact"/>
        <w:ind w:firstLine="642" w:firstLineChars="200"/>
        <w:rPr>
          <w:rStyle w:val="12"/>
          <w:rFonts w:ascii="仿宋_GB2312" w:hAnsi="仿宋_GB2312" w:eastAsia="仿宋_GB2312" w:cs="仿宋_GB2312"/>
          <w:b w:val="0"/>
          <w:bCs/>
          <w:color w:val="000000"/>
          <w:sz w:val="32"/>
          <w:szCs w:val="32"/>
        </w:rPr>
      </w:pPr>
      <w:r>
        <w:rPr>
          <w:rStyle w:val="12"/>
          <w:rFonts w:ascii="仿宋_GB2312" w:hAnsi="仿宋_GB2312" w:eastAsia="仿宋_GB2312" w:cs="仿宋_GB2312"/>
          <w:bCs/>
          <w:color w:val="000000"/>
          <w:sz w:val="32"/>
          <w:szCs w:val="32"/>
        </w:rPr>
        <w:t>6.</w:t>
      </w:r>
      <w:r>
        <w:rPr>
          <w:rStyle w:val="12"/>
          <w:rFonts w:hint="eastAsia" w:ascii="仿宋_GB2312" w:hAnsi="仿宋_GB2312" w:eastAsia="仿宋_GB2312" w:cs="仿宋_GB2312"/>
          <w:bCs/>
          <w:color w:val="000000"/>
          <w:sz w:val="32"/>
          <w:szCs w:val="32"/>
        </w:rPr>
        <w:t>住房保障支出（类）住房改革支出（款）住房公积金（项）</w:t>
      </w:r>
      <w:r>
        <w:rPr>
          <w:rStyle w:val="12"/>
          <w:rFonts w:ascii="仿宋_GB2312" w:hAnsi="仿宋_GB2312" w:eastAsia="仿宋_GB2312" w:cs="仿宋_GB2312"/>
          <w:bCs/>
          <w:color w:val="000000"/>
          <w:sz w:val="32"/>
          <w:szCs w:val="32"/>
        </w:rPr>
        <w:t>:</w:t>
      </w:r>
      <w:r>
        <w:rPr>
          <w:rStyle w:val="12"/>
          <w:rFonts w:hint="eastAsia" w:ascii="仿宋_GB2312" w:hAnsi="仿宋_GB2312" w:eastAsia="仿宋_GB2312" w:cs="仿宋_GB2312"/>
          <w:b w:val="0"/>
          <w:bCs/>
          <w:color w:val="000000"/>
          <w:sz w:val="32"/>
          <w:szCs w:val="32"/>
        </w:rPr>
        <w:t>支出决算为</w:t>
      </w:r>
      <w:r>
        <w:rPr>
          <w:rStyle w:val="12"/>
          <w:rFonts w:ascii="仿宋_GB2312" w:hAnsi="仿宋_GB2312" w:eastAsia="仿宋_GB2312" w:cs="仿宋_GB2312"/>
          <w:b w:val="0"/>
          <w:bCs/>
          <w:color w:val="000000"/>
          <w:sz w:val="32"/>
          <w:szCs w:val="32"/>
        </w:rPr>
        <w:t>19.14</w:t>
      </w:r>
      <w:r>
        <w:rPr>
          <w:rStyle w:val="12"/>
          <w:rFonts w:hint="eastAsia" w:ascii="仿宋_GB2312" w:hAnsi="仿宋_GB2312" w:eastAsia="仿宋_GB2312" w:cs="仿宋_GB2312"/>
          <w:b w:val="0"/>
          <w:bCs/>
          <w:color w:val="000000"/>
          <w:sz w:val="32"/>
          <w:szCs w:val="32"/>
        </w:rPr>
        <w:t>万元，完成预算</w:t>
      </w:r>
      <w:r>
        <w:rPr>
          <w:rStyle w:val="12"/>
          <w:rFonts w:ascii="仿宋_GB2312" w:hAnsi="仿宋_GB2312" w:eastAsia="仿宋_GB2312" w:cs="仿宋_GB2312"/>
          <w:b w:val="0"/>
          <w:bCs/>
          <w:color w:val="000000"/>
          <w:sz w:val="32"/>
          <w:szCs w:val="32"/>
        </w:rPr>
        <w:t>100%</w:t>
      </w:r>
      <w:r>
        <w:rPr>
          <w:rStyle w:val="12"/>
          <w:rFonts w:hint="eastAsia" w:ascii="仿宋_GB2312" w:hAnsi="仿宋_GB2312" w:eastAsia="仿宋_GB2312" w:cs="仿宋_GB2312"/>
          <w:b w:val="0"/>
          <w:bCs/>
          <w:color w:val="000000"/>
          <w:sz w:val="32"/>
          <w:szCs w:val="32"/>
        </w:rPr>
        <w:t>，决算数等于预算数。</w:t>
      </w:r>
    </w:p>
    <w:p>
      <w:pPr>
        <w:spacing w:line="576" w:lineRule="exact"/>
        <w:ind w:firstLine="420" w:firstLineChars="200"/>
        <w:rPr>
          <w:rStyle w:val="12"/>
          <w:rFonts w:ascii="仿宋_GB2312" w:hAnsi="仿宋_GB2312" w:eastAsia="仿宋_GB2312" w:cs="仿宋_GB2312"/>
          <w:b w:val="0"/>
          <w:bCs/>
          <w:color w:val="000000"/>
          <w:sz w:val="32"/>
          <w:szCs w:val="32"/>
        </w:rPr>
      </w:pPr>
      <w:r>
        <w:pict>
          <v:shape id="_x0000_s1032" o:spid="_x0000_s1032" o:spt="75" type="#_x0000_t75" style="position:absolute;left:0pt;margin-left:54pt;margin-top:1.8pt;height:144pt;width:216.45pt;mso-wrap-distance-bottom:0pt;mso-wrap-distance-left:9pt;mso-wrap-distance-right:9pt;mso-wrap-distance-top:0pt;z-index:251662336;mso-width-relative:page;mso-height-relative:page;" o:ole="t" filled="f" o:preferrelative="t" stroked="f" coordsize="21600,21600">
            <v:path/>
            <v:fill on="f" focussize="0,0"/>
            <v:stroke on="f" joinstyle="miter"/>
            <v:imagedata r:id="rId18" o:title=""/>
            <o:lock v:ext="edit" aspectratio="t"/>
            <w10:wrap type="square"/>
          </v:shape>
          <o:OLEObject Type="Embed" ProgID="MSGraph.Chart.8" ShapeID="_x0000_s1032" DrawAspect="Content" ObjectID="_1468075729" r:id="rId17">
            <o:LockedField>false</o:LockedField>
          </o:OLEObject>
        </w:pict>
      </w:r>
    </w:p>
    <w:p>
      <w:pPr>
        <w:spacing w:line="576" w:lineRule="exact"/>
        <w:ind w:firstLine="640" w:firstLineChars="200"/>
        <w:rPr>
          <w:rStyle w:val="12"/>
          <w:rFonts w:ascii="仿宋_GB2312" w:hAnsi="仿宋_GB2312" w:eastAsia="仿宋_GB2312" w:cs="仿宋_GB2312"/>
          <w:b w:val="0"/>
          <w:bCs/>
          <w:color w:val="000000"/>
          <w:sz w:val="32"/>
          <w:szCs w:val="32"/>
        </w:rPr>
      </w:pPr>
    </w:p>
    <w:p>
      <w:pPr>
        <w:spacing w:line="576" w:lineRule="exact"/>
        <w:ind w:firstLine="640" w:firstLineChars="200"/>
        <w:rPr>
          <w:rStyle w:val="12"/>
          <w:rFonts w:ascii="仿宋_GB2312" w:hAnsi="仿宋_GB2312" w:eastAsia="仿宋_GB2312" w:cs="仿宋_GB2312"/>
          <w:b w:val="0"/>
          <w:bCs/>
          <w:color w:val="000000"/>
          <w:sz w:val="32"/>
          <w:szCs w:val="32"/>
        </w:rPr>
      </w:pPr>
    </w:p>
    <w:p>
      <w:pPr>
        <w:spacing w:line="576" w:lineRule="exact"/>
        <w:ind w:firstLine="640" w:firstLineChars="200"/>
        <w:rPr>
          <w:rStyle w:val="12"/>
          <w:rFonts w:ascii="仿宋_GB2312" w:hAnsi="仿宋_GB2312" w:eastAsia="仿宋_GB2312" w:cs="仿宋_GB2312"/>
          <w:b w:val="0"/>
          <w:bCs/>
          <w:color w:val="000000"/>
          <w:sz w:val="32"/>
          <w:szCs w:val="32"/>
        </w:rPr>
      </w:pPr>
    </w:p>
    <w:p>
      <w:pPr>
        <w:spacing w:line="576" w:lineRule="exact"/>
        <w:ind w:firstLine="642" w:firstLineChars="200"/>
        <w:rPr>
          <w:rStyle w:val="12"/>
          <w:rFonts w:ascii="仿宋_GB2312" w:hAnsi="仿宋_GB2312" w:eastAsia="仿宋_GB2312" w:cs="仿宋_GB2312"/>
          <w:bCs/>
          <w:color w:val="000000"/>
          <w:sz w:val="32"/>
          <w:szCs w:val="32"/>
        </w:rPr>
      </w:pPr>
    </w:p>
    <w:p>
      <w:pPr>
        <w:spacing w:line="576" w:lineRule="exact"/>
        <w:ind w:firstLine="642" w:firstLineChars="200"/>
        <w:rPr>
          <w:rStyle w:val="12"/>
          <w:rFonts w:ascii="仿宋_GB2312" w:hAnsi="仿宋_GB2312" w:eastAsia="仿宋_GB2312" w:cs="仿宋_GB2312"/>
          <w:bCs/>
          <w:color w:val="000000"/>
          <w:sz w:val="32"/>
          <w:szCs w:val="32"/>
        </w:rPr>
      </w:pPr>
    </w:p>
    <w:p>
      <w:pPr>
        <w:pStyle w:val="28"/>
        <w:spacing w:line="600" w:lineRule="exact"/>
        <w:ind w:left="640" w:firstLine="0" w:firstLineChars="0"/>
        <w:outlineLvl w:val="1"/>
        <w:rPr>
          <w:rStyle w:val="23"/>
          <w:b w:val="0"/>
        </w:rPr>
      </w:pPr>
      <w:bookmarkStart w:id="38" w:name="_Toc15396608"/>
      <w:bookmarkStart w:id="39" w:name="_Toc15377214"/>
      <w:r>
        <w:rPr>
          <w:rFonts w:hint="eastAsia" w:ascii="黑体" w:hAnsi="黑体" w:eastAsia="黑体"/>
          <w:bCs/>
          <w:color w:val="000000"/>
          <w:sz w:val="32"/>
          <w:szCs w:val="32"/>
        </w:rPr>
        <w:t>六、一</w:t>
      </w:r>
      <w:r>
        <w:rPr>
          <w:rStyle w:val="23"/>
          <w:rFonts w:hint="eastAsia" w:ascii="黑体" w:hAnsi="黑体" w:eastAsia="黑体"/>
          <w:b w:val="0"/>
        </w:rPr>
        <w:t>般公共预算财政拨款基本支出决算情况说明</w:t>
      </w:r>
      <w:bookmarkEnd w:id="38"/>
      <w:bookmarkEnd w:id="39"/>
    </w:p>
    <w:p>
      <w:pPr>
        <w:spacing w:line="576" w:lineRule="exact"/>
        <w:ind w:firstLine="646"/>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2020</w:t>
      </w:r>
      <w:r>
        <w:rPr>
          <w:rFonts w:hint="eastAsia" w:ascii="仿宋_GB2312" w:hAnsi="仿宋_GB2312" w:eastAsia="仿宋_GB2312" w:cs="仿宋_GB2312"/>
          <w:color w:val="000000"/>
          <w:sz w:val="32"/>
          <w:szCs w:val="32"/>
        </w:rPr>
        <w:t>年一般公共预算财政拨款基本支出</w:t>
      </w:r>
      <w:r>
        <w:rPr>
          <w:rFonts w:ascii="仿宋_GB2312" w:hAnsi="仿宋_GB2312" w:eastAsia="仿宋_GB2312" w:cs="仿宋_GB2312"/>
          <w:color w:val="000000"/>
          <w:sz w:val="32"/>
          <w:szCs w:val="32"/>
        </w:rPr>
        <w:t>292.33</w:t>
      </w:r>
      <w:r>
        <w:rPr>
          <w:rFonts w:hint="eastAsia" w:ascii="仿宋_GB2312" w:hAnsi="仿宋_GB2312" w:eastAsia="仿宋_GB2312" w:cs="仿宋_GB2312"/>
          <w:color w:val="000000"/>
          <w:sz w:val="32"/>
          <w:szCs w:val="32"/>
        </w:rPr>
        <w:t>万元，其中：</w:t>
      </w:r>
    </w:p>
    <w:p>
      <w:pPr>
        <w:spacing w:line="576" w:lineRule="exact"/>
        <w:ind w:firstLine="646"/>
        <w:rPr>
          <w:rFonts w:ascii="仿宋_GB2312" w:hAnsi="仿宋_GB2312" w:eastAsia="仿宋_GB2312" w:cs="仿宋_GB2312"/>
          <w:b/>
          <w:color w:val="FF0000"/>
          <w:sz w:val="32"/>
          <w:szCs w:val="32"/>
        </w:rPr>
      </w:pPr>
      <w:r>
        <w:rPr>
          <w:rFonts w:hint="eastAsia" w:ascii="仿宋_GB2312" w:hAnsi="仿宋_GB2312" w:eastAsia="仿宋_GB2312" w:cs="仿宋_GB2312"/>
          <w:color w:val="000000"/>
          <w:sz w:val="32"/>
          <w:szCs w:val="32"/>
        </w:rPr>
        <w:t>人员经费</w:t>
      </w:r>
      <w:r>
        <w:rPr>
          <w:rFonts w:ascii="仿宋_GB2312" w:hAnsi="仿宋_GB2312" w:eastAsia="仿宋_GB2312" w:cs="仿宋_GB2312"/>
          <w:color w:val="000000"/>
          <w:sz w:val="32"/>
          <w:szCs w:val="32"/>
        </w:rPr>
        <w:t>281.25</w:t>
      </w:r>
      <w:r>
        <w:rPr>
          <w:rFonts w:hint="eastAsia" w:ascii="仿宋_GB2312" w:hAnsi="仿宋_GB2312" w:eastAsia="仿宋_GB2312" w:cs="仿宋_GB2312"/>
          <w:color w:val="000000"/>
          <w:sz w:val="32"/>
          <w:szCs w:val="32"/>
        </w:rPr>
        <w:t>万元，主要包括：基本工资、津贴补贴、奖金、绩效工资、机关事业单位基本养老保险缴费、职业年金缴费、其他社会保障缴费、其他工资福利支出、离休费、退休费、生活补助、医疗费、奖励金、住房公积金、提租补贴、购房补贴、其他对个人和家庭的补助支出等。</w:t>
      </w:r>
      <w:r>
        <w:rPr>
          <w:rFonts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公用经费</w:t>
      </w:r>
      <w:r>
        <w:rPr>
          <w:rFonts w:ascii="仿宋_GB2312" w:hAnsi="仿宋_GB2312" w:eastAsia="仿宋_GB2312" w:cs="仿宋_GB2312"/>
          <w:color w:val="000000"/>
          <w:sz w:val="32"/>
          <w:szCs w:val="32"/>
        </w:rPr>
        <w:t>11.08</w:t>
      </w:r>
      <w:r>
        <w:rPr>
          <w:rFonts w:hint="eastAsia" w:ascii="仿宋_GB2312" w:hAnsi="仿宋_GB2312" w:eastAsia="仿宋_GB2312" w:cs="仿宋_GB2312"/>
          <w:color w:val="000000"/>
          <w:sz w:val="32"/>
          <w:szCs w:val="32"/>
        </w:rPr>
        <w:t>万元，主要包括：办公费、水费、电费、邮电费、取暖费、差旅费、培训费、公务用车运行维护费、其他商品和服务支出、办公设备购置、专用设备购置、其他资本性支出等。</w:t>
      </w:r>
    </w:p>
    <w:p>
      <w:pPr>
        <w:pStyle w:val="28"/>
        <w:spacing w:line="600" w:lineRule="exact"/>
        <w:ind w:left="640" w:firstLine="0" w:firstLineChars="0"/>
        <w:outlineLvl w:val="1"/>
        <w:rPr>
          <w:rStyle w:val="23"/>
          <w:rFonts w:ascii="黑体" w:hAnsi="黑体" w:eastAsia="黑体"/>
          <w:b w:val="0"/>
          <w:bCs w:val="0"/>
        </w:rPr>
      </w:pPr>
      <w:bookmarkStart w:id="40" w:name="_Toc15377215"/>
      <w:bookmarkStart w:id="41" w:name="_Toc15396609"/>
      <w:r>
        <w:rPr>
          <w:rStyle w:val="23"/>
          <w:rFonts w:hint="eastAsia" w:ascii="黑体" w:hAnsi="黑体" w:eastAsia="黑体"/>
          <w:b w:val="0"/>
          <w:bCs w:val="0"/>
        </w:rPr>
        <w:t>七、“三公”经费财政拨款支出决算情况说明</w:t>
      </w:r>
      <w:bookmarkEnd w:id="40"/>
      <w:bookmarkEnd w:id="41"/>
    </w:p>
    <w:p>
      <w:pPr>
        <w:numPr>
          <w:ilvl w:val="0"/>
          <w:numId w:val="3"/>
        </w:numPr>
        <w:spacing w:line="576" w:lineRule="exact"/>
        <w:outlineLvl w:val="1"/>
        <w:rPr>
          <w:rFonts w:ascii="楷体" w:hAnsi="楷体" w:eastAsia="楷体" w:cs="楷体"/>
          <w:b/>
          <w:color w:val="000000"/>
          <w:sz w:val="32"/>
          <w:szCs w:val="32"/>
        </w:rPr>
      </w:pPr>
      <w:bookmarkStart w:id="42" w:name="_Toc15377216"/>
      <w:r>
        <w:rPr>
          <w:rFonts w:hint="eastAsia" w:ascii="楷体" w:hAnsi="楷体" w:eastAsia="楷体" w:cs="楷体"/>
          <w:b/>
          <w:color w:val="000000"/>
          <w:sz w:val="32"/>
          <w:szCs w:val="32"/>
        </w:rPr>
        <w:t>“三公”经费财政拨款支出决算总体情况说明</w:t>
      </w:r>
      <w:bookmarkEnd w:id="42"/>
    </w:p>
    <w:p>
      <w:pPr>
        <w:spacing w:line="576" w:lineRule="exact"/>
        <w:ind w:firstLine="640"/>
        <w:rPr>
          <w:rFonts w:ascii="仿宋" w:hAnsi="仿宋" w:eastAsia="仿宋" w:cs="宋体"/>
          <w:color w:val="000000"/>
          <w:sz w:val="32"/>
          <w:szCs w:val="32"/>
        </w:rPr>
      </w:pPr>
      <w:r>
        <w:rPr>
          <w:rFonts w:ascii="仿宋" w:hAnsi="仿宋" w:eastAsia="仿宋" w:cs="仿宋_GB2312"/>
          <w:color w:val="000000"/>
          <w:sz w:val="32"/>
          <w:szCs w:val="32"/>
        </w:rPr>
        <w:t>2020</w:t>
      </w:r>
      <w:r>
        <w:rPr>
          <w:rFonts w:hint="eastAsia" w:ascii="仿宋" w:hAnsi="仿宋" w:eastAsia="仿宋" w:cs="仿宋_GB2312"/>
          <w:color w:val="000000"/>
          <w:sz w:val="32"/>
          <w:szCs w:val="32"/>
        </w:rPr>
        <w:t>年“三公”经费财政拨款支出决算为</w:t>
      </w:r>
      <w:r>
        <w:rPr>
          <w:rFonts w:ascii="仿宋" w:hAnsi="仿宋" w:eastAsia="仿宋" w:cs="仿宋_GB2312"/>
          <w:color w:val="000000"/>
          <w:sz w:val="32"/>
          <w:szCs w:val="32"/>
        </w:rPr>
        <w:t>0.05</w:t>
      </w:r>
      <w:r>
        <w:rPr>
          <w:rFonts w:hint="eastAsia" w:ascii="仿宋" w:hAnsi="仿宋" w:eastAsia="仿宋" w:cs="仿宋_GB2312"/>
          <w:color w:val="000000"/>
          <w:sz w:val="32"/>
          <w:szCs w:val="32"/>
        </w:rPr>
        <w:t>万元，完成预算</w:t>
      </w:r>
      <w:r>
        <w:rPr>
          <w:rFonts w:ascii="仿宋" w:hAnsi="仿宋" w:eastAsia="仿宋" w:cs="仿宋_GB2312"/>
          <w:color w:val="000000"/>
          <w:sz w:val="32"/>
          <w:szCs w:val="32"/>
        </w:rPr>
        <w:t>20%</w:t>
      </w:r>
      <w:r>
        <w:rPr>
          <w:rFonts w:hint="eastAsia" w:ascii="仿宋" w:hAnsi="仿宋" w:eastAsia="仿宋" w:cs="仿宋_GB2312"/>
          <w:color w:val="000000"/>
          <w:sz w:val="32"/>
          <w:szCs w:val="32"/>
        </w:rPr>
        <w:t>，</w:t>
      </w:r>
      <w:r>
        <w:rPr>
          <w:rFonts w:hint="eastAsia" w:ascii="仿宋" w:hAnsi="仿宋" w:eastAsia="仿宋" w:cs="宋体"/>
          <w:color w:val="000000"/>
          <w:sz w:val="32"/>
          <w:szCs w:val="32"/>
        </w:rPr>
        <w:t>与</w:t>
      </w:r>
      <w:r>
        <w:rPr>
          <w:rFonts w:ascii="仿宋" w:hAnsi="仿宋" w:eastAsia="仿宋" w:cs="宋体"/>
          <w:color w:val="000000"/>
          <w:sz w:val="32"/>
          <w:szCs w:val="32"/>
        </w:rPr>
        <w:t>2019</w:t>
      </w:r>
      <w:r>
        <w:rPr>
          <w:rFonts w:hint="eastAsia" w:ascii="仿宋" w:hAnsi="仿宋" w:eastAsia="仿宋" w:cs="宋体"/>
          <w:color w:val="000000"/>
          <w:sz w:val="32"/>
          <w:szCs w:val="32"/>
        </w:rPr>
        <w:t>年相比，</w:t>
      </w:r>
      <w:r>
        <w:rPr>
          <w:rFonts w:hint="eastAsia" w:ascii="仿宋" w:hAnsi="仿宋" w:eastAsia="仿宋" w:cs="仿宋_GB2312"/>
          <w:color w:val="000000"/>
          <w:sz w:val="32"/>
          <w:szCs w:val="32"/>
        </w:rPr>
        <w:t>“三公”经费财政拨款支出增加</w:t>
      </w:r>
      <w:r>
        <w:rPr>
          <w:rFonts w:hint="eastAsia" w:ascii="仿宋" w:hAnsi="仿宋" w:eastAsia="仿宋" w:cs="宋体"/>
          <w:color w:val="000000"/>
          <w:sz w:val="32"/>
          <w:szCs w:val="32"/>
        </w:rPr>
        <w:t>了</w:t>
      </w:r>
      <w:r>
        <w:rPr>
          <w:rFonts w:ascii="仿宋" w:hAnsi="仿宋" w:eastAsia="仿宋" w:cs="宋体"/>
          <w:color w:val="000000"/>
          <w:sz w:val="32"/>
          <w:szCs w:val="32"/>
        </w:rPr>
        <w:t>0.05</w:t>
      </w:r>
      <w:r>
        <w:rPr>
          <w:rFonts w:hint="eastAsia" w:ascii="仿宋" w:hAnsi="仿宋" w:eastAsia="仿宋" w:cs="宋体"/>
          <w:color w:val="000000"/>
          <w:sz w:val="32"/>
          <w:szCs w:val="32"/>
        </w:rPr>
        <w:t>万元，增长</w:t>
      </w:r>
      <w:r>
        <w:rPr>
          <w:rFonts w:ascii="仿宋" w:hAnsi="仿宋" w:eastAsia="仿宋" w:cs="宋体"/>
          <w:color w:val="000000"/>
          <w:sz w:val="32"/>
          <w:szCs w:val="32"/>
        </w:rPr>
        <w:t>100%</w:t>
      </w:r>
    </w:p>
    <w:p>
      <w:pPr>
        <w:numPr>
          <w:ilvl w:val="0"/>
          <w:numId w:val="3"/>
        </w:numPr>
        <w:spacing w:line="576" w:lineRule="exact"/>
        <w:outlineLvl w:val="1"/>
        <w:rPr>
          <w:rFonts w:ascii="仿宋" w:hAnsi="仿宋" w:eastAsia="仿宋" w:cs="楷体"/>
          <w:b/>
          <w:color w:val="000000"/>
          <w:sz w:val="32"/>
          <w:szCs w:val="32"/>
        </w:rPr>
      </w:pPr>
      <w:bookmarkStart w:id="43" w:name="_Toc15377217"/>
      <w:r>
        <w:rPr>
          <w:rFonts w:hint="eastAsia" w:ascii="仿宋" w:hAnsi="仿宋" w:eastAsia="仿宋" w:cs="楷体"/>
          <w:b/>
          <w:color w:val="000000"/>
          <w:sz w:val="32"/>
          <w:szCs w:val="32"/>
        </w:rPr>
        <w:t>“三公”经费财政拨款支出决算具体情况说明</w:t>
      </w:r>
      <w:bookmarkEnd w:id="43"/>
      <w:r>
        <w:rPr>
          <w:rFonts w:ascii="仿宋" w:hAnsi="仿宋" w:eastAsia="仿宋" w:cs="仿宋_GB2312"/>
          <w:color w:val="000000"/>
          <w:sz w:val="32"/>
          <w:szCs w:val="32"/>
        </w:rPr>
        <w:t>2020</w:t>
      </w:r>
      <w:r>
        <w:rPr>
          <w:rFonts w:hint="eastAsia" w:ascii="仿宋" w:hAnsi="仿宋" w:eastAsia="仿宋" w:cs="仿宋_GB2312"/>
          <w:color w:val="000000"/>
          <w:sz w:val="32"/>
          <w:szCs w:val="32"/>
        </w:rPr>
        <w:t>年“三公”经费财政拨款支出决算中，因公出国（境）费支出决算</w:t>
      </w:r>
      <w:r>
        <w:rPr>
          <w:rFonts w:ascii="仿宋" w:hAnsi="仿宋" w:eastAsia="仿宋" w:cs="仿宋_GB2312"/>
          <w:color w:val="000000"/>
          <w:sz w:val="32"/>
          <w:szCs w:val="32"/>
        </w:rPr>
        <w:t>0</w:t>
      </w:r>
      <w:r>
        <w:rPr>
          <w:rFonts w:hint="eastAsia" w:ascii="仿宋" w:hAnsi="仿宋" w:eastAsia="仿宋" w:cs="仿宋_GB2312"/>
          <w:color w:val="000000"/>
          <w:sz w:val="32"/>
          <w:szCs w:val="32"/>
        </w:rPr>
        <w:t>万元，</w:t>
      </w:r>
      <w:r>
        <w:rPr>
          <w:rFonts w:hint="eastAsia" w:ascii="仿宋" w:hAnsi="仿宋" w:eastAsia="仿宋" w:cs="宋体"/>
          <w:color w:val="000000"/>
          <w:sz w:val="32"/>
          <w:szCs w:val="32"/>
        </w:rPr>
        <w:t>与</w:t>
      </w:r>
      <w:r>
        <w:rPr>
          <w:rFonts w:ascii="仿宋" w:hAnsi="仿宋" w:eastAsia="仿宋" w:cs="宋体"/>
          <w:color w:val="000000"/>
          <w:sz w:val="32"/>
          <w:szCs w:val="32"/>
        </w:rPr>
        <w:t>2019</w:t>
      </w:r>
      <w:r>
        <w:rPr>
          <w:rFonts w:hint="eastAsia" w:ascii="仿宋" w:hAnsi="仿宋" w:eastAsia="仿宋" w:cs="宋体"/>
          <w:color w:val="000000"/>
          <w:sz w:val="32"/>
          <w:szCs w:val="32"/>
        </w:rPr>
        <w:t>年相比，持平</w:t>
      </w:r>
      <w:r>
        <w:rPr>
          <w:rFonts w:hint="eastAsia" w:ascii="仿宋" w:hAnsi="仿宋" w:eastAsia="仿宋" w:cs="仿宋_GB2312"/>
          <w:color w:val="000000"/>
          <w:sz w:val="32"/>
          <w:szCs w:val="32"/>
        </w:rPr>
        <w:t>；公务用车购置及运行维护费支出决算</w:t>
      </w:r>
      <w:r>
        <w:rPr>
          <w:rFonts w:ascii="仿宋" w:hAnsi="仿宋" w:eastAsia="仿宋" w:cs="仿宋_GB2312"/>
          <w:color w:val="000000"/>
          <w:sz w:val="32"/>
          <w:szCs w:val="32"/>
        </w:rPr>
        <w:t>0</w:t>
      </w:r>
      <w:r>
        <w:rPr>
          <w:rFonts w:hint="eastAsia" w:ascii="仿宋" w:hAnsi="仿宋" w:eastAsia="仿宋" w:cs="仿宋_GB2312"/>
          <w:color w:val="000000"/>
          <w:sz w:val="32"/>
          <w:szCs w:val="32"/>
        </w:rPr>
        <w:t>万元，</w:t>
      </w:r>
      <w:r>
        <w:rPr>
          <w:rFonts w:hint="eastAsia" w:ascii="仿宋" w:hAnsi="仿宋" w:eastAsia="仿宋" w:cs="宋体"/>
          <w:color w:val="000000"/>
          <w:sz w:val="32"/>
          <w:szCs w:val="32"/>
        </w:rPr>
        <w:t>与</w:t>
      </w:r>
      <w:r>
        <w:rPr>
          <w:rFonts w:ascii="仿宋" w:hAnsi="仿宋" w:eastAsia="仿宋" w:cs="宋体"/>
          <w:color w:val="000000"/>
          <w:sz w:val="32"/>
          <w:szCs w:val="32"/>
        </w:rPr>
        <w:t>2019</w:t>
      </w:r>
      <w:r>
        <w:rPr>
          <w:rFonts w:hint="eastAsia" w:ascii="仿宋" w:hAnsi="仿宋" w:eastAsia="仿宋" w:cs="宋体"/>
          <w:color w:val="000000"/>
          <w:sz w:val="32"/>
          <w:szCs w:val="32"/>
        </w:rPr>
        <w:t>年相比，持平</w:t>
      </w:r>
      <w:r>
        <w:rPr>
          <w:rFonts w:hint="eastAsia" w:ascii="仿宋" w:hAnsi="仿宋" w:eastAsia="仿宋" w:cs="仿宋_GB2312"/>
          <w:color w:val="000000"/>
          <w:sz w:val="32"/>
          <w:szCs w:val="32"/>
        </w:rPr>
        <w:t>；公务接待费支出决算</w:t>
      </w:r>
      <w:r>
        <w:rPr>
          <w:rFonts w:ascii="仿宋" w:hAnsi="仿宋" w:eastAsia="仿宋" w:cs="仿宋_GB2312"/>
          <w:color w:val="000000"/>
          <w:sz w:val="32"/>
          <w:szCs w:val="32"/>
        </w:rPr>
        <w:t>0.05</w:t>
      </w:r>
      <w:r>
        <w:rPr>
          <w:rFonts w:hint="eastAsia" w:ascii="仿宋" w:hAnsi="仿宋" w:eastAsia="仿宋" w:cs="仿宋_GB2312"/>
          <w:color w:val="000000"/>
          <w:sz w:val="32"/>
          <w:szCs w:val="32"/>
        </w:rPr>
        <w:t>万元，</w:t>
      </w:r>
      <w:r>
        <w:rPr>
          <w:rFonts w:hint="eastAsia" w:ascii="仿宋" w:hAnsi="仿宋" w:eastAsia="仿宋" w:cs="宋体"/>
          <w:color w:val="000000"/>
          <w:sz w:val="32"/>
          <w:szCs w:val="32"/>
        </w:rPr>
        <w:t>与</w:t>
      </w:r>
      <w:r>
        <w:rPr>
          <w:rFonts w:ascii="仿宋" w:hAnsi="仿宋" w:eastAsia="仿宋" w:cs="宋体"/>
          <w:color w:val="000000"/>
          <w:sz w:val="32"/>
          <w:szCs w:val="32"/>
        </w:rPr>
        <w:t>2019</w:t>
      </w:r>
      <w:r>
        <w:rPr>
          <w:rFonts w:hint="eastAsia" w:ascii="仿宋" w:hAnsi="仿宋" w:eastAsia="仿宋" w:cs="宋体"/>
          <w:color w:val="000000"/>
          <w:sz w:val="32"/>
          <w:szCs w:val="32"/>
        </w:rPr>
        <w:t>年相比，增加了</w:t>
      </w:r>
      <w:r>
        <w:rPr>
          <w:rFonts w:ascii="仿宋" w:hAnsi="仿宋" w:eastAsia="仿宋" w:cs="宋体"/>
          <w:color w:val="000000"/>
          <w:sz w:val="32"/>
          <w:szCs w:val="32"/>
        </w:rPr>
        <w:t>0.05</w:t>
      </w:r>
      <w:r>
        <w:rPr>
          <w:rFonts w:hint="eastAsia" w:ascii="仿宋" w:hAnsi="仿宋" w:eastAsia="仿宋" w:cs="宋体"/>
          <w:color w:val="000000"/>
          <w:sz w:val="32"/>
          <w:szCs w:val="32"/>
        </w:rPr>
        <w:t>万元，增长</w:t>
      </w:r>
      <w:r>
        <w:rPr>
          <w:rFonts w:ascii="仿宋" w:hAnsi="仿宋" w:eastAsia="仿宋" w:cs="宋体"/>
          <w:color w:val="000000"/>
          <w:sz w:val="32"/>
          <w:szCs w:val="32"/>
        </w:rPr>
        <w:t>100%</w:t>
      </w:r>
      <w:r>
        <w:rPr>
          <w:rFonts w:hint="eastAsia" w:ascii="仿宋" w:hAnsi="仿宋" w:eastAsia="仿宋" w:cs="仿宋_GB2312"/>
          <w:color w:val="000000"/>
          <w:sz w:val="32"/>
          <w:szCs w:val="32"/>
        </w:rPr>
        <w:t>。</w:t>
      </w:r>
    </w:p>
    <w:p>
      <w:pPr>
        <w:numPr>
          <w:ilvl w:val="0"/>
          <w:numId w:val="3"/>
        </w:numPr>
        <w:spacing w:line="576" w:lineRule="exact"/>
        <w:outlineLvl w:val="1"/>
        <w:rPr>
          <w:rFonts w:ascii="楷体" w:hAnsi="楷体" w:eastAsia="楷体" w:cs="楷体"/>
          <w:b/>
          <w:color w:val="000000"/>
          <w:sz w:val="32"/>
          <w:szCs w:val="32"/>
        </w:rPr>
      </w:pPr>
      <w:r>
        <w:rPr>
          <w:rFonts w:hint="eastAsia" w:ascii="楷体" w:hAnsi="楷体" w:eastAsia="楷体" w:cs="楷体"/>
          <w:b/>
          <w:color w:val="000000"/>
          <w:sz w:val="32"/>
          <w:szCs w:val="32"/>
        </w:rPr>
        <w:t>三公经费</w:t>
      </w:r>
    </w:p>
    <w:p>
      <w:pPr>
        <w:spacing w:line="576" w:lineRule="exact"/>
        <w:ind w:firstLine="640" w:firstLineChars="200"/>
        <w:outlineLvl w:val="1"/>
        <w:rPr>
          <w:rFonts w:ascii="楷体" w:hAnsi="楷体" w:eastAsia="楷体" w:cs="楷体"/>
          <w:color w:val="000000"/>
          <w:sz w:val="32"/>
          <w:szCs w:val="32"/>
        </w:rPr>
      </w:pP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因公出国（境）经费支出</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万元。</w:t>
      </w:r>
    </w:p>
    <w:p>
      <w:pPr>
        <w:spacing w:line="576"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rPr>
        <w:t>公务用车购置及运行维护费支出</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万元</w:t>
      </w:r>
      <w:r>
        <w:rPr>
          <w:rFonts w:ascii="仿宋_GB2312" w:hAnsi="仿宋_GB2312" w:eastAsia="仿宋_GB2312" w:cs="仿宋_GB2312"/>
          <w:color w:val="000000"/>
          <w:sz w:val="32"/>
          <w:szCs w:val="32"/>
        </w:rPr>
        <w:t>,</w:t>
      </w:r>
      <w:r>
        <w:rPr>
          <w:rStyle w:val="12"/>
          <w:rFonts w:hint="eastAsia" w:ascii="仿宋_GB2312" w:hAnsi="仿宋_GB2312" w:eastAsia="仿宋_GB2312" w:cs="仿宋_GB2312"/>
          <w:b w:val="0"/>
          <w:bCs/>
          <w:color w:val="000000"/>
          <w:sz w:val="32"/>
          <w:szCs w:val="32"/>
        </w:rPr>
        <w:t>完成预算</w:t>
      </w:r>
      <w:r>
        <w:rPr>
          <w:rStyle w:val="12"/>
          <w:rFonts w:ascii="仿宋_GB2312" w:hAnsi="仿宋_GB2312" w:eastAsia="仿宋_GB2312" w:cs="仿宋_GB2312"/>
          <w:b w:val="0"/>
          <w:bCs/>
          <w:color w:val="000000"/>
          <w:sz w:val="32"/>
          <w:szCs w:val="32"/>
        </w:rPr>
        <w:t>100%</w:t>
      </w:r>
      <w:r>
        <w:rPr>
          <w:rStyle w:val="12"/>
          <w:rFonts w:hint="eastAsia" w:ascii="仿宋_GB2312" w:hAnsi="仿宋_GB2312" w:eastAsia="仿宋_GB2312" w:cs="仿宋_GB2312"/>
          <w:b w:val="0"/>
          <w:bCs/>
          <w:color w:val="000000"/>
          <w:sz w:val="32"/>
          <w:szCs w:val="32"/>
        </w:rPr>
        <w:t>。</w:t>
      </w:r>
    </w:p>
    <w:p>
      <w:pPr>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其中：公务用车购置支出</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万元。</w:t>
      </w:r>
    </w:p>
    <w:p>
      <w:pPr>
        <w:spacing w:line="576"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公务用车运行维护费支出</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万元。</w:t>
      </w:r>
    </w:p>
    <w:p>
      <w:pPr>
        <w:spacing w:line="576" w:lineRule="exact"/>
        <w:ind w:firstLine="64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rPr>
        <w:t>公务接待费支出</w:t>
      </w:r>
      <w:r>
        <w:rPr>
          <w:rFonts w:ascii="仿宋_GB2312" w:hAnsi="仿宋_GB2312" w:eastAsia="仿宋_GB2312" w:cs="仿宋_GB2312"/>
          <w:color w:val="000000"/>
          <w:sz w:val="32"/>
          <w:szCs w:val="32"/>
        </w:rPr>
        <w:t>0.05</w:t>
      </w:r>
      <w:r>
        <w:rPr>
          <w:rFonts w:hint="eastAsia" w:ascii="仿宋_GB2312" w:hAnsi="仿宋_GB2312" w:eastAsia="仿宋_GB2312" w:cs="仿宋_GB2312"/>
          <w:color w:val="000000"/>
          <w:sz w:val="32"/>
          <w:szCs w:val="32"/>
        </w:rPr>
        <w:t>万元。</w:t>
      </w:r>
      <w:bookmarkStart w:id="44" w:name="_Toc15396610"/>
      <w:bookmarkStart w:id="45" w:name="_Toc15377218"/>
    </w:p>
    <w:p>
      <w:pPr>
        <w:pStyle w:val="28"/>
        <w:spacing w:line="600" w:lineRule="exact"/>
        <w:ind w:left="640" w:firstLine="0" w:firstLineChars="0"/>
        <w:outlineLvl w:val="1"/>
        <w:rPr>
          <w:rStyle w:val="23"/>
          <w:rFonts w:ascii="黑体" w:hAnsi="黑体" w:eastAsia="黑体"/>
        </w:rPr>
      </w:pPr>
      <w:r>
        <w:rPr>
          <w:rStyle w:val="23"/>
          <w:rFonts w:hint="eastAsia" w:ascii="黑体" w:hAnsi="黑体" w:eastAsia="黑体"/>
          <w:b w:val="0"/>
        </w:rPr>
        <w:t>八、政府性</w:t>
      </w:r>
      <w:r>
        <w:rPr>
          <w:rStyle w:val="23"/>
          <w:rFonts w:hint="eastAsia" w:ascii="黑体" w:hAnsi="黑体" w:eastAsia="黑体"/>
          <w:b w:val="0"/>
          <w:bCs w:val="0"/>
        </w:rPr>
        <w:t>基金</w:t>
      </w:r>
      <w:r>
        <w:rPr>
          <w:rStyle w:val="23"/>
          <w:rFonts w:hint="eastAsia" w:ascii="黑体" w:hAnsi="黑体" w:eastAsia="黑体"/>
          <w:b w:val="0"/>
        </w:rPr>
        <w:t>预算支出决算情况说明</w:t>
      </w:r>
      <w:bookmarkEnd w:id="44"/>
      <w:bookmarkEnd w:id="45"/>
    </w:p>
    <w:p>
      <w:pPr>
        <w:spacing w:line="576" w:lineRule="exact"/>
        <w:ind w:firstLine="641"/>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年无政府性基金预算拨款支出。</w:t>
      </w:r>
    </w:p>
    <w:p>
      <w:pPr>
        <w:pStyle w:val="28"/>
        <w:spacing w:line="600" w:lineRule="exact"/>
        <w:ind w:left="640" w:firstLine="0" w:firstLineChars="0"/>
        <w:outlineLvl w:val="1"/>
        <w:rPr>
          <w:rStyle w:val="23"/>
          <w:rFonts w:ascii="黑体" w:hAnsi="黑体" w:eastAsia="黑体"/>
          <w:b w:val="0"/>
        </w:rPr>
      </w:pPr>
      <w:bookmarkStart w:id="46" w:name="_Toc15396611"/>
      <w:bookmarkStart w:id="47" w:name="_Toc15377219"/>
      <w:r>
        <w:rPr>
          <w:rStyle w:val="23"/>
          <w:rFonts w:hint="eastAsia" w:ascii="黑体" w:hAnsi="黑体" w:eastAsia="黑体"/>
          <w:b w:val="0"/>
        </w:rPr>
        <w:t>九、国有资本经营预算支出决算情况说明</w:t>
      </w:r>
      <w:bookmarkEnd w:id="46"/>
      <w:bookmarkEnd w:id="47"/>
    </w:p>
    <w:p>
      <w:pPr>
        <w:spacing w:line="576" w:lineRule="exact"/>
        <w:ind w:firstLine="641"/>
        <w:rPr>
          <w:rFonts w:ascii="仿宋_GB2312" w:eastAsia="仿宋_GB2312"/>
          <w:color w:val="000000"/>
          <w:sz w:val="32"/>
          <w:szCs w:val="32"/>
        </w:rPr>
      </w:pPr>
      <w:r>
        <w:rPr>
          <w:rFonts w:hint="eastAsia" w:ascii="仿宋_GB2312" w:eastAsia="仿宋_GB2312"/>
          <w:color w:val="000000"/>
          <w:sz w:val="32"/>
          <w:szCs w:val="32"/>
        </w:rPr>
        <w:t>茂县粮食和物资储备中心</w:t>
      </w:r>
      <w:r>
        <w:rPr>
          <w:rFonts w:ascii="仿宋_GB2312" w:eastAsia="仿宋_GB2312"/>
          <w:color w:val="000000"/>
          <w:sz w:val="32"/>
          <w:szCs w:val="32"/>
        </w:rPr>
        <w:t>2020</w:t>
      </w:r>
      <w:r>
        <w:rPr>
          <w:rFonts w:hint="eastAsia" w:ascii="仿宋_GB2312" w:eastAsia="仿宋_GB2312"/>
          <w:color w:val="000000"/>
          <w:sz w:val="32"/>
          <w:szCs w:val="32"/>
        </w:rPr>
        <w:t>年无国有资本经营预算拨款支出。</w:t>
      </w:r>
    </w:p>
    <w:p>
      <w:pPr>
        <w:pStyle w:val="28"/>
        <w:spacing w:line="600" w:lineRule="exact"/>
        <w:ind w:left="640" w:firstLine="0" w:firstLineChars="0"/>
        <w:outlineLvl w:val="1"/>
        <w:rPr>
          <w:rStyle w:val="23"/>
          <w:rFonts w:ascii="黑体" w:hAnsi="黑体" w:eastAsia="黑体"/>
          <w:b w:val="0"/>
        </w:rPr>
      </w:pPr>
      <w:r>
        <w:rPr>
          <w:rStyle w:val="23"/>
          <w:rFonts w:hint="eastAsia" w:ascii="黑体" w:hAnsi="黑体" w:eastAsia="黑体"/>
          <w:b w:val="0"/>
        </w:rPr>
        <w:t>十、预算绩效情况说明</w:t>
      </w:r>
    </w:p>
    <w:p>
      <w:pPr>
        <w:numPr>
          <w:ilvl w:val="0"/>
          <w:numId w:val="4"/>
        </w:numPr>
        <w:spacing w:line="600" w:lineRule="exact"/>
        <w:outlineLvl w:val="1"/>
        <w:rPr>
          <w:rFonts w:ascii="仿宋" w:hAnsi="仿宋" w:eastAsia="仿宋" w:cs="楷体_GB2312"/>
          <w:b/>
          <w:bCs/>
          <w:sz w:val="32"/>
          <w:szCs w:val="32"/>
        </w:rPr>
      </w:pPr>
      <w:r>
        <w:rPr>
          <w:rFonts w:hint="eastAsia" w:ascii="楷体" w:hAnsi="楷体" w:eastAsia="楷体" w:cs="楷体"/>
          <w:b/>
          <w:bCs/>
          <w:sz w:val="32"/>
          <w:szCs w:val="32"/>
        </w:rPr>
        <w:t>预算绩效管理工作开展情况</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根据预算绩效管理要求，本单位在年初预算编制阶段，组织对</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个项目开展了预算事前绩效评估，对</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个项目编制了绩效目标，预算执行过程中，选取</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个项目开展绩效监控，年终执行完毕后，对</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个项目开展了绩效目标完成情况梳理填报。</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本单位按要求对</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年部门整体支出开展绩效自评，从评价情况来看</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我单位整体支出绩效评价自查自评结果良好，全年基本支出保证了单位的正常运行和日常工作的正常开展，项目支出保障了重点工作的开展，绩效目标得到较好实现，绩效管理水平不断提高，绩效指标体系逐渐丰富和完善。</w:t>
      </w:r>
    </w:p>
    <w:p>
      <w:pPr>
        <w:numPr>
          <w:ilvl w:val="0"/>
          <w:numId w:val="4"/>
        </w:numPr>
        <w:spacing w:line="576" w:lineRule="exact"/>
        <w:rPr>
          <w:rFonts w:ascii="楷体" w:hAnsi="楷体" w:eastAsia="楷体" w:cs="楷体"/>
          <w:b/>
          <w:bCs/>
          <w:sz w:val="32"/>
          <w:szCs w:val="32"/>
        </w:rPr>
      </w:pPr>
      <w:r>
        <w:rPr>
          <w:rFonts w:hint="eastAsia" w:ascii="楷体" w:hAnsi="楷体" w:eastAsia="楷体" w:cs="楷体"/>
          <w:b/>
          <w:bCs/>
          <w:sz w:val="32"/>
          <w:szCs w:val="32"/>
        </w:rPr>
        <w:t>项目绩效目标完成情况</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本部门在</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年度部门决算中反映“粮油</w:t>
      </w:r>
      <w:r>
        <w:rPr>
          <w:rFonts w:hint="eastAsia" w:ascii="宋体" w:hAnsi="宋体" w:cs="宋体"/>
          <w:sz w:val="32"/>
          <w:szCs w:val="32"/>
        </w:rPr>
        <w:t>高质量发展</w:t>
      </w:r>
      <w:r>
        <w:rPr>
          <w:rFonts w:hint="eastAsia" w:ascii="仿宋_GB2312" w:hAnsi="仿宋_GB2312" w:eastAsia="仿宋_GB2312" w:cs="仿宋_GB2312"/>
          <w:sz w:val="32"/>
          <w:szCs w:val="32"/>
        </w:rPr>
        <w:t>”、”粮食轮换及利息费用“、“粮食安全保障调控</w:t>
      </w:r>
      <w:r>
        <w:rPr>
          <w:rFonts w:hint="eastAsia" w:ascii="宋体" w:hAnsi="宋体" w:cs="宋体"/>
          <w:sz w:val="32"/>
          <w:szCs w:val="32"/>
        </w:rPr>
        <w:t>和应急设施项目”</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个项目绩效目标实际完成情况。</w:t>
      </w:r>
    </w:p>
    <w:p>
      <w:pPr>
        <w:spacing w:line="576"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粮油</w:t>
      </w:r>
      <w:r>
        <w:rPr>
          <w:rFonts w:hint="eastAsia" w:ascii="宋体" w:hAnsi="宋体" w:cs="宋体"/>
          <w:sz w:val="32"/>
          <w:szCs w:val="32"/>
        </w:rPr>
        <w:t>高质量发展项目</w:t>
      </w:r>
      <w:r>
        <w:rPr>
          <w:rFonts w:hint="eastAsia" w:ascii="仿宋_GB2312" w:hAnsi="仿宋_GB2312" w:eastAsia="仿宋_GB2312" w:cs="仿宋_GB2312"/>
          <w:sz w:val="32"/>
          <w:szCs w:val="32"/>
        </w:rPr>
        <w:t>绩效目标完成情况综述。项目全年预算数98万元，执行数为98万元，完成预算的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。通过项目实施，保障</w:t>
      </w:r>
      <w:r>
        <w:rPr>
          <w:rFonts w:hint="eastAsia" w:ascii="宋体" w:hAnsi="宋体" w:cs="宋体"/>
          <w:sz w:val="32"/>
          <w:szCs w:val="32"/>
        </w:rPr>
        <w:t>了全县粮油储备地方安全性及食用性</w:t>
      </w:r>
      <w:r>
        <w:rPr>
          <w:rFonts w:hint="eastAsia" w:ascii="仿宋_GB2312" w:hAnsi="仿宋_GB2312" w:eastAsia="仿宋_GB2312" w:cs="仿宋_GB2312"/>
          <w:sz w:val="32"/>
          <w:szCs w:val="32"/>
        </w:rPr>
        <w:t>，有效保障了全县群众生活必需品有充足保障。</w:t>
      </w:r>
    </w:p>
    <w:p>
      <w:pPr>
        <w:spacing w:line="576"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粮食轮换及利息费用项目绩效目标完成情况综述。项目全年预算数511.98万元，执行数为511.98万元，完成预算的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。通过项目实施，完成了全县粮油轮换任务，保障全县用粮安全。</w:t>
      </w:r>
    </w:p>
    <w:p>
      <w:pPr>
        <w:spacing w:line="576"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粮食安全保障</w:t>
      </w:r>
      <w:r>
        <w:rPr>
          <w:rFonts w:hint="eastAsia" w:ascii="宋体" w:hAnsi="宋体" w:cs="宋体"/>
          <w:sz w:val="32"/>
          <w:szCs w:val="32"/>
        </w:rPr>
        <w:t>调控和应急设施项目</w:t>
      </w:r>
      <w:r>
        <w:rPr>
          <w:rFonts w:hint="eastAsia" w:ascii="仿宋_GB2312" w:hAnsi="仿宋_GB2312" w:eastAsia="仿宋_GB2312" w:cs="仿宋_GB2312"/>
          <w:sz w:val="32"/>
          <w:szCs w:val="32"/>
        </w:rPr>
        <w:t>完成情况综述。项目全年预算数855万元，执行数为508.68万元，完成预算的</w:t>
      </w:r>
      <w:r>
        <w:rPr>
          <w:rFonts w:ascii="仿宋_GB2312" w:hAnsi="仿宋_GB2312" w:eastAsia="仿宋_GB2312" w:cs="仿宋_GB2312"/>
          <w:sz w:val="32"/>
          <w:szCs w:val="32"/>
        </w:rPr>
        <w:t>59%</w:t>
      </w:r>
      <w:r>
        <w:rPr>
          <w:rFonts w:hint="eastAsia" w:ascii="仿宋_GB2312" w:hAnsi="仿宋_GB2312" w:eastAsia="仿宋_GB2312" w:cs="仿宋_GB2312"/>
          <w:sz w:val="32"/>
          <w:szCs w:val="32"/>
        </w:rPr>
        <w:t>。通过项目实施，保障</w:t>
      </w:r>
      <w:r>
        <w:rPr>
          <w:rFonts w:hint="eastAsia" w:ascii="宋体" w:hAnsi="宋体" w:cs="宋体"/>
          <w:sz w:val="32"/>
          <w:szCs w:val="32"/>
        </w:rPr>
        <w:t>了全县粮食储备安全性及应急性需要。</w:t>
      </w:r>
    </w:p>
    <w:p>
      <w:pPr>
        <w:spacing w:line="576" w:lineRule="exact"/>
        <w:ind w:firstLine="640" w:firstLineChars="200"/>
        <w:rPr>
          <w:rFonts w:ascii="宋体" w:cs="宋体"/>
          <w:sz w:val="32"/>
          <w:szCs w:val="32"/>
        </w:rPr>
      </w:pPr>
    </w:p>
    <w:p>
      <w:pPr>
        <w:rPr>
          <w:rFonts w:ascii="仿宋_GB2312" w:hAnsi="仿宋_GB2312" w:eastAsia="仿宋_GB2312" w:cs="仿宋_GB2312"/>
          <w:sz w:val="32"/>
          <w:szCs w:val="32"/>
        </w:rPr>
      </w:pPr>
    </w:p>
    <w:tbl>
      <w:tblPr>
        <w:tblStyle w:val="10"/>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346"/>
        <w:gridCol w:w="2048"/>
        <w:gridCol w:w="2392"/>
      </w:tblGrid>
      <w:tr>
        <w:tblPrEx>
          <w:tblCellMar>
            <w:top w:w="0" w:type="dxa"/>
            <w:left w:w="0" w:type="dxa"/>
            <w:bottom w:w="0" w:type="dxa"/>
            <w:right w:w="0" w:type="dxa"/>
          </w:tblCellMar>
        </w:tblPrEx>
        <w:trPr>
          <w:trHeight w:val="1034" w:hRule="atLeast"/>
        </w:trPr>
        <w:tc>
          <w:tcPr>
            <w:tcW w:w="9960" w:type="dxa"/>
            <w:gridSpan w:val="7"/>
            <w:tcMar>
              <w:top w:w="15" w:type="dxa"/>
              <w:left w:w="15" w:type="dxa"/>
              <w:bottom w:w="0" w:type="dxa"/>
              <w:right w:w="15" w:type="dxa"/>
            </w:tcMar>
            <w:vAlign w:val="center"/>
          </w:tcPr>
          <w:p>
            <w:pPr>
              <w:pStyle w:val="28"/>
              <w:widowControl/>
              <w:ind w:left="4173" w:leftChars="1310" w:hanging="1422" w:hangingChars="395"/>
              <w:textAlignment w:val="center"/>
              <w:rPr>
                <w:rFonts w:hint="eastAsia" w:ascii="黑体" w:hAnsi="黑体" w:eastAsia="黑体" w:cs="宋体"/>
                <w:bCs/>
                <w:color w:val="000000"/>
                <w:kern w:val="0"/>
                <w:sz w:val="36"/>
                <w:szCs w:val="36"/>
              </w:rPr>
            </w:pPr>
          </w:p>
          <w:p>
            <w:pPr>
              <w:pStyle w:val="28"/>
              <w:widowControl/>
              <w:ind w:left="4173" w:leftChars="1310" w:hanging="1422" w:hangingChars="395"/>
              <w:textAlignment w:val="center"/>
              <w:rPr>
                <w:rFonts w:hint="eastAsia" w:ascii="黑体" w:hAnsi="黑体" w:eastAsia="黑体" w:cs="宋体"/>
                <w:bCs/>
                <w:color w:val="000000"/>
                <w:kern w:val="0"/>
                <w:sz w:val="36"/>
                <w:szCs w:val="36"/>
              </w:rPr>
            </w:pPr>
          </w:p>
          <w:p>
            <w:pPr>
              <w:pStyle w:val="28"/>
              <w:widowControl/>
              <w:ind w:left="4173" w:leftChars="1310" w:hanging="1422" w:hangingChars="395"/>
              <w:textAlignment w:val="center"/>
              <w:rPr>
                <w:rFonts w:hint="eastAsia" w:ascii="黑体" w:hAnsi="黑体" w:eastAsia="黑体" w:cs="宋体"/>
                <w:bCs/>
                <w:color w:val="000000"/>
                <w:kern w:val="0"/>
                <w:sz w:val="36"/>
                <w:szCs w:val="36"/>
              </w:rPr>
            </w:pPr>
          </w:p>
          <w:p>
            <w:pPr>
              <w:pStyle w:val="28"/>
              <w:widowControl/>
              <w:ind w:left="4173" w:leftChars="1310" w:hanging="1422" w:hangingChars="395"/>
              <w:textAlignment w:val="center"/>
              <w:rPr>
                <w:rFonts w:hint="eastAsia" w:ascii="黑体" w:hAnsi="黑体" w:eastAsia="黑体" w:cs="宋体"/>
                <w:bCs/>
                <w:color w:val="000000"/>
                <w:kern w:val="0"/>
                <w:sz w:val="36"/>
                <w:szCs w:val="36"/>
              </w:rPr>
            </w:pPr>
          </w:p>
          <w:p>
            <w:pPr>
              <w:pStyle w:val="28"/>
              <w:widowControl/>
              <w:ind w:left="4173" w:leftChars="1310" w:hanging="1422" w:hangingChars="395"/>
              <w:textAlignment w:val="center"/>
              <w:rPr>
                <w:rFonts w:hint="eastAsia" w:ascii="黑体" w:hAnsi="黑体" w:eastAsia="黑体" w:cs="宋体"/>
                <w:bCs/>
                <w:color w:val="000000"/>
                <w:kern w:val="0"/>
                <w:sz w:val="36"/>
                <w:szCs w:val="36"/>
              </w:rPr>
            </w:pPr>
          </w:p>
          <w:p>
            <w:pPr>
              <w:pStyle w:val="28"/>
              <w:widowControl/>
              <w:ind w:left="4173" w:leftChars="1310" w:hanging="1422" w:hangingChars="395"/>
              <w:textAlignment w:val="center"/>
              <w:rPr>
                <w:rFonts w:hint="eastAsia" w:ascii="黑体" w:hAnsi="黑体" w:eastAsia="黑体" w:cs="宋体"/>
                <w:bCs/>
                <w:color w:val="000000"/>
                <w:kern w:val="0"/>
                <w:sz w:val="36"/>
                <w:szCs w:val="36"/>
              </w:rPr>
            </w:pPr>
          </w:p>
          <w:p>
            <w:pPr>
              <w:pStyle w:val="28"/>
              <w:widowControl/>
              <w:ind w:left="4173" w:leftChars="1310" w:hanging="1422" w:hangingChars="395"/>
              <w:textAlignment w:val="center"/>
              <w:rPr>
                <w:rFonts w:hint="eastAsia" w:ascii="黑体" w:hAnsi="黑体" w:eastAsia="黑体" w:cs="宋体"/>
                <w:bCs/>
                <w:color w:val="000000"/>
                <w:kern w:val="0"/>
                <w:sz w:val="36"/>
                <w:szCs w:val="36"/>
              </w:rPr>
            </w:pPr>
          </w:p>
          <w:p>
            <w:pPr>
              <w:pStyle w:val="28"/>
              <w:widowControl/>
              <w:ind w:left="4173" w:leftChars="1310" w:hanging="1422" w:hangingChars="395"/>
              <w:textAlignment w:val="center"/>
              <w:rPr>
                <w:rFonts w:hint="eastAsia" w:ascii="黑体" w:hAnsi="黑体" w:eastAsia="黑体" w:cs="宋体"/>
                <w:bCs/>
                <w:color w:val="000000"/>
                <w:kern w:val="0"/>
                <w:sz w:val="36"/>
                <w:szCs w:val="36"/>
              </w:rPr>
            </w:pPr>
          </w:p>
          <w:p>
            <w:pPr>
              <w:pStyle w:val="28"/>
              <w:widowControl/>
              <w:ind w:left="4173" w:leftChars="1310" w:hanging="1422" w:hangingChars="395"/>
              <w:textAlignment w:val="center"/>
              <w:rPr>
                <w:rFonts w:asci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ascii="宋体" w:cs="宋体"/>
                <w:b/>
                <w:bCs/>
                <w:color w:val="000000"/>
                <w:kern w:val="0"/>
                <w:sz w:val="36"/>
                <w:szCs w:val="36"/>
              </w:rPr>
              <w:br w:type="textWrapping"/>
            </w:r>
            <w:r>
              <w:rPr>
                <w:rFonts w:ascii="宋体" w:hAnsi="宋体" w:cs="宋体"/>
                <w:color w:val="000000"/>
                <w:kern w:val="0"/>
                <w:sz w:val="36"/>
                <w:szCs w:val="36"/>
              </w:rPr>
              <w:t>(2020</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项目名称</w:t>
            </w:r>
          </w:p>
        </w:tc>
        <w:tc>
          <w:tcPr>
            <w:tcW w:w="7178"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粮油高质量发展</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预算单位</w:t>
            </w:r>
          </w:p>
        </w:tc>
        <w:tc>
          <w:tcPr>
            <w:tcW w:w="7178"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茂县粮食和物资储备中心</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18"/>
                <w:szCs w:val="18"/>
              </w:rPr>
              <w:t>预算执行情况</w:t>
            </w:r>
            <w:r>
              <w:rPr>
                <w:rFonts w:ascii="宋体" w:hAnsi="宋体" w:cs="宋体"/>
                <w:color w:val="000000"/>
                <w:kern w:val="0"/>
                <w:sz w:val="18"/>
                <w:szCs w:val="18"/>
              </w:rPr>
              <w:t>(</w:t>
            </w:r>
            <w:r>
              <w:rPr>
                <w:rFonts w:hint="eastAsia" w:ascii="宋体" w:hAnsi="宋体" w:cs="宋体"/>
                <w:color w:val="000000"/>
                <w:kern w:val="0"/>
                <w:sz w:val="18"/>
                <w:szCs w:val="18"/>
              </w:rPr>
              <w:t>万元</w:t>
            </w:r>
            <w:r>
              <w:rPr>
                <w:rFonts w:ascii="宋体" w:hAnsi="宋体" w:cs="宋体"/>
                <w:color w:val="000000"/>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预算数</w:t>
            </w:r>
            <w:r>
              <w:rPr>
                <w:rFonts w:ascii="宋体" w:hAnsi="宋体" w:cs="宋体"/>
                <w:color w:val="000000"/>
                <w:kern w:val="0"/>
                <w:sz w:val="24"/>
              </w:rPr>
              <w:t>:</w:t>
            </w:r>
          </w:p>
        </w:tc>
        <w:tc>
          <w:tcPr>
            <w:tcW w:w="273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98</w:t>
            </w:r>
          </w:p>
        </w:tc>
        <w:tc>
          <w:tcPr>
            <w:tcW w:w="204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执行数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98</w:t>
            </w:r>
          </w:p>
        </w:tc>
      </w:tr>
      <w:tr>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73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98</w:t>
            </w:r>
          </w:p>
        </w:tc>
        <w:tc>
          <w:tcPr>
            <w:tcW w:w="204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98</w:t>
            </w:r>
          </w:p>
        </w:tc>
      </w:tr>
      <w:tr>
        <w:tblPrEx>
          <w:tblCellMar>
            <w:top w:w="0" w:type="dxa"/>
            <w:left w:w="0" w:type="dxa"/>
            <w:bottom w:w="0" w:type="dxa"/>
            <w:right w:w="0" w:type="dxa"/>
          </w:tblCellMar>
        </w:tblPrEx>
        <w:trPr>
          <w:trHeight w:val="9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73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kern w:val="0"/>
                <w:sz w:val="24"/>
              </w:rPr>
              <w:t>0</w:t>
            </w:r>
          </w:p>
        </w:tc>
        <w:tc>
          <w:tcPr>
            <w:tcW w:w="204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cs="宋体"/>
                <w:color w:val="000000"/>
                <w:sz w:val="24"/>
              </w:rPr>
            </w:pPr>
            <w:r>
              <w:rPr>
                <w:rFonts w:ascii="宋体" w:cs="宋体"/>
                <w:color w:val="000000"/>
                <w:sz w:val="24"/>
              </w:rPr>
              <w:t>0</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5130"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预期目标</w:t>
            </w:r>
          </w:p>
        </w:tc>
        <w:tc>
          <w:tcPr>
            <w:tcW w:w="444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5130"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sz w:val="24"/>
              </w:rPr>
              <w:t>完成项目</w:t>
            </w:r>
          </w:p>
        </w:tc>
        <w:tc>
          <w:tcPr>
            <w:tcW w:w="444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sz w:val="24"/>
              </w:rPr>
              <w:t>完成项目</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二级指标</w:t>
            </w:r>
          </w:p>
        </w:tc>
        <w:tc>
          <w:tcPr>
            <w:tcW w:w="273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三级指标</w:t>
            </w:r>
          </w:p>
        </w:tc>
        <w:tc>
          <w:tcPr>
            <w:tcW w:w="204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预期指标值</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实际完成指标值</w:t>
            </w:r>
          </w:p>
        </w:tc>
      </w:tr>
      <w:tr>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数量指标</w:t>
            </w:r>
          </w:p>
        </w:tc>
        <w:tc>
          <w:tcPr>
            <w:tcW w:w="273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sz w:val="24"/>
              </w:rPr>
            </w:pPr>
            <w:r>
              <w:rPr>
                <w:rFonts w:hint="eastAsia" w:ascii="宋体" w:hAnsi="宋体" w:cs="宋体"/>
                <w:sz w:val="24"/>
              </w:rPr>
              <w:t>粮库修缮</w:t>
            </w:r>
          </w:p>
        </w:tc>
        <w:tc>
          <w:tcPr>
            <w:tcW w:w="204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sz w:val="24"/>
              </w:rPr>
            </w:pPr>
            <w:r>
              <w:rPr>
                <w:rFonts w:hint="eastAsia" w:ascii="宋体" w:hAnsi="宋体" w:cs="宋体"/>
                <w:sz w:val="24"/>
              </w:rPr>
              <w:t>粮库修缮</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sz w:val="24"/>
              </w:rPr>
            </w:pPr>
            <w:r>
              <w:rPr>
                <w:rFonts w:hint="eastAsia" w:ascii="宋体" w:hAnsi="宋体" w:cs="宋体"/>
                <w:sz w:val="24"/>
              </w:rPr>
              <w:t>粮库修缮</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质量指标</w:t>
            </w:r>
          </w:p>
        </w:tc>
        <w:tc>
          <w:tcPr>
            <w:tcW w:w="273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项目验收合格率</w:t>
            </w:r>
          </w:p>
        </w:tc>
        <w:tc>
          <w:tcPr>
            <w:tcW w:w="204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合格率达到</w:t>
            </w:r>
            <w:r>
              <w:rPr>
                <w:rFonts w:ascii="宋体" w:hAnsi="宋体" w:cs="宋体"/>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项目完成验收并合格通过达到</w:t>
            </w:r>
            <w:r>
              <w:rPr>
                <w:rFonts w:ascii="宋体" w:hAnsi="宋体" w:cs="宋体"/>
                <w:color w:val="000000"/>
                <w:sz w:val="24"/>
              </w:rPr>
              <w:t>100%</w:t>
            </w:r>
          </w:p>
        </w:tc>
      </w:tr>
      <w:tr>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时效指标</w:t>
            </w:r>
          </w:p>
        </w:tc>
        <w:tc>
          <w:tcPr>
            <w:tcW w:w="273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竣工时间</w:t>
            </w:r>
          </w:p>
        </w:tc>
        <w:tc>
          <w:tcPr>
            <w:tcW w:w="204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2020</w:t>
            </w:r>
            <w:r>
              <w:rPr>
                <w:rFonts w:hint="eastAsia" w:ascii="宋体" w:hAnsi="宋体" w:cs="宋体"/>
                <w:color w:val="000000"/>
                <w:sz w:val="24"/>
              </w:rPr>
              <w:t>年</w:t>
            </w:r>
            <w:r>
              <w:rPr>
                <w:rFonts w:ascii="宋体" w:hAnsi="宋体" w:cs="宋体"/>
                <w:color w:val="000000"/>
                <w:sz w:val="24"/>
              </w:rPr>
              <w:t>12</w:t>
            </w:r>
            <w:r>
              <w:rPr>
                <w:rFonts w:hint="eastAsia" w:ascii="宋体" w:hAnsi="宋体" w:cs="宋体"/>
                <w:color w:val="000000"/>
                <w:sz w:val="24"/>
              </w:rPr>
              <w:t>月前完成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该项目于</w:t>
            </w:r>
            <w:r>
              <w:rPr>
                <w:rFonts w:ascii="宋体" w:hAnsi="宋体" w:cs="宋体"/>
                <w:color w:val="000000"/>
                <w:sz w:val="24"/>
              </w:rPr>
              <w:t>2020</w:t>
            </w:r>
            <w:r>
              <w:rPr>
                <w:rFonts w:hint="eastAsia" w:ascii="宋体" w:hAnsi="宋体" w:cs="宋体"/>
                <w:color w:val="000000"/>
                <w:sz w:val="24"/>
              </w:rPr>
              <w:t>年</w:t>
            </w:r>
            <w:r>
              <w:rPr>
                <w:rFonts w:ascii="宋体" w:hAnsi="宋体" w:cs="宋体"/>
                <w:color w:val="000000"/>
                <w:sz w:val="24"/>
              </w:rPr>
              <w:t>12</w:t>
            </w:r>
            <w:r>
              <w:rPr>
                <w:rFonts w:hint="eastAsia" w:ascii="宋体" w:hAnsi="宋体" w:cs="宋体"/>
                <w:color w:val="000000"/>
                <w:sz w:val="24"/>
              </w:rPr>
              <w:t>月前完成</w:t>
            </w:r>
          </w:p>
        </w:tc>
      </w:tr>
      <w:tr>
        <w:tblPrEx>
          <w:tblCellMar>
            <w:top w:w="0" w:type="dxa"/>
            <w:left w:w="0" w:type="dxa"/>
            <w:bottom w:w="0" w:type="dxa"/>
            <w:right w:w="0" w:type="dxa"/>
          </w:tblCellMar>
        </w:tblPrEx>
        <w:trPr>
          <w:trHeight w:val="51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kern w:val="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社会效益</w:t>
            </w:r>
          </w:p>
          <w:p>
            <w:pPr>
              <w:widowControl/>
              <w:jc w:val="center"/>
              <w:textAlignment w:val="center"/>
              <w:rPr>
                <w:rFonts w:ascii="宋体" w:cs="宋体"/>
                <w:color w:val="000000"/>
                <w:sz w:val="24"/>
              </w:rPr>
            </w:pPr>
            <w:r>
              <w:rPr>
                <w:rFonts w:hint="eastAsia" w:ascii="宋体" w:hAnsi="宋体" w:cs="宋体"/>
                <w:color w:val="000000"/>
                <w:sz w:val="24"/>
              </w:rPr>
              <w:t>指标</w:t>
            </w:r>
          </w:p>
        </w:tc>
        <w:tc>
          <w:tcPr>
            <w:tcW w:w="273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储存粮油安全问题</w:t>
            </w:r>
          </w:p>
        </w:tc>
        <w:tc>
          <w:tcPr>
            <w:tcW w:w="204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p>
        </w:tc>
      </w:tr>
      <w:tr>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生态效益</w:t>
            </w:r>
          </w:p>
          <w:p>
            <w:pPr>
              <w:widowControl/>
              <w:jc w:val="center"/>
              <w:textAlignment w:val="center"/>
              <w:rPr>
                <w:rFonts w:ascii="宋体" w:cs="宋体"/>
                <w:color w:val="000000"/>
                <w:sz w:val="24"/>
              </w:rPr>
            </w:pPr>
            <w:r>
              <w:rPr>
                <w:rFonts w:hint="eastAsia" w:ascii="宋体" w:hAnsi="宋体" w:cs="宋体"/>
                <w:color w:val="000000"/>
                <w:sz w:val="24"/>
              </w:rPr>
              <w:t>指标</w:t>
            </w:r>
          </w:p>
        </w:tc>
        <w:tc>
          <w:tcPr>
            <w:tcW w:w="273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p>
        </w:tc>
        <w:tc>
          <w:tcPr>
            <w:tcW w:w="204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p>
        </w:tc>
      </w:tr>
      <w:tr>
        <w:tblPrEx>
          <w:tblCellMar>
            <w:top w:w="0" w:type="dxa"/>
            <w:left w:w="0" w:type="dxa"/>
            <w:bottom w:w="0" w:type="dxa"/>
            <w:right w:w="0" w:type="dxa"/>
          </w:tblCellMar>
        </w:tblPrEx>
        <w:trPr>
          <w:trHeight w:val="75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服务对象</w:t>
            </w:r>
          </w:p>
          <w:p>
            <w:pPr>
              <w:widowControl/>
              <w:jc w:val="center"/>
              <w:textAlignment w:val="center"/>
              <w:rPr>
                <w:rFonts w:ascii="宋体" w:cs="宋体"/>
                <w:color w:val="000000"/>
                <w:sz w:val="24"/>
              </w:rPr>
            </w:pPr>
            <w:r>
              <w:rPr>
                <w:rFonts w:hint="eastAsia" w:ascii="宋体" w:hAnsi="宋体" w:cs="宋体"/>
                <w:color w:val="000000"/>
                <w:sz w:val="24"/>
              </w:rPr>
              <w:t>满意度指标</w:t>
            </w:r>
          </w:p>
        </w:tc>
        <w:tc>
          <w:tcPr>
            <w:tcW w:w="273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受益益群众满意度</w:t>
            </w:r>
          </w:p>
        </w:tc>
        <w:tc>
          <w:tcPr>
            <w:tcW w:w="204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群众满意度大于</w:t>
            </w:r>
            <w:r>
              <w:rPr>
                <w:rFonts w:ascii="宋体" w:hAnsi="宋体" w:cs="宋体"/>
                <w:color w:val="000000"/>
                <w:sz w:val="24"/>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满意率</w:t>
            </w:r>
            <w:r>
              <w:rPr>
                <w:rFonts w:ascii="宋体" w:hAnsi="宋体" w:cs="宋体"/>
                <w:color w:val="000000"/>
                <w:sz w:val="24"/>
              </w:rPr>
              <w:t>100%</w:t>
            </w:r>
          </w:p>
        </w:tc>
      </w:tr>
      <w:tr>
        <w:trPr>
          <w:trHeight w:val="1034" w:hRule="atLeast"/>
        </w:trPr>
        <w:tc>
          <w:tcPr>
            <w:tcW w:w="9960" w:type="dxa"/>
            <w:gridSpan w:val="7"/>
            <w:tcMar>
              <w:top w:w="15" w:type="dxa"/>
              <w:left w:w="15" w:type="dxa"/>
              <w:bottom w:w="0" w:type="dxa"/>
              <w:right w:w="15" w:type="dxa"/>
            </w:tcMar>
            <w:vAlign w:val="center"/>
          </w:tcPr>
          <w:p>
            <w:pPr>
              <w:pStyle w:val="28"/>
              <w:widowControl/>
              <w:ind w:left="4173" w:leftChars="1310" w:hanging="1422" w:hangingChars="395"/>
              <w:textAlignment w:val="center"/>
              <w:rPr>
                <w:rFonts w:asci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ascii="宋体" w:cs="宋体"/>
                <w:b/>
                <w:bCs/>
                <w:color w:val="000000"/>
                <w:kern w:val="0"/>
                <w:sz w:val="36"/>
                <w:szCs w:val="36"/>
              </w:rPr>
              <w:br w:type="textWrapping"/>
            </w:r>
            <w:r>
              <w:rPr>
                <w:rFonts w:ascii="宋体" w:hAnsi="宋体" w:cs="宋体"/>
                <w:color w:val="000000"/>
                <w:kern w:val="0"/>
                <w:sz w:val="36"/>
                <w:szCs w:val="36"/>
              </w:rPr>
              <w:t>(2020</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项目名称</w:t>
            </w:r>
          </w:p>
        </w:tc>
        <w:tc>
          <w:tcPr>
            <w:tcW w:w="7178"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2020</w:t>
            </w:r>
            <w:r>
              <w:rPr>
                <w:rFonts w:hint="eastAsia" w:ascii="宋体" w:hAnsi="宋体" w:cs="宋体"/>
                <w:color w:val="000000"/>
                <w:sz w:val="24"/>
              </w:rPr>
              <w:t>年粮食轮换及利息费用</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预算单位</w:t>
            </w:r>
          </w:p>
        </w:tc>
        <w:tc>
          <w:tcPr>
            <w:tcW w:w="7178"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茂县粮食和物资储备中心</w:t>
            </w:r>
          </w:p>
        </w:tc>
      </w:tr>
      <w:tr>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18"/>
                <w:szCs w:val="18"/>
              </w:rPr>
              <w:t>预算执行情况</w:t>
            </w:r>
            <w:r>
              <w:rPr>
                <w:rFonts w:ascii="宋体" w:hAnsi="宋体" w:cs="宋体"/>
                <w:color w:val="000000"/>
                <w:kern w:val="0"/>
                <w:sz w:val="18"/>
                <w:szCs w:val="18"/>
              </w:rPr>
              <w:t>(</w:t>
            </w:r>
            <w:r>
              <w:rPr>
                <w:rFonts w:hint="eastAsia" w:ascii="宋体" w:hAnsi="宋体" w:cs="宋体"/>
                <w:color w:val="000000"/>
                <w:kern w:val="0"/>
                <w:sz w:val="18"/>
                <w:szCs w:val="18"/>
              </w:rPr>
              <w:t>万元</w:t>
            </w:r>
            <w:r>
              <w:rPr>
                <w:rFonts w:ascii="宋体" w:hAnsi="宋体" w:cs="宋体"/>
                <w:color w:val="000000"/>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511.98</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执行数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511.98</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511.98</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511.98</w:t>
            </w:r>
          </w:p>
        </w:tc>
      </w:tr>
      <w:tr>
        <w:tblPrEx>
          <w:tblCellMar>
            <w:top w:w="0" w:type="dxa"/>
            <w:left w:w="0" w:type="dxa"/>
            <w:bottom w:w="0" w:type="dxa"/>
            <w:right w:w="0" w:type="dxa"/>
          </w:tblCellMar>
        </w:tblPrEx>
        <w:trPr>
          <w:trHeight w:val="92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kern w:val="0"/>
                <w:sz w:val="24"/>
              </w:rPr>
              <w:t>0</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cs="宋体"/>
                <w:color w:val="000000"/>
                <w:sz w:val="24"/>
              </w:rPr>
            </w:pPr>
            <w:r>
              <w:rPr>
                <w:rFonts w:ascii="宋体" w:cs="宋体"/>
                <w:color w:val="000000"/>
                <w:sz w:val="24"/>
              </w:rPr>
              <w:t>0</w:t>
            </w:r>
          </w:p>
        </w:tc>
      </w:tr>
      <w:tr>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预期目标</w:t>
            </w:r>
          </w:p>
        </w:tc>
        <w:tc>
          <w:tcPr>
            <w:tcW w:w="4786"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实际完成目标</w:t>
            </w:r>
          </w:p>
        </w:tc>
      </w:tr>
      <w:tr>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完成</w:t>
            </w:r>
            <w:r>
              <w:rPr>
                <w:rFonts w:ascii="宋体" w:hAnsi="宋体" w:cs="宋体"/>
                <w:color w:val="000000"/>
                <w:sz w:val="24"/>
              </w:rPr>
              <w:t>1</w:t>
            </w:r>
            <w:r>
              <w:rPr>
                <w:rFonts w:hint="eastAsia" w:ascii="宋体" w:hAnsi="宋体" w:cs="宋体"/>
                <w:color w:val="000000"/>
                <w:sz w:val="24"/>
              </w:rPr>
              <w:t>处项目</w:t>
            </w:r>
          </w:p>
        </w:tc>
        <w:tc>
          <w:tcPr>
            <w:tcW w:w="4786"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完成</w:t>
            </w:r>
            <w:r>
              <w:rPr>
                <w:rFonts w:ascii="宋体" w:hAnsi="宋体" w:cs="宋体"/>
                <w:color w:val="000000"/>
                <w:sz w:val="24"/>
              </w:rPr>
              <w:t>1</w:t>
            </w:r>
            <w:r>
              <w:rPr>
                <w:rFonts w:hint="eastAsia" w:ascii="宋体" w:hAnsi="宋体" w:cs="宋体"/>
                <w:color w:val="000000"/>
                <w:sz w:val="24"/>
              </w:rPr>
              <w:t>处项目</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三级指标</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预期指标值</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实际完成指标值</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完成全县粮食轮换</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完成全县粮食轮换</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完成全县粮食轮换</w:t>
            </w:r>
          </w:p>
        </w:tc>
      </w:tr>
      <w:tr>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项目验收合格率</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合格率达到</w:t>
            </w:r>
            <w:r>
              <w:rPr>
                <w:rFonts w:ascii="宋体" w:hAnsi="宋体" w:cs="宋体"/>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项目完成验收并合格通过达到</w:t>
            </w:r>
            <w:r>
              <w:rPr>
                <w:rFonts w:ascii="宋体" w:hAnsi="宋体" w:cs="宋体"/>
                <w:color w:val="000000"/>
                <w:sz w:val="24"/>
              </w:rPr>
              <w:t>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竣工时间</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2020</w:t>
            </w:r>
            <w:r>
              <w:rPr>
                <w:rFonts w:hint="eastAsia" w:ascii="宋体" w:hAnsi="宋体" w:cs="宋体"/>
                <w:color w:val="000000"/>
                <w:sz w:val="24"/>
              </w:rPr>
              <w:t>年</w:t>
            </w:r>
            <w:r>
              <w:rPr>
                <w:rFonts w:ascii="宋体" w:hAnsi="宋体" w:cs="宋体"/>
                <w:color w:val="000000"/>
                <w:sz w:val="24"/>
              </w:rPr>
              <w:t>12</w:t>
            </w:r>
            <w:r>
              <w:rPr>
                <w:rFonts w:hint="eastAsia" w:ascii="宋体" w:hAnsi="宋体" w:cs="宋体"/>
                <w:color w:val="000000"/>
                <w:sz w:val="24"/>
              </w:rPr>
              <w:t>月前完工</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该项目于</w:t>
            </w:r>
            <w:r>
              <w:rPr>
                <w:rFonts w:ascii="宋体" w:hAnsi="宋体" w:cs="宋体"/>
                <w:color w:val="000000"/>
                <w:sz w:val="24"/>
              </w:rPr>
              <w:t>2020</w:t>
            </w:r>
            <w:r>
              <w:rPr>
                <w:rFonts w:hint="eastAsia" w:ascii="宋体" w:hAnsi="宋体" w:cs="宋体"/>
                <w:color w:val="000000"/>
                <w:sz w:val="24"/>
              </w:rPr>
              <w:t>年</w:t>
            </w:r>
            <w:r>
              <w:rPr>
                <w:rFonts w:ascii="宋体" w:hAnsi="宋体" w:cs="宋体"/>
                <w:color w:val="000000"/>
                <w:sz w:val="24"/>
              </w:rPr>
              <w:t>12</w:t>
            </w:r>
            <w:r>
              <w:rPr>
                <w:rFonts w:hint="eastAsia" w:ascii="宋体" w:hAnsi="宋体" w:cs="宋体"/>
                <w:color w:val="000000"/>
                <w:sz w:val="24"/>
              </w:rPr>
              <w:t>月前完工</w:t>
            </w:r>
          </w:p>
        </w:tc>
      </w:tr>
      <w:tr>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kern w:val="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社会效益</w:t>
            </w:r>
          </w:p>
          <w:p>
            <w:pPr>
              <w:widowControl/>
              <w:jc w:val="center"/>
              <w:textAlignment w:val="center"/>
              <w:rPr>
                <w:rFonts w:ascii="宋体" w:cs="宋体"/>
                <w:color w:val="000000"/>
                <w:sz w:val="24"/>
              </w:rPr>
            </w:pPr>
            <w:r>
              <w:rPr>
                <w:rFonts w:hint="eastAsia" w:ascii="宋体" w:hAnsi="宋体" w:cs="宋体"/>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保障全县人民粮食市场安全，有充足粮食供应</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保障全县人民粮食市场安全，有充足粮食供应</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保障全县人民粮食市场安全，有充足粮食供应</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生态效益</w:t>
            </w:r>
          </w:p>
          <w:p>
            <w:pPr>
              <w:widowControl/>
              <w:jc w:val="center"/>
              <w:textAlignment w:val="center"/>
              <w:rPr>
                <w:rFonts w:ascii="宋体" w:cs="宋体"/>
                <w:color w:val="000000"/>
                <w:sz w:val="24"/>
              </w:rPr>
            </w:pPr>
            <w:r>
              <w:rPr>
                <w:rFonts w:hint="eastAsia" w:ascii="宋体" w:hAnsi="宋体" w:cs="宋体"/>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p>
        </w:tc>
      </w:tr>
      <w:tr>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服务对象</w:t>
            </w:r>
          </w:p>
          <w:p>
            <w:pPr>
              <w:widowControl/>
              <w:jc w:val="center"/>
              <w:textAlignment w:val="center"/>
              <w:rPr>
                <w:rFonts w:ascii="宋体" w:cs="宋体"/>
                <w:color w:val="000000"/>
                <w:sz w:val="24"/>
              </w:rPr>
            </w:pPr>
            <w:r>
              <w:rPr>
                <w:rFonts w:hint="eastAsia" w:ascii="宋体" w:hAnsi="宋体" w:cs="宋体"/>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受益益群众满意度</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群众满意度大于</w:t>
            </w:r>
            <w:r>
              <w:rPr>
                <w:rFonts w:ascii="宋体" w:hAnsi="宋体" w:cs="宋体"/>
                <w:color w:val="000000"/>
                <w:sz w:val="24"/>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满意率</w:t>
            </w:r>
            <w:r>
              <w:rPr>
                <w:rFonts w:ascii="宋体" w:hAnsi="宋体" w:cs="宋体"/>
                <w:color w:val="000000"/>
                <w:sz w:val="24"/>
              </w:rPr>
              <w:t>100%</w:t>
            </w:r>
          </w:p>
        </w:tc>
      </w:tr>
      <w:tr>
        <w:tblPrEx>
          <w:tblCellMar>
            <w:top w:w="0" w:type="dxa"/>
            <w:left w:w="0" w:type="dxa"/>
            <w:bottom w:w="0" w:type="dxa"/>
            <w:right w:w="0" w:type="dxa"/>
          </w:tblCellMar>
        </w:tblPrEx>
        <w:trPr>
          <w:trHeight w:val="1034" w:hRule="atLeast"/>
        </w:trPr>
        <w:tc>
          <w:tcPr>
            <w:tcW w:w="9960" w:type="dxa"/>
            <w:gridSpan w:val="7"/>
            <w:tcMar>
              <w:top w:w="15" w:type="dxa"/>
              <w:left w:w="15" w:type="dxa"/>
              <w:bottom w:w="0" w:type="dxa"/>
              <w:right w:w="15" w:type="dxa"/>
            </w:tcMar>
            <w:vAlign w:val="center"/>
          </w:tcPr>
          <w:p>
            <w:pPr>
              <w:pStyle w:val="28"/>
              <w:widowControl/>
              <w:ind w:left="4173" w:leftChars="1310" w:hanging="1422" w:hangingChars="395"/>
              <w:textAlignment w:val="center"/>
              <w:rPr>
                <w:rFonts w:asci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ascii="宋体" w:cs="宋体"/>
                <w:b/>
                <w:bCs/>
                <w:color w:val="000000"/>
                <w:kern w:val="0"/>
                <w:sz w:val="36"/>
                <w:szCs w:val="36"/>
              </w:rPr>
              <w:br w:type="textWrapping"/>
            </w:r>
            <w:r>
              <w:rPr>
                <w:rFonts w:ascii="宋体" w:hAnsi="宋体" w:cs="宋体"/>
                <w:color w:val="000000"/>
                <w:kern w:val="0"/>
                <w:sz w:val="36"/>
                <w:szCs w:val="36"/>
              </w:rPr>
              <w:t>(2020</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项目名称</w:t>
            </w:r>
          </w:p>
        </w:tc>
        <w:tc>
          <w:tcPr>
            <w:tcW w:w="7178"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粮食安全保障调控和应急设施项目</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预算单位</w:t>
            </w:r>
          </w:p>
        </w:tc>
        <w:tc>
          <w:tcPr>
            <w:tcW w:w="7178"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茂县粮食和物资储备中心</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18"/>
                <w:szCs w:val="18"/>
              </w:rPr>
              <w:t>预算执行情况</w:t>
            </w:r>
            <w:r>
              <w:rPr>
                <w:rFonts w:ascii="宋体" w:hAnsi="宋体" w:cs="宋体"/>
                <w:color w:val="000000"/>
                <w:kern w:val="0"/>
                <w:sz w:val="18"/>
                <w:szCs w:val="18"/>
              </w:rPr>
              <w:t>(</w:t>
            </w:r>
            <w:r>
              <w:rPr>
                <w:rFonts w:hint="eastAsia" w:ascii="宋体" w:hAnsi="宋体" w:cs="宋体"/>
                <w:color w:val="000000"/>
                <w:kern w:val="0"/>
                <w:sz w:val="18"/>
                <w:szCs w:val="18"/>
              </w:rPr>
              <w:t>万元</w:t>
            </w:r>
            <w:r>
              <w:rPr>
                <w:rFonts w:ascii="宋体" w:hAnsi="宋体" w:cs="宋体"/>
                <w:color w:val="000000"/>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855</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执行数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508.68</w:t>
            </w:r>
          </w:p>
        </w:tc>
      </w:tr>
      <w:tr>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855</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508.68</w:t>
            </w:r>
          </w:p>
        </w:tc>
      </w:tr>
      <w:tr>
        <w:tblPrEx>
          <w:tblCellMar>
            <w:top w:w="0" w:type="dxa"/>
            <w:left w:w="0" w:type="dxa"/>
            <w:bottom w:w="0" w:type="dxa"/>
            <w:right w:w="0" w:type="dxa"/>
          </w:tblCellMar>
        </w:tblPrEx>
        <w:trPr>
          <w:trHeight w:val="92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kern w:val="0"/>
                <w:sz w:val="24"/>
              </w:rPr>
              <w:t>0</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cs="宋体"/>
                <w:color w:val="000000"/>
                <w:sz w:val="24"/>
              </w:rPr>
            </w:pPr>
            <w:r>
              <w:rPr>
                <w:rFonts w:ascii="宋体" w:cs="宋体"/>
                <w:color w:val="000000"/>
                <w:sz w:val="24"/>
              </w:rPr>
              <w:t>0</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预期目标</w:t>
            </w:r>
          </w:p>
        </w:tc>
        <w:tc>
          <w:tcPr>
            <w:tcW w:w="4786"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完成</w:t>
            </w:r>
            <w:r>
              <w:rPr>
                <w:rFonts w:ascii="宋体" w:hAnsi="宋体" w:cs="宋体"/>
                <w:color w:val="000000"/>
                <w:sz w:val="24"/>
              </w:rPr>
              <w:t>1</w:t>
            </w:r>
            <w:r>
              <w:rPr>
                <w:rFonts w:hint="eastAsia" w:ascii="宋体" w:hAnsi="宋体" w:cs="宋体"/>
                <w:color w:val="000000"/>
                <w:sz w:val="24"/>
              </w:rPr>
              <w:t>处项目</w:t>
            </w:r>
          </w:p>
        </w:tc>
        <w:tc>
          <w:tcPr>
            <w:tcW w:w="4786"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完成</w:t>
            </w:r>
            <w:r>
              <w:rPr>
                <w:rFonts w:ascii="宋体" w:hAnsi="宋体" w:cs="宋体"/>
                <w:color w:val="000000"/>
                <w:sz w:val="24"/>
              </w:rPr>
              <w:t>1</w:t>
            </w:r>
            <w:r>
              <w:rPr>
                <w:rFonts w:hint="eastAsia" w:ascii="宋体" w:hAnsi="宋体" w:cs="宋体"/>
                <w:color w:val="000000"/>
                <w:sz w:val="24"/>
              </w:rPr>
              <w:t>处项目</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三级指标</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预期指标值</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实际完成指标值</w:t>
            </w:r>
          </w:p>
        </w:tc>
      </w:tr>
      <w:tr>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完成全县粮食中转及应急目标</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完成全县粮食中转及应急目标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完成全县粮食中转及应急目标</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项目验收合格率</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合格率达到</w:t>
            </w:r>
            <w:r>
              <w:rPr>
                <w:rFonts w:ascii="宋体" w:hAnsi="宋体" w:cs="宋体"/>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项目正在实施中</w:t>
            </w:r>
          </w:p>
        </w:tc>
      </w:tr>
      <w:tr>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竣工时间</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2021</w:t>
            </w:r>
            <w:r>
              <w:rPr>
                <w:rFonts w:hint="eastAsia" w:ascii="宋体" w:hAnsi="宋体" w:cs="宋体"/>
                <w:color w:val="000000"/>
                <w:sz w:val="24"/>
              </w:rPr>
              <w:t>年</w:t>
            </w:r>
            <w:r>
              <w:rPr>
                <w:rFonts w:ascii="宋体" w:hAnsi="宋体" w:cs="宋体"/>
                <w:color w:val="000000"/>
                <w:sz w:val="24"/>
              </w:rPr>
              <w:t>12</w:t>
            </w:r>
            <w:r>
              <w:rPr>
                <w:rFonts w:hint="eastAsia" w:ascii="宋体" w:hAnsi="宋体" w:cs="宋体"/>
                <w:color w:val="000000"/>
                <w:sz w:val="24"/>
              </w:rPr>
              <w:t>月前完工</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宋体" w:cs="宋体"/>
                <w:color w:val="000000"/>
                <w:sz w:val="24"/>
              </w:rPr>
            </w:pPr>
            <w:r>
              <w:rPr>
                <w:rFonts w:hint="eastAsia" w:ascii="宋体" w:hAnsi="宋体" w:cs="宋体"/>
                <w:color w:val="000000"/>
                <w:sz w:val="24"/>
              </w:rPr>
              <w:t>项目正在实施过程中</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kern w:val="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社会效益</w:t>
            </w:r>
          </w:p>
          <w:p>
            <w:pPr>
              <w:widowControl/>
              <w:jc w:val="center"/>
              <w:textAlignment w:val="center"/>
              <w:rPr>
                <w:rFonts w:ascii="宋体" w:cs="宋体"/>
                <w:color w:val="000000"/>
                <w:sz w:val="24"/>
              </w:rPr>
            </w:pPr>
            <w:r>
              <w:rPr>
                <w:rFonts w:hint="eastAsia" w:ascii="宋体" w:hAnsi="宋体" w:cs="宋体"/>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确保粮食中转安全性及应急性</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保障全县人民粮食市场安全，有充足粮食供应确保粮食中转安全性及应急性</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保障全县人民粮食市场安全，有充足粮食供应</w:t>
            </w:r>
          </w:p>
        </w:tc>
      </w:tr>
      <w:tr>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生态效益</w:t>
            </w:r>
          </w:p>
          <w:p>
            <w:pPr>
              <w:widowControl/>
              <w:jc w:val="center"/>
              <w:textAlignment w:val="center"/>
              <w:rPr>
                <w:rFonts w:ascii="宋体" w:cs="宋体"/>
                <w:color w:val="000000"/>
                <w:sz w:val="24"/>
              </w:rPr>
            </w:pPr>
            <w:r>
              <w:rPr>
                <w:rFonts w:hint="eastAsia" w:ascii="宋体" w:hAnsi="宋体" w:cs="宋体"/>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服务对象</w:t>
            </w:r>
          </w:p>
          <w:p>
            <w:pPr>
              <w:widowControl/>
              <w:jc w:val="center"/>
              <w:textAlignment w:val="center"/>
              <w:rPr>
                <w:rFonts w:ascii="宋体" w:cs="宋体"/>
                <w:color w:val="000000"/>
                <w:sz w:val="24"/>
              </w:rPr>
            </w:pPr>
            <w:r>
              <w:rPr>
                <w:rFonts w:hint="eastAsia" w:ascii="宋体" w:hAnsi="宋体" w:cs="宋体"/>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受益群众满意度</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群众满意度大于</w:t>
            </w:r>
            <w:r>
              <w:rPr>
                <w:rFonts w:ascii="宋体" w:hAnsi="宋体" w:cs="宋体"/>
                <w:color w:val="000000"/>
                <w:sz w:val="24"/>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满意率</w:t>
            </w:r>
            <w:r>
              <w:rPr>
                <w:rFonts w:ascii="宋体" w:hAnsi="宋体" w:cs="宋体"/>
                <w:color w:val="000000"/>
                <w:sz w:val="24"/>
              </w:rPr>
              <w:t>100%</w:t>
            </w:r>
          </w:p>
        </w:tc>
      </w:tr>
    </w:tbl>
    <w:p>
      <w:pPr>
        <w:spacing w:line="600" w:lineRule="exact"/>
        <w:outlineLvl w:val="1"/>
        <w:rPr>
          <w:rFonts w:ascii="楷体" w:hAnsi="楷体" w:eastAsia="楷体" w:cs="楷体"/>
          <w:sz w:val="32"/>
          <w:szCs w:val="32"/>
        </w:rPr>
      </w:pPr>
      <w:r>
        <w:rPr>
          <w:rFonts w:hint="eastAsia" w:ascii="楷体" w:hAnsi="楷体" w:eastAsia="楷体" w:cs="楷体"/>
          <w:b/>
          <w:bCs/>
          <w:sz w:val="32"/>
          <w:szCs w:val="32"/>
        </w:rPr>
        <w:t>（三）部门开展绩效评价结果</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本单位按要求对</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年部门整体支出绩效评价情况开展自评，《茂县粮食和物资储备中心部门</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年部门整体支出绩效评价报告》见附件。</w:t>
      </w:r>
    </w:p>
    <w:p>
      <w:pPr>
        <w:pStyle w:val="28"/>
        <w:numPr>
          <w:ilvl w:val="0"/>
          <w:numId w:val="5"/>
        </w:numPr>
        <w:spacing w:line="600" w:lineRule="exact"/>
        <w:ind w:firstLineChars="0"/>
        <w:outlineLvl w:val="1"/>
        <w:rPr>
          <w:rStyle w:val="23"/>
          <w:rFonts w:ascii="黑体" w:hAnsi="黑体" w:eastAsia="黑体"/>
        </w:rPr>
      </w:pPr>
      <w:bookmarkStart w:id="48" w:name="_Toc15396612"/>
      <w:bookmarkStart w:id="49" w:name="_Toc15377221"/>
      <w:r>
        <w:rPr>
          <w:rStyle w:val="23"/>
          <w:rFonts w:hint="eastAsia" w:ascii="黑体" w:hAnsi="黑体" w:eastAsia="黑体"/>
          <w:b w:val="0"/>
        </w:rPr>
        <w:t>其他重要事项的情况说明</w:t>
      </w:r>
      <w:bookmarkEnd w:id="48"/>
      <w:bookmarkEnd w:id="49"/>
    </w:p>
    <w:p>
      <w:pPr>
        <w:numPr>
          <w:ilvl w:val="0"/>
          <w:numId w:val="6"/>
        </w:numPr>
        <w:spacing w:line="600" w:lineRule="exact"/>
        <w:outlineLvl w:val="2"/>
        <w:rPr>
          <w:rFonts w:ascii="楷体" w:hAnsi="楷体" w:eastAsia="楷体" w:cs="楷体"/>
          <w:b/>
          <w:color w:val="000000"/>
          <w:sz w:val="32"/>
          <w:szCs w:val="32"/>
        </w:rPr>
      </w:pPr>
      <w:bookmarkStart w:id="50" w:name="_Toc15377222"/>
      <w:r>
        <w:rPr>
          <w:rFonts w:hint="eastAsia" w:ascii="楷体" w:hAnsi="楷体" w:eastAsia="楷体" w:cs="楷体"/>
          <w:b/>
          <w:color w:val="000000"/>
          <w:sz w:val="32"/>
          <w:szCs w:val="32"/>
        </w:rPr>
        <w:t>机关运行经费支出情况</w:t>
      </w:r>
      <w:bookmarkEnd w:id="50"/>
    </w:p>
    <w:p>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年，茂县粮食和物资储备中心机关运行经费支出</w:t>
      </w:r>
      <w:r>
        <w:rPr>
          <w:rFonts w:ascii="仿宋_GB2312" w:eastAsia="仿宋_GB2312"/>
          <w:color w:val="000000"/>
          <w:sz w:val="32"/>
          <w:szCs w:val="32"/>
        </w:rPr>
        <w:t>11.08</w:t>
      </w:r>
      <w:r>
        <w:rPr>
          <w:rFonts w:hint="eastAsia" w:ascii="仿宋_GB2312" w:eastAsia="仿宋_GB2312"/>
          <w:color w:val="000000"/>
          <w:sz w:val="32"/>
          <w:szCs w:val="32"/>
        </w:rPr>
        <w:t>万元，比</w:t>
      </w:r>
      <w:r>
        <w:rPr>
          <w:rFonts w:ascii="仿宋_GB2312" w:eastAsia="仿宋_GB2312"/>
          <w:color w:val="000000"/>
          <w:sz w:val="32"/>
          <w:szCs w:val="32"/>
        </w:rPr>
        <w:t>2019</w:t>
      </w:r>
      <w:r>
        <w:rPr>
          <w:rFonts w:hint="eastAsia" w:ascii="仿宋_GB2312" w:eastAsia="仿宋_GB2312"/>
          <w:color w:val="000000"/>
          <w:sz w:val="32"/>
          <w:szCs w:val="32"/>
        </w:rPr>
        <w:t>年减少</w:t>
      </w:r>
      <w:r>
        <w:rPr>
          <w:rFonts w:ascii="仿宋_GB2312" w:eastAsia="仿宋_GB2312"/>
          <w:color w:val="000000"/>
          <w:sz w:val="32"/>
          <w:szCs w:val="32"/>
        </w:rPr>
        <w:t>2</w:t>
      </w:r>
      <w:r>
        <w:rPr>
          <w:rFonts w:hint="eastAsia" w:ascii="仿宋_GB2312" w:eastAsia="仿宋_GB2312"/>
          <w:color w:val="000000"/>
          <w:sz w:val="32"/>
          <w:szCs w:val="32"/>
        </w:rPr>
        <w:t>万元，下降</w:t>
      </w:r>
      <w:r>
        <w:rPr>
          <w:rFonts w:ascii="仿宋_GB2312" w:eastAsia="仿宋_GB2312"/>
          <w:color w:val="000000"/>
          <w:sz w:val="32"/>
          <w:szCs w:val="32"/>
        </w:rPr>
        <w:t>7%</w:t>
      </w:r>
      <w:r>
        <w:rPr>
          <w:rFonts w:hint="eastAsia" w:ascii="仿宋_GB2312" w:eastAsia="仿宋_GB2312"/>
          <w:color w:val="000000"/>
          <w:sz w:val="32"/>
          <w:szCs w:val="32"/>
        </w:rPr>
        <w:t>。主要原因是继续积极贯彻落实中央八项规定及省委省政府十项规定要求，加强单位日常经费管理。</w:t>
      </w:r>
    </w:p>
    <w:p>
      <w:pPr>
        <w:numPr>
          <w:ilvl w:val="0"/>
          <w:numId w:val="6"/>
        </w:numPr>
        <w:spacing w:line="600" w:lineRule="exact"/>
        <w:outlineLvl w:val="2"/>
        <w:rPr>
          <w:rFonts w:ascii="楷体" w:hAnsi="楷体" w:eastAsia="楷体" w:cs="楷体"/>
          <w:b/>
          <w:color w:val="000000"/>
          <w:sz w:val="32"/>
          <w:szCs w:val="32"/>
        </w:rPr>
      </w:pPr>
      <w:bookmarkStart w:id="51" w:name="_Toc15377223"/>
      <w:r>
        <w:rPr>
          <w:rFonts w:hint="eastAsia" w:ascii="楷体" w:hAnsi="楷体" w:eastAsia="楷体" w:cs="楷体"/>
          <w:b/>
          <w:color w:val="000000"/>
          <w:sz w:val="32"/>
          <w:szCs w:val="32"/>
        </w:rPr>
        <w:t>政府采购支出情况</w:t>
      </w:r>
      <w:bookmarkEnd w:id="51"/>
    </w:p>
    <w:p>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年，茂县粮食和物资储备中心采购支出总额</w:t>
      </w:r>
      <w:r>
        <w:rPr>
          <w:rFonts w:ascii="仿宋_GB2312" w:eastAsia="仿宋_GB2312"/>
          <w:color w:val="000000"/>
          <w:sz w:val="32"/>
          <w:szCs w:val="32"/>
        </w:rPr>
        <w:t>0</w:t>
      </w:r>
      <w:r>
        <w:rPr>
          <w:rFonts w:hint="eastAsia" w:ascii="仿宋_GB2312" w:eastAsia="仿宋_GB2312"/>
          <w:color w:val="000000"/>
          <w:sz w:val="32"/>
          <w:szCs w:val="32"/>
        </w:rPr>
        <w:t>万元。</w:t>
      </w:r>
    </w:p>
    <w:p>
      <w:pPr>
        <w:numPr>
          <w:ilvl w:val="0"/>
          <w:numId w:val="6"/>
        </w:numPr>
        <w:spacing w:line="600" w:lineRule="exact"/>
        <w:outlineLvl w:val="2"/>
        <w:rPr>
          <w:rFonts w:ascii="楷体" w:hAnsi="楷体" w:eastAsia="楷体" w:cs="楷体"/>
          <w:b/>
          <w:color w:val="000000"/>
          <w:sz w:val="32"/>
          <w:szCs w:val="32"/>
        </w:rPr>
      </w:pPr>
      <w:bookmarkStart w:id="52" w:name="_Toc15377224"/>
      <w:r>
        <w:rPr>
          <w:rFonts w:hint="eastAsia" w:ascii="楷体" w:hAnsi="楷体" w:eastAsia="楷体" w:cs="楷体"/>
          <w:b/>
          <w:color w:val="000000"/>
          <w:sz w:val="32"/>
          <w:szCs w:val="32"/>
        </w:rPr>
        <w:t>国有资产占有使用情况</w:t>
      </w:r>
      <w:bookmarkEnd w:id="52"/>
    </w:p>
    <w:p>
      <w:pPr>
        <w:autoSpaceDE w:val="0"/>
        <w:autoSpaceDN w:val="0"/>
        <w:adjustRightInd w:val="0"/>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2020</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日，茂县粮食和物资储备中心共有车辆</w:t>
      </w:r>
      <w:r>
        <w:rPr>
          <w:rFonts w:ascii="仿宋_GB2312" w:eastAsia="仿宋_GB2312"/>
          <w:color w:val="000000"/>
          <w:sz w:val="32"/>
          <w:szCs w:val="32"/>
        </w:rPr>
        <w:t>0</w:t>
      </w:r>
      <w:r>
        <w:rPr>
          <w:rFonts w:hint="eastAsia" w:ascii="仿宋_GB2312" w:eastAsia="仿宋_GB2312"/>
          <w:color w:val="000000"/>
          <w:sz w:val="32"/>
          <w:szCs w:val="32"/>
        </w:rPr>
        <w:t>辆，其中：领导干部用车</w:t>
      </w:r>
      <w:r>
        <w:rPr>
          <w:rFonts w:ascii="仿宋_GB2312" w:eastAsia="仿宋_GB2312"/>
          <w:color w:val="000000"/>
          <w:sz w:val="32"/>
          <w:szCs w:val="32"/>
        </w:rPr>
        <w:t>0</w:t>
      </w:r>
      <w:r>
        <w:rPr>
          <w:rFonts w:hint="eastAsia" w:ascii="仿宋_GB2312" w:eastAsia="仿宋_GB2312"/>
          <w:color w:val="000000"/>
          <w:sz w:val="32"/>
          <w:szCs w:val="32"/>
        </w:rPr>
        <w:t>辆、一般公务用车</w:t>
      </w:r>
      <w:r>
        <w:rPr>
          <w:rFonts w:ascii="仿宋_GB2312" w:eastAsia="仿宋_GB2312"/>
          <w:color w:val="000000"/>
          <w:sz w:val="32"/>
          <w:szCs w:val="32"/>
        </w:rPr>
        <w:t>0</w:t>
      </w:r>
      <w:r>
        <w:rPr>
          <w:rFonts w:hint="eastAsia" w:ascii="仿宋_GB2312" w:eastAsia="仿宋_GB2312"/>
          <w:color w:val="000000"/>
          <w:sz w:val="32"/>
          <w:szCs w:val="32"/>
        </w:rPr>
        <w:t>辆、一般执法执勤用车</w:t>
      </w:r>
      <w:r>
        <w:rPr>
          <w:rFonts w:ascii="仿宋_GB2312" w:eastAsia="仿宋_GB2312"/>
          <w:color w:val="000000"/>
          <w:sz w:val="32"/>
          <w:szCs w:val="32"/>
        </w:rPr>
        <w:t>0</w:t>
      </w:r>
      <w:r>
        <w:rPr>
          <w:rFonts w:hint="eastAsia" w:ascii="仿宋_GB2312" w:eastAsia="仿宋_GB2312"/>
          <w:color w:val="000000"/>
          <w:sz w:val="32"/>
          <w:szCs w:val="32"/>
        </w:rPr>
        <w:t>辆、特种专业技术用车</w:t>
      </w:r>
      <w:r>
        <w:rPr>
          <w:rFonts w:ascii="仿宋_GB2312" w:eastAsia="仿宋_GB2312"/>
          <w:color w:val="000000"/>
          <w:sz w:val="32"/>
          <w:szCs w:val="32"/>
        </w:rPr>
        <w:t>0</w:t>
      </w:r>
      <w:r>
        <w:rPr>
          <w:rFonts w:hint="eastAsia" w:ascii="仿宋_GB2312" w:eastAsia="仿宋_GB2312"/>
          <w:color w:val="000000"/>
          <w:sz w:val="32"/>
          <w:szCs w:val="32"/>
        </w:rPr>
        <w:t>辆、其他用车</w:t>
      </w:r>
      <w:r>
        <w:rPr>
          <w:rFonts w:ascii="仿宋_GB2312" w:eastAsia="仿宋_GB2312"/>
          <w:color w:val="000000"/>
          <w:sz w:val="32"/>
          <w:szCs w:val="32"/>
        </w:rPr>
        <w:t>0</w:t>
      </w:r>
      <w:r>
        <w:rPr>
          <w:rFonts w:hint="eastAsia" w:ascii="仿宋_GB2312" w:eastAsia="仿宋_GB2312"/>
          <w:color w:val="000000"/>
          <w:sz w:val="32"/>
          <w:szCs w:val="32"/>
        </w:rPr>
        <w:t>辆。单价</w:t>
      </w:r>
      <w:r>
        <w:rPr>
          <w:rFonts w:ascii="仿宋_GB2312" w:eastAsia="仿宋_GB2312"/>
          <w:color w:val="000000"/>
          <w:sz w:val="32"/>
          <w:szCs w:val="32"/>
        </w:rPr>
        <w:t>50</w:t>
      </w:r>
      <w:r>
        <w:rPr>
          <w:rFonts w:hint="eastAsia" w:ascii="仿宋_GB2312" w:eastAsia="仿宋_GB2312"/>
          <w:color w:val="000000"/>
          <w:sz w:val="32"/>
          <w:szCs w:val="32"/>
        </w:rPr>
        <w:t>万元以上通用设备</w:t>
      </w:r>
      <w:r>
        <w:rPr>
          <w:rFonts w:ascii="仿宋_GB2312" w:eastAsia="仿宋_GB2312"/>
          <w:color w:val="000000"/>
          <w:sz w:val="32"/>
          <w:szCs w:val="32"/>
        </w:rPr>
        <w:t>0</w:t>
      </w:r>
      <w:r>
        <w:rPr>
          <w:rFonts w:hint="eastAsia" w:ascii="仿宋_GB2312" w:eastAsia="仿宋_GB2312"/>
          <w:color w:val="000000"/>
          <w:sz w:val="32"/>
          <w:szCs w:val="32"/>
        </w:rPr>
        <w:t>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w:t>
      </w:r>
      <w:r>
        <w:rPr>
          <w:rFonts w:ascii="仿宋_GB2312" w:eastAsia="仿宋_GB2312"/>
          <w:color w:val="000000"/>
          <w:sz w:val="32"/>
          <w:szCs w:val="32"/>
        </w:rPr>
        <w:t>0</w:t>
      </w:r>
      <w:r>
        <w:rPr>
          <w:rFonts w:hint="eastAsia" w:ascii="仿宋_GB2312" w:eastAsia="仿宋_GB2312"/>
          <w:color w:val="000000"/>
          <w:sz w:val="32"/>
          <w:szCs w:val="32"/>
        </w:rPr>
        <w:t>台（套）。</w:t>
      </w:r>
    </w:p>
    <w:p>
      <w:pPr>
        <w:rPr>
          <w:rFonts w:ascii="仿宋_GB2312" w:eastAsia="仿宋_GB2312"/>
          <w:color w:val="000000"/>
          <w:sz w:val="32"/>
          <w:szCs w:val="32"/>
        </w:rPr>
      </w:pPr>
    </w:p>
    <w:p>
      <w:pPr>
        <w:numPr>
          <w:ilvl w:val="0"/>
          <w:numId w:val="0"/>
        </w:numPr>
        <w:spacing w:line="600" w:lineRule="exact"/>
        <w:jc w:val="both"/>
        <w:outlineLvl w:val="0"/>
        <w:rPr>
          <w:rStyle w:val="22"/>
          <w:rFonts w:ascii="方正小标宋简体" w:hAnsi="方正小标宋简体" w:eastAsia="方正小标宋简体" w:cs="方正小标宋简体"/>
          <w:b w:val="0"/>
        </w:rPr>
      </w:pPr>
    </w:p>
    <w:p>
      <w:pPr>
        <w:spacing w:line="600" w:lineRule="exact"/>
        <w:jc w:val="left"/>
        <w:rPr>
          <w:rFonts w:ascii="宋体"/>
          <w:b/>
          <w:color w:val="000000"/>
          <w:sz w:val="44"/>
          <w:szCs w:val="44"/>
        </w:rPr>
      </w:pPr>
    </w:p>
    <w:p>
      <w:pPr>
        <w:pStyle w:val="29"/>
        <w:spacing w:line="576" w:lineRule="exact"/>
        <w:ind w:firstLine="640" w:firstLineChars="200"/>
        <w:rPr>
          <w:rFonts w:ascii="仿宋_GB2312" w:eastAsia="仿宋_GB2312"/>
          <w:sz w:val="32"/>
          <w:szCs w:val="32"/>
        </w:rPr>
      </w:pPr>
    </w:p>
    <w:p>
      <w:pPr>
        <w:pStyle w:val="29"/>
        <w:spacing w:line="576" w:lineRule="exact"/>
        <w:ind w:firstLine="640" w:firstLineChars="200"/>
        <w:rPr>
          <w:rFonts w:ascii="仿宋_GB2312" w:eastAsia="仿宋_GB2312"/>
          <w:sz w:val="32"/>
          <w:szCs w:val="32"/>
        </w:rPr>
      </w:pPr>
    </w:p>
    <w:p>
      <w:pPr>
        <w:pStyle w:val="29"/>
        <w:spacing w:line="576" w:lineRule="exact"/>
        <w:ind w:firstLine="640" w:firstLineChars="200"/>
        <w:rPr>
          <w:rFonts w:ascii="仿宋_GB2312" w:eastAsia="仿宋_GB2312"/>
          <w:sz w:val="32"/>
          <w:szCs w:val="32"/>
        </w:rPr>
      </w:pPr>
    </w:p>
    <w:p>
      <w:pPr>
        <w:pStyle w:val="29"/>
        <w:spacing w:line="576" w:lineRule="exact"/>
        <w:ind w:firstLine="883" w:firstLineChars="200"/>
        <w:jc w:val="center"/>
        <w:rPr>
          <w:rStyle w:val="22"/>
          <w:rFonts w:hint="eastAsia" w:ascii="方正小标宋简体" w:hAnsi="方正小标宋简体" w:eastAsia="方正小标宋简体" w:cs="方正小标宋简体"/>
          <w:b w:val="0"/>
        </w:rPr>
      </w:pPr>
      <w:bookmarkStart w:id="53" w:name="_Toc15396613"/>
      <w:bookmarkStart w:id="54" w:name="_Toc15377225"/>
      <w:r>
        <w:rPr>
          <w:rFonts w:hint="eastAsia" w:ascii="方正小标宋简体" w:hAnsi="方正小标宋简体" w:eastAsia="方正小标宋简体" w:cs="方正小标宋简体"/>
          <w:b/>
          <w:color w:val="000000"/>
          <w:sz w:val="44"/>
          <w:szCs w:val="44"/>
          <w:lang w:eastAsia="zh-CN"/>
        </w:rPr>
        <w:t>第三部分</w:t>
      </w:r>
      <w:r>
        <w:rPr>
          <w:rFonts w:hint="eastAsia" w:ascii="方正小标宋简体" w:hAnsi="方正小标宋简体" w:eastAsia="方正小标宋简体" w:cs="方正小标宋简体"/>
          <w:b/>
          <w:color w:val="000000"/>
          <w:sz w:val="44"/>
          <w:szCs w:val="44"/>
          <w:lang w:val="en-US" w:eastAsia="zh-CN"/>
        </w:rPr>
        <w:t xml:space="preserve">  </w:t>
      </w:r>
      <w:r>
        <w:rPr>
          <w:rFonts w:hint="eastAsia" w:ascii="方正小标宋简体" w:hAnsi="方正小标宋简体" w:eastAsia="方正小标宋简体" w:cs="方正小标宋简体"/>
          <w:b/>
          <w:color w:val="000000"/>
          <w:sz w:val="44"/>
          <w:szCs w:val="44"/>
        </w:rPr>
        <w:t>名</w:t>
      </w:r>
      <w:r>
        <w:rPr>
          <w:rStyle w:val="22"/>
          <w:rFonts w:hint="eastAsia" w:ascii="方正小标宋简体" w:hAnsi="方正小标宋简体" w:eastAsia="方正小标宋简体" w:cs="方正小标宋简体"/>
          <w:b w:val="0"/>
        </w:rPr>
        <w:t>词解释</w:t>
      </w:r>
      <w:bookmarkEnd w:id="53"/>
      <w:bookmarkEnd w:id="54"/>
    </w:p>
    <w:p>
      <w:pPr>
        <w:pStyle w:val="29"/>
        <w:spacing w:line="576"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9"/>
        <w:spacing w:line="576"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29"/>
        <w:spacing w:line="576"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pPr>
        <w:pStyle w:val="29"/>
        <w:spacing w:line="576"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p>
    <w:p>
      <w:pPr>
        <w:pStyle w:val="29"/>
        <w:spacing w:line="576"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pStyle w:val="29"/>
        <w:spacing w:line="576"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p>
    <w:p>
      <w:pPr>
        <w:pStyle w:val="29"/>
        <w:spacing w:line="576"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pStyle w:val="29"/>
        <w:spacing w:line="576"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9.</w:t>
      </w:r>
      <w:r>
        <w:rPr>
          <w:rFonts w:hint="eastAsia" w:ascii="仿宋_GB2312" w:eastAsia="仿宋_GB2312"/>
          <w:color w:val="000000"/>
          <w:sz w:val="32"/>
          <w:szCs w:val="32"/>
        </w:rPr>
        <w:t>社会保障和就业（类）行政事业单位离退休（款）机关事业单位基本养老保险缴费支出（项）：指部门实施养老保险制度由单位缴纳的养老保险费的支出。</w:t>
      </w:r>
    </w:p>
    <w:p>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10.</w:t>
      </w:r>
      <w:r>
        <w:rPr>
          <w:rFonts w:hint="eastAsia" w:ascii="仿宋_GB2312" w:eastAsia="仿宋_GB2312"/>
          <w:color w:val="000000"/>
          <w:sz w:val="32"/>
          <w:szCs w:val="32"/>
        </w:rPr>
        <w:t>社会保障和就业（类）行政事业单位离退休（款）机关事业单位职业年金缴费支出（项）：指部门实施养老保险制度由单位缴纳的职业年金的支出。</w:t>
      </w:r>
    </w:p>
    <w:p>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11.</w:t>
      </w:r>
      <w:r>
        <w:rPr>
          <w:rFonts w:hint="eastAsia" w:ascii="仿宋_GB2312" w:eastAsia="仿宋_GB2312"/>
          <w:color w:val="000000"/>
          <w:sz w:val="32"/>
          <w:szCs w:val="32"/>
        </w:rPr>
        <w:t>医疗卫生与计划生育（类）行政事业单位医疗（款）行政单位医疗（项）：指厅机关及参公管理事业单位用于缴纳单位基本医疗保险支出。</w:t>
      </w:r>
    </w:p>
    <w:p>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12.</w:t>
      </w:r>
      <w:r>
        <w:rPr>
          <w:rFonts w:hint="eastAsia" w:ascii="仿宋_GB2312" w:eastAsia="仿宋_GB2312"/>
          <w:color w:val="000000"/>
          <w:sz w:val="32"/>
          <w:szCs w:val="32"/>
        </w:rPr>
        <w:t>医疗卫生与计划生育（类）行政事业单位医疗（款）事业单位医疗（项）：指事业单位用于缴纳单位基本医疗保险支出。</w:t>
      </w:r>
    </w:p>
    <w:p>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13.</w:t>
      </w:r>
      <w:r>
        <w:rPr>
          <w:rFonts w:hint="eastAsia" w:ascii="仿宋_GB2312" w:eastAsia="仿宋_GB2312"/>
          <w:color w:val="000000"/>
          <w:sz w:val="32"/>
          <w:szCs w:val="32"/>
        </w:rPr>
        <w:t>住房保障（类）住房改革支出（款）住房公积金（项）：反映行政事业单位按规定为职工缴纳的住房公积金。</w:t>
      </w:r>
    </w:p>
    <w:p>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14.</w:t>
      </w:r>
      <w:r>
        <w:rPr>
          <w:rFonts w:hint="eastAsia" w:ascii="仿宋_GB2312" w:eastAsia="仿宋_GB2312"/>
          <w:color w:val="000000"/>
          <w:sz w:val="32"/>
          <w:szCs w:val="32"/>
        </w:rPr>
        <w:t>住房保障（类）住房改革支出（款）购房补贴（项）：指根据房改政策规定的标准，向符合条件职工发放的用于购</w:t>
      </w:r>
    </w:p>
    <w:p>
      <w:pPr>
        <w:spacing w:line="576" w:lineRule="exact"/>
        <w:rPr>
          <w:rFonts w:ascii="仿宋_GB2312" w:eastAsia="仿宋_GB2312"/>
          <w:color w:val="000000"/>
          <w:sz w:val="32"/>
          <w:szCs w:val="32"/>
        </w:rPr>
      </w:pPr>
      <w:r>
        <w:rPr>
          <w:rFonts w:hint="eastAsia" w:ascii="仿宋_GB2312" w:eastAsia="仿宋_GB2312"/>
          <w:color w:val="000000"/>
          <w:sz w:val="32"/>
          <w:szCs w:val="32"/>
        </w:rPr>
        <w:t>买住房的补贴。</w:t>
      </w:r>
    </w:p>
    <w:p>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15.</w:t>
      </w:r>
      <w:r>
        <w:rPr>
          <w:rFonts w:hint="eastAsia" w:ascii="仿宋_GB2312" w:eastAsia="仿宋_GB2312"/>
          <w:color w:val="000000"/>
          <w:sz w:val="32"/>
          <w:szCs w:val="32"/>
        </w:rPr>
        <w:t>农林水支出（类）扶贫（款）农村基础设施建设（项）：用于农村贫困地区乡村道路、住房、基本农田等生活条件改善方面的支出。</w:t>
      </w:r>
    </w:p>
    <w:p>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16.</w:t>
      </w:r>
      <w:r>
        <w:rPr>
          <w:rFonts w:hint="eastAsia" w:ascii="仿宋_GB2312" w:eastAsia="仿宋_GB2312"/>
          <w:color w:val="000000"/>
          <w:sz w:val="32"/>
          <w:szCs w:val="32"/>
        </w:rPr>
        <w:t>农林水支出（类）扶贫（款）其他扶贫支出（项）：反映除上述项目以外其他用于扶贫方面的支出。</w:t>
      </w:r>
    </w:p>
    <w:p>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17.</w:t>
      </w:r>
      <w:r>
        <w:rPr>
          <w:rFonts w:hint="eastAsia" w:ascii="仿宋_GB2312" w:eastAsia="仿宋_GB2312"/>
          <w:color w:val="000000"/>
          <w:sz w:val="32"/>
          <w:szCs w:val="32"/>
        </w:rPr>
        <w:t>农林水支出（类）其他农林水支出（款）其他农林水支出（项）：反映除化解债务支出以外其他用于农林水方面的支出。</w:t>
      </w:r>
    </w:p>
    <w:p>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18</w:t>
      </w:r>
      <w:r>
        <w:rPr>
          <w:rFonts w:hint="eastAsia" w:ascii="仿宋_GB2312" w:eastAsia="仿宋_GB2312"/>
          <w:color w:val="000000"/>
          <w:sz w:val="32"/>
          <w:szCs w:val="32"/>
        </w:rPr>
        <w:t>粮油事务等支出（类）其它粮油储备支出（款）行政运行（项）：反映粮油储备的有关支出。</w:t>
      </w:r>
    </w:p>
    <w:p>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19.</w:t>
      </w:r>
      <w:r>
        <w:rPr>
          <w:rFonts w:hint="eastAsia" w:ascii="仿宋_GB2312" w:eastAsia="仿宋_GB2312"/>
          <w:color w:val="000000"/>
          <w:sz w:val="32"/>
          <w:szCs w:val="32"/>
        </w:rPr>
        <w:t>基本支出：指为保障机构正常运转、完成日常工作任务而发生的人员支出和公用支出。</w:t>
      </w:r>
    </w:p>
    <w:p>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rPr>
        <w:t>项目支出：指在基本支出之外为完成特定行政任务和事业发展目标所发生的支出。</w:t>
      </w:r>
    </w:p>
    <w:p>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21.</w:t>
      </w:r>
      <w:r>
        <w:rPr>
          <w:rFonts w:hint="eastAsia" w:ascii="仿宋_GB2312" w:eastAsia="仿宋_GB2312"/>
          <w:color w:val="000000"/>
          <w:sz w:val="32"/>
          <w:szCs w:val="32"/>
        </w:rPr>
        <w:t>经营支出：指事业单位在专业业务活动及其辅助活动之外开展非独立核算经营活动发生的支出。</w:t>
      </w:r>
    </w:p>
    <w:p>
      <w:pPr>
        <w:pStyle w:val="29"/>
        <w:spacing w:line="576" w:lineRule="exact"/>
        <w:ind w:firstLine="640" w:firstLineChars="200"/>
        <w:rPr>
          <w:rFonts w:ascii="仿宋_GB2312" w:eastAsia="仿宋_GB2312"/>
          <w:sz w:val="32"/>
          <w:szCs w:val="32"/>
        </w:rPr>
      </w:pPr>
      <w:r>
        <w:rPr>
          <w:rFonts w:ascii="仿宋_GB2312" w:eastAsia="仿宋_GB2312"/>
          <w:sz w:val="32"/>
          <w:szCs w:val="32"/>
        </w:rPr>
        <w:t>22.</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9"/>
        <w:spacing w:line="576" w:lineRule="exact"/>
        <w:ind w:firstLine="640" w:firstLineChars="200"/>
        <w:rPr>
          <w:rFonts w:ascii="仿宋_GB2312" w:eastAsia="仿宋_GB2312"/>
          <w:sz w:val="32"/>
          <w:szCs w:val="32"/>
        </w:rPr>
      </w:pPr>
      <w:r>
        <w:rPr>
          <w:rFonts w:ascii="仿宋_GB2312" w:eastAsia="仿宋_GB2312"/>
          <w:sz w:val="32"/>
          <w:szCs w:val="32"/>
        </w:rPr>
        <w:t>23.</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76" w:lineRule="exact"/>
        <w:ind w:firstLine="480" w:firstLineChars="150"/>
        <w:outlineLvl w:val="0"/>
        <w:rPr>
          <w:rFonts w:ascii="仿宋_GB2312" w:eastAsia="仿宋_GB2312" w:cs="黑体"/>
          <w:sz w:val="32"/>
          <w:szCs w:val="32"/>
        </w:rPr>
      </w:pPr>
      <w:r>
        <w:rPr>
          <w:rFonts w:ascii="仿宋_GB2312" w:eastAsia="仿宋_GB2312" w:cs="黑体"/>
          <w:sz w:val="32"/>
          <w:szCs w:val="32"/>
        </w:rPr>
        <w:t>24.</w:t>
      </w:r>
      <w:r>
        <w:rPr>
          <w:rFonts w:hint="eastAsia" w:ascii="仿宋_GB2312" w:eastAsia="仿宋_GB2312" w:cs="黑体"/>
          <w:sz w:val="32"/>
          <w:szCs w:val="32"/>
        </w:rPr>
        <w:t>财政应返还额度：为行政事业单位会计核算科目，用于核算实行国库集中支付的行政事业单位应收财政返还的资金额度。</w:t>
      </w:r>
    </w:p>
    <w:p>
      <w:pPr>
        <w:pStyle w:val="29"/>
        <w:spacing w:line="576" w:lineRule="exact"/>
        <w:ind w:firstLine="640" w:firstLineChars="200"/>
        <w:rPr>
          <w:rFonts w:ascii="仿宋_GB2312" w:eastAsia="仿宋_GB2312" w:cs="黑体"/>
          <w:sz w:val="32"/>
          <w:szCs w:val="32"/>
        </w:rPr>
      </w:pPr>
    </w:p>
    <w:p>
      <w:pPr>
        <w:rPr>
          <w:rFonts w:ascii="仿宋_GB2312" w:eastAsia="仿宋_GB2312" w:cs="黑体"/>
          <w:sz w:val="32"/>
          <w:szCs w:val="32"/>
        </w:rPr>
      </w:pPr>
      <w:bookmarkStart w:id="55" w:name="_Toc15396614"/>
      <w:bookmarkStart w:id="56" w:name="_Toc15377226"/>
      <w:r>
        <w:rPr>
          <w:rFonts w:ascii="仿宋_GB2312" w:eastAsia="仿宋_GB2312" w:cs="黑体"/>
          <w:sz w:val="32"/>
          <w:szCs w:val="32"/>
        </w:rPr>
        <w:br w:type="page"/>
      </w:r>
    </w:p>
    <w:p>
      <w:pPr>
        <w:numPr>
          <w:ilvl w:val="0"/>
          <w:numId w:val="0"/>
        </w:numPr>
        <w:spacing w:line="600" w:lineRule="exact"/>
        <w:jc w:val="center"/>
        <w:outlineLvl w:val="0"/>
        <w:rPr>
          <w:rStyle w:val="22"/>
        </w:rPr>
      </w:pPr>
      <w:r>
        <w:rPr>
          <w:rStyle w:val="22"/>
          <w:rFonts w:hint="eastAsia" w:ascii="方正小标宋简体" w:hAnsi="方正小标宋简体" w:eastAsia="方正小标宋简体" w:cs="方正小标宋简体"/>
          <w:b w:val="0"/>
          <w:lang w:eastAsia="zh-CN"/>
        </w:rPr>
        <w:t>第四部分</w:t>
      </w:r>
      <w:r>
        <w:rPr>
          <w:rStyle w:val="22"/>
          <w:rFonts w:hint="eastAsia" w:ascii="方正小标宋简体" w:hAnsi="方正小标宋简体" w:eastAsia="方正小标宋简体" w:cs="方正小标宋简体"/>
          <w:b w:val="0"/>
          <w:lang w:val="en-US" w:eastAsia="zh-CN"/>
        </w:rPr>
        <w:t xml:space="preserve">  </w:t>
      </w:r>
      <w:r>
        <w:rPr>
          <w:rStyle w:val="22"/>
          <w:rFonts w:hint="eastAsia" w:ascii="方正小标宋简体" w:hAnsi="方正小标宋简体" w:eastAsia="方正小标宋简体" w:cs="方正小标宋简体"/>
          <w:b w:val="0"/>
        </w:rPr>
        <w:t>附件</w:t>
      </w:r>
      <w:bookmarkEnd w:id="55"/>
    </w:p>
    <w:p>
      <w:pPr>
        <w:spacing w:line="600" w:lineRule="exact"/>
        <w:jc w:val="center"/>
        <w:outlineLvl w:val="0"/>
        <w:rPr>
          <w:rFonts w:ascii="方正小标宋简体" w:hAnsi="方正小标宋简体" w:eastAsia="方正小标宋简体" w:cs="方正小标宋简体"/>
          <w:sz w:val="44"/>
          <w:szCs w:val="44"/>
        </w:rPr>
      </w:pPr>
      <w:bookmarkStart w:id="57" w:name="_Toc15396616"/>
    </w:p>
    <w:p>
      <w:pPr>
        <w:spacing w:line="600" w:lineRule="exact"/>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茂县粮食和物资储备中心</w:t>
      </w:r>
    </w:p>
    <w:p>
      <w:pPr>
        <w:spacing w:line="600" w:lineRule="exact"/>
        <w:jc w:val="center"/>
        <w:outlineLvl w:val="0"/>
        <w:rPr>
          <w:rFonts w:ascii="黑体" w:hAnsi="黑体" w:eastAsia="黑体" w:cs="方正小标宋简体"/>
          <w:sz w:val="36"/>
          <w:szCs w:val="36"/>
        </w:rPr>
      </w:pPr>
      <w:r>
        <w:rPr>
          <w:rFonts w:ascii="方正小标宋简体" w:hAnsi="方正小标宋简体" w:eastAsia="方正小标宋简体" w:cs="方正小标宋简体"/>
          <w:sz w:val="44"/>
          <w:szCs w:val="44"/>
        </w:rPr>
        <w:t>2020</w:t>
      </w:r>
      <w:r>
        <w:rPr>
          <w:rFonts w:hint="eastAsia" w:ascii="方正小标宋简体" w:hAnsi="方正小标宋简体" w:eastAsia="方正小标宋简体" w:cs="方正小标宋简体"/>
          <w:sz w:val="44"/>
          <w:szCs w:val="44"/>
        </w:rPr>
        <w:t>年部门整体支出绩效评价报告</w:t>
      </w:r>
      <w:bookmarkEnd w:id="57"/>
    </w:p>
    <w:p>
      <w:pPr>
        <w:spacing w:line="580" w:lineRule="exact"/>
        <w:ind w:firstLine="640" w:firstLineChars="200"/>
        <w:rPr>
          <w:rFonts w:ascii="黑体" w:hAnsi="黑体" w:eastAsia="黑体" w:cs="黑体"/>
          <w:sz w:val="32"/>
          <w:szCs w:val="32"/>
        </w:rPr>
      </w:pPr>
    </w:p>
    <w:p>
      <w:pPr>
        <w:pStyle w:val="3"/>
        <w:numPr>
          <w:ilvl w:val="0"/>
          <w:numId w:val="7"/>
        </w:numPr>
        <w:rPr>
          <w:rFonts w:ascii="黑体" w:hAnsi="黑体" w:eastAsia="黑体" w:cs="黑体"/>
          <w:b w:val="0"/>
          <w:bCs w:val="0"/>
        </w:rPr>
      </w:pPr>
      <w:r>
        <w:rPr>
          <w:rFonts w:hint="eastAsia" w:ascii="黑体" w:hAnsi="黑体" w:eastAsia="黑体" w:cs="黑体"/>
          <w:b w:val="0"/>
          <w:bCs w:val="0"/>
        </w:rPr>
        <w:t>单位概况</w:t>
      </w:r>
    </w:p>
    <w:p>
      <w:pPr>
        <w:numPr>
          <w:ilvl w:val="0"/>
          <w:numId w:val="8"/>
        </w:numPr>
        <w:spacing w:line="580" w:lineRule="exact"/>
        <w:rPr>
          <w:rFonts w:ascii="楷体" w:hAnsi="楷体" w:eastAsia="楷体" w:cs="楷体"/>
          <w:b/>
          <w:bCs/>
          <w:sz w:val="32"/>
          <w:szCs w:val="32"/>
        </w:rPr>
      </w:pPr>
      <w:r>
        <w:rPr>
          <w:rFonts w:hint="eastAsia" w:ascii="楷体" w:hAnsi="楷体" w:eastAsia="楷体" w:cs="楷体"/>
          <w:b/>
          <w:bCs/>
          <w:sz w:val="32"/>
          <w:szCs w:val="32"/>
        </w:rPr>
        <w:t>机构组成</w:t>
      </w:r>
    </w:p>
    <w:p>
      <w:pPr>
        <w:spacing w:line="576"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茂县粮食和物资储备中心是一级预算行政（参公）单位，无下属二级预算单位。</w:t>
      </w:r>
    </w:p>
    <w:p>
      <w:pPr>
        <w:numPr>
          <w:ilvl w:val="0"/>
          <w:numId w:val="8"/>
        </w:numPr>
        <w:spacing w:line="580" w:lineRule="exact"/>
        <w:rPr>
          <w:rFonts w:ascii="楷体" w:hAnsi="楷体" w:eastAsia="楷体" w:cs="楷体"/>
          <w:b/>
          <w:bCs/>
          <w:sz w:val="32"/>
          <w:szCs w:val="32"/>
        </w:rPr>
      </w:pPr>
      <w:r>
        <w:rPr>
          <w:rFonts w:hint="eastAsia" w:ascii="楷体" w:hAnsi="楷体" w:eastAsia="楷体" w:cs="楷体"/>
          <w:b/>
          <w:bCs/>
          <w:sz w:val="32"/>
          <w:szCs w:val="32"/>
        </w:rPr>
        <w:t>机构职能</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1</w:t>
      </w:r>
      <w:r>
        <w:rPr>
          <w:rFonts w:hint="eastAsia" w:ascii="仿宋" w:hAnsi="仿宋" w:eastAsia="仿宋" w:cs="仿宋"/>
          <w:sz w:val="32"/>
          <w:szCs w:val="32"/>
        </w:rPr>
        <w:t>）负责省、州、县储备粮管理，指导全县粮食储备体系建设；制定县级储备粮管理的技术规范并监督执行；监督检查省、州、县储备粮库存数量、质量和安全；研究提出县级储备粮的收购、轮换、抛售计划，并组织实施。</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2</w:t>
      </w:r>
      <w:r>
        <w:rPr>
          <w:rFonts w:hint="eastAsia" w:ascii="仿宋" w:hAnsi="仿宋" w:eastAsia="仿宋" w:cs="仿宋"/>
          <w:sz w:val="32"/>
          <w:szCs w:val="32"/>
        </w:rPr>
        <w:t>）管理社会粮食流通，保障军队、城镇居民、农村群众、应急救灾、缺粮贫困地区、退耕还林、大骨节病人和国家重点建设项目的粮食供应。</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3</w:t>
      </w:r>
      <w:r>
        <w:rPr>
          <w:rFonts w:hint="eastAsia" w:ascii="仿宋" w:hAnsi="仿宋" w:eastAsia="仿宋" w:cs="仿宋"/>
          <w:sz w:val="32"/>
          <w:szCs w:val="32"/>
        </w:rPr>
        <w:t>）指导和协调全县粮食流通基础设施建设，编制全县粮油仓储、加工设施建设计划并组织实施；指导安全粮油网点建设，负责粮油仓储设施的报废、占用、拆迁等。</w:t>
      </w:r>
    </w:p>
    <w:p>
      <w:pPr>
        <w:spacing w:line="576" w:lineRule="exact"/>
        <w:ind w:firstLine="640" w:firstLineChars="200"/>
        <w:rPr>
          <w:rFonts w:ascii="仿宋" w:hAnsi="仿宋" w:eastAsia="仿宋" w:cs="仿宋"/>
          <w:sz w:val="32"/>
          <w:szCs w:val="32"/>
        </w:rPr>
      </w:pPr>
      <w:r>
        <w:rPr>
          <w:rFonts w:ascii="仿宋" w:hAnsi="仿宋" w:eastAsia="仿宋" w:cs="仿宋"/>
          <w:sz w:val="32"/>
          <w:szCs w:val="32"/>
        </w:rPr>
        <w:t>(4)</w:t>
      </w:r>
      <w:r>
        <w:rPr>
          <w:rFonts w:hint="eastAsia" w:ascii="仿宋" w:hAnsi="仿宋" w:eastAsia="仿宋" w:cs="仿宋"/>
          <w:sz w:val="32"/>
          <w:szCs w:val="32"/>
        </w:rPr>
        <w:t>指导全县粮食流通市场的行业行政管理、国有粮食企业的改革；指导并推动行业的技术改造、新技术推广应用、安全生产和抢险救灾工作；指导全县农村科学储粮工作；承担行业统计工作。</w:t>
      </w:r>
    </w:p>
    <w:p>
      <w:pPr>
        <w:spacing w:line="576" w:lineRule="exact"/>
        <w:ind w:firstLine="640" w:firstLineChars="200"/>
        <w:rPr>
          <w:rFonts w:ascii="仿宋" w:hAnsi="仿宋" w:eastAsia="仿宋" w:cs="仿宋"/>
          <w:sz w:val="32"/>
          <w:szCs w:val="32"/>
        </w:rPr>
      </w:pPr>
      <w:r>
        <w:rPr>
          <w:rFonts w:ascii="仿宋" w:hAnsi="仿宋" w:eastAsia="仿宋" w:cs="仿宋"/>
          <w:sz w:val="32"/>
          <w:szCs w:val="32"/>
        </w:rPr>
        <w:t>(5)</w:t>
      </w:r>
      <w:r>
        <w:rPr>
          <w:rFonts w:hint="eastAsia" w:ascii="仿宋" w:hAnsi="仿宋" w:eastAsia="仿宋" w:cs="仿宋"/>
          <w:sz w:val="32"/>
          <w:szCs w:val="32"/>
        </w:rPr>
        <w:t>指导全县粮食财务管理工作；组织实施粮食财务和会计制度工作，负责国有企业资产的监督管理；会同有关部门做好粮食收购资金使用；编报全县粮食系统财务报表，组织编制年度决算。</w:t>
      </w:r>
    </w:p>
    <w:p>
      <w:pPr>
        <w:numPr>
          <w:ilvl w:val="0"/>
          <w:numId w:val="8"/>
        </w:numPr>
        <w:spacing w:line="580" w:lineRule="exact"/>
        <w:rPr>
          <w:rFonts w:ascii="楷体" w:hAnsi="楷体" w:eastAsia="楷体" w:cs="楷体"/>
          <w:b/>
          <w:bCs/>
          <w:sz w:val="32"/>
          <w:szCs w:val="32"/>
        </w:rPr>
      </w:pPr>
      <w:r>
        <w:rPr>
          <w:rFonts w:hint="eastAsia" w:ascii="楷体" w:hAnsi="楷体" w:eastAsia="楷体" w:cs="楷体"/>
          <w:b/>
          <w:bCs/>
          <w:sz w:val="32"/>
          <w:szCs w:val="32"/>
        </w:rPr>
        <w:t>人员概况</w:t>
      </w:r>
    </w:p>
    <w:p>
      <w:pPr>
        <w:snapToGrid w:val="0"/>
        <w:spacing w:line="576" w:lineRule="exact"/>
        <w:ind w:firstLine="640" w:firstLineChars="200"/>
        <w:rPr>
          <w:rFonts w:ascii="仿宋" w:hAnsi="仿宋" w:eastAsia="仿宋" w:cs="仿宋_GB2312"/>
          <w:sz w:val="32"/>
          <w:szCs w:val="32"/>
        </w:rPr>
      </w:pPr>
      <w:r>
        <w:rPr>
          <w:rFonts w:hint="eastAsia" w:ascii="仿宋" w:hAnsi="仿宋" w:eastAsia="仿宋"/>
          <w:sz w:val="32"/>
          <w:szCs w:val="32"/>
        </w:rPr>
        <w:t>茂县粮食和物资储备中心为参公单位，现有事业编制</w:t>
      </w:r>
      <w:r>
        <w:rPr>
          <w:rFonts w:ascii="仿宋" w:hAnsi="仿宋" w:eastAsia="仿宋"/>
          <w:sz w:val="32"/>
          <w:szCs w:val="32"/>
        </w:rPr>
        <w:t>15</w:t>
      </w:r>
      <w:r>
        <w:rPr>
          <w:rFonts w:hint="eastAsia" w:ascii="仿宋" w:hAnsi="仿宋" w:eastAsia="仿宋"/>
          <w:sz w:val="32"/>
          <w:szCs w:val="32"/>
        </w:rPr>
        <w:t>人，在职职工</w:t>
      </w:r>
      <w:r>
        <w:rPr>
          <w:rFonts w:ascii="仿宋" w:hAnsi="仿宋" w:eastAsia="仿宋"/>
          <w:sz w:val="32"/>
          <w:szCs w:val="32"/>
        </w:rPr>
        <w:t>15</w:t>
      </w:r>
      <w:r>
        <w:rPr>
          <w:rFonts w:hint="eastAsia" w:ascii="仿宋" w:hAnsi="仿宋" w:eastAsia="仿宋"/>
          <w:sz w:val="32"/>
          <w:szCs w:val="32"/>
        </w:rPr>
        <w:t>人，其中：参公人员</w:t>
      </w:r>
      <w:r>
        <w:rPr>
          <w:rFonts w:ascii="仿宋" w:hAnsi="仿宋" w:eastAsia="仿宋"/>
          <w:sz w:val="32"/>
          <w:szCs w:val="32"/>
        </w:rPr>
        <w:t>13</w:t>
      </w:r>
      <w:r>
        <w:rPr>
          <w:rFonts w:hint="eastAsia" w:ascii="仿宋" w:hAnsi="仿宋" w:eastAsia="仿宋"/>
          <w:sz w:val="32"/>
          <w:szCs w:val="32"/>
        </w:rPr>
        <w:t>人，工勤人员</w:t>
      </w:r>
      <w:r>
        <w:rPr>
          <w:rFonts w:ascii="仿宋" w:hAnsi="仿宋" w:eastAsia="仿宋"/>
          <w:sz w:val="32"/>
          <w:szCs w:val="32"/>
        </w:rPr>
        <w:t>2</w:t>
      </w:r>
      <w:r>
        <w:rPr>
          <w:rFonts w:hint="eastAsia" w:ascii="仿宋" w:hAnsi="仿宋" w:eastAsia="仿宋"/>
          <w:sz w:val="32"/>
          <w:szCs w:val="32"/>
        </w:rPr>
        <w:t>人。遗属</w:t>
      </w:r>
      <w:r>
        <w:rPr>
          <w:rFonts w:ascii="仿宋" w:hAnsi="仿宋" w:eastAsia="仿宋"/>
          <w:sz w:val="32"/>
          <w:szCs w:val="32"/>
        </w:rPr>
        <w:t>6</w:t>
      </w:r>
      <w:r>
        <w:rPr>
          <w:rFonts w:hint="eastAsia" w:ascii="仿宋" w:hAnsi="仿宋" w:eastAsia="仿宋"/>
          <w:sz w:val="32"/>
          <w:szCs w:val="32"/>
        </w:rPr>
        <w:t>人。</w:t>
      </w:r>
    </w:p>
    <w:p>
      <w:pPr>
        <w:pStyle w:val="3"/>
        <w:ind w:left="420"/>
        <w:rPr>
          <w:rFonts w:ascii="仿宋" w:hAnsi="仿宋" w:eastAsia="仿宋"/>
          <w:b w:val="0"/>
          <w:bCs w:val="0"/>
          <w:color w:val="000000"/>
        </w:rPr>
      </w:pPr>
      <w:r>
        <w:rPr>
          <w:rFonts w:hint="eastAsia" w:ascii="黑体" w:hAnsi="黑体" w:eastAsia="黑体" w:cs="黑体"/>
          <w:b w:val="0"/>
          <w:bCs w:val="0"/>
        </w:rPr>
        <w:t>二、部门财政资金收支情况</w:t>
      </w:r>
    </w:p>
    <w:p>
      <w:pPr>
        <w:numPr>
          <w:ilvl w:val="0"/>
          <w:numId w:val="9"/>
        </w:numPr>
        <w:spacing w:line="576" w:lineRule="exact"/>
        <w:rPr>
          <w:rFonts w:ascii="楷体" w:hAnsi="楷体" w:eastAsia="楷体" w:cs="楷体"/>
          <w:b/>
          <w:bCs/>
          <w:sz w:val="32"/>
          <w:szCs w:val="32"/>
        </w:rPr>
      </w:pPr>
      <w:r>
        <w:rPr>
          <w:rFonts w:hint="eastAsia" w:ascii="楷体" w:hAnsi="楷体" w:eastAsia="楷体" w:cs="楷体"/>
          <w:b/>
          <w:bCs/>
          <w:sz w:val="32"/>
          <w:szCs w:val="32"/>
        </w:rPr>
        <w:t>部门财政资金收入情况</w:t>
      </w:r>
    </w:p>
    <w:p>
      <w:pPr>
        <w:widowControl/>
        <w:adjustRightInd w:val="0"/>
        <w:snapToGrid w:val="0"/>
        <w:spacing w:line="576" w:lineRule="exact"/>
        <w:ind w:left="638" w:leftChars="304" w:firstLine="80" w:firstLineChars="25"/>
        <w:rPr>
          <w:rFonts w:ascii="楷体" w:hAnsi="楷体" w:eastAsia="楷体" w:cs="楷体"/>
          <w:b/>
          <w:bCs/>
          <w:sz w:val="32"/>
          <w:szCs w:val="32"/>
        </w:rPr>
      </w:pPr>
      <w:r>
        <w:rPr>
          <w:rFonts w:ascii="仿宋" w:hAnsi="仿宋" w:eastAsia="仿宋"/>
          <w:sz w:val="32"/>
          <w:szCs w:val="32"/>
        </w:rPr>
        <w:t>2020</w:t>
      </w:r>
      <w:r>
        <w:rPr>
          <w:rFonts w:hint="eastAsia" w:ascii="仿宋" w:hAnsi="仿宋" w:eastAsia="仿宋"/>
          <w:sz w:val="32"/>
          <w:szCs w:val="32"/>
        </w:rPr>
        <w:t>年本单位财政拨款收入决算总额为：</w:t>
      </w:r>
      <w:r>
        <w:rPr>
          <w:rFonts w:ascii="仿宋" w:hAnsi="仿宋" w:eastAsia="仿宋"/>
          <w:sz w:val="32"/>
          <w:szCs w:val="32"/>
        </w:rPr>
        <w:t>1411.35</w:t>
      </w:r>
      <w:r>
        <w:rPr>
          <w:rFonts w:hint="eastAsia" w:ascii="仿宋" w:hAnsi="仿宋" w:eastAsia="仿宋"/>
          <w:sz w:val="32"/>
          <w:szCs w:val="32"/>
        </w:rPr>
        <w:t>万元（二）</w:t>
      </w:r>
      <w:r>
        <w:rPr>
          <w:rFonts w:hint="eastAsia" w:ascii="楷体" w:hAnsi="楷体" w:eastAsia="楷体" w:cs="楷体"/>
          <w:b/>
          <w:bCs/>
          <w:sz w:val="32"/>
          <w:szCs w:val="32"/>
        </w:rPr>
        <w:t>部门财政资金支出情况</w:t>
      </w:r>
    </w:p>
    <w:p>
      <w:pPr>
        <w:widowControl/>
        <w:adjustRightInd w:val="0"/>
        <w:snapToGrid w:val="0"/>
        <w:spacing w:line="576" w:lineRule="exact"/>
        <w:ind w:firstLine="720"/>
        <w:rPr>
          <w:rFonts w:ascii="仿宋" w:hAnsi="仿宋" w:eastAsia="仿宋"/>
          <w:color w:val="000000"/>
          <w:sz w:val="32"/>
          <w:szCs w:val="32"/>
        </w:rPr>
      </w:pPr>
      <w:r>
        <w:rPr>
          <w:rFonts w:ascii="仿宋" w:hAnsi="仿宋" w:eastAsia="仿宋"/>
          <w:sz w:val="32"/>
          <w:szCs w:val="32"/>
        </w:rPr>
        <w:t>2020</w:t>
      </w:r>
      <w:r>
        <w:rPr>
          <w:rFonts w:hint="eastAsia" w:ascii="仿宋" w:hAnsi="仿宋" w:eastAsia="仿宋"/>
          <w:sz w:val="32"/>
          <w:szCs w:val="32"/>
        </w:rPr>
        <w:t>年本单位财政拨款支出决算总额为：</w:t>
      </w:r>
      <w:r>
        <w:rPr>
          <w:rFonts w:ascii="仿宋" w:hAnsi="仿宋" w:eastAsia="仿宋"/>
          <w:sz w:val="32"/>
          <w:szCs w:val="32"/>
        </w:rPr>
        <w:t>1040.04</w:t>
      </w:r>
      <w:r>
        <w:rPr>
          <w:rFonts w:hint="eastAsia" w:ascii="仿宋" w:hAnsi="仿宋" w:eastAsia="仿宋"/>
          <w:sz w:val="32"/>
          <w:szCs w:val="32"/>
        </w:rPr>
        <w:t>万元。其中按功能分类，社会保障和就业支出</w:t>
      </w:r>
      <w:r>
        <w:rPr>
          <w:rFonts w:ascii="仿宋" w:hAnsi="仿宋" w:eastAsia="仿宋"/>
          <w:sz w:val="32"/>
          <w:szCs w:val="32"/>
        </w:rPr>
        <w:t>27.28</w:t>
      </w:r>
      <w:r>
        <w:rPr>
          <w:rFonts w:hint="eastAsia" w:ascii="仿宋" w:hAnsi="仿宋" w:eastAsia="仿宋"/>
          <w:sz w:val="32"/>
          <w:szCs w:val="32"/>
        </w:rPr>
        <w:t>万元、医疗卫生与计划生育支出</w:t>
      </w:r>
      <w:r>
        <w:rPr>
          <w:rFonts w:ascii="仿宋" w:hAnsi="仿宋" w:eastAsia="仿宋"/>
          <w:sz w:val="32"/>
          <w:szCs w:val="32"/>
        </w:rPr>
        <w:t>16.40</w:t>
      </w:r>
      <w:r>
        <w:rPr>
          <w:rFonts w:hint="eastAsia" w:ascii="仿宋" w:hAnsi="仿宋" w:eastAsia="仿宋"/>
          <w:sz w:val="32"/>
          <w:szCs w:val="32"/>
        </w:rPr>
        <w:t>万元、农林水支出</w:t>
      </w:r>
      <w:r>
        <w:rPr>
          <w:rFonts w:ascii="仿宋" w:hAnsi="仿宋" w:eastAsia="仿宋"/>
          <w:sz w:val="32"/>
          <w:szCs w:val="32"/>
        </w:rPr>
        <w:t>3.07</w:t>
      </w:r>
      <w:r>
        <w:rPr>
          <w:rFonts w:hint="eastAsia" w:ascii="仿宋" w:hAnsi="仿宋" w:eastAsia="仿宋"/>
          <w:sz w:val="32"/>
          <w:szCs w:val="32"/>
        </w:rPr>
        <w:t>万元、粮油物质储备事务等支出</w:t>
      </w:r>
      <w:r>
        <w:rPr>
          <w:rFonts w:ascii="仿宋" w:hAnsi="仿宋" w:eastAsia="仿宋"/>
          <w:sz w:val="32"/>
          <w:szCs w:val="32"/>
        </w:rPr>
        <w:t>1345.47</w:t>
      </w:r>
      <w:r>
        <w:rPr>
          <w:rFonts w:hint="eastAsia" w:ascii="仿宋" w:hAnsi="仿宋" w:eastAsia="仿宋"/>
          <w:sz w:val="32"/>
          <w:szCs w:val="32"/>
        </w:rPr>
        <w:t>万元、住房保障支出</w:t>
      </w:r>
      <w:r>
        <w:rPr>
          <w:rFonts w:ascii="仿宋" w:hAnsi="仿宋" w:eastAsia="仿宋"/>
          <w:sz w:val="32"/>
          <w:szCs w:val="32"/>
        </w:rPr>
        <w:t>19.14</w:t>
      </w:r>
      <w:r>
        <w:rPr>
          <w:rFonts w:hint="eastAsia" w:ascii="仿宋" w:hAnsi="仿宋" w:eastAsia="仿宋"/>
          <w:sz w:val="32"/>
          <w:szCs w:val="32"/>
        </w:rPr>
        <w:t>万元；按支出性质分类，</w:t>
      </w:r>
      <w:r>
        <w:rPr>
          <w:rFonts w:hint="eastAsia" w:ascii="仿宋" w:hAnsi="仿宋" w:eastAsia="仿宋"/>
          <w:color w:val="000000"/>
          <w:sz w:val="32"/>
          <w:szCs w:val="32"/>
        </w:rPr>
        <w:t>基本支出</w:t>
      </w:r>
      <w:r>
        <w:rPr>
          <w:rFonts w:ascii="仿宋" w:hAnsi="仿宋" w:eastAsia="仿宋"/>
          <w:color w:val="000000"/>
          <w:sz w:val="32"/>
          <w:szCs w:val="32"/>
        </w:rPr>
        <w:t>292.33</w:t>
      </w:r>
      <w:r>
        <w:rPr>
          <w:rFonts w:hint="eastAsia" w:ascii="仿宋" w:hAnsi="仿宋" w:eastAsia="仿宋"/>
          <w:color w:val="000000"/>
          <w:sz w:val="32"/>
          <w:szCs w:val="32"/>
        </w:rPr>
        <w:t>万元、项目支出</w:t>
      </w:r>
      <w:r>
        <w:rPr>
          <w:rFonts w:ascii="仿宋" w:hAnsi="仿宋" w:eastAsia="仿宋"/>
          <w:color w:val="000000"/>
          <w:sz w:val="32"/>
          <w:szCs w:val="32"/>
        </w:rPr>
        <w:t>747.71</w:t>
      </w:r>
      <w:r>
        <w:rPr>
          <w:rFonts w:hint="eastAsia" w:ascii="仿宋" w:hAnsi="仿宋" w:eastAsia="仿宋"/>
          <w:color w:val="000000"/>
          <w:sz w:val="32"/>
          <w:szCs w:val="32"/>
        </w:rPr>
        <w:t>万元；按经济分类，工资福利支出</w:t>
      </w:r>
      <w:r>
        <w:rPr>
          <w:rFonts w:ascii="仿宋" w:hAnsi="仿宋" w:eastAsia="仿宋"/>
          <w:color w:val="000000"/>
          <w:sz w:val="32"/>
          <w:szCs w:val="32"/>
        </w:rPr>
        <w:t>238.71</w:t>
      </w:r>
      <w:r>
        <w:rPr>
          <w:rFonts w:hint="eastAsia" w:ascii="仿宋" w:hAnsi="仿宋" w:eastAsia="仿宋"/>
          <w:color w:val="000000"/>
          <w:sz w:val="32"/>
          <w:szCs w:val="32"/>
        </w:rPr>
        <w:t>万元、商品和服务支出</w:t>
      </w:r>
      <w:r>
        <w:rPr>
          <w:rFonts w:ascii="仿宋" w:hAnsi="仿宋" w:eastAsia="仿宋"/>
          <w:color w:val="000000"/>
          <w:sz w:val="32"/>
          <w:szCs w:val="32"/>
        </w:rPr>
        <w:t>11.08</w:t>
      </w:r>
      <w:r>
        <w:rPr>
          <w:rFonts w:hint="eastAsia" w:ascii="仿宋" w:hAnsi="仿宋" w:eastAsia="仿宋"/>
          <w:color w:val="000000"/>
          <w:sz w:val="32"/>
          <w:szCs w:val="32"/>
        </w:rPr>
        <w:t>万元、对个人和家庭的补助</w:t>
      </w:r>
      <w:r>
        <w:rPr>
          <w:rFonts w:ascii="仿宋" w:hAnsi="仿宋" w:eastAsia="仿宋"/>
          <w:color w:val="000000"/>
          <w:sz w:val="32"/>
          <w:szCs w:val="32"/>
        </w:rPr>
        <w:t>42.54</w:t>
      </w:r>
      <w:r>
        <w:rPr>
          <w:rFonts w:hint="eastAsia" w:ascii="仿宋" w:hAnsi="仿宋" w:eastAsia="仿宋"/>
          <w:color w:val="000000"/>
          <w:sz w:val="32"/>
          <w:szCs w:val="32"/>
        </w:rPr>
        <w:t>万元、基本建设支出</w:t>
      </w:r>
      <w:r>
        <w:rPr>
          <w:rFonts w:ascii="仿宋" w:hAnsi="仿宋" w:eastAsia="仿宋"/>
          <w:color w:val="000000"/>
          <w:sz w:val="32"/>
          <w:szCs w:val="32"/>
        </w:rPr>
        <w:t>747.71</w:t>
      </w:r>
      <w:r>
        <w:rPr>
          <w:rFonts w:hint="eastAsia" w:ascii="仿宋" w:hAnsi="仿宋" w:eastAsia="仿宋"/>
          <w:color w:val="000000"/>
          <w:sz w:val="32"/>
          <w:szCs w:val="32"/>
        </w:rPr>
        <w:t>万元。</w:t>
      </w:r>
    </w:p>
    <w:p>
      <w:pPr>
        <w:pStyle w:val="3"/>
        <w:spacing w:line="576" w:lineRule="exact"/>
        <w:ind w:firstLine="640" w:firstLineChars="200"/>
        <w:rPr>
          <w:rFonts w:ascii="黑体" w:hAnsi="黑体" w:eastAsia="黑体" w:cs="黑体"/>
          <w:b w:val="0"/>
          <w:bCs w:val="0"/>
        </w:rPr>
      </w:pPr>
      <w:r>
        <w:rPr>
          <w:rFonts w:hint="eastAsia" w:ascii="黑体" w:hAnsi="黑体" w:eastAsia="黑体" w:cs="黑体"/>
          <w:b w:val="0"/>
          <w:bCs w:val="0"/>
        </w:rPr>
        <w:t>三、部门整体预算绩效管理情况</w:t>
      </w:r>
    </w:p>
    <w:p>
      <w:pPr>
        <w:pStyle w:val="3"/>
        <w:spacing w:line="576" w:lineRule="exact"/>
        <w:ind w:firstLine="642" w:firstLineChars="200"/>
        <w:rPr>
          <w:rFonts w:ascii="仿宋" w:hAnsi="仿宋" w:eastAsia="仿宋" w:cs="黑体"/>
          <w:b w:val="0"/>
          <w:bCs w:val="0"/>
        </w:rPr>
      </w:pPr>
      <w:r>
        <w:rPr>
          <w:rFonts w:hint="eastAsia" w:ascii="仿宋" w:hAnsi="仿宋" w:eastAsia="仿宋" w:cs="楷体"/>
        </w:rPr>
        <w:t>（一）部门预算管理</w:t>
      </w:r>
    </w:p>
    <w:p>
      <w:pPr>
        <w:spacing w:line="576"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我中心认真学习贯彻党的十九大、省第十一次党代会和省委十一届三次、四次全会精神，以习近平新时代中国特色社会主义思想为指导，根据职能职责积极谋划，确定目标任务，积极发挥粮食和物资储备中心职能作用。按照</w:t>
      </w:r>
      <w:r>
        <w:rPr>
          <w:rFonts w:ascii="仿宋" w:hAnsi="仿宋" w:eastAsia="仿宋" w:cs="仿宋_GB2312"/>
          <w:sz w:val="32"/>
          <w:szCs w:val="32"/>
        </w:rPr>
        <w:t>2020</w:t>
      </w:r>
      <w:r>
        <w:rPr>
          <w:rFonts w:hint="eastAsia" w:ascii="仿宋" w:hAnsi="仿宋" w:eastAsia="仿宋" w:cs="仿宋_GB2312"/>
          <w:sz w:val="32"/>
          <w:szCs w:val="32"/>
        </w:rPr>
        <w:t>年部门预算编审要求，根据我中心职能职责，结合中长期规划和年度工作计划，明确了年度主要工作任务及年度内履职所要达到的总体产出和效果，认真填报了中心整体支出绩效目标设定了年度绩效数量指标、成本指标、效益指标等，详细反映了相应项目工作任务、达成的效果。</w:t>
      </w:r>
    </w:p>
    <w:p>
      <w:pPr>
        <w:spacing w:line="576" w:lineRule="exact"/>
        <w:ind w:firstLine="642" w:firstLineChars="200"/>
        <w:rPr>
          <w:rFonts w:ascii="仿宋" w:hAnsi="仿宋" w:eastAsia="仿宋" w:cs="楷体"/>
          <w:b/>
          <w:bCs/>
          <w:sz w:val="32"/>
          <w:szCs w:val="32"/>
        </w:rPr>
      </w:pPr>
      <w:r>
        <w:rPr>
          <w:rFonts w:hint="eastAsia" w:ascii="仿宋" w:hAnsi="仿宋" w:eastAsia="仿宋" w:cs="楷体"/>
          <w:b/>
          <w:bCs/>
          <w:sz w:val="32"/>
          <w:szCs w:val="32"/>
        </w:rPr>
        <w:t>（二）专项预算管理</w:t>
      </w:r>
    </w:p>
    <w:p>
      <w:pPr>
        <w:pStyle w:val="3"/>
        <w:spacing w:line="576" w:lineRule="exact"/>
        <w:ind w:firstLine="640" w:firstLineChars="200"/>
        <w:rPr>
          <w:rFonts w:ascii="仿宋" w:hAnsi="仿宋" w:eastAsia="仿宋" w:cs="仿宋_GB2312"/>
        </w:rPr>
      </w:pPr>
      <w:r>
        <w:rPr>
          <w:rFonts w:ascii="仿宋" w:hAnsi="仿宋" w:eastAsia="仿宋" w:cs="仿宋_GB2312"/>
          <w:b w:val="0"/>
          <w:bCs w:val="0"/>
        </w:rPr>
        <w:t>2020</w:t>
      </w:r>
      <w:r>
        <w:rPr>
          <w:rFonts w:hint="eastAsia" w:ascii="仿宋" w:hAnsi="仿宋" w:eastAsia="仿宋" w:cs="仿宋_GB2312"/>
          <w:b w:val="0"/>
          <w:bCs w:val="0"/>
        </w:rPr>
        <w:t>年，本单位无专项预算。</w:t>
      </w:r>
    </w:p>
    <w:p>
      <w:pPr>
        <w:spacing w:line="576" w:lineRule="exact"/>
        <w:ind w:firstLine="642" w:firstLineChars="200"/>
        <w:rPr>
          <w:rFonts w:ascii="仿宋" w:hAnsi="仿宋" w:eastAsia="仿宋" w:cs="楷体"/>
          <w:b/>
          <w:bCs/>
          <w:sz w:val="32"/>
          <w:szCs w:val="32"/>
        </w:rPr>
      </w:pPr>
      <w:r>
        <w:rPr>
          <w:rFonts w:hint="eastAsia" w:ascii="仿宋" w:hAnsi="仿宋" w:eastAsia="仿宋" w:cs="楷体"/>
          <w:b/>
          <w:bCs/>
          <w:sz w:val="32"/>
          <w:szCs w:val="32"/>
        </w:rPr>
        <w:t>（三）结果应用情况</w:t>
      </w:r>
    </w:p>
    <w:p>
      <w:pPr>
        <w:spacing w:line="576" w:lineRule="exact"/>
        <w:ind w:firstLine="640" w:firstLineChars="200"/>
        <w:rPr>
          <w:rFonts w:ascii="仿宋" w:hAnsi="仿宋" w:eastAsia="仿宋"/>
        </w:rPr>
      </w:pPr>
      <w:r>
        <w:rPr>
          <w:rFonts w:hint="eastAsia" w:ascii="仿宋" w:hAnsi="仿宋" w:eastAsia="仿宋" w:cs="仿宋_GB2312"/>
          <w:sz w:val="32"/>
          <w:szCs w:val="32"/>
        </w:rPr>
        <w:t>我单位对预算绩效管理工作开展情况认真进行了自查自评。绩效评价自查开展覆盖的项目支出，将评价结果作为预算安排的重要依据，参照项目年度预算执行情况、执行情况统筹项目支出需求，保障重点支出，调整支出结构，优化财政资金配置，不断强化绩效理念，推动我单位整体绩效管理水平不断提升。</w:t>
      </w:r>
    </w:p>
    <w:p>
      <w:pPr>
        <w:pStyle w:val="3"/>
        <w:ind w:firstLine="640" w:firstLineChars="200"/>
        <w:rPr>
          <w:rFonts w:ascii="黑体" w:hAnsi="黑体" w:eastAsia="黑体" w:cs="黑体"/>
          <w:b w:val="0"/>
          <w:bCs w:val="0"/>
        </w:rPr>
      </w:pPr>
      <w:r>
        <w:rPr>
          <w:rFonts w:hint="eastAsia" w:ascii="黑体" w:hAnsi="黑体" w:eastAsia="黑体" w:cs="黑体"/>
          <w:b w:val="0"/>
          <w:bCs w:val="0"/>
        </w:rPr>
        <w:t>四、评价结论及建议</w:t>
      </w:r>
    </w:p>
    <w:p>
      <w:pPr>
        <w:numPr>
          <w:ilvl w:val="0"/>
          <w:numId w:val="10"/>
        </w:numPr>
        <w:spacing w:line="576" w:lineRule="exact"/>
        <w:rPr>
          <w:rFonts w:ascii="仿宋" w:hAnsi="仿宋" w:eastAsia="仿宋" w:cs="楷体"/>
          <w:b/>
          <w:bCs/>
          <w:sz w:val="32"/>
          <w:szCs w:val="32"/>
        </w:rPr>
      </w:pPr>
      <w:r>
        <w:rPr>
          <w:rFonts w:hint="eastAsia" w:ascii="仿宋" w:hAnsi="仿宋" w:eastAsia="仿宋" w:cs="楷体"/>
          <w:b/>
          <w:bCs/>
          <w:sz w:val="32"/>
          <w:szCs w:val="32"/>
        </w:rPr>
        <w:t>评价结论</w:t>
      </w:r>
    </w:p>
    <w:p>
      <w:pPr>
        <w:widowControl/>
        <w:adjustRightInd w:val="0"/>
        <w:snapToGrid w:val="0"/>
        <w:spacing w:line="576" w:lineRule="exact"/>
        <w:ind w:firstLine="640" w:firstLineChars="200"/>
        <w:rPr>
          <w:rFonts w:ascii="仿宋" w:hAnsi="仿宋" w:eastAsia="仿宋"/>
        </w:rPr>
      </w:pPr>
      <w:r>
        <w:rPr>
          <w:rFonts w:hint="eastAsia" w:ascii="仿宋" w:hAnsi="仿宋" w:eastAsia="仿宋" w:cs="宋体"/>
          <w:color w:val="000000"/>
          <w:kern w:val="0"/>
          <w:sz w:val="32"/>
          <w:szCs w:val="32"/>
          <w:shd w:val="clear" w:color="auto" w:fill="FFFFFF"/>
          <w:lang w:val="zh-CN"/>
        </w:rPr>
        <w:t>总体看，我单位预算编制及执行决算较为准确，支出管理较为规范，财务管理制度较完善，部门整体绩效较好。</w:t>
      </w:r>
    </w:p>
    <w:p>
      <w:pPr>
        <w:numPr>
          <w:ilvl w:val="0"/>
          <w:numId w:val="10"/>
        </w:numPr>
        <w:spacing w:line="576" w:lineRule="exact"/>
        <w:rPr>
          <w:rFonts w:ascii="仿宋" w:hAnsi="仿宋" w:eastAsia="仿宋" w:cs="楷体"/>
          <w:b/>
          <w:bCs/>
          <w:sz w:val="32"/>
          <w:szCs w:val="32"/>
        </w:rPr>
      </w:pPr>
      <w:r>
        <w:rPr>
          <w:rFonts w:hint="eastAsia" w:ascii="仿宋" w:hAnsi="仿宋" w:eastAsia="仿宋" w:cs="楷体"/>
          <w:b/>
          <w:bCs/>
          <w:sz w:val="32"/>
          <w:szCs w:val="32"/>
        </w:rPr>
        <w:t>存在问题</w:t>
      </w:r>
    </w:p>
    <w:p>
      <w:pPr>
        <w:widowControl/>
        <w:adjustRightInd w:val="0"/>
        <w:snapToGrid w:val="0"/>
        <w:spacing w:line="576" w:lineRule="exact"/>
        <w:ind w:firstLine="720"/>
        <w:rPr>
          <w:rFonts w:ascii="仿宋" w:hAnsi="仿宋" w:eastAsia="仿宋"/>
        </w:rPr>
      </w:pPr>
      <w:r>
        <w:rPr>
          <w:rFonts w:hint="eastAsia" w:ascii="仿宋" w:hAnsi="仿宋" w:eastAsia="仿宋" w:cs="宋体"/>
          <w:color w:val="000000"/>
          <w:kern w:val="0"/>
          <w:sz w:val="32"/>
          <w:szCs w:val="32"/>
          <w:shd w:val="clear" w:color="auto" w:fill="FFFFFF"/>
          <w:lang w:val="zh-CN"/>
        </w:rPr>
        <w:t>内控制度管理质量不高，个别内控制度执行力不强、监督不力，导致制度管理质量不高。</w:t>
      </w:r>
    </w:p>
    <w:p>
      <w:pPr>
        <w:numPr>
          <w:ilvl w:val="0"/>
          <w:numId w:val="10"/>
        </w:numPr>
        <w:spacing w:line="576" w:lineRule="exact"/>
        <w:rPr>
          <w:rFonts w:ascii="仿宋" w:hAnsi="仿宋" w:eastAsia="仿宋" w:cs="楷体"/>
          <w:b/>
          <w:bCs/>
          <w:sz w:val="32"/>
          <w:szCs w:val="32"/>
        </w:rPr>
      </w:pPr>
      <w:r>
        <w:rPr>
          <w:rFonts w:hint="eastAsia" w:ascii="仿宋" w:hAnsi="仿宋" w:eastAsia="仿宋" w:cs="楷体"/>
          <w:b/>
          <w:bCs/>
          <w:sz w:val="32"/>
          <w:szCs w:val="32"/>
        </w:rPr>
        <w:t>改进建议</w:t>
      </w:r>
    </w:p>
    <w:p>
      <w:pPr>
        <w:spacing w:line="576" w:lineRule="exact"/>
        <w:ind w:firstLine="640" w:firstLineChars="200"/>
        <w:rPr>
          <w:rFonts w:ascii="仿宋" w:hAnsi="仿宋" w:eastAsia="仿宋" w:cs="仿宋_GB2312"/>
          <w:sz w:val="32"/>
          <w:szCs w:val="32"/>
          <w:lang w:val="zh-CN"/>
        </w:rPr>
      </w:pPr>
      <w:r>
        <w:rPr>
          <w:rFonts w:hint="eastAsia" w:ascii="仿宋" w:hAnsi="仿宋" w:eastAsia="仿宋" w:cs="仿宋_GB2312"/>
          <w:sz w:val="32"/>
          <w:szCs w:val="32"/>
          <w:lang w:val="zh-CN"/>
        </w:rPr>
        <w:t>我们一定要提高预算编制质量，强化资金财务管理，加大内控管理制度，使我单位能更好的完成各项目标任务。</w:t>
      </w:r>
    </w:p>
    <w:p>
      <w:pPr>
        <w:numPr>
          <w:ilvl w:val="0"/>
          <w:numId w:val="0"/>
        </w:numPr>
        <w:spacing w:line="600" w:lineRule="exact"/>
        <w:jc w:val="center"/>
        <w:outlineLvl w:val="0"/>
        <w:rPr>
          <w:rStyle w:val="22"/>
          <w:rFonts w:ascii="方正小标宋简体" w:hAnsi="方正小标宋简体" w:eastAsia="方正小标宋简体" w:cs="方正小标宋简体"/>
          <w:b w:val="0"/>
        </w:rPr>
      </w:pPr>
      <w:bookmarkStart w:id="58" w:name="_Toc15396618"/>
      <w:r>
        <w:rPr>
          <w:rFonts w:ascii="仿宋" w:hAnsi="仿宋" w:eastAsia="仿宋" w:cs="方正小标宋简体"/>
          <w:color w:val="000000"/>
          <w:sz w:val="44"/>
          <w:szCs w:val="44"/>
        </w:rPr>
        <w:br w:type="page"/>
      </w:r>
      <w:r>
        <w:rPr>
          <w:rStyle w:val="22"/>
          <w:rFonts w:hint="eastAsia" w:ascii="方正小标宋简体" w:hAnsi="方正小标宋简体" w:eastAsia="方正小标宋简体" w:cs="方正小标宋简体"/>
          <w:b w:val="0"/>
          <w:lang w:eastAsia="zh-CN"/>
        </w:rPr>
        <w:t>第五部分</w:t>
      </w:r>
      <w:r>
        <w:rPr>
          <w:rStyle w:val="22"/>
          <w:rFonts w:hint="eastAsia" w:ascii="方正小标宋简体" w:hAnsi="方正小标宋简体" w:eastAsia="方正小标宋简体" w:cs="方正小标宋简体"/>
          <w:b w:val="0"/>
          <w:lang w:val="en-US" w:eastAsia="zh-CN"/>
        </w:rPr>
        <w:t xml:space="preserve">  </w:t>
      </w:r>
      <w:r>
        <w:rPr>
          <w:rStyle w:val="22"/>
          <w:rFonts w:hint="eastAsia" w:ascii="方正小标宋简体" w:hAnsi="方正小标宋简体" w:eastAsia="方正小标宋简体" w:cs="方正小标宋简体"/>
          <w:b w:val="0"/>
        </w:rPr>
        <w:t>附表</w:t>
      </w:r>
    </w:p>
    <w:p>
      <w:pPr>
        <w:pStyle w:val="3"/>
        <w:spacing w:line="576" w:lineRule="exact"/>
        <w:rPr>
          <w:rFonts w:ascii="仿宋" w:hAnsi="仿宋" w:eastAsia="仿宋"/>
          <w:color w:val="000000"/>
        </w:rPr>
      </w:pPr>
      <w:r>
        <w:rPr>
          <w:rFonts w:hint="eastAsia" w:ascii="仿宋" w:hAnsi="仿宋" w:eastAsia="仿宋"/>
          <w:b w:val="0"/>
          <w:color w:val="000000"/>
        </w:rPr>
        <w:t>一、收</w:t>
      </w:r>
      <w:r>
        <w:rPr>
          <w:rStyle w:val="23"/>
          <w:rFonts w:hint="eastAsia" w:ascii="仿宋" w:hAnsi="仿宋" w:eastAsia="仿宋"/>
          <w:b w:val="0"/>
          <w:bCs w:val="0"/>
        </w:rPr>
        <w:t>入支出决算总表</w:t>
      </w:r>
    </w:p>
    <w:p>
      <w:pPr>
        <w:pStyle w:val="3"/>
        <w:spacing w:line="576" w:lineRule="exact"/>
        <w:rPr>
          <w:rFonts w:ascii="仿宋" w:hAnsi="仿宋" w:eastAsia="仿宋"/>
          <w:color w:val="000000"/>
        </w:rPr>
      </w:pPr>
      <w:r>
        <w:rPr>
          <w:rFonts w:hint="eastAsia" w:ascii="仿宋" w:hAnsi="仿宋" w:eastAsia="仿宋"/>
          <w:b w:val="0"/>
          <w:color w:val="000000"/>
        </w:rPr>
        <w:t>二、收</w:t>
      </w:r>
      <w:r>
        <w:rPr>
          <w:rStyle w:val="23"/>
          <w:rFonts w:hint="eastAsia" w:ascii="仿宋" w:hAnsi="仿宋" w:eastAsia="仿宋"/>
          <w:b w:val="0"/>
          <w:bCs w:val="0"/>
        </w:rPr>
        <w:t>入总表</w:t>
      </w:r>
    </w:p>
    <w:p>
      <w:pPr>
        <w:pStyle w:val="3"/>
        <w:spacing w:line="576" w:lineRule="exact"/>
        <w:rPr>
          <w:rFonts w:ascii="仿宋" w:hAnsi="仿宋" w:eastAsia="仿宋"/>
          <w:color w:val="000000"/>
        </w:rPr>
      </w:pPr>
      <w:r>
        <w:rPr>
          <w:rStyle w:val="23"/>
          <w:rFonts w:hint="eastAsia" w:ascii="仿宋" w:hAnsi="仿宋" w:eastAsia="仿宋"/>
          <w:b w:val="0"/>
          <w:bCs w:val="0"/>
        </w:rPr>
        <w:t>三、</w:t>
      </w:r>
      <w:r>
        <w:rPr>
          <w:rFonts w:hint="eastAsia" w:ascii="仿宋" w:hAnsi="仿宋" w:eastAsia="仿宋"/>
          <w:b w:val="0"/>
          <w:color w:val="000000"/>
        </w:rPr>
        <w:t>支</w:t>
      </w:r>
      <w:r>
        <w:rPr>
          <w:rStyle w:val="23"/>
          <w:rFonts w:hint="eastAsia" w:ascii="仿宋" w:hAnsi="仿宋" w:eastAsia="仿宋"/>
          <w:b w:val="0"/>
          <w:bCs w:val="0"/>
        </w:rPr>
        <w:t>出总表</w:t>
      </w:r>
    </w:p>
    <w:p>
      <w:pPr>
        <w:pStyle w:val="3"/>
        <w:spacing w:line="576" w:lineRule="exact"/>
        <w:rPr>
          <w:rFonts w:ascii="仿宋" w:hAnsi="仿宋" w:eastAsia="仿宋"/>
          <w:b w:val="0"/>
          <w:color w:val="000000"/>
        </w:rPr>
      </w:pPr>
      <w:r>
        <w:rPr>
          <w:rStyle w:val="23"/>
          <w:rFonts w:hint="eastAsia" w:ascii="仿宋" w:hAnsi="仿宋" w:eastAsia="仿宋"/>
          <w:b w:val="0"/>
          <w:bCs w:val="0"/>
        </w:rPr>
        <w:t>四、</w:t>
      </w:r>
      <w:r>
        <w:rPr>
          <w:rFonts w:hint="eastAsia" w:ascii="仿宋" w:hAnsi="仿宋" w:eastAsia="仿宋"/>
          <w:b w:val="0"/>
          <w:color w:val="000000"/>
        </w:rPr>
        <w:t>财</w:t>
      </w:r>
      <w:r>
        <w:rPr>
          <w:rStyle w:val="23"/>
          <w:rFonts w:hint="eastAsia" w:ascii="仿宋" w:hAnsi="仿宋" w:eastAsia="仿宋"/>
          <w:b w:val="0"/>
          <w:bCs w:val="0"/>
        </w:rPr>
        <w:t>政拨款收入支出决算总表</w:t>
      </w:r>
    </w:p>
    <w:p>
      <w:pPr>
        <w:pStyle w:val="3"/>
        <w:spacing w:line="576" w:lineRule="exact"/>
        <w:rPr>
          <w:rFonts w:ascii="仿宋" w:hAnsi="仿宋" w:eastAsia="仿宋"/>
          <w:color w:val="000000"/>
        </w:rPr>
      </w:pPr>
      <w:r>
        <w:rPr>
          <w:rStyle w:val="23"/>
          <w:rFonts w:hint="eastAsia" w:ascii="仿宋" w:hAnsi="仿宋" w:eastAsia="仿宋"/>
          <w:b w:val="0"/>
          <w:bCs w:val="0"/>
        </w:rPr>
        <w:t>五、</w:t>
      </w:r>
      <w:r>
        <w:rPr>
          <w:rFonts w:hint="eastAsia" w:ascii="仿宋" w:hAnsi="仿宋" w:eastAsia="仿宋"/>
          <w:b w:val="0"/>
          <w:color w:val="000000"/>
        </w:rPr>
        <w:t>财</w:t>
      </w:r>
      <w:r>
        <w:rPr>
          <w:rStyle w:val="23"/>
          <w:rFonts w:hint="eastAsia" w:ascii="仿宋" w:hAnsi="仿宋" w:eastAsia="仿宋"/>
          <w:b w:val="0"/>
          <w:bCs w:val="0"/>
        </w:rPr>
        <w:t>政拨款支出决算明细表（政府经济分类科目）</w:t>
      </w:r>
    </w:p>
    <w:p>
      <w:pPr>
        <w:pStyle w:val="3"/>
        <w:spacing w:line="576" w:lineRule="exact"/>
        <w:rPr>
          <w:rFonts w:ascii="仿宋" w:hAnsi="仿宋" w:eastAsia="仿宋"/>
          <w:color w:val="000000"/>
        </w:rPr>
      </w:pPr>
      <w:r>
        <w:rPr>
          <w:rStyle w:val="23"/>
          <w:rFonts w:hint="eastAsia" w:ascii="仿宋" w:hAnsi="仿宋" w:eastAsia="仿宋"/>
          <w:b w:val="0"/>
          <w:bCs w:val="0"/>
        </w:rPr>
        <w:t>六、</w:t>
      </w:r>
      <w:r>
        <w:rPr>
          <w:rFonts w:hint="eastAsia" w:ascii="仿宋" w:hAnsi="仿宋" w:eastAsia="仿宋"/>
          <w:b w:val="0"/>
          <w:color w:val="000000"/>
        </w:rPr>
        <w:t>一</w:t>
      </w:r>
      <w:r>
        <w:rPr>
          <w:rStyle w:val="23"/>
          <w:rFonts w:hint="eastAsia" w:ascii="仿宋" w:hAnsi="仿宋" w:eastAsia="仿宋"/>
          <w:b w:val="0"/>
          <w:bCs w:val="0"/>
        </w:rPr>
        <w:t>般公共预算财政拨款支出决算表</w:t>
      </w:r>
    </w:p>
    <w:p>
      <w:pPr>
        <w:pStyle w:val="3"/>
        <w:spacing w:line="576" w:lineRule="exact"/>
        <w:rPr>
          <w:rFonts w:ascii="仿宋" w:hAnsi="仿宋" w:eastAsia="仿宋"/>
          <w:color w:val="000000"/>
        </w:rPr>
      </w:pPr>
      <w:r>
        <w:rPr>
          <w:rStyle w:val="23"/>
          <w:rFonts w:hint="eastAsia" w:ascii="仿宋" w:hAnsi="仿宋" w:eastAsia="仿宋"/>
          <w:b w:val="0"/>
          <w:bCs w:val="0"/>
        </w:rPr>
        <w:t>七、</w:t>
      </w:r>
      <w:r>
        <w:rPr>
          <w:rFonts w:hint="eastAsia" w:ascii="仿宋" w:hAnsi="仿宋" w:eastAsia="仿宋"/>
          <w:b w:val="0"/>
          <w:color w:val="000000"/>
        </w:rPr>
        <w:t>一</w:t>
      </w:r>
      <w:r>
        <w:rPr>
          <w:rStyle w:val="23"/>
          <w:rFonts w:hint="eastAsia" w:ascii="仿宋" w:hAnsi="仿宋" w:eastAsia="仿宋"/>
          <w:b w:val="0"/>
          <w:bCs w:val="0"/>
        </w:rPr>
        <w:t>般公共预算财政拨款支出决算明细表</w:t>
      </w:r>
    </w:p>
    <w:p>
      <w:pPr>
        <w:pStyle w:val="3"/>
        <w:spacing w:line="576" w:lineRule="exact"/>
        <w:rPr>
          <w:rFonts w:ascii="仿宋" w:hAnsi="仿宋" w:eastAsia="仿宋"/>
          <w:color w:val="000000"/>
        </w:rPr>
      </w:pPr>
      <w:r>
        <w:rPr>
          <w:rStyle w:val="23"/>
          <w:rFonts w:hint="eastAsia" w:ascii="仿宋" w:hAnsi="仿宋" w:eastAsia="仿宋"/>
          <w:b w:val="0"/>
          <w:bCs w:val="0"/>
        </w:rPr>
        <w:t>八、</w:t>
      </w:r>
      <w:r>
        <w:rPr>
          <w:rFonts w:hint="eastAsia" w:ascii="仿宋" w:hAnsi="仿宋" w:eastAsia="仿宋"/>
          <w:b w:val="0"/>
          <w:color w:val="000000"/>
        </w:rPr>
        <w:t>一</w:t>
      </w:r>
      <w:r>
        <w:rPr>
          <w:rStyle w:val="23"/>
          <w:rFonts w:hint="eastAsia" w:ascii="仿宋" w:hAnsi="仿宋" w:eastAsia="仿宋"/>
          <w:b w:val="0"/>
          <w:bCs w:val="0"/>
        </w:rPr>
        <w:t>般公共预算财政拨款基本支出决算表</w:t>
      </w:r>
    </w:p>
    <w:p>
      <w:pPr>
        <w:pStyle w:val="3"/>
        <w:spacing w:line="576" w:lineRule="exact"/>
        <w:rPr>
          <w:rFonts w:ascii="仿宋" w:hAnsi="仿宋" w:eastAsia="仿宋"/>
          <w:color w:val="000000"/>
        </w:rPr>
      </w:pPr>
      <w:r>
        <w:rPr>
          <w:rStyle w:val="23"/>
          <w:rFonts w:hint="eastAsia" w:ascii="仿宋" w:hAnsi="仿宋" w:eastAsia="仿宋"/>
          <w:b w:val="0"/>
          <w:bCs w:val="0"/>
        </w:rPr>
        <w:t>九、</w:t>
      </w:r>
      <w:r>
        <w:rPr>
          <w:rFonts w:hint="eastAsia" w:ascii="仿宋" w:hAnsi="仿宋" w:eastAsia="仿宋"/>
          <w:b w:val="0"/>
          <w:color w:val="000000"/>
        </w:rPr>
        <w:t>一</w:t>
      </w:r>
      <w:r>
        <w:rPr>
          <w:rStyle w:val="23"/>
          <w:rFonts w:hint="eastAsia" w:ascii="仿宋" w:hAnsi="仿宋" w:eastAsia="仿宋"/>
          <w:b w:val="0"/>
          <w:bCs w:val="0"/>
        </w:rPr>
        <w:t>般公共预算财政拨款项目支出决算表</w:t>
      </w:r>
    </w:p>
    <w:p>
      <w:pPr>
        <w:pStyle w:val="3"/>
        <w:spacing w:line="576" w:lineRule="exact"/>
        <w:rPr>
          <w:rFonts w:ascii="仿宋" w:hAnsi="仿宋" w:eastAsia="仿宋"/>
          <w:color w:val="000000"/>
        </w:rPr>
      </w:pPr>
      <w:r>
        <w:rPr>
          <w:rStyle w:val="23"/>
          <w:rFonts w:hint="eastAsia" w:ascii="仿宋" w:hAnsi="仿宋" w:eastAsia="仿宋"/>
          <w:b w:val="0"/>
          <w:bCs w:val="0"/>
        </w:rPr>
        <w:t>十、</w:t>
      </w:r>
      <w:r>
        <w:rPr>
          <w:rFonts w:hint="eastAsia" w:ascii="仿宋" w:hAnsi="仿宋" w:eastAsia="仿宋"/>
          <w:b w:val="0"/>
          <w:color w:val="000000"/>
        </w:rPr>
        <w:t>一</w:t>
      </w:r>
      <w:r>
        <w:rPr>
          <w:rStyle w:val="23"/>
          <w:rFonts w:hint="eastAsia" w:ascii="仿宋" w:hAnsi="仿宋" w:eastAsia="仿宋"/>
          <w:b w:val="0"/>
          <w:bCs w:val="0"/>
        </w:rPr>
        <w:t>般公共预算财政拨款“三公”经费支出决算表</w:t>
      </w:r>
    </w:p>
    <w:p>
      <w:pPr>
        <w:pStyle w:val="3"/>
        <w:spacing w:line="576" w:lineRule="exact"/>
        <w:rPr>
          <w:rFonts w:ascii="仿宋" w:hAnsi="仿宋" w:eastAsia="仿宋"/>
          <w:color w:val="000000"/>
        </w:rPr>
      </w:pPr>
      <w:r>
        <w:rPr>
          <w:rStyle w:val="23"/>
          <w:rFonts w:hint="eastAsia" w:ascii="仿宋" w:hAnsi="仿宋" w:eastAsia="仿宋"/>
          <w:b w:val="0"/>
          <w:bCs w:val="0"/>
        </w:rPr>
        <w:t>十一、</w:t>
      </w:r>
      <w:r>
        <w:rPr>
          <w:rFonts w:hint="eastAsia" w:ascii="仿宋" w:hAnsi="仿宋" w:eastAsia="仿宋"/>
          <w:b w:val="0"/>
          <w:color w:val="000000"/>
        </w:rPr>
        <w:t>政</w:t>
      </w:r>
      <w:r>
        <w:rPr>
          <w:rStyle w:val="23"/>
          <w:rFonts w:hint="eastAsia" w:ascii="仿宋" w:hAnsi="仿宋" w:eastAsia="仿宋"/>
          <w:b w:val="0"/>
          <w:bCs w:val="0"/>
        </w:rPr>
        <w:t>府性基金预算财政拨款收入支出决算表</w:t>
      </w:r>
    </w:p>
    <w:p>
      <w:pPr>
        <w:pStyle w:val="3"/>
        <w:spacing w:line="576" w:lineRule="exact"/>
        <w:rPr>
          <w:rFonts w:ascii="仿宋" w:hAnsi="仿宋" w:eastAsia="仿宋"/>
          <w:color w:val="000000"/>
        </w:rPr>
      </w:pPr>
      <w:r>
        <w:rPr>
          <w:rStyle w:val="23"/>
          <w:rFonts w:hint="eastAsia" w:ascii="仿宋" w:hAnsi="仿宋" w:eastAsia="仿宋"/>
          <w:b w:val="0"/>
          <w:bCs w:val="0"/>
        </w:rPr>
        <w:t>十二、</w:t>
      </w:r>
      <w:r>
        <w:rPr>
          <w:rFonts w:hint="eastAsia" w:ascii="仿宋" w:hAnsi="仿宋" w:eastAsia="仿宋"/>
          <w:b w:val="0"/>
          <w:color w:val="000000"/>
        </w:rPr>
        <w:t>政</w:t>
      </w:r>
      <w:r>
        <w:rPr>
          <w:rStyle w:val="23"/>
          <w:rFonts w:hint="eastAsia" w:ascii="仿宋" w:hAnsi="仿宋" w:eastAsia="仿宋"/>
          <w:b w:val="0"/>
          <w:bCs w:val="0"/>
        </w:rPr>
        <w:t>府性基金预算财政拨款“三公”经费支出决算表</w:t>
      </w:r>
    </w:p>
    <w:p>
      <w:pPr>
        <w:pStyle w:val="3"/>
        <w:spacing w:line="576" w:lineRule="exact"/>
        <w:rPr>
          <w:rFonts w:ascii="方正小标宋简体" w:hAnsi="方正小标宋简体" w:eastAsia="方正小标宋简体" w:cs="方正小标宋简体"/>
          <w:color w:val="000000"/>
          <w:sz w:val="44"/>
          <w:szCs w:val="44"/>
        </w:rPr>
        <w:sectPr>
          <w:footerReference r:id="rId6" w:type="first"/>
          <w:footerReference r:id="rId5" w:type="default"/>
          <w:pgSz w:w="11906" w:h="16838"/>
          <w:pgMar w:top="1440" w:right="1800" w:bottom="1440" w:left="1800" w:header="851" w:footer="992" w:gutter="0"/>
          <w:cols w:space="425" w:num="1"/>
          <w:titlePg/>
          <w:docGrid w:type="lines" w:linePitch="312" w:charSpace="0"/>
        </w:sectPr>
      </w:pPr>
      <w:r>
        <w:rPr>
          <w:rStyle w:val="23"/>
          <w:rFonts w:hint="eastAsia" w:ascii="仿宋" w:hAnsi="仿宋" w:eastAsia="仿宋"/>
          <w:b w:val="0"/>
          <w:bCs w:val="0"/>
        </w:rPr>
        <w:t>十三、</w:t>
      </w:r>
      <w:r>
        <w:rPr>
          <w:rFonts w:hint="eastAsia" w:ascii="仿宋" w:hAnsi="仿宋" w:eastAsia="仿宋"/>
          <w:b w:val="0"/>
          <w:color w:val="000000"/>
        </w:rPr>
        <w:t>国</w:t>
      </w:r>
      <w:r>
        <w:rPr>
          <w:rStyle w:val="23"/>
          <w:rFonts w:hint="eastAsia" w:ascii="仿宋" w:hAnsi="仿宋" w:eastAsia="仿宋"/>
          <w:b w:val="0"/>
          <w:bCs w:val="0"/>
        </w:rPr>
        <w:t>有资本经营预算支出</w:t>
      </w:r>
    </w:p>
    <w:bookmarkEnd w:id="56"/>
    <w:bookmarkEnd w:id="5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0" w:usb3="00000000" w:csb0="0000019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serif">
    <w:altName w:val="DejaVu Math TeX Gyre"/>
    <w:panose1 w:val="00000000000000000000"/>
    <w:charset w:val="00"/>
    <w:family w:val="auto"/>
    <w:pitch w:val="default"/>
    <w:sig w:usb0="00000000" w:usb1="00000000" w:usb2="00000000" w:usb3="00000000" w:csb0="00000001" w:csb1="00000000"/>
  </w:font>
  <w:font w:name="方正小标宋简体">
    <w:panose1 w:val="03000509000000000000"/>
    <w:charset w:val="86"/>
    <w:family w:val="script"/>
    <w:pitch w:val="default"/>
    <w:sig w:usb0="00000001" w:usb1="080E0000" w:usb2="00000000" w:usb3="00000000" w:csb0="00040000" w:csb1="00000000"/>
  </w:font>
  <w:font w:name="Malgun Gothic Semilight">
    <w:altName w:val="仿宋_GB2312"/>
    <w:panose1 w:val="00000000000000000000"/>
    <w:charset w:val="86"/>
    <w:family w:val="swiss"/>
    <w:pitch w:val="default"/>
    <w:sig w:usb0="00000000" w:usb1="00000000" w:usb2="00000012" w:usb3="00000000" w:csb0="003E01BD" w:csb1="00000000"/>
  </w:font>
  <w:font w:name="楷体">
    <w:altName w:val="方正楷体_GBK"/>
    <w:panose1 w:val="02010609060101010101"/>
    <w:charset w:val="86"/>
    <w:family w:val="modern"/>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jc w:val="center"/>
                          </w:pPr>
                          <w:r>
                            <w:fldChar w:fldCharType="begin"/>
                          </w:r>
                          <w:r>
                            <w:instrText xml:space="preserve">PAGE   \* MERGEFORMAT</w:instrText>
                          </w:r>
                          <w:r>
                            <w:fldChar w:fldCharType="separate"/>
                          </w:r>
                          <w:r>
                            <w:rPr>
                              <w:lang w:val="zh-CN"/>
                            </w:rPr>
                            <w:t>9</w:t>
                          </w:r>
                          <w:r>
                            <w:rPr>
                              <w:lang w:val="zh-CN"/>
                            </w:rPr>
                            <w:fldChar w:fldCharType="end"/>
                          </w:r>
                        </w:p>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NmcYOQyAgAAYwQAAA4AAAAAAAAAAQAgAAAA&#10;NQEAAGRycy9lMm9Eb2MueG1sUEsFBgAAAAAGAAYAWQEAANkFAAAAAA==&#10;">
              <v:fill on="f" focussize="0,0"/>
              <v:stroke on="f" weight="0.5pt"/>
              <v:imagedata o:title=""/>
              <o:lock v:ext="edit" aspectratio="f"/>
              <v:textbox inset="0mm,0mm,0mm,0mm" style="mso-fit-shape-to-text:t;">
                <w:txbxContent>
                  <w:p>
                    <w:pPr>
                      <w:pStyle w:val="6"/>
                      <w:jc w:val="center"/>
                    </w:pPr>
                    <w:r>
                      <w:fldChar w:fldCharType="begin"/>
                    </w:r>
                    <w:r>
                      <w:instrText xml:space="preserve">PAGE   \* MERGEFORMAT</w:instrText>
                    </w:r>
                    <w:r>
                      <w:fldChar w:fldCharType="separate"/>
                    </w:r>
                    <w:r>
                      <w:rPr>
                        <w:lang w:val="zh-CN"/>
                      </w:rPr>
                      <w:t>9</w:t>
                    </w:r>
                    <w:r>
                      <w:rPr>
                        <w:lang w:val="zh-CN"/>
                      </w:rPr>
                      <w:fldChar w:fldCharType="end"/>
                    </w:r>
                  </w:p>
                  <w:p/>
                </w:txbxContent>
              </v:textbox>
            </v:shape>
          </w:pict>
        </mc:Fallback>
      </mc:AlternateContent>
    </w:r>
  </w:p>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w/hMQIAAGU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&#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v/8P4TECAABlBAAADgAAAAAAAAABACAAAAA1&#10;AQAAZHJzL2Uyb0RvYy54bWxQSwUGAAAAAAYABgBZAQAA2A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AD20C4"/>
    <w:multiLevelType w:val="singleLevel"/>
    <w:tmpl w:val="BDAD20C4"/>
    <w:lvl w:ilvl="0" w:tentative="0">
      <w:start w:val="1"/>
      <w:numFmt w:val="chineseCounting"/>
      <w:suff w:val="nothing"/>
      <w:lvlText w:val="（%1）"/>
      <w:lvlJc w:val="left"/>
      <w:pPr>
        <w:ind w:firstLine="420"/>
      </w:pPr>
      <w:rPr>
        <w:rFonts w:hint="eastAsia" w:cs="Times New Roman"/>
      </w:rPr>
    </w:lvl>
  </w:abstractNum>
  <w:abstractNum w:abstractNumId="1">
    <w:nsid w:val="D2B405E2"/>
    <w:multiLevelType w:val="singleLevel"/>
    <w:tmpl w:val="D2B405E2"/>
    <w:lvl w:ilvl="0" w:tentative="0">
      <w:start w:val="1"/>
      <w:numFmt w:val="chineseCounting"/>
      <w:suff w:val="nothing"/>
      <w:lvlText w:val="（%1）"/>
      <w:lvlJc w:val="left"/>
      <w:pPr>
        <w:ind w:firstLine="420"/>
      </w:pPr>
      <w:rPr>
        <w:rFonts w:hint="eastAsia" w:cs="Times New Roman"/>
      </w:rPr>
    </w:lvl>
  </w:abstractNum>
  <w:abstractNum w:abstractNumId="2">
    <w:nsid w:val="E47F4D54"/>
    <w:multiLevelType w:val="singleLevel"/>
    <w:tmpl w:val="E47F4D54"/>
    <w:lvl w:ilvl="0" w:tentative="0">
      <w:start w:val="1"/>
      <w:numFmt w:val="chineseCounting"/>
      <w:suff w:val="nothing"/>
      <w:lvlText w:val="（%1）"/>
      <w:lvlJc w:val="left"/>
      <w:pPr>
        <w:ind w:firstLine="420"/>
      </w:pPr>
      <w:rPr>
        <w:rFonts w:hint="eastAsia" w:cs="Times New Roman"/>
      </w:rPr>
    </w:lvl>
  </w:abstractNum>
  <w:abstractNum w:abstractNumId="3">
    <w:nsid w:val="E9AB9F7D"/>
    <w:multiLevelType w:val="singleLevel"/>
    <w:tmpl w:val="E9AB9F7D"/>
    <w:lvl w:ilvl="0" w:tentative="0">
      <w:start w:val="1"/>
      <w:numFmt w:val="chineseCounting"/>
      <w:suff w:val="nothing"/>
      <w:lvlText w:val="（%1）"/>
      <w:lvlJc w:val="left"/>
      <w:pPr>
        <w:ind w:firstLine="420"/>
      </w:pPr>
      <w:rPr>
        <w:rFonts w:hint="eastAsia" w:cs="Times New Roman"/>
      </w:rPr>
    </w:lvl>
  </w:abstractNum>
  <w:abstractNum w:abstractNumId="4">
    <w:nsid w:val="EE7C0A43"/>
    <w:multiLevelType w:val="singleLevel"/>
    <w:tmpl w:val="EE7C0A43"/>
    <w:lvl w:ilvl="0" w:tentative="0">
      <w:start w:val="1"/>
      <w:numFmt w:val="chineseCounting"/>
      <w:suff w:val="nothing"/>
      <w:lvlText w:val="%1、"/>
      <w:lvlJc w:val="left"/>
      <w:pPr>
        <w:ind w:firstLine="420"/>
      </w:pPr>
      <w:rPr>
        <w:rFonts w:hint="eastAsia" w:cs="Times New Roman"/>
      </w:rPr>
    </w:lvl>
  </w:abstractNum>
  <w:abstractNum w:abstractNumId="5">
    <w:nsid w:val="F999FD7A"/>
    <w:multiLevelType w:val="singleLevel"/>
    <w:tmpl w:val="F999FD7A"/>
    <w:lvl w:ilvl="0" w:tentative="0">
      <w:start w:val="1"/>
      <w:numFmt w:val="chineseCounting"/>
      <w:suff w:val="nothing"/>
      <w:lvlText w:val="（%1）"/>
      <w:lvlJc w:val="left"/>
      <w:pPr>
        <w:ind w:firstLine="420"/>
      </w:pPr>
      <w:rPr>
        <w:rFonts w:hint="eastAsia" w:cs="Times New Roman"/>
      </w:rPr>
    </w:lvl>
  </w:abstractNum>
  <w:abstractNum w:abstractNumId="6">
    <w:nsid w:val="05963987"/>
    <w:multiLevelType w:val="singleLevel"/>
    <w:tmpl w:val="05963987"/>
    <w:lvl w:ilvl="0" w:tentative="0">
      <w:start w:val="1"/>
      <w:numFmt w:val="chineseCounting"/>
      <w:suff w:val="nothing"/>
      <w:lvlText w:val="（%1）"/>
      <w:lvlJc w:val="left"/>
      <w:pPr>
        <w:ind w:firstLine="420"/>
      </w:pPr>
      <w:rPr>
        <w:rFonts w:hint="eastAsia" w:cs="Times New Roman"/>
      </w:rPr>
    </w:lvl>
  </w:abstractNum>
  <w:abstractNum w:abstractNumId="7">
    <w:nsid w:val="1272550B"/>
    <w:multiLevelType w:val="multilevel"/>
    <w:tmpl w:val="1272550B"/>
    <w:lvl w:ilvl="0" w:tentative="0">
      <w:start w:val="1"/>
      <w:numFmt w:val="japaneseCounting"/>
      <w:lvlText w:val="%1、"/>
      <w:lvlJc w:val="left"/>
      <w:pPr>
        <w:ind w:left="1429"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8">
    <w:nsid w:val="47170206"/>
    <w:multiLevelType w:val="singleLevel"/>
    <w:tmpl w:val="47170206"/>
    <w:lvl w:ilvl="0" w:tentative="0">
      <w:start w:val="1"/>
      <w:numFmt w:val="chineseCounting"/>
      <w:suff w:val="nothing"/>
      <w:lvlText w:val="（%1）"/>
      <w:lvlJc w:val="left"/>
      <w:pPr>
        <w:ind w:firstLine="420"/>
      </w:pPr>
      <w:rPr>
        <w:rFonts w:hint="eastAsia" w:cs="Times New Roman"/>
      </w:rPr>
    </w:lvl>
  </w:abstractNum>
  <w:abstractNum w:abstractNumId="9">
    <w:nsid w:val="4E6F4D8C"/>
    <w:multiLevelType w:val="multilevel"/>
    <w:tmpl w:val="4E6F4D8C"/>
    <w:lvl w:ilvl="0" w:tentative="0">
      <w:start w:val="4"/>
      <w:numFmt w:val="japaneseCounting"/>
      <w:lvlText w:val="%1、"/>
      <w:lvlJc w:val="left"/>
      <w:pPr>
        <w:tabs>
          <w:tab w:val="left" w:pos="1429"/>
        </w:tabs>
        <w:ind w:left="1429" w:hanging="720"/>
      </w:pPr>
      <w:rPr>
        <w:rFonts w:hint="default" w:cs="Times New Roman"/>
        <w:color w:val="000000"/>
      </w:rPr>
    </w:lvl>
    <w:lvl w:ilvl="1" w:tentative="0">
      <w:start w:val="1"/>
      <w:numFmt w:val="lowerLetter"/>
      <w:lvlText w:val="%2)"/>
      <w:lvlJc w:val="left"/>
      <w:pPr>
        <w:tabs>
          <w:tab w:val="left" w:pos="1549"/>
        </w:tabs>
        <w:ind w:left="1549" w:hanging="420"/>
      </w:pPr>
      <w:rPr>
        <w:rFonts w:cs="Times New Roman"/>
      </w:rPr>
    </w:lvl>
    <w:lvl w:ilvl="2" w:tentative="0">
      <w:start w:val="1"/>
      <w:numFmt w:val="lowerRoman"/>
      <w:lvlText w:val="%3."/>
      <w:lvlJc w:val="right"/>
      <w:pPr>
        <w:tabs>
          <w:tab w:val="left" w:pos="1969"/>
        </w:tabs>
        <w:ind w:left="1969" w:hanging="420"/>
      </w:pPr>
      <w:rPr>
        <w:rFonts w:cs="Times New Roman"/>
      </w:rPr>
    </w:lvl>
    <w:lvl w:ilvl="3" w:tentative="0">
      <w:start w:val="1"/>
      <w:numFmt w:val="decimal"/>
      <w:lvlText w:val="%4."/>
      <w:lvlJc w:val="left"/>
      <w:pPr>
        <w:tabs>
          <w:tab w:val="left" w:pos="2389"/>
        </w:tabs>
        <w:ind w:left="2389" w:hanging="420"/>
      </w:pPr>
      <w:rPr>
        <w:rFonts w:cs="Times New Roman"/>
      </w:rPr>
    </w:lvl>
    <w:lvl w:ilvl="4" w:tentative="0">
      <w:start w:val="1"/>
      <w:numFmt w:val="lowerLetter"/>
      <w:lvlText w:val="%5)"/>
      <w:lvlJc w:val="left"/>
      <w:pPr>
        <w:tabs>
          <w:tab w:val="left" w:pos="2809"/>
        </w:tabs>
        <w:ind w:left="2809" w:hanging="420"/>
      </w:pPr>
      <w:rPr>
        <w:rFonts w:cs="Times New Roman"/>
      </w:rPr>
    </w:lvl>
    <w:lvl w:ilvl="5" w:tentative="0">
      <w:start w:val="1"/>
      <w:numFmt w:val="lowerRoman"/>
      <w:lvlText w:val="%6."/>
      <w:lvlJc w:val="right"/>
      <w:pPr>
        <w:tabs>
          <w:tab w:val="left" w:pos="3229"/>
        </w:tabs>
        <w:ind w:left="3229" w:hanging="420"/>
      </w:pPr>
      <w:rPr>
        <w:rFonts w:cs="Times New Roman"/>
      </w:rPr>
    </w:lvl>
    <w:lvl w:ilvl="6" w:tentative="0">
      <w:start w:val="1"/>
      <w:numFmt w:val="decimal"/>
      <w:lvlText w:val="%7."/>
      <w:lvlJc w:val="left"/>
      <w:pPr>
        <w:tabs>
          <w:tab w:val="left" w:pos="3649"/>
        </w:tabs>
        <w:ind w:left="3649" w:hanging="420"/>
      </w:pPr>
      <w:rPr>
        <w:rFonts w:cs="Times New Roman"/>
      </w:rPr>
    </w:lvl>
    <w:lvl w:ilvl="7" w:tentative="0">
      <w:start w:val="1"/>
      <w:numFmt w:val="lowerLetter"/>
      <w:lvlText w:val="%8)"/>
      <w:lvlJc w:val="left"/>
      <w:pPr>
        <w:tabs>
          <w:tab w:val="left" w:pos="4069"/>
        </w:tabs>
        <w:ind w:left="4069" w:hanging="420"/>
      </w:pPr>
      <w:rPr>
        <w:rFonts w:cs="Times New Roman"/>
      </w:rPr>
    </w:lvl>
    <w:lvl w:ilvl="8" w:tentative="0">
      <w:start w:val="1"/>
      <w:numFmt w:val="lowerRoman"/>
      <w:lvlText w:val="%9."/>
      <w:lvlJc w:val="right"/>
      <w:pPr>
        <w:tabs>
          <w:tab w:val="left" w:pos="4489"/>
        </w:tabs>
        <w:ind w:left="4489" w:hanging="420"/>
      </w:pPr>
      <w:rPr>
        <w:rFonts w:cs="Times New Roman"/>
      </w:rPr>
    </w:lvl>
  </w:abstractNum>
  <w:num w:numId="1">
    <w:abstractNumId w:val="7"/>
  </w:num>
  <w:num w:numId="2">
    <w:abstractNumId w:val="3"/>
  </w:num>
  <w:num w:numId="3">
    <w:abstractNumId w:val="1"/>
  </w:num>
  <w:num w:numId="4">
    <w:abstractNumId w:val="8"/>
  </w:num>
  <w:num w:numId="5">
    <w:abstractNumId w:val="9"/>
  </w:num>
  <w:num w:numId="6">
    <w:abstractNumId w:val="0"/>
  </w:num>
  <w:num w:numId="7">
    <w:abstractNumId w:val="4"/>
  </w:num>
  <w:num w:numId="8">
    <w:abstractNumId w:val="6"/>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B8476E"/>
    <w:rsid w:val="00082645"/>
    <w:rsid w:val="000945A1"/>
    <w:rsid w:val="000B0CA1"/>
    <w:rsid w:val="000E01E4"/>
    <w:rsid w:val="000E10DE"/>
    <w:rsid w:val="000F4A1B"/>
    <w:rsid w:val="00104143"/>
    <w:rsid w:val="00137FFD"/>
    <w:rsid w:val="001412A1"/>
    <w:rsid w:val="00143ECF"/>
    <w:rsid w:val="00164876"/>
    <w:rsid w:val="001A6F9E"/>
    <w:rsid w:val="001B1084"/>
    <w:rsid w:val="001C6572"/>
    <w:rsid w:val="001C67D2"/>
    <w:rsid w:val="002437EC"/>
    <w:rsid w:val="0024798D"/>
    <w:rsid w:val="00283E96"/>
    <w:rsid w:val="00293C74"/>
    <w:rsid w:val="002B6832"/>
    <w:rsid w:val="002B7DA2"/>
    <w:rsid w:val="002F4364"/>
    <w:rsid w:val="0033419E"/>
    <w:rsid w:val="003464B1"/>
    <w:rsid w:val="0034688C"/>
    <w:rsid w:val="003875CE"/>
    <w:rsid w:val="0039274B"/>
    <w:rsid w:val="003A6051"/>
    <w:rsid w:val="003F524C"/>
    <w:rsid w:val="00414A1C"/>
    <w:rsid w:val="00422E27"/>
    <w:rsid w:val="0046109C"/>
    <w:rsid w:val="004664C8"/>
    <w:rsid w:val="004A749C"/>
    <w:rsid w:val="004B3C5F"/>
    <w:rsid w:val="004D3379"/>
    <w:rsid w:val="004D5F69"/>
    <w:rsid w:val="004E0479"/>
    <w:rsid w:val="004E0BA5"/>
    <w:rsid w:val="004F1F42"/>
    <w:rsid w:val="00532C38"/>
    <w:rsid w:val="00544504"/>
    <w:rsid w:val="00550D97"/>
    <w:rsid w:val="00553F63"/>
    <w:rsid w:val="00563B7C"/>
    <w:rsid w:val="0057156C"/>
    <w:rsid w:val="005A4E71"/>
    <w:rsid w:val="005A5721"/>
    <w:rsid w:val="005F5E46"/>
    <w:rsid w:val="00610A1A"/>
    <w:rsid w:val="00612800"/>
    <w:rsid w:val="0062436E"/>
    <w:rsid w:val="0065427D"/>
    <w:rsid w:val="00664CFE"/>
    <w:rsid w:val="00693E09"/>
    <w:rsid w:val="006A12DB"/>
    <w:rsid w:val="006A732D"/>
    <w:rsid w:val="007027EE"/>
    <w:rsid w:val="00706E2C"/>
    <w:rsid w:val="00707826"/>
    <w:rsid w:val="00715C56"/>
    <w:rsid w:val="00723B1F"/>
    <w:rsid w:val="00732B64"/>
    <w:rsid w:val="00733E23"/>
    <w:rsid w:val="00743115"/>
    <w:rsid w:val="00746D79"/>
    <w:rsid w:val="007522AD"/>
    <w:rsid w:val="00757DCD"/>
    <w:rsid w:val="00790EC2"/>
    <w:rsid w:val="007D7ECB"/>
    <w:rsid w:val="00831899"/>
    <w:rsid w:val="00846CAE"/>
    <w:rsid w:val="008674A3"/>
    <w:rsid w:val="008A6B0E"/>
    <w:rsid w:val="008A6EB9"/>
    <w:rsid w:val="008C1678"/>
    <w:rsid w:val="008D0B23"/>
    <w:rsid w:val="008D1CC1"/>
    <w:rsid w:val="008D3544"/>
    <w:rsid w:val="00902B6A"/>
    <w:rsid w:val="009470D6"/>
    <w:rsid w:val="00986EC4"/>
    <w:rsid w:val="009B3815"/>
    <w:rsid w:val="009B7E1A"/>
    <w:rsid w:val="009E5C30"/>
    <w:rsid w:val="009F7623"/>
    <w:rsid w:val="00A15A37"/>
    <w:rsid w:val="00A5101C"/>
    <w:rsid w:val="00A87D83"/>
    <w:rsid w:val="00AB4AB0"/>
    <w:rsid w:val="00AC4C8C"/>
    <w:rsid w:val="00AD5DC6"/>
    <w:rsid w:val="00AF4463"/>
    <w:rsid w:val="00AF7FC9"/>
    <w:rsid w:val="00B048C9"/>
    <w:rsid w:val="00B4391E"/>
    <w:rsid w:val="00B43A69"/>
    <w:rsid w:val="00B44A44"/>
    <w:rsid w:val="00B54FCA"/>
    <w:rsid w:val="00B5645E"/>
    <w:rsid w:val="00B63495"/>
    <w:rsid w:val="00B76CB8"/>
    <w:rsid w:val="00BE317B"/>
    <w:rsid w:val="00BE5718"/>
    <w:rsid w:val="00C02149"/>
    <w:rsid w:val="00C0660A"/>
    <w:rsid w:val="00C30C0F"/>
    <w:rsid w:val="00C5593D"/>
    <w:rsid w:val="00C6678B"/>
    <w:rsid w:val="00C728E4"/>
    <w:rsid w:val="00C76BC7"/>
    <w:rsid w:val="00CA2AFF"/>
    <w:rsid w:val="00CB7CCE"/>
    <w:rsid w:val="00CE106B"/>
    <w:rsid w:val="00D03569"/>
    <w:rsid w:val="00D22317"/>
    <w:rsid w:val="00D2525B"/>
    <w:rsid w:val="00D37B27"/>
    <w:rsid w:val="00D4203B"/>
    <w:rsid w:val="00D56BFE"/>
    <w:rsid w:val="00DC6503"/>
    <w:rsid w:val="00DF136F"/>
    <w:rsid w:val="00DF70C4"/>
    <w:rsid w:val="00E16F22"/>
    <w:rsid w:val="00E44D65"/>
    <w:rsid w:val="00EF4FC2"/>
    <w:rsid w:val="00F17D5E"/>
    <w:rsid w:val="00F25B4E"/>
    <w:rsid w:val="00F6021C"/>
    <w:rsid w:val="00F85040"/>
    <w:rsid w:val="00F87C89"/>
    <w:rsid w:val="00F91B28"/>
    <w:rsid w:val="00F979DE"/>
    <w:rsid w:val="00FB0C62"/>
    <w:rsid w:val="00FB2FFB"/>
    <w:rsid w:val="00FD0871"/>
    <w:rsid w:val="01AD2A7E"/>
    <w:rsid w:val="031F4148"/>
    <w:rsid w:val="04F65CC6"/>
    <w:rsid w:val="074A55AD"/>
    <w:rsid w:val="074E369C"/>
    <w:rsid w:val="09C463E5"/>
    <w:rsid w:val="0B5A7CA8"/>
    <w:rsid w:val="0C140C64"/>
    <w:rsid w:val="0C75739D"/>
    <w:rsid w:val="0F4F19F3"/>
    <w:rsid w:val="0F911CC3"/>
    <w:rsid w:val="10450F54"/>
    <w:rsid w:val="12404222"/>
    <w:rsid w:val="12B03565"/>
    <w:rsid w:val="14EC5A25"/>
    <w:rsid w:val="15121CE2"/>
    <w:rsid w:val="15566DB3"/>
    <w:rsid w:val="16341660"/>
    <w:rsid w:val="17A54B1D"/>
    <w:rsid w:val="19A56953"/>
    <w:rsid w:val="1AD414D5"/>
    <w:rsid w:val="1B11105C"/>
    <w:rsid w:val="1BB8476E"/>
    <w:rsid w:val="1CC57E3D"/>
    <w:rsid w:val="1D357097"/>
    <w:rsid w:val="1E0E55DC"/>
    <w:rsid w:val="1FFA6777"/>
    <w:rsid w:val="25466CD4"/>
    <w:rsid w:val="255612F9"/>
    <w:rsid w:val="26DA0589"/>
    <w:rsid w:val="27DB6B21"/>
    <w:rsid w:val="29EA3E07"/>
    <w:rsid w:val="29F62D5C"/>
    <w:rsid w:val="2E053996"/>
    <w:rsid w:val="3337355C"/>
    <w:rsid w:val="352B1B97"/>
    <w:rsid w:val="361F03B0"/>
    <w:rsid w:val="36493F03"/>
    <w:rsid w:val="3825571E"/>
    <w:rsid w:val="397541D6"/>
    <w:rsid w:val="3A610464"/>
    <w:rsid w:val="3BBC351E"/>
    <w:rsid w:val="3C9D5211"/>
    <w:rsid w:val="3D26431D"/>
    <w:rsid w:val="3DF961E8"/>
    <w:rsid w:val="403F7B83"/>
    <w:rsid w:val="442F1339"/>
    <w:rsid w:val="44BB759D"/>
    <w:rsid w:val="45302620"/>
    <w:rsid w:val="458A0C2D"/>
    <w:rsid w:val="462E0BC3"/>
    <w:rsid w:val="48A912AA"/>
    <w:rsid w:val="48FE309F"/>
    <w:rsid w:val="494D0D60"/>
    <w:rsid w:val="49AB5695"/>
    <w:rsid w:val="4BBB23DF"/>
    <w:rsid w:val="4CB14649"/>
    <w:rsid w:val="4F272104"/>
    <w:rsid w:val="536652AD"/>
    <w:rsid w:val="53F220CF"/>
    <w:rsid w:val="553345F4"/>
    <w:rsid w:val="5CC04870"/>
    <w:rsid w:val="5E2D7A25"/>
    <w:rsid w:val="5F753F61"/>
    <w:rsid w:val="621F6117"/>
    <w:rsid w:val="622F4FF0"/>
    <w:rsid w:val="64484C94"/>
    <w:rsid w:val="64B52C47"/>
    <w:rsid w:val="67955DA4"/>
    <w:rsid w:val="68176FDC"/>
    <w:rsid w:val="6AB628AA"/>
    <w:rsid w:val="6CC42D9E"/>
    <w:rsid w:val="6D627D64"/>
    <w:rsid w:val="6ED63700"/>
    <w:rsid w:val="7093197A"/>
    <w:rsid w:val="71B12292"/>
    <w:rsid w:val="71E219AE"/>
    <w:rsid w:val="7355077D"/>
    <w:rsid w:val="7391537E"/>
    <w:rsid w:val="747D2659"/>
    <w:rsid w:val="74985FE9"/>
    <w:rsid w:val="768D70C3"/>
    <w:rsid w:val="76B27FC8"/>
    <w:rsid w:val="770C6463"/>
    <w:rsid w:val="77B3035B"/>
    <w:rsid w:val="77E15F85"/>
    <w:rsid w:val="7B36776C"/>
    <w:rsid w:val="7E716EBD"/>
    <w:rsid w:val="7ECA38D9"/>
    <w:rsid w:val="EFBF0A66"/>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uiPriority="99" w:name="HTML Typewriter" w:locked="1"/>
    <w:lsdException w:qFormat="1" w:unhideWhenUsed="0" w:uiPriority="99" w:semiHidden="0" w:name="HTML Variable"/>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23"/>
    <w:qFormat/>
    <w:uiPriority w:val="99"/>
    <w:pPr>
      <w:keepNext/>
      <w:keepLines/>
      <w:spacing w:before="260" w:after="260" w:line="416" w:lineRule="auto"/>
      <w:outlineLvl w:val="1"/>
    </w:pPr>
    <w:rPr>
      <w:rFonts w:ascii="Calibri Light" w:hAnsi="Calibri Light"/>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24"/>
    <w:qFormat/>
    <w:uiPriority w:val="99"/>
    <w:pPr>
      <w:spacing w:beforeLines="30"/>
    </w:pPr>
    <w:rPr>
      <w:rFonts w:ascii="仿宋_GB2312" w:eastAsia="仿宋_GB2312"/>
      <w:kern w:val="0"/>
      <w:sz w:val="30"/>
    </w:rPr>
  </w:style>
  <w:style w:type="paragraph" w:styleId="5">
    <w:name w:val="Balloon Text"/>
    <w:basedOn w:val="1"/>
    <w:link w:val="25"/>
    <w:semiHidden/>
    <w:qFormat/>
    <w:locked/>
    <w:uiPriority w:val="99"/>
    <w:rPr>
      <w:sz w:val="18"/>
      <w:szCs w:val="18"/>
    </w:rPr>
  </w:style>
  <w:style w:type="paragraph" w:styleId="6">
    <w:name w:val="footer"/>
    <w:basedOn w:val="1"/>
    <w:link w:val="26"/>
    <w:qFormat/>
    <w:uiPriority w:val="99"/>
    <w:pPr>
      <w:tabs>
        <w:tab w:val="center" w:pos="4153"/>
        <w:tab w:val="right" w:pos="8306"/>
      </w:tabs>
      <w:snapToGrid w:val="0"/>
      <w:jc w:val="left"/>
    </w:pPr>
    <w:rPr>
      <w:rFonts w:ascii="Calibri" w:hAnsi="Calibri"/>
      <w:kern w:val="0"/>
      <w:sz w:val="18"/>
      <w:szCs w:val="18"/>
    </w:rPr>
  </w:style>
  <w:style w:type="paragraph" w:styleId="7">
    <w:name w:val="header"/>
    <w:basedOn w:val="1"/>
    <w:link w:val="2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8">
    <w:name w:val="toc 1"/>
    <w:basedOn w:val="1"/>
    <w:next w:val="1"/>
    <w:qFormat/>
    <w:uiPriority w:val="99"/>
    <w:pPr>
      <w:tabs>
        <w:tab w:val="right" w:leader="dot" w:pos="8296"/>
      </w:tabs>
      <w:spacing w:before="93"/>
      <w:jc w:val="center"/>
    </w:pPr>
    <w:rPr>
      <w:rFonts w:ascii="仿宋" w:hAnsi="仿宋" w:eastAsia="仿宋"/>
      <w:sz w:val="28"/>
      <w:szCs w:val="28"/>
    </w:rPr>
  </w:style>
  <w:style w:type="paragraph" w:styleId="9">
    <w:name w:val="toc 2"/>
    <w:basedOn w:val="1"/>
    <w:next w:val="1"/>
    <w:qFormat/>
    <w:uiPriority w:val="99"/>
    <w:pPr>
      <w:tabs>
        <w:tab w:val="right" w:leader="dot" w:pos="8296"/>
      </w:tabs>
      <w:ind w:left="420" w:leftChars="200"/>
    </w:pPr>
  </w:style>
  <w:style w:type="character" w:styleId="12">
    <w:name w:val="Strong"/>
    <w:basedOn w:val="11"/>
    <w:qFormat/>
    <w:uiPriority w:val="99"/>
    <w:rPr>
      <w:rFonts w:cs="Times New Roman"/>
      <w:b/>
    </w:rPr>
  </w:style>
  <w:style w:type="character" w:styleId="13">
    <w:name w:val="FollowedHyperlink"/>
    <w:basedOn w:val="11"/>
    <w:qFormat/>
    <w:uiPriority w:val="99"/>
    <w:rPr>
      <w:rFonts w:cs="Times New Roman"/>
      <w:color w:val="338DE6"/>
      <w:u w:val="none"/>
    </w:rPr>
  </w:style>
  <w:style w:type="character" w:styleId="14">
    <w:name w:val="Emphasis"/>
    <w:basedOn w:val="11"/>
    <w:qFormat/>
    <w:uiPriority w:val="99"/>
    <w:rPr>
      <w:rFonts w:cs="Times New Roman"/>
    </w:rPr>
  </w:style>
  <w:style w:type="character" w:styleId="15">
    <w:name w:val="HTML Definition"/>
    <w:basedOn w:val="11"/>
    <w:qFormat/>
    <w:uiPriority w:val="99"/>
    <w:rPr>
      <w:rFonts w:cs="Times New Roman"/>
    </w:rPr>
  </w:style>
  <w:style w:type="character" w:styleId="16">
    <w:name w:val="HTML Variable"/>
    <w:basedOn w:val="11"/>
    <w:qFormat/>
    <w:uiPriority w:val="99"/>
    <w:rPr>
      <w:rFonts w:cs="Times New Roman"/>
    </w:rPr>
  </w:style>
  <w:style w:type="character" w:styleId="17">
    <w:name w:val="Hyperlink"/>
    <w:basedOn w:val="11"/>
    <w:qFormat/>
    <w:uiPriority w:val="99"/>
    <w:rPr>
      <w:rFonts w:cs="Times New Roman"/>
      <w:color w:val="0563C1"/>
      <w:u w:val="single"/>
    </w:rPr>
  </w:style>
  <w:style w:type="character" w:styleId="18">
    <w:name w:val="HTML Code"/>
    <w:basedOn w:val="11"/>
    <w:qFormat/>
    <w:uiPriority w:val="99"/>
    <w:rPr>
      <w:rFonts w:ascii="serif" w:hAnsi="serif" w:cs="serif"/>
      <w:sz w:val="21"/>
      <w:szCs w:val="21"/>
    </w:rPr>
  </w:style>
  <w:style w:type="character" w:styleId="19">
    <w:name w:val="HTML Cite"/>
    <w:basedOn w:val="11"/>
    <w:qFormat/>
    <w:uiPriority w:val="99"/>
    <w:rPr>
      <w:rFonts w:cs="Times New Roman"/>
    </w:rPr>
  </w:style>
  <w:style w:type="character" w:styleId="20">
    <w:name w:val="HTML Keyboard"/>
    <w:basedOn w:val="11"/>
    <w:qFormat/>
    <w:uiPriority w:val="99"/>
    <w:rPr>
      <w:rFonts w:ascii="serif" w:hAnsi="serif" w:cs="serif"/>
      <w:sz w:val="21"/>
      <w:szCs w:val="21"/>
    </w:rPr>
  </w:style>
  <w:style w:type="character" w:styleId="21">
    <w:name w:val="HTML Sample"/>
    <w:basedOn w:val="11"/>
    <w:qFormat/>
    <w:uiPriority w:val="99"/>
    <w:rPr>
      <w:rFonts w:ascii="serif" w:hAnsi="serif" w:cs="serif"/>
      <w:sz w:val="21"/>
      <w:szCs w:val="21"/>
    </w:rPr>
  </w:style>
  <w:style w:type="character" w:customStyle="1" w:styleId="22">
    <w:name w:val="标题 1 Char"/>
    <w:basedOn w:val="11"/>
    <w:link w:val="2"/>
    <w:qFormat/>
    <w:locked/>
    <w:uiPriority w:val="99"/>
    <w:rPr>
      <w:rFonts w:cs="Times New Roman"/>
      <w:b/>
      <w:bCs/>
      <w:kern w:val="44"/>
      <w:sz w:val="44"/>
      <w:szCs w:val="44"/>
    </w:rPr>
  </w:style>
  <w:style w:type="character" w:customStyle="1" w:styleId="23">
    <w:name w:val="标题 2 Char"/>
    <w:basedOn w:val="11"/>
    <w:link w:val="3"/>
    <w:qFormat/>
    <w:locked/>
    <w:uiPriority w:val="99"/>
    <w:rPr>
      <w:rFonts w:ascii="Calibri Light" w:hAnsi="Calibri Light" w:eastAsia="宋体" w:cs="Times New Roman"/>
      <w:b/>
      <w:bCs/>
      <w:sz w:val="32"/>
      <w:szCs w:val="32"/>
    </w:rPr>
  </w:style>
  <w:style w:type="character" w:customStyle="1" w:styleId="24">
    <w:name w:val="正文文本 Char"/>
    <w:basedOn w:val="11"/>
    <w:link w:val="4"/>
    <w:semiHidden/>
    <w:qFormat/>
    <w:locked/>
    <w:uiPriority w:val="99"/>
    <w:rPr>
      <w:rFonts w:cs="Times New Roman"/>
      <w:sz w:val="24"/>
      <w:szCs w:val="24"/>
    </w:rPr>
  </w:style>
  <w:style w:type="character" w:customStyle="1" w:styleId="25">
    <w:name w:val="批注框文本 Char"/>
    <w:basedOn w:val="11"/>
    <w:link w:val="5"/>
    <w:semiHidden/>
    <w:qFormat/>
    <w:locked/>
    <w:uiPriority w:val="99"/>
    <w:rPr>
      <w:rFonts w:cs="Times New Roman"/>
      <w:sz w:val="2"/>
    </w:rPr>
  </w:style>
  <w:style w:type="character" w:customStyle="1" w:styleId="26">
    <w:name w:val="页脚 Char"/>
    <w:basedOn w:val="11"/>
    <w:link w:val="6"/>
    <w:semiHidden/>
    <w:qFormat/>
    <w:locked/>
    <w:uiPriority w:val="99"/>
    <w:rPr>
      <w:rFonts w:cs="Times New Roman"/>
      <w:sz w:val="18"/>
      <w:szCs w:val="18"/>
    </w:rPr>
  </w:style>
  <w:style w:type="character" w:customStyle="1" w:styleId="27">
    <w:name w:val="页眉 Char"/>
    <w:basedOn w:val="11"/>
    <w:link w:val="7"/>
    <w:semiHidden/>
    <w:qFormat/>
    <w:locked/>
    <w:uiPriority w:val="99"/>
    <w:rPr>
      <w:rFonts w:cs="Times New Roman"/>
      <w:sz w:val="18"/>
      <w:szCs w:val="18"/>
    </w:rPr>
  </w:style>
  <w:style w:type="paragraph" w:styleId="28">
    <w:name w:val="List Paragraph"/>
    <w:basedOn w:val="1"/>
    <w:qFormat/>
    <w:uiPriority w:val="99"/>
    <w:pPr>
      <w:ind w:firstLine="420" w:firstLineChars="200"/>
    </w:pPr>
  </w:style>
  <w:style w:type="paragraph" w:customStyle="1" w:styleId="2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30">
    <w:name w:val="fontborder"/>
    <w:basedOn w:val="11"/>
    <w:qFormat/>
    <w:uiPriority w:val="99"/>
    <w:rPr>
      <w:rFonts w:cs="Times New Roman"/>
      <w:bdr w:val="single" w:color="000000" w:sz="4" w:space="0"/>
    </w:rPr>
  </w:style>
  <w:style w:type="character" w:customStyle="1" w:styleId="31">
    <w:name w:val="fontstrikethrough"/>
    <w:basedOn w:val="11"/>
    <w:qFormat/>
    <w:uiPriority w:val="99"/>
    <w:rPr>
      <w:rFonts w:cs="Times New Roman"/>
      <w:strike/>
    </w:rPr>
  </w:style>
  <w:style w:type="character" w:customStyle="1" w:styleId="32">
    <w:name w:val="font01"/>
    <w:basedOn w:val="11"/>
    <w:qFormat/>
    <w:uiPriority w:val="99"/>
    <w:rPr>
      <w:rFonts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w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6.wmf"/><Relationship Id="rId17" Type="http://schemas.openxmlformats.org/officeDocument/2006/relationships/oleObject" Target="embeddings/oleObject5.bin"/><Relationship Id="rId16" Type="http://schemas.openxmlformats.org/officeDocument/2006/relationships/image" Target="media/image5.wmf"/><Relationship Id="rId15" Type="http://schemas.openxmlformats.org/officeDocument/2006/relationships/oleObject" Target="embeddings/oleObject4.bin"/><Relationship Id="rId14" Type="http://schemas.openxmlformats.org/officeDocument/2006/relationships/image" Target="media/image4.emf"/><Relationship Id="rId13" Type="http://schemas.openxmlformats.org/officeDocument/2006/relationships/oleObject" Target="embeddings/oleObject3.bin"/><Relationship Id="rId12" Type="http://schemas.openxmlformats.org/officeDocument/2006/relationships/image" Target="media/image3.wmf"/><Relationship Id="rId11" Type="http://schemas.openxmlformats.org/officeDocument/2006/relationships/oleObject" Target="embeddings/oleObject2.bin"/><Relationship Id="rId10" Type="http://schemas.openxmlformats.org/officeDocument/2006/relationships/image" Target="media/image2.e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1028"/>
    <customShpInfo spid="_x0000_s1030"/>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26</Pages>
  <Words>8123</Words>
  <Characters>2461</Characters>
  <Lines>20</Lines>
  <Paragraphs>21</Paragraphs>
  <TotalTime>4</TotalTime>
  <ScaleCrop>false</ScaleCrop>
  <LinksUpToDate>false</LinksUpToDate>
  <CharactersWithSpaces>10563</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2020-09-22T10:52:00Z</dcterms:created>
  <dc:creator>若、</dc:creator>
  <cp:lastModifiedBy>user</cp:lastModifiedBy>
  <cp:lastPrinted>2021-09-25T10:34:00Z</cp:lastPrinted>
  <dcterms:modified xsi:type="dcterms:W3CDTF">2026-04-20T09:55:28Z</dcterms:modified>
  <dc:title>2019年度</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ies>
</file>