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uppressAutoHyphens/>
        <w:ind w:left="0" w:right="0"/>
        <w:jc w:val="center"/>
        <w:rPr>
          <w:rFonts w:hint="eastAsia" w:ascii="方正小标宋简体" w:eastAsia="方正小标宋简体" w:cs="Times New Roman"/>
          <w:kern w:val="2"/>
          <w:sz w:val="44"/>
          <w:szCs w:val="44"/>
        </w:rPr>
      </w:pPr>
      <w:bookmarkStart w:id="1" w:name="_GoBack"/>
      <w:bookmarkEnd w:id="1"/>
    </w:p>
    <w:p>
      <w:pPr>
        <w:pStyle w:val="8"/>
        <w:keepNext w:val="0"/>
        <w:keepLines w:val="0"/>
        <w:widowControl/>
        <w:suppressLineNumbers w:val="0"/>
        <w:suppressAutoHyphens/>
        <w:ind w:left="0" w:right="0"/>
        <w:jc w:val="center"/>
        <w:rPr>
          <w:rFonts w:hint="eastAsia" w:ascii="方正小标宋简体" w:eastAsia="方正小标宋简体" w:cs="方正小标宋简体"/>
          <w:kern w:val="2"/>
          <w:sz w:val="48"/>
          <w:szCs w:val="48"/>
        </w:rPr>
      </w:pPr>
    </w:p>
    <w:p>
      <w:pPr>
        <w:pStyle w:val="8"/>
        <w:keepNext w:val="0"/>
        <w:keepLines w:val="0"/>
        <w:widowControl/>
        <w:suppressLineNumbers w:val="0"/>
        <w:suppressAutoHyphens/>
        <w:ind w:left="0" w:right="0"/>
        <w:jc w:val="center"/>
        <w:rPr>
          <w:rFonts w:hint="eastAsia" w:ascii="方正小标宋简体" w:eastAsia="方正小标宋简体" w:cs="方正小标宋简体"/>
          <w:kern w:val="2"/>
          <w:sz w:val="48"/>
          <w:szCs w:val="48"/>
        </w:rPr>
      </w:pPr>
    </w:p>
    <w:p>
      <w:pPr>
        <w:pStyle w:val="8"/>
        <w:keepNext w:val="0"/>
        <w:keepLines w:val="0"/>
        <w:widowControl/>
        <w:suppressLineNumbers w:val="0"/>
        <w:suppressAutoHyphens/>
        <w:ind w:left="0" w:right="0"/>
        <w:jc w:val="center"/>
        <w:rPr>
          <w:rFonts w:hint="eastAsia" w:ascii="方正小标宋简体" w:eastAsia="方正小标宋简体" w:cs="方正小标宋简体"/>
          <w:kern w:val="2"/>
          <w:sz w:val="48"/>
          <w:szCs w:val="48"/>
        </w:rPr>
      </w:pPr>
      <w:r>
        <w:rPr>
          <w:rFonts w:hint="eastAsia" w:ascii="方正小标宋简体" w:eastAsia="方正小标宋简体" w:cs="方正小标宋简体"/>
          <w:kern w:val="2"/>
          <w:sz w:val="48"/>
          <w:szCs w:val="48"/>
        </w:rPr>
        <w:t>2023年度</w:t>
      </w:r>
    </w:p>
    <w:p>
      <w:pPr>
        <w:pStyle w:val="8"/>
        <w:keepNext w:val="0"/>
        <w:keepLines w:val="0"/>
        <w:widowControl/>
        <w:suppressLineNumbers w:val="0"/>
        <w:suppressAutoHyphens/>
        <w:ind w:left="0" w:right="0"/>
        <w:jc w:val="center"/>
        <w:rPr>
          <w:rFonts w:hint="eastAsia" w:ascii="方正小标宋简体" w:eastAsia="方正小标宋简体" w:cs="方正小标宋简体"/>
          <w:kern w:val="2"/>
          <w:sz w:val="48"/>
          <w:szCs w:val="48"/>
          <w:lang w:eastAsia="zh-CN"/>
        </w:rPr>
      </w:pPr>
      <w:r>
        <w:rPr>
          <w:rFonts w:hint="eastAsia" w:ascii="方正小标宋简体" w:eastAsia="方正小标宋简体" w:cs="方正小标宋简体"/>
          <w:kern w:val="2"/>
          <w:sz w:val="48"/>
          <w:szCs w:val="48"/>
        </w:rPr>
        <w:t>四川省阿坝州茂县</w:t>
      </w:r>
      <w:r>
        <w:rPr>
          <w:rFonts w:ascii="方正小标宋简体" w:eastAsia="方正小标宋简体" w:cs="方正小标宋简体"/>
          <w:kern w:val="2"/>
          <w:sz w:val="48"/>
          <w:szCs w:val="48"/>
          <w:lang w:eastAsia="zh-CN"/>
        </w:rPr>
        <w:t>粮食和物资储备中心</w:t>
      </w:r>
    </w:p>
    <w:p>
      <w:pPr>
        <w:pStyle w:val="8"/>
        <w:keepNext w:val="0"/>
        <w:keepLines w:val="0"/>
        <w:widowControl/>
        <w:suppressLineNumbers w:val="0"/>
        <w:suppressAutoHyphens/>
        <w:ind w:left="0" w:right="0"/>
        <w:jc w:val="center"/>
        <w:rPr>
          <w:rFonts w:hint="eastAsia" w:ascii="方正小标宋简体" w:eastAsia="方正小标宋简体" w:cs="Times New Roman"/>
          <w:kern w:val="2"/>
          <w:sz w:val="44"/>
          <w:szCs w:val="44"/>
        </w:rPr>
      </w:pPr>
      <w:r>
        <w:rPr>
          <w:rFonts w:hint="eastAsia" w:ascii="方正小标宋简体" w:eastAsia="方正小标宋简体" w:cs="方正小标宋简体"/>
          <w:kern w:val="2"/>
          <w:sz w:val="48"/>
          <w:szCs w:val="48"/>
        </w:rPr>
        <w:t>单位决算</w:t>
      </w:r>
    </w:p>
    <w:p>
      <w:pPr>
        <w:pStyle w:val="8"/>
        <w:keepNext w:val="0"/>
        <w:keepLines w:val="0"/>
        <w:widowControl/>
        <w:suppressLineNumbers w:val="0"/>
        <w:suppressAutoHyphens/>
        <w:ind w:left="0" w:right="0"/>
        <w:jc w:val="center"/>
        <w:rPr>
          <w:rFonts w:hint="eastAsia" w:ascii="黑体" w:eastAsia="黑体" w:cs="黑体"/>
          <w:kern w:val="2"/>
          <w:sz w:val="48"/>
          <w:szCs w:val="48"/>
          <w:lang w:val="en-US" w:eastAsia="zh-CN"/>
        </w:rPr>
        <w:sectPr>
          <w:footerReference r:id="rId3" w:type="even"/>
          <w:pgSz w:w="11906" w:h="16838"/>
          <w:pgMar w:top="1440" w:right="1800" w:bottom="1440" w:left="1800" w:header="851" w:footer="992" w:gutter="0"/>
          <w:pgNumType w:start="1"/>
          <w:cols w:space="720" w:num="1"/>
          <w:docGrid w:type="lines" w:linePitch="312" w:charSpace="0"/>
        </w:sectPr>
      </w:pPr>
    </w:p>
    <w:p>
      <w:pPr>
        <w:pStyle w:val="8"/>
        <w:keepNext w:val="0"/>
        <w:keepLines w:val="0"/>
        <w:widowControl/>
        <w:suppressLineNumbers w:val="0"/>
        <w:suppressAutoHyphens/>
        <w:ind w:left="0" w:right="0"/>
        <w:jc w:val="center"/>
        <w:rPr>
          <w:rFonts w:hint="eastAsia" w:ascii="黑体" w:eastAsia="黑体" w:cs="Times New Roman"/>
          <w:kern w:val="2"/>
          <w:sz w:val="48"/>
          <w:szCs w:val="48"/>
        </w:rPr>
      </w:pPr>
      <w:r>
        <w:rPr>
          <w:rFonts w:hint="eastAsia" w:ascii="黑体" w:eastAsia="黑体" w:cs="黑体"/>
          <w:kern w:val="2"/>
          <w:sz w:val="48"/>
          <w:szCs w:val="48"/>
          <w:lang w:val="en-US" w:eastAsia="zh-CN"/>
        </w:rPr>
        <w:t>目录</w:t>
      </w:r>
    </w:p>
    <w:p>
      <w:pPr>
        <w:keepNext w:val="0"/>
        <w:keepLines w:val="0"/>
        <w:widowControl/>
        <w:suppressLineNumbers w:val="0"/>
        <w:suppressAutoHyphens/>
        <w:spacing w:before="0" w:beforeAutospacing="0" w:after="0" w:afterAutospacing="0"/>
        <w:ind w:left="0" w:right="0"/>
        <w:jc w:val="center"/>
        <w:rPr>
          <w:rFonts w:hint="eastAsia" w:ascii="黑体" w:eastAsia="黑体" w:cs="Times New Roman"/>
          <w:kern w:val="2"/>
          <w:sz w:val="28"/>
          <w:szCs w:val="28"/>
        </w:rPr>
      </w:pPr>
      <w:r>
        <w:rPr>
          <w:rFonts w:hint="eastAsia" w:ascii="黑体" w:eastAsia="黑体" w:cs="Times New Roman"/>
          <w:kern w:val="2"/>
          <w:sz w:val="28"/>
          <w:szCs w:val="28"/>
          <w:lang w:val="en-US" w:eastAsia="zh-CN"/>
        </w:rPr>
        <w:t xml:space="preserve"> </w:t>
      </w:r>
    </w:p>
    <w:p>
      <w:pPr>
        <w:pStyle w:val="11"/>
        <w:keepNext w:val="0"/>
        <w:keepLines w:val="0"/>
        <w:widowControl/>
        <w:suppressLineNumbers w:val="0"/>
        <w:suppressAutoHyphens/>
        <w:spacing w:after="0" w:afterAutospacing="1"/>
        <w:ind w:left="0" w:right="0"/>
        <w:rPr>
          <w:rFonts w:hint="eastAsia" w:ascii="宋体" w:eastAsia="宋体" w:cs="宋体"/>
          <w:kern w:val="2"/>
          <w:sz w:val="24"/>
          <w:szCs w:val="24"/>
          <w:lang w:val="en-US" w:eastAsia="zh-CN"/>
        </w:rPr>
      </w:pPr>
      <w:r>
        <w:rPr>
          <w:rFonts w:hint="eastAsia" w:ascii="宋体" w:eastAsia="宋体" w:cs="宋体"/>
          <w:kern w:val="2"/>
          <w:sz w:val="24"/>
          <w:szCs w:val="24"/>
          <w:lang w:val="en-US" w:eastAsia="zh-CN"/>
        </w:rPr>
        <w:t xml:space="preserve">公开时间：2024年 </w:t>
      </w:r>
      <w:r>
        <w:rPr>
          <w:rFonts w:ascii="宋体" w:eastAsia="宋体" w:cs="宋体"/>
          <w:kern w:val="2"/>
          <w:sz w:val="24"/>
          <w:szCs w:val="24"/>
          <w:lang w:val="en-US" w:eastAsia="zh-CN"/>
        </w:rPr>
        <w:t>9</w:t>
      </w:r>
      <w:r>
        <w:rPr>
          <w:rFonts w:hint="eastAsia" w:ascii="宋体" w:eastAsia="宋体" w:cs="宋体"/>
          <w:kern w:val="2"/>
          <w:sz w:val="24"/>
          <w:szCs w:val="24"/>
          <w:lang w:val="en-US" w:eastAsia="zh-CN"/>
        </w:rPr>
        <w:t>月</w:t>
      </w:r>
      <w:r>
        <w:rPr>
          <w:rFonts w:ascii="宋体" w:eastAsia="宋体" w:cs="宋体"/>
          <w:kern w:val="2"/>
          <w:sz w:val="24"/>
          <w:szCs w:val="24"/>
          <w:lang w:val="en-US" w:eastAsia="zh-CN"/>
        </w:rPr>
        <w:t>25</w:t>
      </w:r>
      <w:r>
        <w:rPr>
          <w:rFonts w:hint="eastAsia" w:ascii="宋体" w:eastAsia="宋体" w:cs="宋体"/>
          <w:kern w:val="2"/>
          <w:sz w:val="24"/>
          <w:szCs w:val="24"/>
          <w:lang w:val="en-US" w:eastAsia="zh-CN"/>
        </w:rPr>
        <w:t xml:space="preserve"> 日</w:t>
      </w:r>
    </w:p>
    <w:p>
      <w:pPr>
        <w:pStyle w:val="11"/>
        <w:keepNext w:val="0"/>
        <w:keepLines w:val="0"/>
        <w:widowControl/>
        <w:suppressLineNumbers w:val="0"/>
        <w:suppressAutoHyphens/>
        <w:spacing w:after="0" w:afterAutospacing="1"/>
        <w:ind w:left="0" w:right="0"/>
        <w:jc w:val="both"/>
      </w:pPr>
      <w:r>
        <w:rPr>
          <w:rFonts w:hint="eastAsia" w:ascii="宋体" w:eastAsia="宋体" w:cs="宋体"/>
          <w:kern w:val="2"/>
          <w:sz w:val="24"/>
          <w:szCs w:val="24"/>
          <w:lang w:val="en-US" w:eastAsia="zh-CN"/>
        </w:rPr>
        <w:t>第一部分 单位概况...................................................1</w:t>
      </w:r>
    </w:p>
    <w:p>
      <w:pPr>
        <w:pStyle w:val="11"/>
        <w:keepNext w:val="0"/>
        <w:keepLines w:val="0"/>
        <w:widowControl/>
        <w:suppressLineNumbers w:val="0"/>
        <w:suppressAutoHyphens/>
        <w:spacing w:after="0" w:afterAutospacing="1"/>
        <w:ind w:left="0" w:right="0" w:firstLine="480" w:firstLineChars="20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一、主要职责....................................................1</w:t>
      </w:r>
    </w:p>
    <w:p>
      <w:pPr>
        <w:pStyle w:val="13"/>
        <w:keepNext w:val="0"/>
        <w:keepLines w:val="0"/>
        <w:widowControl/>
        <w:suppressLineNumbers w:val="0"/>
        <w:suppressAutoHyphens/>
        <w:adjustRightInd w:val="0"/>
        <w:snapToGrid w:val="0"/>
        <w:spacing w:before="0" w:beforeAutospacing="1" w:after="0" w:afterAutospacing="1" w:line="440" w:lineRule="exact"/>
        <w:ind w:left="0" w:leftChars="0" w:right="0" w:firstLine="480" w:firstLineChars="200"/>
        <w:jc w:val="left"/>
        <w:rPr>
          <w:rFonts w:hint="eastAsia" w:ascii="宋体" w:cs="宋体"/>
          <w:kern w:val="2"/>
          <w:sz w:val="24"/>
          <w:szCs w:val="24"/>
          <w:lang w:val="en-US" w:eastAsia="zh-CN"/>
        </w:rPr>
      </w:pPr>
      <w:r>
        <w:rPr>
          <w:rFonts w:hint="eastAsia" w:ascii="宋体" w:eastAsia="宋体" w:cs="宋体"/>
          <w:kern w:val="2"/>
          <w:sz w:val="24"/>
          <w:szCs w:val="24"/>
          <w:lang w:val="en-US" w:eastAsia="zh-CN"/>
        </w:rPr>
        <w:t>二、机构设置</w:t>
      </w:r>
      <w:r>
        <w:rPr>
          <w:rFonts w:hint="eastAsia" w:ascii="宋体" w:cs="宋体"/>
          <w:kern w:val="2"/>
          <w:sz w:val="24"/>
          <w:szCs w:val="24"/>
          <w:lang w:val="en-US" w:eastAsia="zh-CN"/>
        </w:rPr>
        <w:t>....................................................2</w:t>
      </w:r>
    </w:p>
    <w:p>
      <w:pPr>
        <w:pStyle w:val="13"/>
        <w:keepNext w:val="0"/>
        <w:keepLines w:val="0"/>
        <w:widowControl/>
        <w:suppressLineNumbers w:val="0"/>
        <w:suppressAutoHyphens/>
        <w:adjustRightInd w:val="0"/>
        <w:snapToGrid w:val="0"/>
        <w:spacing w:before="0" w:beforeAutospacing="1" w:after="0" w:afterAutospacing="1" w:line="440" w:lineRule="exact"/>
        <w:ind w:left="0" w:leftChars="0" w:right="0" w:firstLine="0"/>
        <w:jc w:val="left"/>
        <w:rPr>
          <w:rFonts w:ascii="宋体" w:eastAsia="宋体" w:cs="宋体"/>
          <w:kern w:val="2"/>
          <w:sz w:val="24"/>
          <w:szCs w:val="24"/>
          <w:lang w:val="en-US" w:eastAsia="zh-CN"/>
        </w:rPr>
      </w:pPr>
      <w:r>
        <w:rPr>
          <w:rFonts w:hint="eastAsia" w:ascii="宋体" w:cs="宋体"/>
          <w:kern w:val="2"/>
          <w:sz w:val="24"/>
          <w:szCs w:val="24"/>
          <w:lang w:val="en-US" w:eastAsia="zh-CN"/>
        </w:rPr>
        <w:t xml:space="preserve">第二部分 </w:t>
      </w:r>
      <w:r>
        <w:rPr>
          <w:rFonts w:hint="eastAsia" w:ascii="宋体" w:eastAsia="宋体" w:cs="宋体"/>
          <w:kern w:val="2"/>
          <w:sz w:val="24"/>
          <w:szCs w:val="24"/>
          <w:lang w:val="en-US" w:eastAsia="zh-CN"/>
        </w:rPr>
        <w:t>2023年度单位决算情况说明</w:t>
      </w:r>
      <w:r>
        <w:rPr>
          <w:rFonts w:hint="eastAsia" w:ascii="宋体" w:cs="宋体"/>
          <w:kern w:val="2"/>
          <w:sz w:val="24"/>
          <w:szCs w:val="24"/>
          <w:lang w:val="en-US" w:eastAsia="zh-CN"/>
        </w:rPr>
        <w:t>..................................2</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一、收入支出决算总体情况说明</w:t>
      </w:r>
      <w:r>
        <w:rPr>
          <w:rFonts w:hint="eastAsia" w:ascii="宋体" w:cs="宋体"/>
          <w:kern w:val="2"/>
          <w:sz w:val="24"/>
          <w:szCs w:val="24"/>
          <w:lang w:val="en-US" w:eastAsia="zh-CN"/>
        </w:rPr>
        <w:t>....................................2</w:t>
      </w:r>
      <w:r>
        <w:rPr>
          <w:rFonts w:hint="eastAsia" w:ascii="宋体" w:eastAsia="宋体" w:cs="宋体"/>
          <w:kern w:val="2"/>
          <w:sz w:val="24"/>
          <w:szCs w:val="24"/>
          <w:lang w:val="en-US" w:eastAsia="zh-CN"/>
        </w:rPr>
        <w:t>二、收入决算情况说明</w:t>
      </w:r>
      <w:r>
        <w:rPr>
          <w:rFonts w:hint="eastAsia" w:ascii="宋体" w:cs="宋体"/>
          <w:kern w:val="2"/>
          <w:sz w:val="24"/>
          <w:szCs w:val="24"/>
          <w:lang w:val="en-US" w:eastAsia="zh-CN"/>
        </w:rPr>
        <w:t>............................................3</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三、支出决算情况说明</w:t>
      </w:r>
      <w:r>
        <w:rPr>
          <w:rFonts w:hint="eastAsia" w:ascii="宋体" w:cs="宋体"/>
          <w:kern w:val="2"/>
          <w:sz w:val="24"/>
          <w:szCs w:val="24"/>
          <w:lang w:val="en-US" w:eastAsia="zh-CN"/>
        </w:rPr>
        <w:t>............................................3</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四、财政拨款收入支出决算总体情况说明</w:t>
      </w:r>
      <w:r>
        <w:rPr>
          <w:rFonts w:hint="eastAsia" w:ascii="宋体" w:cs="宋体"/>
          <w:kern w:val="2"/>
          <w:sz w:val="24"/>
          <w:szCs w:val="24"/>
          <w:lang w:val="en-US" w:eastAsia="zh-CN"/>
        </w:rPr>
        <w:t>............................4</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五、一般公共预算财政拨款支出决算情况说明</w:t>
      </w:r>
      <w:r>
        <w:rPr>
          <w:rFonts w:hint="eastAsia" w:ascii="宋体" w:cs="宋体"/>
          <w:kern w:val="2"/>
          <w:sz w:val="24"/>
          <w:szCs w:val="24"/>
          <w:lang w:val="en-US" w:eastAsia="zh-CN"/>
        </w:rPr>
        <w:t>........................4</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cs="宋体"/>
          <w:kern w:val="2"/>
          <w:sz w:val="24"/>
          <w:szCs w:val="24"/>
          <w:lang w:val="en-US" w:eastAsia="zh-CN"/>
        </w:rPr>
      </w:pPr>
      <w:r>
        <w:rPr>
          <w:rFonts w:hint="eastAsia" w:ascii="宋体" w:eastAsia="宋体" w:cs="宋体"/>
          <w:kern w:val="2"/>
          <w:sz w:val="24"/>
          <w:szCs w:val="24"/>
          <w:lang w:val="en-US" w:eastAsia="zh-CN"/>
        </w:rPr>
        <w:t>六、一般公共预算财政拨款基本支出决算情况说明</w:t>
      </w:r>
      <w:r>
        <w:rPr>
          <w:rFonts w:hint="eastAsia" w:ascii="宋体" w:cs="宋体"/>
          <w:kern w:val="2"/>
          <w:sz w:val="24"/>
          <w:szCs w:val="24"/>
          <w:lang w:val="en-US" w:eastAsia="zh-CN"/>
        </w:rPr>
        <w:t>....................6</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cs="宋体"/>
          <w:kern w:val="2"/>
          <w:sz w:val="24"/>
          <w:szCs w:val="24"/>
          <w:lang w:val="en-US" w:eastAsia="zh-CN"/>
        </w:rPr>
      </w:pPr>
      <w:r>
        <w:rPr>
          <w:rFonts w:hint="eastAsia" w:ascii="宋体" w:eastAsia="宋体" w:cs="宋体"/>
          <w:kern w:val="2"/>
          <w:sz w:val="24"/>
          <w:szCs w:val="24"/>
          <w:lang w:val="en-US" w:eastAsia="zh-CN"/>
        </w:rPr>
        <w:t>七、财政拨款“三公”经费支出决算情况说明</w:t>
      </w:r>
      <w:r>
        <w:rPr>
          <w:rFonts w:hint="eastAsia" w:ascii="宋体" w:cs="宋体"/>
          <w:kern w:val="2"/>
          <w:sz w:val="24"/>
          <w:szCs w:val="24"/>
          <w:lang w:val="en-US" w:eastAsia="zh-CN"/>
        </w:rPr>
        <w:t>........................7</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八、政府性基金预算支出决算情况说明</w:t>
      </w:r>
      <w:r>
        <w:rPr>
          <w:rFonts w:hint="eastAsia" w:ascii="宋体" w:cs="宋体"/>
          <w:kern w:val="2"/>
          <w:sz w:val="24"/>
          <w:szCs w:val="24"/>
          <w:lang w:val="en-US" w:eastAsia="zh-CN"/>
        </w:rPr>
        <w:t>..............................8</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九、国有资本经营预算支出决算情况说明</w:t>
      </w:r>
      <w:r>
        <w:rPr>
          <w:rFonts w:hint="eastAsia" w:ascii="宋体" w:cs="宋体"/>
          <w:kern w:val="2"/>
          <w:sz w:val="24"/>
          <w:szCs w:val="24"/>
          <w:lang w:val="en-US" w:eastAsia="zh-CN"/>
        </w:rPr>
        <w:t>............................8</w:t>
      </w:r>
    </w:p>
    <w:p>
      <w:pPr>
        <w:pStyle w:val="13"/>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十、其他重要事项的情况说明</w:t>
      </w:r>
      <w:r>
        <w:rPr>
          <w:rFonts w:hint="eastAsia" w:ascii="宋体" w:cs="宋体"/>
          <w:kern w:val="2"/>
          <w:sz w:val="24"/>
          <w:szCs w:val="24"/>
          <w:lang w:val="en-US" w:eastAsia="zh-CN"/>
        </w:rPr>
        <w:t>......................................8</w:t>
      </w:r>
    </w:p>
    <w:p>
      <w:pPr>
        <w:pStyle w:val="13"/>
        <w:keepNext w:val="0"/>
        <w:keepLines w:val="0"/>
        <w:widowControl/>
        <w:suppressLineNumbers w:val="0"/>
        <w:suppressAutoHyphens/>
        <w:adjustRightInd w:val="0"/>
        <w:snapToGrid w:val="0"/>
        <w:spacing w:before="0" w:beforeAutospacing="1" w:after="0" w:afterAutospacing="1" w:line="440" w:lineRule="exact"/>
        <w:ind w:left="0" w:leftChars="0" w:right="0" w:firstLine="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第三部分 名词解释</w:t>
      </w:r>
      <w:r>
        <w:rPr>
          <w:rFonts w:hint="eastAsia" w:ascii="宋体" w:cs="宋体"/>
          <w:kern w:val="2"/>
          <w:sz w:val="24"/>
          <w:szCs w:val="24"/>
          <w:lang w:val="en-US" w:eastAsia="zh-CN"/>
        </w:rPr>
        <w:t>..................................................10</w:t>
      </w:r>
    </w:p>
    <w:p>
      <w:pPr>
        <w:pStyle w:val="11"/>
        <w:keepNext w:val="0"/>
        <w:keepLines w:val="0"/>
        <w:widowControl/>
        <w:suppressLineNumbers w:val="0"/>
        <w:suppressAutoHyphens/>
        <w:adjustRightInd w:val="0"/>
        <w:snapToGrid w:val="0"/>
        <w:spacing w:before="0" w:beforeAutospacing="0" w:after="0" w:afterAutospacing="1" w:line="440" w:lineRule="exact"/>
        <w:ind w:left="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 xml:space="preserve">第四部分 </w:t>
      </w:r>
      <w:r>
        <w:rPr>
          <w:rFonts w:hint="eastAsia" w:cs="方正小标宋简体"/>
          <w:sz w:val="24"/>
          <w:lang w:bidi="ar-SA"/>
        </w:rPr>
        <w:t>2023年部门整体支出绩效评价报告</w:t>
      </w:r>
      <w:r>
        <w:rPr>
          <w:rFonts w:hint="eastAsia" w:ascii="宋体" w:eastAsia="宋体" w:cs="宋体"/>
          <w:kern w:val="2"/>
          <w:sz w:val="24"/>
          <w:szCs w:val="24"/>
          <w:lang w:val="en-US" w:eastAsia="zh-CN"/>
        </w:rPr>
        <w:t>........</w:t>
      </w:r>
      <w:r>
        <w:rPr>
          <w:rFonts w:hint="eastAsia" w:ascii="宋体" w:hAnsi="宋体" w:cs="宋体"/>
          <w:kern w:val="2"/>
          <w:sz w:val="24"/>
          <w:szCs w:val="24"/>
          <w:lang w:val="en-US" w:eastAsia="zh-CN"/>
        </w:rPr>
        <w:t>..................</w:t>
      </w:r>
      <w:r>
        <w:rPr>
          <w:rFonts w:hint="eastAsia" w:ascii="宋体" w:eastAsia="宋体" w:cs="宋体"/>
          <w:kern w:val="2"/>
          <w:sz w:val="24"/>
          <w:szCs w:val="24"/>
          <w:lang w:val="en-US" w:eastAsia="zh-CN"/>
        </w:rPr>
        <w:t>.13</w:t>
      </w:r>
    </w:p>
    <w:p>
      <w:pPr>
        <w:spacing w:line="600" w:lineRule="exact"/>
        <w:outlineLvl w:val="0"/>
        <w:rPr>
          <w:rFonts w:hint="eastAsia" w:ascii="黑体" w:eastAsia="黑体" w:cs="方正小标宋简体"/>
          <w:sz w:val="24"/>
          <w:lang w:bidi="ar-SA"/>
        </w:rPr>
      </w:pPr>
    </w:p>
    <w:p>
      <w:pPr>
        <w:pStyle w:val="11"/>
        <w:keepNext w:val="0"/>
        <w:keepLines w:val="0"/>
        <w:widowControl/>
        <w:suppressLineNumbers w:val="0"/>
        <w:suppressAutoHyphens/>
        <w:adjustRightInd w:val="0"/>
        <w:snapToGrid w:val="0"/>
        <w:spacing w:before="0" w:beforeAutospacing="0" w:after="0" w:afterAutospacing="1" w:line="440" w:lineRule="exact"/>
        <w:ind w:left="0" w:right="0"/>
        <w:jc w:val="left"/>
        <w:rPr>
          <w:rFonts w:hint="eastAsia" w:ascii="宋体" w:eastAsia="宋体" w:cs="宋体"/>
          <w:kern w:val="2"/>
          <w:sz w:val="24"/>
          <w:szCs w:val="24"/>
          <w:lang w:val="en-US" w:eastAsia="zh-CN"/>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pPr>
        <w:pStyle w:val="11"/>
        <w:keepNext w:val="0"/>
        <w:keepLines w:val="0"/>
        <w:widowControl/>
        <w:numPr>
          <w:ilvl w:val="0"/>
          <w:numId w:val="1"/>
        </w:numPr>
        <w:suppressLineNumbers w:val="0"/>
        <w:suppressAutoHyphens/>
        <w:adjustRightInd w:val="0"/>
        <w:snapToGrid w:val="0"/>
        <w:spacing w:before="0" w:beforeAutospacing="0" w:after="0" w:afterAutospacing="1" w:line="440" w:lineRule="exact"/>
        <w:ind w:left="0" w:right="0"/>
        <w:jc w:val="left"/>
        <w:rPr>
          <w:rFonts w:hint="eastAsia" w:ascii="宋体" w:eastAsia="宋体" w:cs="宋体"/>
          <w:kern w:val="2"/>
          <w:sz w:val="24"/>
          <w:szCs w:val="24"/>
          <w:lang w:val="en-US" w:eastAsia="zh-CN"/>
        </w:rPr>
      </w:pPr>
      <w:r>
        <w:rPr>
          <w:rFonts w:hint="eastAsia" w:ascii="宋体" w:eastAsia="宋体" w:cs="宋体"/>
          <w:kern w:val="2"/>
          <w:sz w:val="24"/>
          <w:szCs w:val="24"/>
          <w:lang w:val="en-US" w:eastAsia="zh-CN"/>
        </w:rPr>
        <w:t>附件......................................................</w:t>
      </w:r>
      <w:r>
        <w:rPr>
          <w:rFonts w:ascii="宋体" w:eastAsia="宋体" w:cs="宋体"/>
          <w:kern w:val="2"/>
          <w:sz w:val="24"/>
          <w:szCs w:val="24"/>
          <w:lang w:val="en-US" w:eastAsia="zh-CN"/>
        </w:rPr>
        <w:t>20</w:t>
      </w:r>
    </w:p>
    <w:p>
      <w:pPr>
        <w:pStyle w:val="13"/>
        <w:keepNext w:val="0"/>
        <w:keepLines w:val="0"/>
        <w:widowControl/>
        <w:suppressLineNumbers w:val="0"/>
        <w:suppressAutoHyphens/>
        <w:adjustRightInd w:val="0"/>
        <w:snapToGrid w:val="0"/>
        <w:spacing w:beforeAutospacing="1" w:afterAutospacing="1" w:line="440" w:lineRule="exact"/>
        <w:ind w:left="420" w:leftChars="200"/>
        <w:jc w:val="left"/>
        <w:rPr>
          <w:rFonts w:ascii="宋体" w:eastAsia="宋体" w:cs="宋体"/>
          <w:kern w:val="2"/>
          <w:sz w:val="24"/>
          <w:szCs w:val="24"/>
          <w:lang w:val="en-US" w:eastAsia="zh-CN"/>
        </w:rPr>
      </w:pPr>
    </w:p>
    <w:p>
      <w:pPr>
        <w:pStyle w:val="13"/>
        <w:keepNext w:val="0"/>
        <w:keepLines w:val="0"/>
        <w:widowControl/>
        <w:suppressLineNumbers w:val="0"/>
        <w:suppressAutoHyphens/>
        <w:adjustRightInd w:val="0"/>
        <w:snapToGrid w:val="0"/>
        <w:spacing w:beforeAutospacing="1" w:afterAutospacing="1" w:line="440" w:lineRule="exact"/>
        <w:ind w:left="420" w:leftChars="200"/>
        <w:jc w:val="left"/>
        <w:rPr>
          <w:rFonts w:ascii="宋体" w:eastAsia="宋体" w:cs="宋体"/>
          <w:kern w:val="2"/>
          <w:sz w:val="24"/>
          <w:szCs w:val="24"/>
          <w:lang w:val="en-US" w:eastAsia="zh-CN"/>
        </w:rPr>
      </w:pPr>
    </w:p>
    <w:p>
      <w:pPr>
        <w:keepNext w:val="0"/>
        <w:keepLines w:val="0"/>
        <w:pageBreakBefore w:val="0"/>
        <w:widowControl w:val="0"/>
        <w:suppressLineNumbers w:val="0"/>
        <w:suppressAutoHyphens w:val="0"/>
      </w:pPr>
    </w:p>
    <w:p>
      <w:pPr>
        <w:pStyle w:val="3"/>
        <w:keepNext/>
        <w:keepLines/>
        <w:widowControl/>
        <w:suppressLineNumbers w:val="0"/>
        <w:suppressAutoHyphens/>
        <w:rPr>
          <w:rFonts w:ascii="方正小标宋简体" w:eastAsia="方正小标宋简体" w:cs="方正小标宋简体"/>
          <w:lang w:bidi="ar-SA"/>
        </w:rPr>
      </w:pPr>
    </w:p>
    <w:p>
      <w:pPr>
        <w:keepNext w:val="0"/>
        <w:keepLines w:val="0"/>
        <w:pageBreakBefore w:val="0"/>
        <w:widowControl w:val="0"/>
        <w:suppressLineNumbers w:val="0"/>
        <w:suppressAutoHyphens w:val="0"/>
      </w:pPr>
    </w:p>
    <w:p>
      <w:pPr>
        <w:pStyle w:val="2"/>
        <w:keepNext w:val="0"/>
        <w:keepLines w:val="0"/>
        <w:pageBreakBefore w:val="0"/>
        <w:widowControl w:val="0"/>
        <w:suppressLineNumbers w:val="0"/>
        <w:suppressAutoHyphens w:val="0"/>
      </w:pPr>
    </w:p>
    <w:p>
      <w:pPr>
        <w:pStyle w:val="3"/>
        <w:keepNext/>
        <w:keepLines/>
        <w:widowControl/>
        <w:suppressLineNumbers w:val="0"/>
        <w:suppressAutoHyphens/>
        <w:rPr>
          <w:rFonts w:ascii="方正小标宋简体" w:eastAsia="方正小标宋简体" w:cs="方正小标宋简体"/>
          <w:lang w:bidi="ar-SA"/>
        </w:rPr>
      </w:pPr>
    </w:p>
    <w:p>
      <w:pPr>
        <w:keepNext w:val="0"/>
        <w:keepLines w:val="0"/>
        <w:pageBreakBefore w:val="0"/>
        <w:widowControl w:val="0"/>
        <w:suppressLineNumbers w:val="0"/>
        <w:suppressAutoHyphens w:val="0"/>
      </w:pPr>
    </w:p>
    <w:p>
      <w:pPr>
        <w:pStyle w:val="3"/>
        <w:keepNext/>
        <w:keepLines/>
        <w:widowControl/>
        <w:suppressLineNumbers w:val="0"/>
        <w:suppressAutoHyphens/>
        <w:rPr>
          <w:rFonts w:ascii="方正小标宋简体" w:eastAsia="方正小标宋简体" w:cs="方正小标宋简体"/>
          <w:lang w:bidi="ar-SA"/>
        </w:rPr>
      </w:pPr>
    </w:p>
    <w:p>
      <w:pPr>
        <w:keepNext w:val="0"/>
        <w:keepLines w:val="0"/>
        <w:pageBreakBefore w:val="0"/>
        <w:widowControl w:val="0"/>
        <w:suppressLineNumbers w:val="0"/>
        <w:suppressAutoHyphens w:val="0"/>
      </w:pPr>
    </w:p>
    <w:p>
      <w:pPr>
        <w:pStyle w:val="3"/>
        <w:keepNext/>
        <w:keepLines/>
        <w:widowControl/>
        <w:suppressLineNumbers w:val="0"/>
        <w:suppressAutoHyphens/>
        <w:rPr>
          <w:rFonts w:ascii="方正小标宋简体" w:eastAsia="方正小标宋简体" w:cs="方正小标宋简体"/>
          <w:lang w:bidi="ar-SA"/>
        </w:rPr>
      </w:pPr>
    </w:p>
    <w:p>
      <w:pPr>
        <w:keepNext w:val="0"/>
        <w:keepLines w:val="0"/>
        <w:pageBreakBefore w:val="0"/>
        <w:widowControl w:val="0"/>
        <w:suppressLineNumbers w:val="0"/>
        <w:suppressAutoHyphens w:val="0"/>
      </w:pPr>
    </w:p>
    <w:p>
      <w:pPr>
        <w:pStyle w:val="3"/>
        <w:keepNext/>
        <w:keepLines/>
        <w:widowControl/>
        <w:suppressLineNumbers w:val="0"/>
        <w:suppressAutoHyphens/>
        <w:rPr>
          <w:rFonts w:ascii="方正小标宋简体" w:eastAsia="方正小标宋简体" w:cs="方正小标宋简体"/>
          <w:lang w:bidi="ar-SA"/>
        </w:rPr>
      </w:pPr>
    </w:p>
    <w:p>
      <w:pPr>
        <w:keepNext w:val="0"/>
        <w:keepLines w:val="0"/>
        <w:pageBreakBefore w:val="0"/>
        <w:widowControl w:val="0"/>
        <w:suppressLineNumbers w:val="0"/>
        <w:suppressAutoHyphens w:val="0"/>
      </w:pPr>
    </w:p>
    <w:p>
      <w:pPr>
        <w:keepNext w:val="0"/>
        <w:keepLines w:val="0"/>
        <w:pageBreakBefore w:val="0"/>
        <w:widowControl w:val="0"/>
        <w:suppressLineNumbers w:val="0"/>
        <w:suppressAutoHyphens w:val="0"/>
      </w:pPr>
    </w:p>
    <w:p>
      <w:pPr>
        <w:keepNext w:val="0"/>
        <w:keepLines w:val="0"/>
        <w:pageBreakBefore w:val="0"/>
        <w:widowControl w:val="0"/>
        <w:suppressLineNumbers w:val="0"/>
        <w:suppressAutoHyphens w:val="0"/>
      </w:pPr>
    </w:p>
    <w:p>
      <w:pPr>
        <w:pStyle w:val="3"/>
        <w:keepNext/>
        <w:keepLines/>
        <w:widowControl/>
        <w:suppressLineNumbers w:val="0"/>
        <w:suppressAutoHyphens/>
        <w:ind w:firstLine="662" w:firstLineChars="150"/>
        <w:rPr>
          <w:rFonts w:ascii="黑体" w:eastAsia="黑体" w:cs="黑体"/>
          <w:b w:val="0"/>
          <w:bCs/>
          <w:kern w:val="44"/>
        </w:rPr>
      </w:pPr>
      <w:r>
        <w:rPr>
          <w:rFonts w:hint="eastAsia" w:ascii="方正小标宋简体" w:eastAsia="方正小标宋简体" w:cs="方正小标宋简体"/>
          <w:lang w:bidi="ar-SA"/>
        </w:rPr>
        <w:t>2023年部门整体支出绩效评价报告</w:t>
      </w:r>
      <w:r>
        <w:rPr>
          <w:rFonts w:hint="eastAsia" w:ascii="宋体" w:eastAsia="宋体" w:cs="宋体"/>
          <w:kern w:val="2"/>
          <w:lang w:val="en-US" w:eastAsia="zh-CN"/>
        </w:rPr>
        <w:t>.</w:t>
      </w:r>
    </w:p>
    <w:p>
      <w:pPr>
        <w:pStyle w:val="3"/>
        <w:keepNext/>
        <w:keepLines/>
        <w:widowControl/>
        <w:suppressLineNumbers w:val="0"/>
        <w:suppressAutoHyphens/>
        <w:ind w:firstLine="1980" w:firstLineChars="450"/>
        <w:rPr>
          <w:rFonts w:hint="eastAsia" w:ascii="黑体" w:eastAsia="黑体" w:cs="Times New Roman"/>
          <w:kern w:val="2"/>
          <w:sz w:val="32"/>
          <w:szCs w:val="32"/>
        </w:rPr>
      </w:pPr>
      <w:r>
        <w:rPr>
          <w:rFonts w:hint="eastAsia" w:ascii="黑体" w:eastAsia="黑体" w:cs="黑体"/>
          <w:b w:val="0"/>
          <w:bCs/>
          <w:kern w:val="44"/>
          <w:sz w:val="44"/>
          <w:szCs w:val="44"/>
        </w:rPr>
        <w:t>第一部分</w:t>
      </w:r>
      <w:r>
        <w:rPr>
          <w:rFonts w:hint="eastAsia" w:ascii="黑体" w:eastAsia="黑体" w:cs="Times New Roman"/>
          <w:b w:val="0"/>
          <w:bCs/>
          <w:kern w:val="44"/>
          <w:sz w:val="44"/>
          <w:szCs w:val="44"/>
        </w:rPr>
        <w:t xml:space="preserve"> </w:t>
      </w:r>
      <w:r>
        <w:rPr>
          <w:rFonts w:hint="eastAsia" w:ascii="黑体" w:eastAsia="黑体" w:cs="黑体"/>
          <w:b w:val="0"/>
          <w:bCs/>
          <w:kern w:val="44"/>
          <w:sz w:val="44"/>
          <w:szCs w:val="44"/>
        </w:rPr>
        <w:t>单位</w:t>
      </w:r>
      <w:r>
        <w:rPr>
          <w:rStyle w:val="21"/>
          <w:rFonts w:hint="eastAsia" w:ascii="黑体" w:eastAsia="黑体" w:cs="黑体"/>
          <w:b w:val="0"/>
          <w:bCs w:val="0"/>
          <w:kern w:val="44"/>
          <w:sz w:val="44"/>
          <w:szCs w:val="44"/>
        </w:rPr>
        <w:t>概况</w:t>
      </w:r>
    </w:p>
    <w:p>
      <w:pPr>
        <w:pStyle w:val="4"/>
        <w:keepNext/>
        <w:keepLines/>
        <w:pageBreakBefore w:val="0"/>
        <w:widowControl/>
        <w:numPr>
          <w:ilvl w:val="0"/>
          <w:numId w:val="2"/>
        </w:numPr>
        <w:suppressLineNumbers w:val="0"/>
        <w:suppressAutoHyphens/>
        <w:kinsoku/>
        <w:wordWrap/>
        <w:overflowPunct/>
        <w:topLinePunct w:val="0"/>
        <w:autoSpaceDE/>
        <w:autoSpaceDN/>
        <w:bidi w:val="0"/>
        <w:adjustRightInd/>
        <w:snapToGrid/>
        <w:spacing w:before="0" w:after="0" w:line="240" w:lineRule="auto"/>
        <w:ind w:left="0" w:firstLine="640" w:firstLineChars="200"/>
        <w:textAlignment w:val="auto"/>
        <w:rPr>
          <w:rFonts w:hint="eastAsia"/>
        </w:rPr>
      </w:pPr>
      <w:r>
        <w:rPr>
          <w:rStyle w:val="23"/>
          <w:rFonts w:hint="eastAsia" w:ascii="黑体" w:eastAsia="黑体" w:cs="黑体"/>
          <w:b w:val="0"/>
          <w:bCs w:val="0"/>
          <w:sz w:val="32"/>
          <w:szCs w:val="32"/>
        </w:rPr>
        <w:t>主要职责</w:t>
      </w:r>
    </w:p>
    <w:p>
      <w:pPr>
        <w:numPr>
          <w:ilvl w:val="0"/>
          <w:numId w:val="3"/>
        </w:numPr>
        <w:tabs>
          <w:tab w:val="left" w:pos="1619"/>
        </w:tabs>
        <w:ind w:left="179" w:firstLine="380"/>
        <w:rPr>
          <w:rFonts w:hint="eastAsia" w:ascii="仿宋" w:eastAsia="仿宋" w:cs="宋体"/>
          <w:color w:val="auto"/>
          <w:sz w:val="32"/>
          <w:szCs w:val="32"/>
          <w:lang w:bidi="ar-SA"/>
        </w:rPr>
      </w:pPr>
      <w:r>
        <w:rPr>
          <w:rFonts w:hint="eastAsia" w:ascii="仿宋" w:eastAsia="仿宋" w:cs="宋体"/>
          <w:color w:val="auto"/>
          <w:sz w:val="32"/>
          <w:szCs w:val="32"/>
          <w:lang w:val="en-US" w:eastAsia="zh-CN" w:bidi="ar-SA"/>
        </w:rPr>
        <w:t>贯彻执行《四川省粮食流通管理条例》和储备粮管理的方针、政策及法律、法规；加强粮食行政执法。拟定本县粮食流通和县级储备粮管理办法、粮食应急预案、规章制度和有关政策，并组织执行。</w:t>
      </w:r>
    </w:p>
    <w:p>
      <w:pPr>
        <w:numPr>
          <w:ilvl w:val="0"/>
          <w:numId w:val="3"/>
        </w:numPr>
        <w:tabs>
          <w:tab w:val="left" w:pos="1619"/>
        </w:tabs>
        <w:ind w:left="179" w:firstLine="380"/>
        <w:rPr>
          <w:rFonts w:hint="eastAsia" w:ascii="仿宋" w:eastAsia="仿宋" w:cs="宋体"/>
          <w:color w:val="auto"/>
          <w:sz w:val="32"/>
          <w:szCs w:val="32"/>
          <w:lang w:bidi="ar-SA"/>
        </w:rPr>
      </w:pPr>
      <w:r>
        <w:rPr>
          <w:rFonts w:ascii="仿宋" w:eastAsia="仿宋" w:cs="宋体"/>
          <w:color w:val="auto"/>
          <w:sz w:val="32"/>
          <w:szCs w:val="32"/>
          <w:lang w:val="en-US" w:eastAsia="zh-CN" w:bidi="ar-SA"/>
        </w:rPr>
        <w:t>拟</w:t>
      </w:r>
      <w:r>
        <w:rPr>
          <w:rFonts w:hint="eastAsia" w:ascii="仿宋" w:eastAsia="仿宋" w:cs="宋体"/>
          <w:color w:val="auto"/>
          <w:sz w:val="32"/>
          <w:szCs w:val="32"/>
          <w:lang w:val="en-US" w:eastAsia="zh-CN" w:bidi="ar-SA"/>
        </w:rPr>
        <w:t xml:space="preserve">订全县粮食流通体制改革方案并组织实施。研究提出全县粮食宏观调控、总量平衡以及粮食流通的中长期规划、收购、储存、动用县级储备粮的建议，并组织实施；拟定粮食产业化经营的措施，配合有关部门抓好商品粮油品种结构调整。 </w:t>
      </w:r>
    </w:p>
    <w:p>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3）负责州、县储备粮管理，指导全县粮食储备体系建设；制定县级储备粮管理的技术规范并监督执行；监督检查州、县储备粮库存数量、质量和安全；研究提出县级储备粮的收购、轮换、抛售计划，并组织实施。 </w:t>
      </w:r>
    </w:p>
    <w:p>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（4）管理社会粮食流通，保障军队、城镇居民、农村群众、应急救灾</w:t>
      </w:r>
      <w:r>
        <w:rPr>
          <w:rFonts w:ascii="仿宋" w:eastAsia="仿宋" w:cs="宋体"/>
          <w:color w:val="auto"/>
          <w:sz w:val="32"/>
          <w:szCs w:val="32"/>
          <w:lang w:val="en-US" w:eastAsia="zh-CN" w:bidi="ar-SA"/>
        </w:rPr>
        <w:t>和</w:t>
      </w:r>
      <w:r>
        <w:rPr>
          <w:rFonts w:hint="eastAsia" w:ascii="仿宋" w:eastAsia="仿宋" w:cs="宋体"/>
          <w:color w:val="auto"/>
          <w:sz w:val="32"/>
          <w:szCs w:val="32"/>
          <w:lang w:val="en-US" w:eastAsia="zh-CN" w:bidi="ar-SA"/>
        </w:rPr>
        <w:t xml:space="preserve">国家重点建设项目的粮食供应。 </w:t>
      </w:r>
    </w:p>
    <w:p>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（5）指导和协调全县粮食流通基础设施建设，编制全县粮油仓储、加工设施建设计划并组织实施；指导安全粮油网点建设，负责粮油仓储设施的报废、占用、拆迁等。</w:t>
      </w:r>
    </w:p>
    <w:p>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 (6)指导全县粮食流通市场的行业行政管理、国有粮食企业的改革；指导并推动行业的技术改造、新技术推广应用、安全生产和抢险救灾工作；指导全县农村科学储粮工作；承担行业统计工作。 </w:t>
      </w:r>
    </w:p>
    <w:p>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 (7)指导全县粮食财务管理工作；组织实施粮食财务和会计制度工作，负责国有企业资产的监督管理；会同有关部门做好粮食收购资金使用；编报全县粮食系统财务报表，组织编制年度决算。</w:t>
      </w:r>
    </w:p>
    <w:p>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 (8)协同质量技术监督部门做好粮食质量标准的管理工作；制定粮食储存、运输的技术规范，并监督执行。 </w:t>
      </w:r>
    </w:p>
    <w:p>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(9)负责全县各级储备粮轮换工作，并对外地粮食行业进行经济技术合作交流。 </w:t>
      </w:r>
    </w:p>
    <w:p>
      <w:pPr>
        <w:tabs>
          <w:tab w:val="left" w:pos="1619"/>
        </w:tabs>
        <w:ind w:left="0"/>
        <w:rPr>
          <w:rFonts w:hint="eastAsia" w:ascii="仿宋" w:eastAsia="仿宋" w:cs="宋体"/>
          <w:color w:val="auto"/>
          <w:sz w:val="32"/>
          <w:szCs w:val="32"/>
          <w:lang w:bidi="ar-SA"/>
        </w:rPr>
      </w:pPr>
      <w:r>
        <w:rPr>
          <w:rFonts w:hint="eastAsia" w:ascii="仿宋" w:eastAsia="仿宋" w:cs="宋体"/>
          <w:color w:val="auto"/>
          <w:sz w:val="32"/>
          <w:szCs w:val="32"/>
          <w:lang w:val="en-US" w:eastAsia="zh-CN" w:bidi="ar-SA"/>
        </w:rPr>
        <w:t xml:space="preserve"> </w:t>
      </w:r>
      <w:r>
        <w:rPr>
          <w:rFonts w:ascii="仿宋" w:eastAsia="仿宋" w:cs="宋体"/>
          <w:color w:val="auto"/>
          <w:sz w:val="32"/>
          <w:szCs w:val="32"/>
          <w:lang w:val="en-US" w:eastAsia="zh-CN" w:bidi="ar-SA"/>
        </w:rPr>
        <w:t xml:space="preserve">  </w:t>
      </w:r>
      <w:r>
        <w:rPr>
          <w:rFonts w:hint="eastAsia" w:ascii="仿宋" w:eastAsia="仿宋" w:cs="宋体"/>
          <w:color w:val="auto"/>
          <w:sz w:val="32"/>
          <w:szCs w:val="32"/>
          <w:lang w:val="en-US" w:eastAsia="zh-CN" w:bidi="ar-SA"/>
        </w:rPr>
        <w:t>(1</w:t>
      </w:r>
      <w:r>
        <w:rPr>
          <w:rFonts w:ascii="仿宋" w:eastAsia="仿宋" w:cs="宋体"/>
          <w:color w:val="auto"/>
          <w:sz w:val="32"/>
          <w:szCs w:val="32"/>
          <w:lang w:val="en-US" w:eastAsia="zh-CN" w:bidi="ar-SA"/>
        </w:rPr>
        <w:t>0</w:t>
      </w:r>
      <w:r>
        <w:rPr>
          <w:rFonts w:hint="eastAsia" w:ascii="仿宋" w:eastAsia="仿宋" w:cs="宋体"/>
          <w:color w:val="auto"/>
          <w:sz w:val="32"/>
          <w:szCs w:val="32"/>
          <w:lang w:val="en-US" w:eastAsia="zh-CN" w:bidi="ar-SA"/>
        </w:rPr>
        <w:t>)承办县政府交办的其他事项。</w:t>
      </w:r>
    </w:p>
    <w:p>
      <w:pPr>
        <w:pStyle w:val="4"/>
        <w:keepNext/>
        <w:keepLines/>
        <w:pageBreakBefore w:val="0"/>
        <w:widowControl/>
        <w:numPr>
          <w:ilvl w:val="0"/>
          <w:numId w:val="2"/>
        </w:numPr>
        <w:suppressLineNumbers w:val="0"/>
        <w:suppressAutoHyphens/>
        <w:kinsoku/>
        <w:wordWrap/>
        <w:overflowPunct/>
        <w:topLinePunct w:val="0"/>
        <w:autoSpaceDE/>
        <w:autoSpaceDN/>
        <w:bidi w:val="0"/>
        <w:adjustRightInd/>
        <w:snapToGrid/>
        <w:spacing w:before="0" w:after="0" w:line="240" w:lineRule="auto"/>
        <w:ind w:left="0" w:firstLine="640" w:firstLineChars="200"/>
        <w:textAlignment w:val="auto"/>
        <w:rPr>
          <w:rFonts w:hint="eastAsia" w:ascii="仿宋" w:eastAsia="仿宋" w:cs="Times New Roman"/>
          <w:color w:val="000000"/>
          <w:sz w:val="32"/>
          <w:szCs w:val="32"/>
          <w:lang w:val="en-US" w:eastAsia="zh-CN"/>
        </w:rPr>
      </w:pPr>
      <w:r>
        <w:rPr>
          <w:rFonts w:hint="eastAsia" w:ascii="黑体" w:eastAsia="黑体" w:cs="黑体"/>
          <w:b w:val="0"/>
          <w:bCs/>
          <w:kern w:val="2"/>
          <w:sz w:val="32"/>
          <w:szCs w:val="32"/>
        </w:rPr>
        <w:t>机构设置</w:t>
      </w:r>
    </w:p>
    <w:p>
      <w:pPr>
        <w:snapToGrid w:val="0"/>
        <w:spacing w:line="520" w:lineRule="exact"/>
        <w:ind w:firstLine="640" w:firstLineChars="200"/>
        <w:rPr>
          <w:rFonts w:hint="eastAsia" w:ascii="仿宋" w:eastAsia="仿宋" w:cs="宋体"/>
          <w:sz w:val="32"/>
          <w:szCs w:val="32"/>
          <w:lang w:bidi="ar-SA"/>
        </w:rPr>
      </w:pPr>
      <w:r>
        <w:rPr>
          <w:rFonts w:hint="eastAsia" w:ascii="仿宋" w:eastAsia="仿宋" w:cs="宋体"/>
          <w:color w:val="auto"/>
          <w:sz w:val="32"/>
          <w:szCs w:val="32"/>
          <w:lang w:val="en-US" w:eastAsia="zh-CN" w:bidi="ar-SA"/>
        </w:rPr>
        <w:t>茂县</w:t>
      </w:r>
      <w:r>
        <w:rPr>
          <w:rFonts w:ascii="仿宋" w:eastAsia="仿宋" w:cs="宋体"/>
          <w:color w:val="auto"/>
          <w:sz w:val="32"/>
          <w:szCs w:val="32"/>
          <w:lang w:val="en-US" w:eastAsia="zh-CN" w:bidi="ar-SA"/>
        </w:rPr>
        <w:t>粮食和物资储备中心</w:t>
      </w:r>
      <w:r>
        <w:rPr>
          <w:rFonts w:hint="eastAsia" w:ascii="仿宋" w:eastAsia="仿宋" w:cs="宋体"/>
          <w:color w:val="auto"/>
          <w:sz w:val="32"/>
          <w:szCs w:val="32"/>
          <w:lang w:val="en-US" w:eastAsia="zh-CN" w:bidi="ar-SA"/>
        </w:rPr>
        <w:t>是参照公务员法管理的事业单位</w:t>
      </w:r>
      <w:r>
        <w:rPr>
          <w:rFonts w:ascii="仿宋" w:eastAsia="仿宋" w:cs="宋体"/>
          <w:color w:val="auto"/>
          <w:sz w:val="32"/>
          <w:szCs w:val="32"/>
          <w:lang w:val="en-US" w:eastAsia="zh-CN" w:bidi="ar-SA"/>
        </w:rPr>
        <w:t>,是一级预算单位</w:t>
      </w:r>
      <w:r>
        <w:rPr>
          <w:rFonts w:hint="eastAsia" w:ascii="仿宋" w:eastAsia="仿宋" w:cs="宋体"/>
          <w:color w:val="auto"/>
          <w:sz w:val="32"/>
          <w:szCs w:val="32"/>
          <w:lang w:val="en-US" w:eastAsia="zh-CN" w:bidi="ar-SA"/>
        </w:rPr>
        <w:t>。下设有4个股室：办公室、财务室、粮食综合股、物资储备和安全仓储</w:t>
      </w:r>
      <w:r>
        <w:rPr>
          <w:rFonts w:ascii="仿宋" w:eastAsia="仿宋" w:cs="宋体"/>
          <w:color w:val="auto"/>
          <w:sz w:val="32"/>
          <w:szCs w:val="32"/>
          <w:lang w:val="en-US" w:eastAsia="zh-CN" w:bidi="ar-SA"/>
        </w:rPr>
        <w:t>股</w:t>
      </w:r>
      <w:r>
        <w:rPr>
          <w:rFonts w:hint="eastAsia" w:ascii="仿宋" w:eastAsia="仿宋" w:cs="宋体"/>
          <w:color w:val="auto"/>
          <w:sz w:val="32"/>
          <w:szCs w:val="32"/>
          <w:lang w:val="en-US" w:eastAsia="zh-CN" w:bidi="ar-SA"/>
        </w:rPr>
        <w:t>。</w:t>
      </w:r>
    </w:p>
    <w:p>
      <w:pPr>
        <w:rPr>
          <w:rFonts w:hint="eastAsia" w:eastAsia="仿宋_GB2312" w:cs="Times New Roman"/>
          <w:b w:val="0"/>
          <w:bCs w:val="0"/>
          <w:sz w:val="32"/>
          <w:szCs w:val="32"/>
          <w:lang w:val="en-US" w:eastAsia="zh-CN"/>
        </w:rPr>
      </w:pPr>
    </w:p>
    <w:p>
      <w:pPr>
        <w:keepNext w:val="0"/>
        <w:keepLines w:val="0"/>
        <w:widowControl/>
        <w:suppressLineNumbers w:val="0"/>
        <w:suppressAutoHyphens/>
        <w:spacing w:before="0" w:beforeAutospacing="0" w:after="0" w:afterAutospacing="0"/>
        <w:ind w:left="0" w:right="0" w:firstLine="880" w:firstLineChars="200"/>
        <w:rPr>
          <w:rFonts w:hint="eastAsia" w:ascii="黑体" w:eastAsia="黑体" w:cs="Times New Roman"/>
          <w:b w:val="0"/>
          <w:bCs/>
          <w:kern w:val="44"/>
          <w:sz w:val="44"/>
          <w:szCs w:val="44"/>
        </w:rPr>
      </w:pPr>
      <w:r>
        <w:rPr>
          <w:rFonts w:hint="eastAsia" w:ascii="黑体" w:eastAsia="黑体" w:cs="黑体"/>
          <w:b w:val="0"/>
          <w:bCs/>
          <w:kern w:val="44"/>
          <w:sz w:val="44"/>
          <w:szCs w:val="44"/>
        </w:rPr>
        <w:t>第二部分</w:t>
      </w:r>
      <w:r>
        <w:rPr>
          <w:rFonts w:hint="eastAsia" w:ascii="黑体" w:eastAsia="黑体" w:cs="Times New Roman"/>
          <w:b w:val="0"/>
          <w:bCs/>
          <w:kern w:val="44"/>
          <w:sz w:val="44"/>
          <w:szCs w:val="44"/>
        </w:rPr>
        <w:t xml:space="preserve"> </w:t>
      </w:r>
      <w:r>
        <w:rPr>
          <w:rFonts w:hint="eastAsia" w:ascii="黑体" w:eastAsia="黑体" w:cs="黑体"/>
          <w:b w:val="0"/>
          <w:bCs/>
          <w:kern w:val="44"/>
          <w:sz w:val="44"/>
          <w:szCs w:val="44"/>
        </w:rPr>
        <w:t>2023年度</w:t>
      </w:r>
      <w:r>
        <w:rPr>
          <w:rStyle w:val="21"/>
          <w:rFonts w:hint="eastAsia" w:ascii="黑体" w:eastAsia="黑体" w:cs="黑体"/>
          <w:b w:val="0"/>
          <w:bCs/>
          <w:kern w:val="44"/>
          <w:sz w:val="44"/>
          <w:szCs w:val="44"/>
        </w:rPr>
        <w:t>单位决算情况说明</w:t>
      </w:r>
    </w:p>
    <w:p>
      <w:pPr>
        <w:keepNext w:val="0"/>
        <w:keepLines w:val="0"/>
        <w:widowControl w:val="0"/>
        <w:suppressLineNumbers w:val="0"/>
        <w:suppressAutoHyphens/>
        <w:spacing w:before="0" w:beforeAutospacing="0" w:after="0" w:afterAutospacing="0"/>
        <w:ind w:left="0" w:right="0"/>
        <w:jc w:val="both"/>
        <w:rPr>
          <w:rFonts w:ascii="Calibri" w:hAnsi="Calibri" w:eastAsia="宋体" w:cs="Times New Roman"/>
          <w:kern w:val="2"/>
          <w:sz w:val="21"/>
          <w:szCs w:val="21"/>
        </w:rPr>
      </w:pPr>
      <w:r>
        <w:rPr>
          <w:rFonts w:ascii="Calibri" w:hAnsi="Calibri" w:eastAsia="宋体" w:cs="Times New Roman"/>
          <w:kern w:val="2"/>
          <w:sz w:val="21"/>
          <w:szCs w:val="21"/>
          <w:lang w:val="en-US" w:eastAsia="zh-CN"/>
        </w:rPr>
        <w:t xml:space="preserve"> </w:t>
      </w:r>
    </w:p>
    <w:p>
      <w:pPr>
        <w:pStyle w:val="24"/>
        <w:keepNext w:val="0"/>
        <w:keepLines w:val="0"/>
        <w:pageBreakBefore w:val="0"/>
        <w:widowControl/>
        <w:suppressLineNumbers w:val="0"/>
        <w:suppressAutoHyphens/>
        <w:kinsoku/>
        <w:wordWrap/>
        <w:overflowPunct/>
        <w:topLinePunct w:val="0"/>
        <w:bidi w:val="0"/>
        <w:snapToGrid/>
        <w:spacing w:beforeAutospacing="0" w:line="600" w:lineRule="exact"/>
        <w:ind w:left="0" w:firstLine="640" w:firstLineChars="200"/>
        <w:textAlignment w:val="auto"/>
        <w:outlineLvl w:val="1"/>
        <w:rPr>
          <w:rFonts w:hint="eastAsia" w:ascii="黑体" w:eastAsia="黑体" w:cs="Times New Roman"/>
          <w:b w:val="0"/>
          <w:bCs/>
          <w:sz w:val="32"/>
          <w:szCs w:val="32"/>
        </w:rPr>
      </w:pPr>
      <w:r>
        <w:rPr>
          <w:rFonts w:hint="eastAsia" w:ascii="黑体" w:eastAsia="黑体" w:cs="黑体"/>
          <w:kern w:val="2"/>
          <w:sz w:val="32"/>
          <w:szCs w:val="32"/>
        </w:rPr>
        <w:t>一、收</w:t>
      </w:r>
      <w:r>
        <w:rPr>
          <w:rStyle w:val="23"/>
          <w:rFonts w:hint="eastAsia" w:ascii="黑体" w:eastAsia="黑体" w:cs="黑体"/>
          <w:b w:val="0"/>
          <w:bCs/>
          <w:sz w:val="32"/>
          <w:szCs w:val="32"/>
        </w:rPr>
        <w:t>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仿宋"/>
          <w:kern w:val="2"/>
          <w:sz w:val="32"/>
          <w:szCs w:val="32"/>
          <w:lang w:val="en-US" w:eastAsia="zh-CN"/>
        </w:rPr>
      </w:pPr>
      <w:r>
        <w:rPr>
          <w:rFonts w:hint="eastAsia" w:ascii="仿宋" w:eastAsia="仿宋" w:cs="仿宋"/>
          <w:kern w:val="2"/>
          <w:sz w:val="32"/>
          <w:szCs w:val="32"/>
          <w:lang w:val="en-US" w:eastAsia="zh-CN"/>
        </w:rPr>
        <w:t>2023年度收、支总计均为</w:t>
      </w:r>
      <w:r>
        <w:rPr>
          <w:rFonts w:ascii="仿宋" w:eastAsia="仿宋" w:cs="Times New Roman"/>
          <w:kern w:val="2"/>
          <w:sz w:val="32"/>
          <w:szCs w:val="32"/>
          <w:lang w:val="en-US" w:eastAsia="zh-CN"/>
        </w:rPr>
        <w:t>404.99</w:t>
      </w:r>
      <w:r>
        <w:rPr>
          <w:rFonts w:hint="eastAsia" w:ascii="仿宋" w:eastAsia="仿宋" w:cs="仿宋"/>
          <w:kern w:val="2"/>
          <w:sz w:val="32"/>
          <w:szCs w:val="32"/>
          <w:lang w:val="en-US" w:eastAsia="zh-CN"/>
        </w:rPr>
        <w:t>万元。与2022年度相比，收、支总计各</w:t>
      </w:r>
      <w:r>
        <w:rPr>
          <w:rFonts w:ascii="仿宋" w:eastAsia="仿宋" w:cs="仿宋"/>
          <w:kern w:val="2"/>
          <w:sz w:val="32"/>
          <w:szCs w:val="32"/>
          <w:lang w:val="en-US" w:eastAsia="zh-CN"/>
        </w:rPr>
        <w:t>减少</w:t>
      </w:r>
      <w:r>
        <w:rPr>
          <w:rFonts w:ascii="仿宋" w:eastAsia="仿宋" w:cs="Times New Roman"/>
          <w:kern w:val="2"/>
          <w:sz w:val="32"/>
          <w:szCs w:val="32"/>
          <w:lang w:val="en-US" w:eastAsia="zh-CN"/>
        </w:rPr>
        <w:t>242.84</w:t>
      </w:r>
      <w:r>
        <w:rPr>
          <w:rFonts w:hint="eastAsia" w:ascii="仿宋" w:eastAsia="仿宋" w:cs="仿宋"/>
          <w:kern w:val="2"/>
          <w:sz w:val="32"/>
          <w:szCs w:val="32"/>
          <w:lang w:val="en-US" w:eastAsia="zh-CN"/>
        </w:rPr>
        <w:t>万元，</w:t>
      </w:r>
      <w:r>
        <w:rPr>
          <w:rFonts w:ascii="仿宋" w:eastAsia="仿宋" w:cs="仿宋"/>
          <w:kern w:val="2"/>
          <w:sz w:val="32"/>
          <w:szCs w:val="32"/>
          <w:lang w:val="en-US" w:eastAsia="zh-CN"/>
        </w:rPr>
        <w:t>减少</w:t>
      </w:r>
      <w:r>
        <w:rPr>
          <w:rFonts w:ascii="仿宋" w:eastAsia="仿宋" w:cs="Times New Roman"/>
          <w:kern w:val="2"/>
          <w:sz w:val="32"/>
          <w:szCs w:val="32"/>
          <w:lang w:val="en-US" w:eastAsia="zh-CN"/>
        </w:rPr>
        <w:t>37.49</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。主要变动原因是2023年</w:t>
      </w:r>
      <w:r>
        <w:rPr>
          <w:rFonts w:ascii="仿宋" w:eastAsia="仿宋" w:cs="仿宋"/>
          <w:kern w:val="2"/>
          <w:sz w:val="32"/>
          <w:szCs w:val="32"/>
          <w:lang w:val="en-US" w:eastAsia="zh-CN"/>
        </w:rPr>
        <w:t>建设项目减少</w:t>
      </w:r>
      <w:r>
        <w:rPr>
          <w:rFonts w:hint="eastAsia" w:ascii="仿宋" w:eastAsia="仿宋" w:cs="仿宋"/>
          <w:kern w:val="2"/>
          <w:sz w:val="32"/>
          <w:szCs w:val="32"/>
          <w:lang w:val="en-US" w:eastAsia="zh-CN"/>
        </w:rPr>
        <w:t>。</w:t>
      </w:r>
    </w:p>
    <w:p>
      <w:pPr>
        <w:pStyle w:val="2"/>
      </w:pPr>
      <w:r>
        <w:rPr>
          <w:rFonts w:ascii="仿宋" w:eastAsia="仿宋" w:cs="Times New Roman"/>
          <w:color w:val="000000"/>
          <w:sz w:val="32"/>
          <w:szCs w:val="32"/>
          <w:lang w:eastAsia="zh-CN"/>
        </w:rPr>
        <w:t xml:space="preserve">        </w:t>
      </w:r>
    </w:p>
    <w:p>
      <w:pPr>
        <w:pStyle w:val="2"/>
      </w:pPr>
      <w:r>
        <w:drawing>
          <wp:inline distT="0" distB="0" distL="67945" distR="67945">
            <wp:extent cx="5043805" cy="1751330"/>
            <wp:effectExtent l="0" t="0" r="0" b="0"/>
            <wp:docPr id="1" name="对象"/>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ind w:left="0" w:leftChars="0" w:firstLine="0" w:firstLineChars="0"/>
      </w:pPr>
    </w:p>
    <w:p>
      <w:pPr>
        <w:pStyle w:val="2"/>
        <w:rPr>
          <w:rFonts w:hint="eastAsia" w:ascii="黑体" w:eastAsia="黑体" w:cs="Times New Roman"/>
          <w:b w:val="0"/>
          <w:bCs/>
          <w:sz w:val="32"/>
          <w:szCs w:val="32"/>
        </w:rPr>
      </w:pPr>
      <w:r>
        <w:rPr>
          <w:rFonts w:hint="eastAsia" w:ascii="黑体" w:eastAsia="黑体" w:cs="黑体"/>
          <w:kern w:val="2"/>
          <w:sz w:val="32"/>
          <w:szCs w:val="32"/>
        </w:rPr>
        <w:t>二、收</w:t>
      </w:r>
      <w:r>
        <w:rPr>
          <w:rStyle w:val="23"/>
          <w:rFonts w:hint="eastAsia" w:ascii="黑体" w:eastAsia="黑体" w:cs="黑体"/>
          <w:b w:val="0"/>
          <w:bCs/>
          <w:sz w:val="32"/>
          <w:szCs w:val="32"/>
        </w:rPr>
        <w:t>入决算情况说明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rPr>
      </w:pPr>
      <w:r>
        <w:rPr>
          <w:rFonts w:hint="eastAsia" w:ascii="仿宋" w:eastAsia="仿宋" w:cs="仿宋"/>
          <w:kern w:val="2"/>
          <w:sz w:val="32"/>
          <w:szCs w:val="32"/>
          <w:lang w:val="en-US" w:eastAsia="zh-CN"/>
        </w:rPr>
        <w:t>2023年度本年收入合计</w:t>
      </w:r>
      <w:r>
        <w:rPr>
          <w:rFonts w:ascii="仿宋" w:eastAsia="仿宋" w:cs="Times New Roman"/>
          <w:kern w:val="2"/>
          <w:sz w:val="32"/>
          <w:szCs w:val="32"/>
          <w:lang w:val="en-US" w:eastAsia="zh-CN"/>
        </w:rPr>
        <w:t>404.99</w:t>
      </w:r>
      <w:r>
        <w:rPr>
          <w:rFonts w:hint="eastAsia" w:ascii="仿宋" w:eastAsia="仿宋" w:cs="仿宋"/>
          <w:kern w:val="2"/>
          <w:sz w:val="32"/>
          <w:szCs w:val="32"/>
          <w:lang w:val="en-US" w:eastAsia="zh-CN"/>
        </w:rPr>
        <w:t>万元，其中：一般公共预算财政拨款收入</w:t>
      </w:r>
      <w:r>
        <w:rPr>
          <w:rFonts w:ascii="仿宋" w:eastAsia="仿宋" w:cs="Times New Roman"/>
          <w:kern w:val="2"/>
          <w:sz w:val="32"/>
          <w:szCs w:val="32"/>
          <w:lang w:val="en-US" w:eastAsia="zh-CN"/>
        </w:rPr>
        <w:t>404.99</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100%</w:t>
      </w:r>
      <w:r>
        <w:rPr>
          <w:rFonts w:hint="eastAsia" w:ascii="仿宋" w:eastAsia="仿宋" w:cs="仿宋"/>
          <w:kern w:val="2"/>
          <w:sz w:val="32"/>
          <w:szCs w:val="32"/>
          <w:lang w:val="en-US" w:eastAsia="zh-CN"/>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r>
        <w:rPr>
          <w:rFonts w:hint="eastAsia" w:ascii="仿宋" w:eastAsia="仿宋" w:cs="Times New Roman"/>
          <w:color w:val="000000"/>
          <w:sz w:val="32"/>
          <w:szCs w:val="32"/>
          <w:lang w:val="en-US" w:eastAsia="zh-CN"/>
        </w:rPr>
        <w:pict>
          <v:shape id="_x0000_s1026" o:spid="_x0000_s1026" o:spt="75" alt="3" type="#_x0000_t75" style="position:absolute;left:0pt;margin-left:93.95pt;margin-top:22.15pt;height:160.75pt;width:226.15pt;mso-wrap-distance-bottom:0pt;mso-wrap-distance-left:7.15pt;mso-wrap-distance-right:7.15pt;mso-wrap-distance-top:0pt;z-index:251659264;mso-width-relative:page;mso-height-relative:page;" o:ole="t" filled="f" o:preferrelative="t" stroked="f" coordsize="21600,21600">
            <v:path/>
            <v:fill on="f" focussize="0,0"/>
            <v:stroke on="f" color="#000000"/>
            <v:imagedata r:id="rId10" o:title="3"/>
            <o:lock v:ext="edit" aspectratio="t"/>
            <w10:wrap type="square"/>
          </v:shape>
          <o:OLEObject Type="Embed" ProgID="Package" ShapeID="_x0000_s1026" DrawAspect="Content" ObjectID="_1468075725" r:id="rId9">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rPr>
      </w:pPr>
      <w:r>
        <w:rPr>
          <w:rFonts w:hint="eastAsia" w:ascii="仿宋" w:eastAsia="仿宋" w:cs="Times New Roman"/>
          <w:kern w:val="2"/>
          <w:sz w:val="32"/>
          <w:szCs w:val="32"/>
          <w:lang w:val="en-US" w:eastAsia="zh-CN"/>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eastAsia="黑体" w:cs="Times New Roman"/>
          <w:b w:val="0"/>
          <w:bCs/>
          <w:sz w:val="32"/>
          <w:szCs w:val="32"/>
        </w:rPr>
      </w:pPr>
      <w:r>
        <w:rPr>
          <w:rFonts w:hint="eastAsia" w:ascii="黑体" w:eastAsia="黑体" w:cs="黑体"/>
          <w:kern w:val="2"/>
          <w:sz w:val="32"/>
          <w:szCs w:val="32"/>
        </w:rPr>
        <w:t>三、支</w:t>
      </w:r>
      <w:r>
        <w:rPr>
          <w:rStyle w:val="23"/>
          <w:rFonts w:hint="eastAsia" w:ascii="黑体" w:eastAsia="黑体" w:cs="黑体"/>
          <w:b w:val="0"/>
          <w:bCs/>
          <w:sz w:val="32"/>
          <w:szCs w:val="32"/>
        </w:rPr>
        <w:t>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ascii="仿宋" w:eastAsia="仿宋" w:cs="仿宋"/>
          <w:kern w:val="2"/>
          <w:sz w:val="32"/>
          <w:szCs w:val="32"/>
          <w:lang w:val="en-US" w:eastAsia="zh-CN"/>
        </w:rPr>
      </w:pPr>
      <w:r>
        <w:rPr>
          <w:rFonts w:hint="eastAsia" w:ascii="仿宋" w:eastAsia="仿宋" w:cs="仿宋"/>
          <w:kern w:val="2"/>
          <w:sz w:val="32"/>
          <w:szCs w:val="32"/>
          <w:lang w:val="en-US" w:eastAsia="zh-CN"/>
        </w:rPr>
        <w:t>2023年度本年支出合计</w:t>
      </w:r>
      <w:r>
        <w:rPr>
          <w:rFonts w:ascii="仿宋" w:eastAsia="仿宋" w:cs="Times New Roman"/>
          <w:kern w:val="2"/>
          <w:sz w:val="32"/>
          <w:szCs w:val="32"/>
          <w:lang w:val="en-US" w:eastAsia="zh-CN"/>
        </w:rPr>
        <w:t>404.99</w:t>
      </w:r>
      <w:r>
        <w:rPr>
          <w:rFonts w:hint="eastAsia" w:ascii="仿宋" w:eastAsia="仿宋" w:cs="仿宋"/>
          <w:kern w:val="2"/>
          <w:sz w:val="32"/>
          <w:szCs w:val="32"/>
          <w:lang w:val="en-US" w:eastAsia="zh-CN"/>
        </w:rPr>
        <w:t>万元，其中：基本支出</w:t>
      </w:r>
      <w:r>
        <w:rPr>
          <w:rFonts w:ascii="仿宋" w:eastAsia="仿宋" w:cs="Times New Roman"/>
          <w:kern w:val="2"/>
          <w:sz w:val="32"/>
          <w:szCs w:val="32"/>
          <w:lang w:val="en-US" w:eastAsia="zh-CN"/>
        </w:rPr>
        <w:t>323.12</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79.78</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；项目支出</w:t>
      </w:r>
      <w:r>
        <w:rPr>
          <w:rFonts w:ascii="仿宋" w:eastAsia="仿宋" w:cs="Times New Roman"/>
          <w:kern w:val="2"/>
          <w:sz w:val="32"/>
          <w:szCs w:val="32"/>
          <w:lang w:val="en-US" w:eastAsia="zh-CN"/>
        </w:rPr>
        <w:t>81.87</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20.22</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w:t>
      </w:r>
    </w:p>
    <w:p>
      <w:pPr>
        <w:pStyle w:val="2"/>
        <w:keepNext w:val="0"/>
        <w:keepLines w:val="0"/>
        <w:pageBreakBefore w:val="0"/>
        <w:widowControl w:val="0"/>
        <w:suppressLineNumbers w:val="0"/>
        <w:suppressAutoHyphens/>
        <w:bidi w:val="0"/>
        <w:ind w:left="1060" w:leftChars="200" w:hanging="640" w:hangingChars="200"/>
      </w:pPr>
      <w:r>
        <w:t xml:space="preserve">      </w:t>
      </w:r>
    </w:p>
    <w:p>
      <w:pPr>
        <w:pStyle w:val="2"/>
        <w:keepNext w:val="0"/>
        <w:keepLines w:val="0"/>
        <w:pageBreakBefore w:val="0"/>
        <w:widowControl w:val="0"/>
        <w:suppressLineNumbers w:val="0"/>
        <w:suppressAutoHyphens/>
        <w:ind w:left="1060" w:leftChars="200" w:hanging="640" w:hangingChars="200"/>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4203065" cy="2381885"/>
            <wp:effectExtent l="0" t="0" r="0" b="0"/>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ind w:left="0" w:leftChars="0" w:firstLine="0" w:firstLineChars="0"/>
        <w:rPr>
          <w:rFonts w:hint="eastAsia" w:ascii="黑体" w:eastAsia="黑体" w:cs="Times New Roman"/>
          <w:b w:val="0"/>
          <w:bCs/>
          <w:sz w:val="32"/>
          <w:szCs w:val="32"/>
        </w:rPr>
      </w:pPr>
      <w:r>
        <w:rPr>
          <w:rFonts w:hint="eastAsia" w:ascii="黑体" w:eastAsia="黑体" w:cs="黑体"/>
          <w:kern w:val="2"/>
          <w:sz w:val="32"/>
          <w:szCs w:val="32"/>
          <w:lang w:val="en-US" w:eastAsia="zh-CN"/>
        </w:rPr>
        <w:t>四、财</w:t>
      </w:r>
      <w:r>
        <w:rPr>
          <w:rStyle w:val="23"/>
          <w:rFonts w:hint="eastAsia" w:ascii="黑体" w:eastAsia="黑体" w:cs="黑体"/>
          <w:b w:val="0"/>
          <w:bCs/>
          <w:kern w:val="2"/>
          <w:sz w:val="32"/>
          <w:szCs w:val="32"/>
          <w:lang w:val="en-US" w:eastAsia="zh-CN"/>
        </w:rPr>
        <w:t>政拨款收入支出决算总体情况说明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仿宋"/>
          <w:kern w:val="2"/>
          <w:sz w:val="32"/>
          <w:szCs w:val="32"/>
          <w:lang w:val="en-US" w:eastAsia="zh-CN"/>
        </w:rPr>
      </w:pPr>
      <w:r>
        <w:rPr>
          <w:rFonts w:hint="eastAsia" w:ascii="仿宋" w:eastAsia="仿宋" w:cs="仿宋"/>
          <w:kern w:val="2"/>
          <w:sz w:val="32"/>
          <w:szCs w:val="32"/>
          <w:lang w:val="en-US" w:eastAsia="zh-CN"/>
        </w:rPr>
        <w:t>2023年度财政拨款收、支总计均为</w:t>
      </w:r>
      <w:r>
        <w:rPr>
          <w:rFonts w:ascii="仿宋" w:eastAsia="仿宋" w:cs="Times New Roman"/>
          <w:kern w:val="2"/>
          <w:sz w:val="32"/>
          <w:szCs w:val="32"/>
          <w:lang w:val="en-US" w:eastAsia="zh-CN"/>
        </w:rPr>
        <w:t>404.99</w:t>
      </w:r>
      <w:r>
        <w:rPr>
          <w:rFonts w:hint="eastAsia" w:ascii="仿宋" w:eastAsia="仿宋" w:cs="仿宋"/>
          <w:kern w:val="2"/>
          <w:sz w:val="32"/>
          <w:szCs w:val="32"/>
          <w:lang w:val="en-US" w:eastAsia="zh-CN"/>
        </w:rPr>
        <w:t>万元。与2022年度相比，财政拨款收、支总计各</w:t>
      </w:r>
      <w:r>
        <w:rPr>
          <w:rFonts w:ascii="仿宋" w:eastAsia="仿宋" w:cs="仿宋"/>
          <w:kern w:val="2"/>
          <w:sz w:val="32"/>
          <w:szCs w:val="32"/>
          <w:lang w:val="en-US" w:eastAsia="zh-CN"/>
        </w:rPr>
        <w:t>减少</w:t>
      </w:r>
      <w:r>
        <w:rPr>
          <w:rFonts w:ascii="仿宋" w:eastAsia="仿宋" w:cs="Times New Roman"/>
          <w:kern w:val="2"/>
          <w:sz w:val="32"/>
          <w:szCs w:val="32"/>
          <w:lang w:val="en-US" w:eastAsia="zh-CN"/>
        </w:rPr>
        <w:t>242.84</w:t>
      </w:r>
      <w:r>
        <w:rPr>
          <w:rFonts w:hint="eastAsia" w:ascii="仿宋" w:eastAsia="仿宋" w:cs="仿宋"/>
          <w:kern w:val="2"/>
          <w:sz w:val="32"/>
          <w:szCs w:val="32"/>
          <w:lang w:val="en-US" w:eastAsia="zh-CN"/>
        </w:rPr>
        <w:t>万元，</w:t>
      </w:r>
      <w:r>
        <w:rPr>
          <w:rFonts w:ascii="仿宋" w:eastAsia="仿宋" w:cs="仿宋"/>
          <w:kern w:val="2"/>
          <w:sz w:val="32"/>
          <w:szCs w:val="32"/>
          <w:lang w:val="en-US" w:eastAsia="zh-CN"/>
        </w:rPr>
        <w:t>减少</w:t>
      </w:r>
      <w:r>
        <w:rPr>
          <w:rFonts w:ascii="仿宋" w:eastAsia="仿宋" w:cs="Times New Roman"/>
          <w:kern w:val="2"/>
          <w:sz w:val="32"/>
          <w:szCs w:val="32"/>
          <w:lang w:val="en-US" w:eastAsia="zh-CN"/>
        </w:rPr>
        <w:t>37.49</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。主要变动原因是2023年</w:t>
      </w:r>
      <w:r>
        <w:rPr>
          <w:rFonts w:ascii="仿宋" w:eastAsia="仿宋" w:cs="仿宋"/>
          <w:kern w:val="2"/>
          <w:sz w:val="32"/>
          <w:szCs w:val="32"/>
          <w:lang w:val="en-US" w:eastAsia="zh-CN"/>
        </w:rPr>
        <w:t>建设项目减少。</w:t>
      </w:r>
    </w:p>
    <w:p>
      <w:pPr>
        <w:pStyle w:val="2"/>
        <w:ind w:left="0" w:leftChars="0" w:firstLine="0" w:firstLineChars="0"/>
        <w:rPr>
          <w:rFonts w:hint="eastAsia" w:ascii="黑体" w:eastAsia="黑体" w:cs="Times New Roman"/>
          <w:b w:val="0"/>
          <w:bCs/>
          <w:sz w:val="32"/>
          <w:szCs w:val="32"/>
        </w:rPr>
      </w:pPr>
      <w:r>
        <w:rPr>
          <w:rFonts w:hint="eastAsia" w:ascii="黑体" w:eastAsia="黑体" w:cs="黑体"/>
          <w:kern w:val="2"/>
          <w:sz w:val="32"/>
          <w:szCs w:val="32"/>
          <w:lang w:val="en-US" w:eastAsia="zh-CN"/>
        </w:rPr>
        <w:t>五、</w:t>
      </w:r>
      <w:r>
        <w:rPr>
          <w:rFonts w:hint="eastAsia" w:ascii="黑体" w:eastAsia="黑体" w:cs="黑体"/>
          <w:b/>
          <w:bCs w:val="0"/>
          <w:kern w:val="2"/>
          <w:sz w:val="32"/>
          <w:szCs w:val="32"/>
          <w:lang w:val="en-US" w:eastAsia="zh-CN"/>
        </w:rPr>
        <w:t>一</w:t>
      </w:r>
      <w:r>
        <w:rPr>
          <w:rStyle w:val="23"/>
          <w:rFonts w:hint="eastAsia" w:ascii="黑体" w:eastAsia="黑体" w:cs="黑体"/>
          <w:b w:val="0"/>
          <w:bCs/>
          <w:kern w:val="2"/>
          <w:sz w:val="32"/>
          <w:szCs w:val="32"/>
          <w:lang w:val="en-US" w:eastAsia="zh-CN"/>
        </w:rPr>
        <w:t>般公共预算财政拨款支出决算情况说明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（一）一般公共预算财政拨款支出决算总体情况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仿宋"/>
          <w:kern w:val="2"/>
          <w:sz w:val="32"/>
          <w:szCs w:val="32"/>
          <w:lang w:val="en-US" w:eastAsia="zh-CN"/>
        </w:rPr>
      </w:pPr>
      <w:r>
        <w:rPr>
          <w:rFonts w:hint="eastAsia" w:ascii="仿宋" w:eastAsia="仿宋" w:cs="仿宋"/>
          <w:kern w:val="2"/>
          <w:sz w:val="32"/>
          <w:szCs w:val="32"/>
          <w:lang w:val="en-US" w:eastAsia="zh-CN"/>
        </w:rPr>
        <w:t>2023年度一般公共预算财政拨款支出</w:t>
      </w:r>
      <w:r>
        <w:rPr>
          <w:rFonts w:ascii="仿宋" w:eastAsia="仿宋" w:cs="Times New Roman"/>
          <w:kern w:val="2"/>
          <w:sz w:val="32"/>
          <w:szCs w:val="32"/>
          <w:lang w:val="en-US" w:eastAsia="zh-CN"/>
        </w:rPr>
        <w:t>404.99</w:t>
      </w:r>
      <w:r>
        <w:rPr>
          <w:rFonts w:hint="eastAsia" w:ascii="仿宋" w:eastAsia="仿宋" w:cs="仿宋"/>
          <w:kern w:val="2"/>
          <w:sz w:val="32"/>
          <w:szCs w:val="32"/>
          <w:lang w:val="en-US" w:eastAsia="zh-CN"/>
        </w:rPr>
        <w:t>万元，占本年支出合计的</w:t>
      </w:r>
      <w:r>
        <w:rPr>
          <w:rFonts w:hint="eastAsia" w:ascii="仿宋" w:eastAsia="仿宋" w:cs="Times New Roman"/>
          <w:kern w:val="2"/>
          <w:sz w:val="32"/>
          <w:szCs w:val="32"/>
          <w:lang w:val="en-US" w:eastAsia="zh-CN"/>
        </w:rPr>
        <w:t>100%</w:t>
      </w:r>
      <w:r>
        <w:rPr>
          <w:rFonts w:hint="eastAsia" w:ascii="仿宋" w:eastAsia="仿宋" w:cs="仿宋"/>
          <w:kern w:val="2"/>
          <w:sz w:val="32"/>
          <w:szCs w:val="32"/>
          <w:lang w:val="en-US" w:eastAsia="zh-CN"/>
        </w:rPr>
        <w:t>。与2022年度相比，一般公共预算财政拨款支出</w:t>
      </w:r>
      <w:r>
        <w:rPr>
          <w:rFonts w:ascii="仿宋" w:eastAsia="仿宋" w:cs="仿宋"/>
          <w:kern w:val="2"/>
          <w:sz w:val="32"/>
          <w:szCs w:val="32"/>
          <w:lang w:val="en-US" w:eastAsia="zh-CN"/>
        </w:rPr>
        <w:t>减少</w:t>
      </w:r>
      <w:r>
        <w:rPr>
          <w:rFonts w:ascii="仿宋" w:eastAsia="仿宋" w:cs="Times New Roman"/>
          <w:kern w:val="2"/>
          <w:sz w:val="32"/>
          <w:szCs w:val="32"/>
          <w:lang w:val="en-US" w:eastAsia="zh-CN"/>
        </w:rPr>
        <w:t>242.84</w:t>
      </w:r>
      <w:r>
        <w:rPr>
          <w:rFonts w:hint="eastAsia" w:ascii="仿宋" w:eastAsia="仿宋" w:cs="仿宋"/>
          <w:kern w:val="2"/>
          <w:sz w:val="32"/>
          <w:szCs w:val="32"/>
          <w:lang w:val="en-US" w:eastAsia="zh-CN"/>
        </w:rPr>
        <w:t>万元，</w:t>
      </w:r>
      <w:r>
        <w:rPr>
          <w:rFonts w:ascii="仿宋" w:eastAsia="仿宋" w:cs="仿宋"/>
          <w:kern w:val="2"/>
          <w:sz w:val="32"/>
          <w:szCs w:val="32"/>
          <w:lang w:val="en-US" w:eastAsia="zh-CN"/>
        </w:rPr>
        <w:t>减少</w:t>
      </w:r>
      <w:r>
        <w:rPr>
          <w:rFonts w:ascii="仿宋" w:eastAsia="仿宋" w:cs="Times New Roman"/>
          <w:kern w:val="2"/>
          <w:sz w:val="32"/>
          <w:szCs w:val="32"/>
          <w:lang w:val="en-US" w:eastAsia="zh-CN"/>
        </w:rPr>
        <w:t>37.49</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。主要变动原因是2023年</w:t>
      </w:r>
      <w:r>
        <w:rPr>
          <w:rFonts w:ascii="仿宋" w:eastAsia="仿宋" w:cs="仿宋"/>
          <w:kern w:val="2"/>
          <w:sz w:val="32"/>
          <w:szCs w:val="32"/>
          <w:lang w:val="en-US" w:eastAsia="zh-CN"/>
        </w:rPr>
        <w:t>建设项目减少</w:t>
      </w:r>
      <w:r>
        <w:rPr>
          <w:rFonts w:hint="eastAsia" w:ascii="仿宋" w:eastAsia="仿宋" w:cs="仿宋"/>
          <w:kern w:val="2"/>
          <w:sz w:val="32"/>
          <w:szCs w:val="32"/>
          <w:lang w:val="en-US" w:eastAsia="zh-CN"/>
        </w:rPr>
        <w:t>。</w:t>
      </w:r>
    </w:p>
    <w:p>
      <w:pPr>
        <w:keepNext w:val="0"/>
        <w:keepLines w:val="0"/>
        <w:pageBreakBefore w:val="0"/>
        <w:widowControl w:val="0"/>
        <w:suppressLineNumbers w:val="0"/>
        <w:suppressAutoHyphens/>
        <w:kinsoku/>
        <w:wordWrap/>
        <w:overflowPunct/>
        <w:topLinePunct w:val="0"/>
        <w:snapToGrid/>
        <w:spacing w:line="600" w:lineRule="exact"/>
        <w:ind w:left="0" w:firstLine="640" w:firstLineChars="200"/>
        <w:rPr>
          <w:rFonts w:hint="eastAsia"/>
          <w:lang w:val="en-US" w:eastAsia="zh-CN"/>
        </w:rPr>
      </w:pPr>
      <w:r>
        <w:rPr>
          <w:rFonts w:ascii="仿宋" w:eastAsia="仿宋" w:cs="Times New Roman"/>
          <w:kern w:val="2"/>
          <w:sz w:val="32"/>
          <w:szCs w:val="32"/>
          <w:lang w:val="en-US" w:eastAsia="zh-CN"/>
        </w:rPr>
        <w:t xml:space="preserve">      </w:t>
      </w:r>
    </w:p>
    <w:p>
      <w:pPr>
        <w:pStyle w:val="2"/>
        <w:ind w:left="0" w:leftChars="0" w:firstLine="0" w:firstLineChars="0"/>
        <w:rPr>
          <w:rFonts w:hint="eastAsia"/>
          <w:lang w:val="en-US" w:eastAsia="zh-CN"/>
        </w:rPr>
      </w:pPr>
      <w:r>
        <w:rPr>
          <w:rFonts w:hint="eastAsia" w:ascii="仿宋" w:eastAsia="仿宋" w:cs="Times New Roman"/>
          <w:kern w:val="2"/>
          <w:sz w:val="32"/>
          <w:szCs w:val="32"/>
          <w:lang w:val="en-US" w:eastAsia="zh-CN"/>
        </w:rPr>
        <w:t xml:space="preserve">        </w:t>
      </w:r>
      <w:r>
        <w:rPr>
          <w:rFonts w:ascii="仿宋" w:eastAsia="仿宋" w:cs="Times New Roman"/>
          <w:kern w:val="2"/>
          <w:sz w:val="32"/>
          <w:szCs w:val="32"/>
          <w:lang w:val="en-US" w:eastAsia="zh-CN"/>
        </w:rPr>
        <w:drawing>
          <wp:inline distT="0" distB="0" distL="114300" distR="114300">
            <wp:extent cx="3249930" cy="206946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lang w:val="en-US" w:eastAsia="zh-CN"/>
        </w:rPr>
      </w:pPr>
    </w:p>
    <w:p>
      <w:pPr>
        <w:rPr>
          <w:rFonts w:hint="eastAsia" w:ascii="仿宋" w:eastAsia="仿宋" w:cs="Times New Roman"/>
          <w:sz w:val="32"/>
          <w:szCs w:val="32"/>
        </w:rPr>
      </w:pPr>
      <w:r>
        <w:rPr>
          <w:rFonts w:hint="eastAsia" w:ascii="仿宋" w:eastAsia="仿宋" w:cs="仿宋"/>
          <w:b/>
          <w:bCs w:val="0"/>
          <w:kern w:val="2"/>
          <w:sz w:val="32"/>
          <w:szCs w:val="32"/>
          <w:lang w:val="en-US" w:eastAsia="zh-CN"/>
        </w:rPr>
        <w:t>（二）一般公共预算财政拨款支出决算结构情况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Times New Roman"/>
          <w:b/>
          <w:bCs w:val="0"/>
          <w:kern w:val="2"/>
          <w:sz w:val="32"/>
          <w:szCs w:val="32"/>
        </w:rPr>
      </w:pPr>
      <w:r>
        <w:rPr>
          <w:rFonts w:hint="eastAsia" w:ascii="仿宋" w:eastAsia="仿宋" w:cs="仿宋"/>
          <w:kern w:val="2"/>
          <w:sz w:val="32"/>
          <w:szCs w:val="32"/>
          <w:lang w:val="en-US" w:eastAsia="zh-CN"/>
        </w:rPr>
        <w:t>2023年度一般公共预算财政拨款支出</w:t>
      </w:r>
      <w:r>
        <w:rPr>
          <w:rFonts w:ascii="仿宋" w:eastAsia="仿宋" w:cs="Times New Roman"/>
          <w:kern w:val="2"/>
          <w:sz w:val="32"/>
          <w:szCs w:val="32"/>
          <w:lang w:val="en-US" w:eastAsia="zh-CN"/>
        </w:rPr>
        <w:t>404.99</w:t>
      </w:r>
      <w:r>
        <w:rPr>
          <w:rFonts w:hint="eastAsia" w:ascii="仿宋" w:eastAsia="仿宋" w:cs="仿宋"/>
          <w:kern w:val="2"/>
          <w:sz w:val="32"/>
          <w:szCs w:val="32"/>
          <w:lang w:val="en-US" w:eastAsia="zh-CN"/>
        </w:rPr>
        <w:t>万元，主要用于以下方面</w:t>
      </w:r>
      <w:r>
        <w:rPr>
          <w:rFonts w:hint="eastAsia" w:ascii="仿宋" w:eastAsia="仿宋" w:cs="Times New Roman"/>
          <w:kern w:val="2"/>
          <w:sz w:val="32"/>
          <w:szCs w:val="32"/>
          <w:lang w:val="en-US" w:eastAsia="zh-CN"/>
        </w:rPr>
        <w:t>:</w:t>
      </w:r>
      <w:r>
        <w:rPr>
          <w:rFonts w:ascii="仿宋" w:eastAsia="仿宋" w:cs="仿宋"/>
          <w:b/>
          <w:bCs w:val="0"/>
          <w:kern w:val="2"/>
          <w:sz w:val="32"/>
          <w:szCs w:val="32"/>
          <w:lang w:val="en-US" w:eastAsia="zh-CN"/>
        </w:rPr>
        <w:t>粮油物资储备支出</w:t>
      </w:r>
      <w:r>
        <w:rPr>
          <w:rFonts w:ascii="仿宋" w:eastAsia="仿宋" w:cs="Times New Roman"/>
          <w:kern w:val="2"/>
          <w:sz w:val="32"/>
          <w:szCs w:val="32"/>
          <w:lang w:val="en-US" w:eastAsia="zh-CN"/>
        </w:rPr>
        <w:t>325.88</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80.47</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w:t>
      </w:r>
      <w:r>
        <w:rPr>
          <w:rFonts w:hint="eastAsia" w:ascii="仿宋" w:eastAsia="仿宋" w:cs="仿宋"/>
          <w:b/>
          <w:bCs w:val="0"/>
          <w:kern w:val="2"/>
          <w:sz w:val="32"/>
          <w:szCs w:val="32"/>
          <w:lang w:val="en-US" w:eastAsia="zh-CN"/>
        </w:rPr>
        <w:t>社会保障和就业</w:t>
      </w:r>
      <w:r>
        <w:rPr>
          <w:rFonts w:hint="eastAsia" w:ascii="仿宋" w:eastAsia="仿宋" w:cs="仿宋"/>
          <w:b/>
          <w:bCs/>
          <w:kern w:val="2"/>
          <w:sz w:val="32"/>
          <w:szCs w:val="32"/>
          <w:lang w:val="en-US" w:eastAsia="zh-CN"/>
        </w:rPr>
        <w:t>支出</w:t>
      </w:r>
      <w:r>
        <w:rPr>
          <w:rFonts w:ascii="仿宋" w:eastAsia="仿宋" w:cs="Times New Roman"/>
          <w:kern w:val="2"/>
          <w:sz w:val="32"/>
          <w:szCs w:val="32"/>
          <w:lang w:val="en-US" w:eastAsia="zh-CN"/>
        </w:rPr>
        <w:t>39.11</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9.66</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w:t>
      </w:r>
      <w:r>
        <w:rPr>
          <w:rFonts w:hint="eastAsia" w:ascii="仿宋" w:eastAsia="仿宋" w:cs="仿宋"/>
          <w:b/>
          <w:bCs/>
          <w:kern w:val="2"/>
          <w:sz w:val="32"/>
          <w:szCs w:val="32"/>
          <w:lang w:val="en-US" w:eastAsia="zh-CN"/>
        </w:rPr>
        <w:t>卫生健康支出</w:t>
      </w:r>
      <w:r>
        <w:rPr>
          <w:rFonts w:ascii="仿宋" w:eastAsia="仿宋" w:cs="Times New Roman"/>
          <w:kern w:val="2"/>
          <w:sz w:val="32"/>
          <w:szCs w:val="32"/>
          <w:lang w:val="en-US" w:eastAsia="zh-CN"/>
        </w:rPr>
        <w:t>19.14</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4.72</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w:t>
      </w:r>
      <w:r>
        <w:rPr>
          <w:rFonts w:hint="eastAsia" w:ascii="仿宋" w:eastAsia="仿宋" w:cs="仿宋"/>
          <w:b/>
          <w:bCs/>
          <w:kern w:val="2"/>
          <w:sz w:val="32"/>
          <w:szCs w:val="32"/>
          <w:lang w:val="en-US" w:eastAsia="zh-CN"/>
        </w:rPr>
        <w:t>住房保障支出</w:t>
      </w:r>
      <w:r>
        <w:rPr>
          <w:rFonts w:ascii="仿宋" w:eastAsia="仿宋" w:cs="Times New Roman"/>
          <w:kern w:val="2"/>
          <w:sz w:val="32"/>
          <w:szCs w:val="32"/>
          <w:lang w:val="en-US" w:eastAsia="zh-CN"/>
        </w:rPr>
        <w:t>20.86</w:t>
      </w:r>
      <w:r>
        <w:rPr>
          <w:rFonts w:hint="eastAsia" w:ascii="仿宋" w:eastAsia="仿宋" w:cs="仿宋"/>
          <w:kern w:val="2"/>
          <w:sz w:val="32"/>
          <w:szCs w:val="32"/>
          <w:lang w:val="en-US" w:eastAsia="zh-CN"/>
        </w:rPr>
        <w:t>万元，占5.</w:t>
      </w:r>
      <w:r>
        <w:rPr>
          <w:rFonts w:ascii="仿宋" w:eastAsia="仿宋" w:cs="仿宋"/>
          <w:kern w:val="2"/>
          <w:sz w:val="32"/>
          <w:szCs w:val="32"/>
          <w:lang w:val="en-US" w:eastAsia="zh-CN"/>
        </w:rPr>
        <w:t>15</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420" w:firstLineChars="200"/>
        <w:jc w:val="both"/>
        <w:textAlignment w:val="auto"/>
        <w:rPr>
          <w:rFonts w:ascii="仿宋" w:eastAsia="仿宋" w:cs="Times New Roman"/>
          <w:kern w:val="2"/>
          <w:sz w:val="32"/>
          <w:szCs w:val="32"/>
          <w:lang w:val="en-US" w:eastAsia="zh-CN"/>
        </w:rPr>
      </w:pPr>
      <w:r>
        <w:rPr>
          <w:rFonts w:hint="eastAsia" w:eastAsia="宋体"/>
          <w:lang w:val="en-US" w:eastAsia="zh-CN"/>
        </w:rPr>
        <w:drawing>
          <wp:anchor distT="0" distB="0" distL="114300" distR="114300" simplePos="0" relativeHeight="251659264" behindDoc="0" locked="0" layoutInCell="1" allowOverlap="1">
            <wp:simplePos x="0" y="0"/>
            <wp:positionH relativeFrom="column">
              <wp:posOffset>203835</wp:posOffset>
            </wp:positionH>
            <wp:positionV relativeFrom="paragraph">
              <wp:posOffset>93980</wp:posOffset>
            </wp:positionV>
            <wp:extent cx="4232275" cy="2487295"/>
            <wp:effectExtent l="0" t="0" r="2" b="25"/>
            <wp:wrapSquare wrapText="bothSides"/>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eastAsia="仿宋" w:cs="Times New Roman"/>
          <w:kern w:val="2"/>
          <w:sz w:val="32"/>
          <w:szCs w:val="32"/>
          <w:lang w:val="en-US" w:eastAsia="zh-CN"/>
        </w:rPr>
        <w:t xml:space="preserve">     </w:t>
      </w:r>
    </w:p>
    <w:p>
      <w:pPr>
        <w:pStyle w:val="2"/>
        <w:ind w:left="0" w:leftChars="0" w:firstLine="0" w:firstLineChars="0"/>
        <w:rPr>
          <w:rFonts w:hint="eastAsia" w:eastAsia="宋体"/>
          <w:lang w:val="en-US" w:eastAsia="zh-CN"/>
        </w:rPr>
      </w:pPr>
    </w:p>
    <w:p>
      <w:pPr>
        <w:keepNext w:val="0"/>
        <w:keepLines w:val="0"/>
        <w:pageBreakBefore w:val="0"/>
        <w:widowControl w:val="0"/>
        <w:suppressLineNumbers w:val="0"/>
        <w:suppressAutoHyphens/>
        <w:kinsoku/>
        <w:wordWrap/>
        <w:overflowPunct/>
        <w:topLinePunct w:val="0"/>
        <w:snapToGrid/>
        <w:spacing w:line="600" w:lineRule="exact"/>
        <w:ind w:firstLine="420" w:firstLineChars="200"/>
      </w:pPr>
    </w:p>
    <w:p>
      <w:pPr>
        <w:keepNext w:val="0"/>
        <w:keepLines w:val="0"/>
        <w:pageBreakBefore w:val="0"/>
        <w:widowControl w:val="0"/>
        <w:suppressLineNumbers w:val="0"/>
        <w:suppressAutoHyphens/>
        <w:kinsoku/>
        <w:wordWrap/>
        <w:overflowPunct/>
        <w:topLinePunct w:val="0"/>
        <w:snapToGrid/>
        <w:spacing w:line="600" w:lineRule="exact"/>
        <w:ind w:firstLine="420" w:firstLineChars="200"/>
      </w:pPr>
    </w:p>
    <w:p>
      <w:pPr>
        <w:keepNext w:val="0"/>
        <w:keepLines w:val="0"/>
        <w:pageBreakBefore w:val="0"/>
        <w:widowControl w:val="0"/>
        <w:suppressLineNumbers w:val="0"/>
        <w:suppressAutoHyphens/>
        <w:kinsoku/>
        <w:wordWrap/>
        <w:overflowPunct/>
        <w:topLinePunct w:val="0"/>
        <w:snapToGrid/>
        <w:spacing w:line="600" w:lineRule="exact"/>
        <w:ind w:firstLine="420" w:firstLineChars="200"/>
      </w:pPr>
    </w:p>
    <w:p>
      <w:pPr>
        <w:keepNext w:val="0"/>
        <w:keepLines w:val="0"/>
        <w:pageBreakBefore w:val="0"/>
        <w:widowControl w:val="0"/>
        <w:suppressLineNumbers w:val="0"/>
        <w:suppressAutoHyphens/>
        <w:kinsoku/>
        <w:wordWrap/>
        <w:overflowPunct/>
        <w:topLinePunct w:val="0"/>
        <w:snapToGrid/>
        <w:spacing w:line="600" w:lineRule="exact"/>
        <w:ind w:firstLine="420" w:firstLineChars="200"/>
      </w:pPr>
    </w:p>
    <w:p>
      <w:pPr>
        <w:keepNext w:val="0"/>
        <w:keepLines w:val="0"/>
        <w:pageBreakBefore w:val="0"/>
        <w:widowControl w:val="0"/>
        <w:suppressLineNumbers w:val="0"/>
        <w:suppressAutoHyphens/>
        <w:kinsoku/>
        <w:wordWrap/>
        <w:overflowPunct/>
        <w:topLinePunct w:val="0"/>
        <w:snapToGrid/>
        <w:spacing w:line="600" w:lineRule="exact"/>
        <w:ind w:firstLine="420" w:firstLineChars="200"/>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jc w:val="both"/>
        <w:textAlignment w:val="auto"/>
        <w:rPr>
          <w:rFonts w:hint="eastAsia" w:ascii="仿宋" w:eastAsia="仿宋" w:cs="Times New Roman"/>
          <w:b/>
          <w:bCs w:val="0"/>
          <w:kern w:val="2"/>
          <w:sz w:val="32"/>
          <w:szCs w:val="32"/>
        </w:rPr>
      </w:pPr>
      <w:r>
        <w:rPr>
          <w:rFonts w:ascii="仿宋" w:eastAsia="仿宋" w:cs="仿宋"/>
          <w:b/>
          <w:bCs w:val="0"/>
          <w:kern w:val="2"/>
          <w:sz w:val="32"/>
          <w:szCs w:val="32"/>
          <w:lang w:val="en-US" w:eastAsia="zh-CN"/>
        </w:rPr>
        <w:t>（</w:t>
      </w:r>
      <w:r>
        <w:rPr>
          <w:rFonts w:hint="eastAsia" w:ascii="仿宋" w:eastAsia="仿宋" w:cs="仿宋"/>
          <w:b/>
          <w:bCs w:val="0"/>
          <w:kern w:val="2"/>
          <w:sz w:val="32"/>
          <w:szCs w:val="32"/>
          <w:lang w:val="en-US" w:eastAsia="zh-CN"/>
        </w:rPr>
        <w:t>三）一般公共预算财政拨款支出决算具体情况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eastAsia="仿宋" w:cs="Times New Roman"/>
          <w:kern w:val="2"/>
          <w:sz w:val="32"/>
          <w:szCs w:val="32"/>
        </w:rPr>
      </w:pPr>
      <w:r>
        <w:rPr>
          <w:rFonts w:hint="eastAsia" w:ascii="仿宋" w:eastAsia="仿宋" w:cs="仿宋"/>
          <w:b/>
          <w:bCs w:val="0"/>
          <w:kern w:val="2"/>
          <w:sz w:val="32"/>
          <w:szCs w:val="32"/>
          <w:lang w:val="en-US" w:eastAsia="zh-CN"/>
        </w:rPr>
        <w:t>2023年度一般公共预算支出决算数为</w:t>
      </w:r>
      <w:r>
        <w:rPr>
          <w:rFonts w:ascii="仿宋" w:eastAsia="仿宋" w:cs="Times New Roman"/>
          <w:b/>
          <w:bCs w:val="0"/>
          <w:kern w:val="2"/>
          <w:sz w:val="32"/>
          <w:szCs w:val="32"/>
          <w:lang w:val="en-US" w:eastAsia="zh-CN"/>
        </w:rPr>
        <w:t>404.99</w:t>
      </w:r>
      <w:r>
        <w:rPr>
          <w:rFonts w:hint="eastAsia" w:ascii="仿宋" w:eastAsia="仿宋" w:cs="Times New Roman"/>
          <w:b/>
          <w:bCs w:val="0"/>
          <w:kern w:val="2"/>
          <w:sz w:val="32"/>
          <w:szCs w:val="32"/>
          <w:lang w:val="en-US" w:eastAsia="zh-CN"/>
        </w:rPr>
        <w:t>万元</w:t>
      </w:r>
      <w:r>
        <w:rPr>
          <w:rFonts w:hint="eastAsia" w:ascii="仿宋" w:eastAsia="仿宋" w:cs="仿宋"/>
          <w:kern w:val="2"/>
          <w:sz w:val="32"/>
          <w:szCs w:val="32"/>
          <w:lang w:val="en-US" w:eastAsia="zh-CN"/>
        </w:rPr>
        <w:t>，</w:t>
      </w:r>
      <w:r>
        <w:rPr>
          <w:rStyle w:val="22"/>
          <w:rFonts w:hint="eastAsia" w:ascii="仿宋" w:eastAsia="仿宋" w:cs="仿宋"/>
          <w:b/>
          <w:bCs/>
          <w:kern w:val="2"/>
          <w:sz w:val="32"/>
          <w:szCs w:val="32"/>
          <w:lang w:val="en-US" w:eastAsia="zh-CN"/>
        </w:rPr>
        <w:t>完成预算</w:t>
      </w:r>
      <w:r>
        <w:rPr>
          <w:rStyle w:val="22"/>
          <w:rFonts w:hint="eastAsia" w:ascii="仿宋" w:eastAsia="仿宋" w:cs="Times New Roman"/>
          <w:b/>
          <w:bCs/>
          <w:kern w:val="2"/>
          <w:sz w:val="32"/>
          <w:szCs w:val="32"/>
          <w:lang w:val="en-US" w:eastAsia="zh-CN"/>
        </w:rPr>
        <w:t>100%</w:t>
      </w:r>
      <w:r>
        <w:rPr>
          <w:rStyle w:val="22"/>
          <w:rFonts w:hint="eastAsia" w:ascii="仿宋" w:eastAsia="仿宋" w:cs="仿宋"/>
          <w:b/>
          <w:bCs/>
          <w:kern w:val="2"/>
          <w:sz w:val="32"/>
          <w:szCs w:val="32"/>
          <w:lang w:val="en-US" w:eastAsia="zh-CN"/>
        </w:rPr>
        <w:t>。其中：</w:t>
      </w:r>
    </w:p>
    <w:p>
      <w:pPr>
        <w:pageBreakBefore w:val="0"/>
        <w:widowControl w:val="0"/>
        <w:kinsoku/>
        <w:wordWrap/>
        <w:overflowPunct/>
        <w:topLinePunct w:val="0"/>
        <w:spacing w:line="576" w:lineRule="exact"/>
        <w:ind w:firstLine="642" w:firstLineChars="200"/>
        <w:rPr>
          <w:rFonts w:hint="eastAsia" w:ascii="仿宋_GB2312" w:eastAsia="仿宋_GB2312"/>
          <w:b/>
          <w:bCs/>
          <w:sz w:val="32"/>
          <w:szCs w:val="32"/>
        </w:rPr>
      </w:pPr>
      <w:r>
        <w:rPr>
          <w:rStyle w:val="17"/>
          <w:rFonts w:hint="eastAsia" w:ascii="仿宋" w:eastAsia="仿宋" w:cs="Times New Roman"/>
          <w:bCs/>
          <w:color w:val="000000"/>
          <w:kern w:val="2"/>
          <w:sz w:val="32"/>
          <w:szCs w:val="32"/>
          <w:lang w:val="en-US" w:eastAsia="zh-CN" w:bidi="ar-SA"/>
        </w:rPr>
        <w:t>1.</w:t>
      </w:r>
      <w:r>
        <w:rPr>
          <w:rStyle w:val="17"/>
          <w:rFonts w:hint="eastAsia" w:ascii="仿宋_GB2312" w:eastAsia="仿宋_GB2312" w:cs="仿宋_GB2312"/>
          <w:bCs/>
          <w:color w:val="000000"/>
          <w:sz w:val="32"/>
          <w:szCs w:val="32"/>
          <w:lang w:bidi="ar-SA"/>
        </w:rPr>
        <w:t>社会保障和就业（208）行政事业单位离退休（20805）机关事业单位职业年金缴费支出（2080506）</w:t>
      </w:r>
      <w:r>
        <w:rPr>
          <w:rStyle w:val="17"/>
          <w:rFonts w:hint="eastAsia" w:ascii="仿宋" w:eastAsia="仿宋" w:cs="Times New Roman"/>
          <w:bCs/>
          <w:color w:val="000000"/>
          <w:kern w:val="2"/>
          <w:sz w:val="32"/>
          <w:szCs w:val="32"/>
          <w:lang w:val="en-US" w:eastAsia="zh-CN" w:bidi="ar-SA"/>
        </w:rPr>
        <w:t xml:space="preserve">: </w:t>
      </w:r>
      <w:r>
        <w:rPr>
          <w:rStyle w:val="17"/>
          <w:rFonts w:hint="eastAsia" w:ascii="仿宋" w:eastAsia="仿宋" w:cs="Times New Roman"/>
          <w:b w:val="0"/>
          <w:bCs/>
          <w:color w:val="000000"/>
          <w:kern w:val="2"/>
          <w:sz w:val="32"/>
          <w:szCs w:val="32"/>
          <w:lang w:val="en-US" w:eastAsia="zh-CN" w:bidi="ar-SA"/>
        </w:rPr>
        <w:t>支出决算为</w:t>
      </w:r>
      <w:r>
        <w:rPr>
          <w:rStyle w:val="17"/>
          <w:rFonts w:ascii="仿宋" w:eastAsia="仿宋" w:cs="Times New Roman"/>
          <w:b w:val="0"/>
          <w:bCs/>
          <w:color w:val="000000"/>
          <w:kern w:val="2"/>
          <w:sz w:val="32"/>
          <w:szCs w:val="32"/>
          <w:lang w:val="en-US" w:eastAsia="zh-CN" w:bidi="ar-SA"/>
        </w:rPr>
        <w:t>13.04</w:t>
      </w:r>
      <w:r>
        <w:rPr>
          <w:rStyle w:val="17"/>
          <w:rFonts w:hint="eastAsia" w:ascii="仿宋" w:eastAsia="仿宋" w:cs="Times New Roman"/>
          <w:b w:val="0"/>
          <w:bCs/>
          <w:color w:val="000000"/>
          <w:kern w:val="2"/>
          <w:sz w:val="32"/>
          <w:szCs w:val="32"/>
          <w:lang w:val="en-US" w:eastAsia="zh-CN" w:bidi="ar-SA"/>
        </w:rPr>
        <w:t>万元，完成预算100%。</w:t>
      </w:r>
    </w:p>
    <w:p>
      <w:pPr>
        <w:spacing w:line="576" w:lineRule="exact"/>
        <w:ind w:firstLine="479"/>
        <w:rPr>
          <w:rStyle w:val="17"/>
          <w:rFonts w:hint="eastAsia" w:ascii="仿宋" w:eastAsia="仿宋"/>
          <w:bCs/>
          <w:color w:val="000000"/>
          <w:sz w:val="32"/>
          <w:szCs w:val="32"/>
        </w:rPr>
      </w:pPr>
      <w:r>
        <w:rPr>
          <w:rStyle w:val="17"/>
          <w:rFonts w:hint="eastAsia" w:ascii="仿宋" w:eastAsia="仿宋" w:cs="Times New Roman"/>
          <w:bCs/>
          <w:color w:val="000000"/>
          <w:kern w:val="2"/>
          <w:sz w:val="32"/>
          <w:szCs w:val="32"/>
          <w:lang w:val="en-US" w:eastAsia="zh-CN" w:bidi="ar-SA"/>
        </w:rPr>
        <w:t>2.</w:t>
      </w:r>
      <w:r>
        <w:rPr>
          <w:rStyle w:val="17"/>
          <w:rFonts w:hint="eastAsia" w:ascii="仿宋_GB2312" w:eastAsia="仿宋_GB2312" w:cs="仿宋_GB2312"/>
          <w:bCs/>
          <w:color w:val="000000"/>
          <w:sz w:val="32"/>
          <w:szCs w:val="32"/>
          <w:lang w:bidi="ar-SA"/>
        </w:rPr>
        <w:t>医疗卫生与计划生育支出（210）行政事业单位医（21011）行政单位医疗（2101101）</w:t>
      </w:r>
      <w:r>
        <w:rPr>
          <w:rStyle w:val="17"/>
          <w:rFonts w:hint="eastAsia" w:ascii="仿宋" w:eastAsia="仿宋" w:cs="Times New Roman"/>
          <w:bCs/>
          <w:color w:val="000000"/>
          <w:kern w:val="2"/>
          <w:sz w:val="32"/>
          <w:szCs w:val="32"/>
          <w:lang w:val="en-US" w:eastAsia="zh-CN" w:bidi="ar-SA"/>
        </w:rPr>
        <w:t>：</w:t>
      </w:r>
      <w:r>
        <w:rPr>
          <w:rStyle w:val="17"/>
          <w:rFonts w:hint="eastAsia" w:ascii="仿宋" w:eastAsia="仿宋" w:cs="Times New Roman"/>
          <w:b w:val="0"/>
          <w:bCs/>
          <w:color w:val="000000"/>
          <w:kern w:val="2"/>
          <w:sz w:val="32"/>
          <w:szCs w:val="32"/>
          <w:lang w:val="en-US" w:eastAsia="zh-CN" w:bidi="ar-SA"/>
        </w:rPr>
        <w:t>支出决算为</w:t>
      </w:r>
      <w:r>
        <w:rPr>
          <w:rStyle w:val="17"/>
          <w:rFonts w:ascii="仿宋" w:eastAsia="仿宋" w:cs="Times New Roman"/>
          <w:b w:val="0"/>
          <w:bCs/>
          <w:color w:val="000000"/>
          <w:kern w:val="2"/>
          <w:sz w:val="32"/>
          <w:szCs w:val="32"/>
          <w:lang w:val="en-US" w:eastAsia="zh-CN" w:bidi="ar-SA"/>
        </w:rPr>
        <w:t>19.14</w:t>
      </w:r>
      <w:r>
        <w:rPr>
          <w:rStyle w:val="17"/>
          <w:rFonts w:hint="eastAsia" w:ascii="仿宋" w:eastAsia="仿宋" w:cs="Times New Roman"/>
          <w:b w:val="0"/>
          <w:bCs/>
          <w:color w:val="000000"/>
          <w:kern w:val="2"/>
          <w:sz w:val="32"/>
          <w:szCs w:val="32"/>
          <w:lang w:val="en-US" w:eastAsia="zh-CN" w:bidi="ar-SA"/>
        </w:rPr>
        <w:t>万元，完成预算100%。</w:t>
      </w:r>
    </w:p>
    <w:p>
      <w:pPr>
        <w:spacing w:line="600" w:lineRule="exact"/>
        <w:ind w:left="0" w:firstLine="321" w:firstLineChars="100"/>
        <w:rPr>
          <w:rFonts w:hint="eastAsia" w:ascii="仿宋" w:eastAsia="仿宋" w:cs="Times New Roman"/>
          <w:b/>
          <w:bCs w:val="0"/>
          <w:kern w:val="2"/>
          <w:sz w:val="32"/>
          <w:szCs w:val="32"/>
        </w:rPr>
      </w:pPr>
      <w:r>
        <w:rPr>
          <w:rStyle w:val="17"/>
          <w:rFonts w:hint="eastAsia" w:ascii="仿宋_GB2312" w:eastAsia="仿宋_GB2312" w:cs="仿宋_GB2312"/>
          <w:bCs/>
          <w:color w:val="000000"/>
          <w:sz w:val="32"/>
          <w:szCs w:val="32"/>
          <w:lang w:bidi="ar-SA"/>
        </w:rPr>
        <w:t>3.</w:t>
      </w:r>
      <w:r>
        <w:rPr>
          <w:rFonts w:hint="eastAsia" w:ascii="仿宋" w:eastAsia="仿宋" w:cs="仿宋"/>
          <w:b/>
          <w:bCs/>
          <w:kern w:val="2"/>
          <w:sz w:val="32"/>
          <w:szCs w:val="32"/>
          <w:lang w:val="en-US" w:eastAsia="zh-CN"/>
        </w:rPr>
        <w:t>住房保障支出（221）住房改革支出（22102）购房补贴（2210203）</w:t>
      </w:r>
      <w:r>
        <w:rPr>
          <w:rStyle w:val="22"/>
          <w:rFonts w:hint="eastAsia" w:ascii="仿宋" w:eastAsia="仿宋" w:cs="Times New Roman"/>
          <w:b/>
          <w:bCs/>
          <w:kern w:val="2"/>
          <w:sz w:val="32"/>
          <w:szCs w:val="32"/>
          <w:lang w:val="en-US" w:eastAsia="zh-CN"/>
        </w:rPr>
        <w:t>:</w:t>
      </w:r>
      <w:r>
        <w:rPr>
          <w:rStyle w:val="22"/>
          <w:rFonts w:hint="eastAsia" w:ascii="仿宋" w:eastAsia="仿宋" w:cs="仿宋"/>
          <w:b w:val="0"/>
          <w:bCs/>
          <w:kern w:val="2"/>
          <w:sz w:val="32"/>
          <w:szCs w:val="32"/>
          <w:lang w:val="en-US" w:eastAsia="zh-CN"/>
        </w:rPr>
        <w:t>支出决算为</w:t>
      </w:r>
      <w:r>
        <w:rPr>
          <w:rFonts w:ascii="仿宋_GB2312" w:eastAsia="仿宋_GB2312"/>
          <w:color w:val="000000"/>
          <w:sz w:val="32"/>
          <w:szCs w:val="32"/>
          <w:lang w:val="en-US" w:eastAsia="zh-CN"/>
        </w:rPr>
        <w:t>1.21</w:t>
      </w:r>
      <w:r>
        <w:rPr>
          <w:rFonts w:hint="eastAsia" w:ascii="仿宋_GB2312" w:eastAsia="仿宋_GB2312"/>
          <w:color w:val="000000"/>
          <w:sz w:val="32"/>
          <w:szCs w:val="32"/>
        </w:rPr>
        <w:t>万元，完成预算的100%。</w:t>
      </w:r>
      <w:r>
        <w:rPr>
          <w:rFonts w:hint="eastAsia" w:ascii="仿宋" w:eastAsia="仿宋" w:cs="Times New Roman"/>
          <w:b/>
          <w:bCs w:val="0"/>
          <w:kern w:val="2"/>
          <w:sz w:val="32"/>
          <w:szCs w:val="32"/>
          <w:lang w:val="en-US" w:eastAsia="zh-CN"/>
        </w:rPr>
        <w:t xml:space="preserve"> </w:t>
      </w:r>
    </w:p>
    <w:p>
      <w:pPr>
        <w:spacing w:line="576" w:lineRule="exact"/>
        <w:ind w:firstLine="360" w:firstLineChars="100"/>
        <w:rPr>
          <w:rStyle w:val="17"/>
          <w:rFonts w:hint="eastAsia" w:ascii="仿宋_GB2312" w:eastAsia="仿宋_GB2312" w:cs="仿宋_GB2312"/>
          <w:bCs/>
          <w:color w:val="000000"/>
          <w:sz w:val="32"/>
          <w:szCs w:val="32"/>
          <w:lang w:bidi="ar-SA"/>
        </w:rPr>
      </w:pPr>
      <w:r>
        <w:rPr>
          <w:sz w:val="36"/>
          <w:szCs w:val="36"/>
        </w:rPr>
        <w:t>4.</w:t>
      </w:r>
      <w:r>
        <w:rPr>
          <w:rStyle w:val="17"/>
          <w:rFonts w:hint="eastAsia" w:ascii="仿宋_GB2312" w:eastAsia="仿宋_GB2312" w:cs="仿宋_GB2312"/>
          <w:bCs/>
          <w:color w:val="000000"/>
          <w:sz w:val="32"/>
          <w:szCs w:val="32"/>
          <w:lang w:bidi="ar-SA"/>
        </w:rPr>
        <w:t>粮油物资储备等支出（222）粮油事务（2220</w:t>
      </w:r>
      <w:r>
        <w:rPr>
          <w:rStyle w:val="17"/>
          <w:rFonts w:ascii="仿宋_GB2312" w:eastAsia="仿宋_GB2312" w:cs="仿宋_GB2312"/>
          <w:bCs/>
          <w:color w:val="000000"/>
          <w:sz w:val="32"/>
          <w:szCs w:val="32"/>
          <w:lang w:bidi="ar-SA"/>
        </w:rPr>
        <w:t>4</w:t>
      </w:r>
      <w:r>
        <w:rPr>
          <w:rStyle w:val="17"/>
          <w:rFonts w:hint="eastAsia" w:ascii="仿宋_GB2312" w:eastAsia="仿宋_GB2312" w:cs="仿宋_GB2312"/>
          <w:bCs/>
          <w:color w:val="000000"/>
          <w:sz w:val="32"/>
          <w:szCs w:val="32"/>
          <w:lang w:bidi="ar-SA"/>
        </w:rPr>
        <w:t>）其它粮油物资</w:t>
      </w:r>
      <w:r>
        <w:rPr>
          <w:rStyle w:val="17"/>
          <w:rFonts w:ascii="仿宋_GB2312" w:eastAsia="仿宋_GB2312" w:cs="仿宋_GB2312"/>
          <w:bCs/>
          <w:color w:val="000000"/>
          <w:sz w:val="32"/>
          <w:szCs w:val="32"/>
          <w:lang w:bidi="ar-SA"/>
        </w:rPr>
        <w:t>储备</w:t>
      </w:r>
      <w:r>
        <w:rPr>
          <w:rStyle w:val="17"/>
          <w:rFonts w:hint="eastAsia" w:ascii="仿宋_GB2312" w:eastAsia="仿宋_GB2312" w:cs="仿宋_GB2312"/>
          <w:bCs/>
          <w:color w:val="000000"/>
          <w:sz w:val="32"/>
          <w:szCs w:val="32"/>
          <w:lang w:bidi="ar-SA"/>
        </w:rPr>
        <w:t>支出（2220</w:t>
      </w:r>
      <w:r>
        <w:rPr>
          <w:rStyle w:val="17"/>
          <w:rFonts w:ascii="仿宋_GB2312" w:eastAsia="仿宋_GB2312" w:cs="仿宋_GB2312"/>
          <w:bCs/>
          <w:color w:val="000000"/>
          <w:sz w:val="32"/>
          <w:szCs w:val="32"/>
          <w:lang w:bidi="ar-SA"/>
        </w:rPr>
        <w:t>4</w:t>
      </w:r>
      <w:r>
        <w:rPr>
          <w:rStyle w:val="17"/>
          <w:rFonts w:hint="eastAsia" w:ascii="仿宋_GB2312" w:eastAsia="仿宋_GB2312" w:cs="仿宋_GB2312"/>
          <w:bCs/>
          <w:color w:val="000000"/>
          <w:sz w:val="32"/>
          <w:szCs w:val="32"/>
          <w:lang w:bidi="ar-SA"/>
        </w:rPr>
        <w:t>99）:</w:t>
      </w:r>
      <w:r>
        <w:rPr>
          <w:rStyle w:val="17"/>
          <w:rFonts w:hint="eastAsia" w:ascii="仿宋_GB2312" w:eastAsia="仿宋_GB2312" w:cs="仿宋_GB2312"/>
          <w:b w:val="0"/>
          <w:bCs/>
          <w:color w:val="000000"/>
          <w:sz w:val="32"/>
          <w:szCs w:val="32"/>
          <w:lang w:bidi="ar-SA"/>
        </w:rPr>
        <w:t>支出决算为</w:t>
      </w:r>
      <w:r>
        <w:rPr>
          <w:rStyle w:val="17"/>
          <w:rFonts w:ascii="仿宋_GB2312" w:eastAsia="仿宋_GB2312" w:cs="仿宋_GB2312"/>
          <w:b w:val="0"/>
          <w:bCs/>
          <w:color w:val="000000"/>
          <w:sz w:val="32"/>
          <w:szCs w:val="32"/>
          <w:lang w:bidi="ar-SA"/>
        </w:rPr>
        <w:t>81.87</w:t>
      </w:r>
      <w:r>
        <w:rPr>
          <w:rStyle w:val="17"/>
          <w:rFonts w:hint="eastAsia" w:ascii="仿宋_GB2312" w:eastAsia="仿宋_GB2312" w:cs="仿宋_GB2312"/>
          <w:b w:val="0"/>
          <w:bCs/>
          <w:color w:val="000000"/>
          <w:sz w:val="32"/>
          <w:szCs w:val="32"/>
          <w:lang w:bidi="ar-SA"/>
        </w:rPr>
        <w:t>万元，完成预算100%。</w:t>
      </w:r>
    </w:p>
    <w:p>
      <w:pPr>
        <w:spacing w:line="576" w:lineRule="exact"/>
        <w:ind w:left="0" w:firstLine="321" w:firstLineChars="100"/>
        <w:rPr>
          <w:rStyle w:val="17"/>
          <w:rFonts w:hint="eastAsia" w:ascii="仿宋_GB2312" w:eastAsia="仿宋_GB2312" w:cs="仿宋_GB2312"/>
          <w:b w:val="0"/>
          <w:bCs/>
          <w:color w:val="000000"/>
          <w:sz w:val="32"/>
          <w:szCs w:val="32"/>
          <w:lang w:bidi="ar-SA"/>
        </w:rPr>
      </w:pPr>
      <w:r>
        <w:rPr>
          <w:rStyle w:val="17"/>
          <w:rFonts w:hint="eastAsia" w:ascii="仿宋_GB2312" w:eastAsia="仿宋_GB2312" w:cs="仿宋_GB2312"/>
          <w:bCs/>
          <w:color w:val="000000"/>
          <w:sz w:val="32"/>
          <w:szCs w:val="32"/>
          <w:lang w:bidi="ar-SA"/>
        </w:rPr>
        <w:t>5.住房保障支出（221）住房改革支出（22102）住房公积金（2210201）:</w:t>
      </w:r>
      <w:r>
        <w:rPr>
          <w:rStyle w:val="17"/>
          <w:rFonts w:hint="eastAsia" w:ascii="仿宋_GB2312" w:eastAsia="仿宋_GB2312" w:cs="仿宋_GB2312"/>
          <w:b w:val="0"/>
          <w:bCs/>
          <w:color w:val="000000"/>
          <w:sz w:val="32"/>
          <w:szCs w:val="32"/>
          <w:lang w:bidi="ar-SA"/>
        </w:rPr>
        <w:t>支出决算为</w:t>
      </w:r>
      <w:r>
        <w:rPr>
          <w:rStyle w:val="17"/>
          <w:rFonts w:ascii="仿宋_GB2312" w:eastAsia="仿宋_GB2312" w:cs="仿宋_GB2312"/>
          <w:b w:val="0"/>
          <w:bCs/>
          <w:color w:val="000000"/>
          <w:sz w:val="32"/>
          <w:szCs w:val="32"/>
          <w:lang w:bidi="ar-SA"/>
        </w:rPr>
        <w:t>19.65</w:t>
      </w:r>
      <w:r>
        <w:rPr>
          <w:rStyle w:val="17"/>
          <w:rFonts w:hint="eastAsia" w:ascii="仿宋_GB2312" w:eastAsia="仿宋_GB2312" w:cs="仿宋_GB2312"/>
          <w:b w:val="0"/>
          <w:bCs/>
          <w:color w:val="000000"/>
          <w:sz w:val="32"/>
          <w:szCs w:val="32"/>
          <w:lang w:bidi="ar-SA"/>
        </w:rPr>
        <w:t>万元，完成预算100%。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320" w:firstLineChars="100"/>
        <w:jc w:val="both"/>
        <w:textAlignment w:val="auto"/>
        <w:rPr>
          <w:rStyle w:val="22"/>
          <w:rFonts w:hint="eastAsia" w:ascii="仿宋" w:eastAsia="仿宋" w:cs="仿宋"/>
          <w:b w:val="0"/>
          <w:bCs/>
          <w:kern w:val="2"/>
          <w:sz w:val="32"/>
          <w:szCs w:val="32"/>
          <w:lang w:val="en-US" w:eastAsia="zh-CN"/>
        </w:rPr>
      </w:pPr>
      <w:r>
        <w:rPr>
          <w:sz w:val="32"/>
          <w:szCs w:val="32"/>
        </w:rPr>
        <w:t>6.</w:t>
      </w:r>
      <w:r>
        <w:rPr>
          <w:rStyle w:val="22"/>
          <w:rFonts w:hint="eastAsia" w:ascii="仿宋" w:eastAsia="仿宋" w:cs="仿宋"/>
          <w:b/>
          <w:bCs/>
          <w:kern w:val="2"/>
          <w:sz w:val="32"/>
          <w:szCs w:val="32"/>
          <w:lang w:val="en-US" w:eastAsia="zh-CN"/>
        </w:rPr>
        <w:t>一般公共服务（2</w:t>
      </w:r>
      <w:r>
        <w:rPr>
          <w:rStyle w:val="22"/>
          <w:rFonts w:ascii="仿宋" w:eastAsia="仿宋" w:cs="仿宋"/>
          <w:b/>
          <w:bCs/>
          <w:kern w:val="2"/>
          <w:sz w:val="32"/>
          <w:szCs w:val="32"/>
          <w:lang w:val="en-US" w:eastAsia="zh-CN"/>
        </w:rPr>
        <w:t>22</w:t>
      </w:r>
      <w:r>
        <w:rPr>
          <w:rStyle w:val="22"/>
          <w:rFonts w:hint="eastAsia" w:ascii="仿宋" w:eastAsia="仿宋" w:cs="仿宋"/>
          <w:b/>
          <w:bCs/>
          <w:kern w:val="2"/>
          <w:sz w:val="32"/>
          <w:szCs w:val="32"/>
          <w:lang w:val="en-US" w:eastAsia="zh-CN"/>
        </w:rPr>
        <w:t>）</w:t>
      </w:r>
      <w:r>
        <w:rPr>
          <w:rStyle w:val="22"/>
          <w:rFonts w:ascii="仿宋" w:eastAsia="仿宋" w:cs="Times New Roman"/>
          <w:b/>
          <w:bCs/>
          <w:kern w:val="2"/>
          <w:sz w:val="32"/>
          <w:szCs w:val="32"/>
          <w:lang w:val="en-US" w:eastAsia="zh-CN"/>
        </w:rPr>
        <w:t>粮油</w:t>
      </w:r>
      <w:r>
        <w:rPr>
          <w:rStyle w:val="22"/>
          <w:rFonts w:hint="eastAsia" w:ascii="仿宋" w:eastAsia="仿宋" w:cs="Times New Roman"/>
          <w:b/>
          <w:bCs/>
          <w:kern w:val="2"/>
          <w:sz w:val="32"/>
          <w:szCs w:val="32"/>
          <w:lang w:val="en-US" w:eastAsia="zh-CN"/>
        </w:rPr>
        <w:t>事务</w:t>
      </w:r>
      <w:r>
        <w:rPr>
          <w:rStyle w:val="22"/>
          <w:rFonts w:hint="eastAsia" w:ascii="仿宋" w:eastAsia="仿宋" w:cs="仿宋"/>
          <w:b/>
          <w:bCs/>
          <w:kern w:val="2"/>
          <w:sz w:val="32"/>
          <w:szCs w:val="32"/>
          <w:lang w:val="en-US" w:eastAsia="zh-CN"/>
        </w:rPr>
        <w:t>（2</w:t>
      </w:r>
      <w:r>
        <w:rPr>
          <w:rStyle w:val="22"/>
          <w:rFonts w:ascii="仿宋" w:eastAsia="仿宋" w:cs="仿宋"/>
          <w:b/>
          <w:bCs/>
          <w:kern w:val="2"/>
          <w:sz w:val="32"/>
          <w:szCs w:val="32"/>
          <w:lang w:val="en-US" w:eastAsia="zh-CN"/>
        </w:rPr>
        <w:t>22</w:t>
      </w:r>
      <w:r>
        <w:rPr>
          <w:rStyle w:val="22"/>
          <w:rFonts w:hint="eastAsia" w:ascii="仿宋" w:eastAsia="仿宋" w:cs="仿宋"/>
          <w:b/>
          <w:bCs/>
          <w:kern w:val="2"/>
          <w:sz w:val="32"/>
          <w:szCs w:val="32"/>
          <w:lang w:val="en-US" w:eastAsia="zh-CN"/>
        </w:rPr>
        <w:t>01）</w:t>
      </w:r>
      <w:r>
        <w:rPr>
          <w:rStyle w:val="22"/>
          <w:rFonts w:hint="eastAsia" w:ascii="仿宋" w:eastAsia="仿宋" w:cs="Times New Roman"/>
          <w:b/>
          <w:bCs/>
          <w:kern w:val="2"/>
          <w:sz w:val="32"/>
          <w:szCs w:val="32"/>
          <w:lang w:val="en-US" w:eastAsia="zh-CN"/>
        </w:rPr>
        <w:t>行政运行</w:t>
      </w:r>
      <w:r>
        <w:rPr>
          <w:rStyle w:val="22"/>
          <w:rFonts w:hint="eastAsia" w:ascii="仿宋" w:eastAsia="仿宋" w:cs="仿宋"/>
          <w:b/>
          <w:bCs/>
          <w:kern w:val="2"/>
          <w:sz w:val="32"/>
          <w:szCs w:val="32"/>
          <w:lang w:val="en-US" w:eastAsia="zh-CN"/>
        </w:rPr>
        <w:t>（2</w:t>
      </w:r>
      <w:r>
        <w:rPr>
          <w:rStyle w:val="22"/>
          <w:rFonts w:ascii="仿宋" w:eastAsia="仿宋" w:cs="仿宋"/>
          <w:b/>
          <w:bCs/>
          <w:kern w:val="2"/>
          <w:sz w:val="32"/>
          <w:szCs w:val="32"/>
          <w:lang w:val="en-US" w:eastAsia="zh-CN"/>
        </w:rPr>
        <w:t>220101</w:t>
      </w:r>
      <w:r>
        <w:rPr>
          <w:rStyle w:val="22"/>
          <w:rFonts w:hint="eastAsia" w:ascii="仿宋" w:eastAsia="仿宋" w:cs="仿宋"/>
          <w:b/>
          <w:bCs/>
          <w:kern w:val="2"/>
          <w:sz w:val="32"/>
          <w:szCs w:val="32"/>
          <w:lang w:val="en-US" w:eastAsia="zh-CN"/>
        </w:rPr>
        <w:t>）</w:t>
      </w:r>
      <w:r>
        <w:rPr>
          <w:rStyle w:val="22"/>
          <w:rFonts w:hint="eastAsia" w:ascii="仿宋" w:eastAsia="仿宋" w:cs="Times New Roman"/>
          <w:b/>
          <w:bCs/>
          <w:kern w:val="2"/>
          <w:sz w:val="32"/>
          <w:szCs w:val="32"/>
          <w:lang w:val="en-US" w:eastAsia="zh-CN"/>
        </w:rPr>
        <w:t>:</w:t>
      </w:r>
      <w:r>
        <w:rPr>
          <w:rStyle w:val="22"/>
          <w:rFonts w:hint="eastAsia" w:ascii="仿宋" w:eastAsia="仿宋" w:cs="Times New Roman"/>
          <w:b w:val="0"/>
          <w:bCs/>
          <w:kern w:val="2"/>
          <w:sz w:val="32"/>
          <w:szCs w:val="32"/>
          <w:lang w:val="en-US" w:eastAsia="zh-CN"/>
        </w:rPr>
        <w:t xml:space="preserve"> </w:t>
      </w:r>
      <w:r>
        <w:rPr>
          <w:rStyle w:val="22"/>
          <w:rFonts w:hint="eastAsia" w:ascii="仿宋" w:eastAsia="仿宋" w:cs="仿宋"/>
          <w:b w:val="0"/>
          <w:bCs/>
          <w:kern w:val="2"/>
          <w:sz w:val="32"/>
          <w:szCs w:val="32"/>
          <w:lang w:val="en-US" w:eastAsia="zh-CN"/>
        </w:rPr>
        <w:t>支出决算为</w:t>
      </w:r>
      <w:r>
        <w:rPr>
          <w:rStyle w:val="22"/>
          <w:rFonts w:ascii="仿宋" w:eastAsia="仿宋" w:cs="Times New Roman"/>
          <w:b w:val="0"/>
          <w:bCs/>
          <w:kern w:val="2"/>
          <w:sz w:val="32"/>
          <w:szCs w:val="32"/>
          <w:lang w:val="en-US" w:eastAsia="zh-CN"/>
        </w:rPr>
        <w:t>244.01</w:t>
      </w:r>
      <w:r>
        <w:rPr>
          <w:rStyle w:val="22"/>
          <w:rFonts w:hint="eastAsia" w:ascii="仿宋" w:eastAsia="仿宋" w:cs="仿宋"/>
          <w:b w:val="0"/>
          <w:bCs/>
          <w:kern w:val="2"/>
          <w:sz w:val="32"/>
          <w:szCs w:val="32"/>
          <w:lang w:val="en-US" w:eastAsia="zh-CN"/>
        </w:rPr>
        <w:t>万元，完成预算</w:t>
      </w:r>
      <w:r>
        <w:rPr>
          <w:rStyle w:val="22"/>
          <w:rFonts w:hint="eastAsia" w:ascii="仿宋" w:eastAsia="仿宋" w:cs="Times New Roman"/>
          <w:b w:val="0"/>
          <w:bCs/>
          <w:kern w:val="2"/>
          <w:sz w:val="32"/>
          <w:szCs w:val="32"/>
          <w:lang w:val="en-US" w:eastAsia="zh-CN"/>
        </w:rPr>
        <w:t>100%</w:t>
      </w:r>
      <w:r>
        <w:rPr>
          <w:rStyle w:val="22"/>
          <w:rFonts w:hint="eastAsia" w:ascii="仿宋" w:eastAsia="仿宋" w:cs="仿宋"/>
          <w:b w:val="0"/>
          <w:bCs/>
          <w:kern w:val="2"/>
          <w:sz w:val="32"/>
          <w:szCs w:val="32"/>
          <w:lang w:val="en-US" w:eastAsia="zh-CN"/>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321" w:firstLineChars="100"/>
        <w:jc w:val="both"/>
        <w:textAlignment w:val="auto"/>
        <w:rPr>
          <w:rStyle w:val="22"/>
          <w:rFonts w:hint="eastAsia" w:ascii="仿宋" w:eastAsia="仿宋" w:cs="仿宋"/>
          <w:b w:val="0"/>
          <w:bCs/>
          <w:kern w:val="2"/>
          <w:sz w:val="32"/>
          <w:szCs w:val="32"/>
          <w:lang w:val="en-US" w:eastAsia="zh-CN"/>
        </w:rPr>
      </w:pPr>
      <w:r>
        <w:rPr>
          <w:rStyle w:val="22"/>
          <w:rFonts w:ascii="仿宋" w:eastAsia="仿宋" w:cs="仿宋"/>
          <w:b/>
          <w:bCs/>
          <w:kern w:val="2"/>
          <w:sz w:val="32"/>
          <w:szCs w:val="32"/>
          <w:lang w:val="en-US" w:eastAsia="zh-CN"/>
        </w:rPr>
        <w:t>7.</w:t>
      </w:r>
      <w:r>
        <w:rPr>
          <w:rStyle w:val="22"/>
          <w:rFonts w:hint="eastAsia" w:ascii="仿宋" w:eastAsia="仿宋" w:cs="仿宋"/>
          <w:b/>
          <w:bCs/>
          <w:kern w:val="2"/>
          <w:sz w:val="32"/>
          <w:szCs w:val="32"/>
          <w:lang w:val="en-US" w:eastAsia="zh-CN"/>
        </w:rPr>
        <w:t>社会保障和就业（208）</w:t>
      </w:r>
      <w:r>
        <w:rPr>
          <w:rStyle w:val="22"/>
          <w:rFonts w:hint="eastAsia" w:ascii="仿宋" w:eastAsia="仿宋" w:cs="Times New Roman"/>
          <w:b/>
          <w:bCs/>
          <w:kern w:val="2"/>
          <w:sz w:val="32"/>
          <w:szCs w:val="32"/>
          <w:lang w:val="en-US" w:eastAsia="zh-CN"/>
        </w:rPr>
        <w:t>行政事业单位养老支出</w:t>
      </w:r>
      <w:r>
        <w:rPr>
          <w:rStyle w:val="22"/>
          <w:rFonts w:hint="eastAsia" w:ascii="仿宋" w:eastAsia="仿宋" w:cs="仿宋"/>
          <w:b/>
          <w:bCs/>
          <w:kern w:val="2"/>
          <w:sz w:val="32"/>
          <w:szCs w:val="32"/>
          <w:lang w:val="en-US" w:eastAsia="zh-CN"/>
        </w:rPr>
        <w:t>（20805）</w:t>
      </w:r>
      <w:r>
        <w:rPr>
          <w:rStyle w:val="22"/>
          <w:rFonts w:hint="eastAsia" w:ascii="仿宋" w:eastAsia="仿宋" w:cs="Times New Roman"/>
          <w:b/>
          <w:bCs/>
          <w:kern w:val="2"/>
          <w:sz w:val="32"/>
          <w:szCs w:val="32"/>
          <w:lang w:val="en-US" w:eastAsia="zh-CN"/>
        </w:rPr>
        <w:t>机关事业单位基本养老保险缴费支出</w:t>
      </w:r>
      <w:r>
        <w:rPr>
          <w:rStyle w:val="22"/>
          <w:rFonts w:hint="eastAsia" w:ascii="仿宋" w:eastAsia="仿宋" w:cs="仿宋"/>
          <w:b/>
          <w:bCs/>
          <w:kern w:val="2"/>
          <w:sz w:val="32"/>
          <w:szCs w:val="32"/>
          <w:lang w:val="en-US" w:eastAsia="zh-CN"/>
        </w:rPr>
        <w:t>（2080505）</w:t>
      </w:r>
      <w:r>
        <w:rPr>
          <w:rStyle w:val="22"/>
          <w:rFonts w:hint="eastAsia" w:ascii="仿宋" w:eastAsia="仿宋" w:cs="Times New Roman"/>
          <w:b/>
          <w:bCs/>
          <w:kern w:val="2"/>
          <w:sz w:val="32"/>
          <w:szCs w:val="32"/>
          <w:lang w:val="en-US" w:eastAsia="zh-CN"/>
        </w:rPr>
        <w:t>:</w:t>
      </w:r>
      <w:r>
        <w:rPr>
          <w:rStyle w:val="22"/>
          <w:rFonts w:hint="eastAsia" w:ascii="仿宋" w:eastAsia="仿宋" w:cs="Times New Roman"/>
          <w:b w:val="0"/>
          <w:bCs/>
          <w:kern w:val="2"/>
          <w:sz w:val="32"/>
          <w:szCs w:val="32"/>
          <w:lang w:val="en-US" w:eastAsia="zh-CN"/>
        </w:rPr>
        <w:t xml:space="preserve"> </w:t>
      </w:r>
      <w:r>
        <w:rPr>
          <w:rStyle w:val="22"/>
          <w:rFonts w:hint="eastAsia" w:ascii="仿宋" w:eastAsia="仿宋" w:cs="仿宋"/>
          <w:b w:val="0"/>
          <w:bCs/>
          <w:kern w:val="2"/>
          <w:sz w:val="32"/>
          <w:szCs w:val="32"/>
          <w:lang w:val="en-US" w:eastAsia="zh-CN"/>
        </w:rPr>
        <w:t>支出决算为</w:t>
      </w:r>
      <w:r>
        <w:rPr>
          <w:rStyle w:val="22"/>
          <w:rFonts w:ascii="仿宋" w:eastAsia="仿宋" w:cs="Times New Roman"/>
          <w:b w:val="0"/>
          <w:bCs/>
          <w:kern w:val="2"/>
          <w:sz w:val="32"/>
          <w:szCs w:val="32"/>
          <w:lang w:val="en-US" w:eastAsia="zh-CN"/>
        </w:rPr>
        <w:t>26.07</w:t>
      </w:r>
      <w:r>
        <w:rPr>
          <w:rStyle w:val="22"/>
          <w:rFonts w:hint="eastAsia" w:ascii="仿宋" w:eastAsia="仿宋" w:cs="仿宋"/>
          <w:b w:val="0"/>
          <w:bCs/>
          <w:kern w:val="2"/>
          <w:sz w:val="32"/>
          <w:szCs w:val="32"/>
          <w:lang w:val="en-US" w:eastAsia="zh-CN"/>
        </w:rPr>
        <w:t>万元，完成预算</w:t>
      </w:r>
      <w:r>
        <w:rPr>
          <w:rStyle w:val="22"/>
          <w:rFonts w:hint="eastAsia" w:ascii="仿宋" w:eastAsia="仿宋" w:cs="Times New Roman"/>
          <w:b w:val="0"/>
          <w:bCs/>
          <w:kern w:val="2"/>
          <w:sz w:val="32"/>
          <w:szCs w:val="32"/>
          <w:lang w:val="en-US" w:eastAsia="zh-CN"/>
        </w:rPr>
        <w:t>100%</w:t>
      </w:r>
      <w:r>
        <w:rPr>
          <w:rStyle w:val="22"/>
          <w:rFonts w:hint="eastAsia" w:ascii="仿宋" w:eastAsia="仿宋" w:cs="仿宋"/>
          <w:b w:val="0"/>
          <w:bCs/>
          <w:kern w:val="2"/>
          <w:sz w:val="32"/>
          <w:szCs w:val="32"/>
          <w:lang w:val="en-US" w:eastAsia="zh-CN"/>
        </w:rPr>
        <w:t>。</w:t>
      </w:r>
    </w:p>
    <w:p>
      <w:pPr>
        <w:spacing w:line="600" w:lineRule="exact"/>
        <w:ind w:left="0" w:firstLine="480" w:firstLineChars="150"/>
        <w:rPr>
          <w:rFonts w:hint="eastAsia" w:ascii="仿宋" w:eastAsia="仿宋" w:cs="Times New Roman"/>
          <w:b/>
          <w:sz w:val="32"/>
          <w:szCs w:val="32"/>
        </w:rPr>
      </w:pPr>
      <w:r>
        <w:rPr>
          <w:rFonts w:hint="eastAsia" w:ascii="黑体" w:eastAsia="黑体" w:cs="黑体"/>
          <w:kern w:val="2"/>
          <w:sz w:val="32"/>
          <w:szCs w:val="32"/>
          <w:lang w:val="en-US" w:eastAsia="zh-CN"/>
        </w:rPr>
        <w:t>六</w:t>
      </w:r>
      <w:r>
        <w:rPr>
          <w:rFonts w:hint="eastAsia" w:ascii="黑体" w:eastAsia="黑体" w:cs="黑体"/>
          <w:b/>
          <w:bCs w:val="0"/>
          <w:kern w:val="2"/>
          <w:sz w:val="32"/>
          <w:szCs w:val="32"/>
          <w:lang w:val="en-US" w:eastAsia="zh-CN"/>
        </w:rPr>
        <w:t>、一</w:t>
      </w:r>
      <w:r>
        <w:rPr>
          <w:rStyle w:val="23"/>
          <w:rFonts w:hint="eastAsia" w:ascii="黑体" w:eastAsia="黑体" w:cs="黑体"/>
          <w:b w:val="0"/>
          <w:bCs/>
          <w:kern w:val="2"/>
          <w:sz w:val="32"/>
          <w:szCs w:val="32"/>
          <w:lang w:val="en-US" w:eastAsia="zh-CN"/>
        </w:rPr>
        <w:t>般公共预算财政拨款基本支出决算情况说明</w:t>
      </w:r>
      <w:r>
        <w:rPr>
          <w:rStyle w:val="23"/>
          <w:rFonts w:hint="eastAsia" w:ascii="黑体" w:eastAsia="黑体" w:cs="Times New Roman"/>
          <w:b w:val="0"/>
          <w:bCs/>
          <w:kern w:val="2"/>
          <w:sz w:val="32"/>
          <w:szCs w:val="32"/>
          <w:lang w:val="en-US" w:eastAsia="zh-CN"/>
        </w:rPr>
        <w:tab/>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Times New Roman"/>
          <w:kern w:val="2"/>
          <w:sz w:val="32"/>
          <w:szCs w:val="32"/>
        </w:rPr>
      </w:pPr>
      <w:r>
        <w:rPr>
          <w:rFonts w:hint="eastAsia" w:ascii="仿宋" w:eastAsia="仿宋" w:cs="仿宋"/>
          <w:kern w:val="2"/>
          <w:sz w:val="32"/>
          <w:szCs w:val="32"/>
          <w:lang w:val="en-US" w:eastAsia="zh-CN"/>
        </w:rPr>
        <w:t>2023年度一般公共预算财政拨款基本支出</w:t>
      </w:r>
      <w:r>
        <w:rPr>
          <w:rFonts w:ascii="仿宋" w:eastAsia="仿宋" w:cs="Times New Roman"/>
          <w:kern w:val="2"/>
          <w:sz w:val="32"/>
          <w:szCs w:val="32"/>
          <w:lang w:val="en-US" w:eastAsia="zh-CN"/>
        </w:rPr>
        <w:t>323.12</w:t>
      </w:r>
      <w:r>
        <w:rPr>
          <w:rFonts w:hint="eastAsia" w:ascii="仿宋" w:eastAsia="仿宋" w:cs="仿宋"/>
          <w:kern w:val="2"/>
          <w:sz w:val="32"/>
          <w:szCs w:val="32"/>
          <w:lang w:val="en-US" w:eastAsia="zh-CN"/>
        </w:rPr>
        <w:t>万元，其中：</w:t>
      </w:r>
    </w:p>
    <w:p>
      <w:pPr>
        <w:spacing w:line="600" w:lineRule="exact"/>
        <w:ind w:firstLine="645"/>
        <w:rPr>
          <w:rFonts w:hint="eastAsia" w:ascii="仿宋" w:eastAsia="仿宋" w:cs="Times New Roman"/>
          <w:b/>
          <w:bCs w:val="0"/>
          <w:kern w:val="2"/>
          <w:sz w:val="32"/>
          <w:szCs w:val="32"/>
        </w:rPr>
      </w:pPr>
      <w:r>
        <w:rPr>
          <w:rFonts w:hint="eastAsia" w:ascii="仿宋" w:eastAsia="仿宋" w:cs="仿宋"/>
          <w:kern w:val="2"/>
          <w:sz w:val="32"/>
          <w:szCs w:val="32"/>
          <w:lang w:val="en-US" w:eastAsia="zh-CN"/>
        </w:rPr>
        <w:t>人员经费</w:t>
      </w:r>
      <w:r>
        <w:rPr>
          <w:rFonts w:ascii="仿宋" w:eastAsia="仿宋" w:cs="Times New Roman"/>
          <w:kern w:val="2"/>
          <w:sz w:val="32"/>
          <w:szCs w:val="32"/>
          <w:lang w:val="en-US" w:eastAsia="zh-CN"/>
        </w:rPr>
        <w:t>312.93</w:t>
      </w:r>
      <w:r>
        <w:rPr>
          <w:rFonts w:hint="eastAsia" w:ascii="仿宋" w:eastAsia="仿宋" w:cs="仿宋"/>
          <w:kern w:val="2"/>
          <w:sz w:val="32"/>
          <w:szCs w:val="32"/>
          <w:lang w:val="en-US" w:eastAsia="zh-CN"/>
        </w:rPr>
        <w:t>万元，</w:t>
      </w:r>
      <w:r>
        <w:rPr>
          <w:rFonts w:hint="eastAsia" w:asci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eastAsia="仿宋"/>
          <w:color w:val="000000"/>
          <w:sz w:val="32"/>
          <w:szCs w:val="32"/>
        </w:rPr>
        <w:br w:type="textWrapping"/>
      </w:r>
      <w:r>
        <w:rPr>
          <w:rFonts w:hint="eastAsia" w:ascii="仿宋" w:eastAsia="仿宋"/>
          <w:color w:val="000000"/>
          <w:sz w:val="32"/>
          <w:szCs w:val="32"/>
        </w:rPr>
        <w:t>　　日常公用经费</w:t>
      </w:r>
      <w:r>
        <w:rPr>
          <w:rFonts w:ascii="仿宋" w:eastAsia="仿宋"/>
          <w:color w:val="000000"/>
          <w:sz w:val="32"/>
          <w:szCs w:val="32"/>
          <w:lang w:val="en-US" w:eastAsia="zh-CN"/>
        </w:rPr>
        <w:t>10.19</w:t>
      </w:r>
      <w:r>
        <w:rPr>
          <w:rFonts w:hint="eastAsia" w:ascii="仿宋" w:eastAsia="仿宋"/>
          <w:color w:val="000000"/>
          <w:sz w:val="32"/>
          <w:szCs w:val="32"/>
        </w:rPr>
        <w:t>万元，主要包括：办公费、邮电费、差旅费</w:t>
      </w:r>
      <w:r>
        <w:rPr>
          <w:rFonts w:hint="eastAsia" w:ascii="仿宋" w:eastAsia="仿宋"/>
          <w:color w:val="000000"/>
          <w:sz w:val="32"/>
          <w:szCs w:val="32"/>
          <w:lang w:eastAsia="zh-CN"/>
        </w:rPr>
        <w:t>、会议费</w:t>
      </w:r>
      <w:r>
        <w:rPr>
          <w:rFonts w:hint="eastAsia" w:ascii="仿宋" w:eastAsia="仿宋"/>
          <w:color w:val="000000"/>
          <w:sz w:val="32"/>
          <w:szCs w:val="32"/>
        </w:rPr>
        <w:t>、培训费、公务接待费、公务用车运行维护费等</w:t>
      </w:r>
      <w:r>
        <w:rPr>
          <w:rFonts w:hint="eastAsia" w:ascii="仿宋" w:eastAsia="仿宋"/>
          <w:color w:val="000000"/>
          <w:sz w:val="32"/>
          <w:szCs w:val="32"/>
          <w:lang w:eastAsia="zh-CN"/>
        </w:rPr>
        <w:t>。</w:t>
      </w:r>
      <w:r>
        <w:rPr>
          <w:rFonts w:hint="eastAsia" w:ascii="仿宋" w:eastAsia="仿宋" w:cs="Times New Roman"/>
          <w:b/>
          <w:bCs w:val="0"/>
          <w:kern w:val="2"/>
          <w:sz w:val="32"/>
          <w:szCs w:val="32"/>
          <w:lang w:val="en-US" w:eastAsia="zh-CN"/>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eastAsia="黑体" w:cs="Times New Roman"/>
          <w:b w:val="0"/>
          <w:bCs/>
          <w:sz w:val="32"/>
          <w:szCs w:val="32"/>
        </w:rPr>
      </w:pPr>
      <w:r>
        <w:rPr>
          <w:rFonts w:hint="eastAsia" w:ascii="黑体" w:eastAsia="黑体" w:cs="黑体"/>
          <w:kern w:val="2"/>
          <w:sz w:val="32"/>
          <w:szCs w:val="32"/>
          <w:lang w:val="en-US" w:eastAsia="zh-CN"/>
        </w:rPr>
        <w:t>七、</w:t>
      </w:r>
      <w:r>
        <w:rPr>
          <w:rStyle w:val="23"/>
          <w:rFonts w:hint="eastAsia" w:ascii="黑体" w:eastAsia="黑体" w:cs="黑体"/>
          <w:b w:val="0"/>
          <w:bCs/>
          <w:kern w:val="2"/>
          <w:sz w:val="32"/>
          <w:szCs w:val="32"/>
          <w:lang w:val="en-US" w:eastAsia="zh-CN"/>
        </w:rPr>
        <w:t>财政拨款</w:t>
      </w:r>
      <w:r>
        <w:rPr>
          <w:rStyle w:val="23"/>
          <w:rFonts w:hint="eastAsia" w:ascii="黑体" w:eastAsia="黑体" w:cs="黑体"/>
          <w:b/>
          <w:bCs/>
          <w:kern w:val="2"/>
          <w:sz w:val="32"/>
          <w:szCs w:val="32"/>
          <w:lang w:val="en-US" w:eastAsia="zh-CN"/>
        </w:rPr>
        <w:t>“</w:t>
      </w:r>
      <w:r>
        <w:rPr>
          <w:rStyle w:val="23"/>
          <w:rFonts w:hint="eastAsia" w:ascii="黑体" w:eastAsia="黑体" w:cs="黑体"/>
          <w:b w:val="0"/>
          <w:bCs/>
          <w:kern w:val="2"/>
          <w:sz w:val="32"/>
          <w:szCs w:val="32"/>
          <w:lang w:val="en-US" w:eastAsia="zh-CN"/>
        </w:rPr>
        <w:t>三公”经费支出决算情况说明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（一）“三公”经费财政拨款支出决算总体情况说明</w:t>
      </w:r>
    </w:p>
    <w:p>
      <w:pPr>
        <w:pageBreakBefore w:val="0"/>
        <w:widowControl w:val="0"/>
        <w:kinsoku/>
        <w:wordWrap/>
        <w:overflowPunct/>
        <w:topLinePunct w:val="0"/>
        <w:bidi w:val="0"/>
        <w:spacing w:line="576" w:lineRule="exact"/>
        <w:ind w:firstLine="640"/>
        <w:textAlignment w:val="auto"/>
        <w:rPr>
          <w:rFonts w:ascii="仿宋_GB2312" w:eastAsia="仿宋_GB2312" w:cs="仿宋_GB2312"/>
          <w:kern w:val="2"/>
          <w:sz w:val="32"/>
          <w:szCs w:val="32"/>
          <w:lang w:val="en-US" w:eastAsia="zh-CN"/>
        </w:rPr>
      </w:pPr>
      <w:r>
        <w:rPr>
          <w:rFonts w:hint="eastAsia" w:ascii="仿宋" w:eastAsia="仿宋" w:cs="仿宋"/>
          <w:kern w:val="2"/>
          <w:sz w:val="32"/>
          <w:szCs w:val="32"/>
          <w:lang w:val="en-US" w:eastAsia="zh-CN"/>
        </w:rPr>
        <w:t>2023年度“三公”经费财政拨款支出决算为</w:t>
      </w:r>
      <w:r>
        <w:rPr>
          <w:rFonts w:ascii="仿宋" w:eastAsia="仿宋" w:cs="Times New Roman"/>
          <w:kern w:val="2"/>
          <w:sz w:val="32"/>
          <w:szCs w:val="32"/>
          <w:lang w:val="en-US" w:eastAsia="zh-CN"/>
        </w:rPr>
        <w:t>0.2</w:t>
      </w:r>
      <w:r>
        <w:rPr>
          <w:rFonts w:hint="eastAsia" w:ascii="仿宋" w:eastAsia="仿宋" w:cs="仿宋"/>
          <w:kern w:val="2"/>
          <w:sz w:val="32"/>
          <w:szCs w:val="32"/>
          <w:lang w:val="en-US" w:eastAsia="zh-CN"/>
        </w:rPr>
        <w:t>万元，完成预算</w:t>
      </w:r>
      <w:r>
        <w:rPr>
          <w:rFonts w:hint="eastAsia" w:ascii="仿宋" w:eastAsia="仿宋" w:cs="Times New Roman"/>
          <w:kern w:val="2"/>
          <w:sz w:val="32"/>
          <w:szCs w:val="32"/>
          <w:lang w:val="en-US" w:eastAsia="zh-CN"/>
        </w:rPr>
        <w:t>100%</w:t>
      </w:r>
      <w:r>
        <w:rPr>
          <w:rFonts w:hint="eastAsia" w:ascii="仿宋" w:eastAsia="仿宋" w:cs="仿宋"/>
          <w:kern w:val="2"/>
          <w:sz w:val="32"/>
          <w:szCs w:val="32"/>
          <w:lang w:val="en-US" w:eastAsia="zh-CN"/>
        </w:rPr>
        <w:t>，</w:t>
      </w:r>
      <w:r>
        <w:rPr>
          <w:rFonts w:hint="eastAsia" w:ascii="仿宋_GB2312" w:eastAsia="仿宋_GB2312" w:cs="仿宋_GB2312"/>
          <w:kern w:val="2"/>
          <w:sz w:val="32"/>
          <w:szCs w:val="32"/>
          <w:lang w:val="en-US" w:eastAsia="zh-CN"/>
        </w:rPr>
        <w:t>公务接待费支出决算比2022年度</w:t>
      </w:r>
      <w:r>
        <w:rPr>
          <w:rFonts w:ascii="仿宋_GB2312" w:eastAsia="仿宋_GB2312" w:cs="仿宋_GB2312"/>
          <w:kern w:val="2"/>
          <w:sz w:val="32"/>
          <w:szCs w:val="32"/>
          <w:lang w:val="en-US" w:eastAsia="zh-CN"/>
        </w:rPr>
        <w:t>增加</w:t>
      </w:r>
      <w:r>
        <w:rPr>
          <w:rFonts w:ascii="仿宋_GB2312" w:eastAsia="仿宋_GB2312" w:cs="Times New Roman"/>
          <w:kern w:val="2"/>
          <w:sz w:val="32"/>
          <w:szCs w:val="32"/>
          <w:lang w:val="en-US" w:eastAsia="zh-CN"/>
        </w:rPr>
        <w:t>0.04</w:t>
      </w:r>
      <w:r>
        <w:rPr>
          <w:rFonts w:hint="eastAsia" w:ascii="仿宋_GB2312" w:eastAsia="仿宋_GB2312" w:cs="仿宋_GB2312"/>
          <w:kern w:val="2"/>
          <w:sz w:val="32"/>
          <w:szCs w:val="32"/>
          <w:lang w:val="en-US" w:eastAsia="zh-CN"/>
        </w:rPr>
        <w:t>万元，</w:t>
      </w:r>
      <w:r>
        <w:rPr>
          <w:rFonts w:ascii="仿宋_GB2312" w:eastAsia="仿宋_GB2312" w:cs="仿宋_GB2312"/>
          <w:kern w:val="2"/>
          <w:sz w:val="32"/>
          <w:szCs w:val="32"/>
          <w:lang w:val="en-US" w:eastAsia="zh-CN"/>
        </w:rPr>
        <w:t>增加</w:t>
      </w:r>
      <w:r>
        <w:rPr>
          <w:rFonts w:ascii="仿宋_GB2312" w:eastAsia="仿宋_GB2312" w:cs="Times New Roman"/>
          <w:kern w:val="2"/>
          <w:sz w:val="32"/>
          <w:szCs w:val="32"/>
          <w:lang w:val="en-US" w:eastAsia="zh-CN"/>
        </w:rPr>
        <w:t>25</w:t>
      </w:r>
      <w:r>
        <w:rPr>
          <w:rFonts w:hint="eastAsia" w:ascii="仿宋_GB2312" w:eastAsia="仿宋_GB2312" w:cs="Times New Roman"/>
          <w:kern w:val="2"/>
          <w:sz w:val="32"/>
          <w:szCs w:val="32"/>
          <w:lang w:val="en-US" w:eastAsia="zh-CN"/>
        </w:rPr>
        <w:t>%</w:t>
      </w:r>
      <w:r>
        <w:rPr>
          <w:rFonts w:hint="eastAsia" w:ascii="仿宋_GB2312" w:eastAsia="仿宋_GB2312" w:cs="仿宋_GB2312"/>
          <w:kern w:val="2"/>
          <w:sz w:val="32"/>
          <w:szCs w:val="32"/>
          <w:lang w:val="en-US" w:eastAsia="zh-CN"/>
        </w:rPr>
        <w:t>。主要原因是</w:t>
      </w:r>
      <w:r>
        <w:rPr>
          <w:rFonts w:hint="eastAsia" w:ascii="仿宋_GB2312" w:eastAsia="仿宋_GB2312"/>
          <w:color w:val="000000"/>
          <w:sz w:val="32"/>
          <w:szCs w:val="32"/>
        </w:rPr>
        <w:t>会议和接待次数的</w:t>
      </w:r>
      <w:r>
        <w:rPr>
          <w:rFonts w:ascii="仿宋_GB2312" w:eastAsia="仿宋_GB2312"/>
          <w:color w:val="000000"/>
          <w:sz w:val="32"/>
          <w:szCs w:val="32"/>
          <w:lang w:eastAsia="zh-CN"/>
        </w:rPr>
        <w:t>增加</w:t>
      </w:r>
      <w:r>
        <w:rPr>
          <w:rFonts w:hint="eastAsia" w:ascii="仿宋_GB2312" w:eastAsia="仿宋_GB2312" w:cs="仿宋_GB2312"/>
          <w:kern w:val="2"/>
          <w:sz w:val="32"/>
          <w:szCs w:val="32"/>
          <w:lang w:val="en-US" w:eastAsia="zh-CN"/>
        </w:rPr>
        <w:t>。</w:t>
      </w:r>
    </w:p>
    <w:p>
      <w:pPr>
        <w:pageBreakBefore w:val="0"/>
        <w:widowControl w:val="0"/>
        <w:kinsoku/>
        <w:wordWrap/>
        <w:overflowPunct/>
        <w:topLinePunct w:val="0"/>
        <w:spacing w:line="576" w:lineRule="exact"/>
        <w:ind w:firstLine="640"/>
        <w:rPr>
          <w:rFonts w:hint="eastAsia" w:ascii="仿宋" w:eastAsia="仿宋" w:cs="Times New Roman"/>
          <w:color w:val="000000"/>
          <w:sz w:val="32"/>
          <w:szCs w:val="32"/>
        </w:rPr>
      </w:pPr>
      <w:r>
        <w:rPr>
          <w:rFonts w:hint="eastAsia" w:ascii="仿宋_GB2312" w:eastAsia="仿宋_GB2312" w:cs="仿宋_GB2312"/>
          <w:kern w:val="2"/>
          <w:sz w:val="32"/>
          <w:szCs w:val="32"/>
          <w:lang w:val="en-US" w:eastAsia="zh-CN"/>
        </w:rPr>
        <w:t>其中：</w:t>
      </w:r>
      <w:r>
        <w:rPr>
          <w:rFonts w:hint="eastAsia" w:ascii="仿宋" w:eastAsia="仿宋" w:cs="Times New Roman"/>
          <w:color w:val="000000"/>
          <w:sz w:val="32"/>
          <w:szCs w:val="32"/>
          <w:lang w:bidi="ar-SA"/>
        </w:rPr>
        <w:t>国内公务接待支出</w:t>
      </w:r>
      <w:r>
        <w:rPr>
          <w:rFonts w:ascii="仿宋" w:eastAsia="仿宋"/>
          <w:sz w:val="32"/>
          <w:szCs w:val="32"/>
        </w:rPr>
        <w:t>0.2</w:t>
      </w:r>
      <w:r>
        <w:rPr>
          <w:rFonts w:hint="eastAsia" w:ascii="仿宋" w:eastAsia="仿宋" w:cs="Times New Roman"/>
          <w:color w:val="000000"/>
          <w:sz w:val="32"/>
          <w:szCs w:val="32"/>
          <w:lang w:bidi="ar-SA"/>
        </w:rPr>
        <w:t>万元，主要用于用餐费等开支。国内公务接待</w:t>
      </w:r>
      <w:r>
        <w:rPr>
          <w:rFonts w:ascii="仿宋" w:eastAsia="仿宋"/>
          <w:sz w:val="32"/>
          <w:szCs w:val="32"/>
        </w:rPr>
        <w:t>4</w:t>
      </w:r>
      <w:r>
        <w:rPr>
          <w:rFonts w:hint="eastAsia" w:ascii="仿宋" w:eastAsia="仿宋" w:cs="Times New Roman"/>
          <w:color w:val="000000"/>
          <w:sz w:val="32"/>
          <w:szCs w:val="32"/>
          <w:lang w:bidi="ar-SA"/>
        </w:rPr>
        <w:t>批次，</w:t>
      </w:r>
      <w:r>
        <w:rPr>
          <w:rFonts w:ascii="仿宋" w:eastAsia="仿宋"/>
          <w:sz w:val="32"/>
          <w:szCs w:val="32"/>
        </w:rPr>
        <w:t>32</w:t>
      </w:r>
      <w:r>
        <w:rPr>
          <w:rFonts w:hint="eastAsia" w:ascii="仿宋" w:eastAsia="仿宋" w:cs="Times New Roman"/>
          <w:color w:val="000000"/>
          <w:sz w:val="32"/>
          <w:szCs w:val="32"/>
          <w:lang w:bidi="ar-SA"/>
        </w:rPr>
        <w:t>人次（不包括陪同人员），共计支出</w:t>
      </w:r>
      <w:r>
        <w:rPr>
          <w:rFonts w:ascii="仿宋" w:eastAsia="仿宋"/>
          <w:sz w:val="32"/>
          <w:szCs w:val="32"/>
        </w:rPr>
        <w:t>0.2</w:t>
      </w:r>
      <w:r>
        <w:rPr>
          <w:rFonts w:hint="eastAsia" w:ascii="仿宋" w:eastAsia="仿宋" w:cs="Times New Roman"/>
          <w:color w:val="000000"/>
          <w:sz w:val="32"/>
          <w:szCs w:val="32"/>
          <w:lang w:bidi="ar-SA"/>
        </w:rPr>
        <w:t>万元，具体内容包括：接待州发改人员。</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（二）“三公”经费财政拨款支出决算具体情况说明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ascii="仿宋" w:eastAsia="仿宋" w:cs="仿宋"/>
          <w:kern w:val="2"/>
          <w:sz w:val="32"/>
          <w:szCs w:val="32"/>
          <w:lang w:val="en-US" w:eastAsia="zh-CN"/>
        </w:rPr>
      </w:pPr>
      <w:r>
        <w:rPr>
          <w:rFonts w:hint="eastAsia" w:ascii="仿宋" w:eastAsia="仿宋" w:cs="仿宋"/>
          <w:kern w:val="2"/>
          <w:sz w:val="32"/>
          <w:szCs w:val="32"/>
          <w:lang w:val="en-US" w:eastAsia="zh-CN"/>
        </w:rPr>
        <w:t>2023年度“三公”经费财政拨款支出决算中，因公出国（境）费支出决算</w:t>
      </w:r>
      <w:r>
        <w:rPr>
          <w:rFonts w:hint="eastAsia" w:ascii="仿宋" w:eastAsia="仿宋" w:cs="Times New Roman"/>
          <w:kern w:val="2"/>
          <w:sz w:val="32"/>
          <w:szCs w:val="32"/>
          <w:lang w:val="en-US" w:eastAsia="zh-CN"/>
        </w:rPr>
        <w:t>0</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0%</w:t>
      </w:r>
      <w:r>
        <w:rPr>
          <w:rFonts w:hint="eastAsia" w:ascii="仿宋" w:eastAsia="仿宋" w:cs="仿宋"/>
          <w:kern w:val="2"/>
          <w:sz w:val="32"/>
          <w:szCs w:val="32"/>
          <w:lang w:val="en-US" w:eastAsia="zh-CN"/>
        </w:rPr>
        <w:t>；公务用车购置费支出决算</w:t>
      </w:r>
      <w:r>
        <w:rPr>
          <w:rFonts w:ascii="仿宋" w:eastAsia="仿宋" w:cs="仿宋"/>
          <w:kern w:val="2"/>
          <w:sz w:val="32"/>
          <w:szCs w:val="32"/>
          <w:lang w:val="en-US" w:eastAsia="zh-CN"/>
        </w:rPr>
        <w:t>0</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0</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；公务用车运行维护费支出决算</w:t>
      </w:r>
      <w:r>
        <w:rPr>
          <w:rFonts w:ascii="仿宋" w:eastAsia="仿宋" w:cs="Times New Roman"/>
          <w:kern w:val="2"/>
          <w:sz w:val="32"/>
          <w:szCs w:val="32"/>
          <w:lang w:val="en-US" w:eastAsia="zh-CN"/>
        </w:rPr>
        <w:t>0</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0</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；公务接待费支出决算</w:t>
      </w:r>
      <w:r>
        <w:rPr>
          <w:rFonts w:ascii="仿宋" w:eastAsia="仿宋" w:cs="Times New Roman"/>
          <w:kern w:val="2"/>
          <w:sz w:val="32"/>
          <w:szCs w:val="32"/>
          <w:lang w:val="en-US" w:eastAsia="zh-CN"/>
        </w:rPr>
        <w:t>0.2</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100</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。具体情况如下：</w:t>
      </w:r>
    </w:p>
    <w:p>
      <w:pPr>
        <w:pStyle w:val="2"/>
        <w:keepNext w:val="0"/>
        <w:keepLines w:val="0"/>
        <w:pageBreakBefore w:val="0"/>
        <w:widowControl w:val="0"/>
        <w:suppressLineNumbers w:val="0"/>
        <w:suppressAutoHyphens/>
        <w:bidi w:val="0"/>
        <w:ind w:left="1060" w:leftChars="200" w:hanging="640" w:hangingChars="200"/>
      </w:pPr>
      <w:r>
        <w:t xml:space="preserve">    </w:t>
      </w:r>
    </w:p>
    <w:p>
      <w:pPr>
        <w:pStyle w:val="2"/>
        <w:keepNext w:val="0"/>
        <w:keepLines w:val="0"/>
        <w:pageBreakBefore w:val="0"/>
        <w:widowControl w:val="0"/>
        <w:suppressLineNumbers w:val="0"/>
        <w:suppressAutoHyphens/>
        <w:ind w:left="1060" w:leftChars="200" w:hanging="640" w:hangingChars="200"/>
      </w:pPr>
      <w:r>
        <w:rPr>
          <w:rFonts w:hint="eastAsia"/>
          <w:lang w:val="en-US" w:eastAsia="zh-CN"/>
        </w:rPr>
        <w:t xml:space="preserve">  </w:t>
      </w:r>
      <w:r>
        <w:drawing>
          <wp:inline distT="0" distB="0" distL="67945" distR="67945">
            <wp:extent cx="4018915" cy="2091055"/>
            <wp:effectExtent l="0" t="0" r="0" b="0"/>
            <wp:docPr id="7" name="对象"/>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suppressLineNumbers w:val="0"/>
        <w:suppressAutoHyphens w:val="0"/>
      </w:pPr>
      <w:r>
        <w:t xml:space="preserve">      </w:t>
      </w:r>
      <w:r>
        <w:rPr>
          <w:rFonts w:hint="eastAsia" w:ascii="仿宋_GB2312" w:eastAsia="仿宋_GB2312" w:cs="Times New Roman"/>
          <w:b/>
          <w:bCs w:val="0"/>
          <w:kern w:val="2"/>
          <w:sz w:val="32"/>
          <w:szCs w:val="32"/>
          <w:lang w:val="en-US" w:eastAsia="zh-CN"/>
        </w:rPr>
        <w:t>1.</w:t>
      </w:r>
      <w:r>
        <w:rPr>
          <w:rFonts w:hint="eastAsia" w:ascii="仿宋_GB2312" w:eastAsia="仿宋_GB2312" w:cs="仿宋_GB2312"/>
          <w:b/>
          <w:bCs w:val="0"/>
          <w:kern w:val="2"/>
          <w:sz w:val="32"/>
          <w:szCs w:val="32"/>
          <w:lang w:val="en-US" w:eastAsia="zh-CN"/>
        </w:rPr>
        <w:t>因公出国（境）经费支出</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eastAsia="仿宋_GB2312" w:cs="Times New Roman"/>
          <w:b/>
          <w:bCs w:val="0"/>
          <w:kern w:val="2"/>
          <w:sz w:val="32"/>
          <w:szCs w:val="32"/>
        </w:rPr>
      </w:pPr>
      <w:r>
        <w:rPr>
          <w:rFonts w:hint="eastAsia" w:ascii="仿宋_GB2312" w:eastAsia="仿宋_GB2312" w:cs="Times New Roman"/>
          <w:b/>
          <w:bCs w:val="0"/>
          <w:kern w:val="2"/>
          <w:sz w:val="32"/>
          <w:szCs w:val="32"/>
          <w:lang w:val="en-US" w:eastAsia="zh-CN"/>
        </w:rPr>
        <w:t>2.</w:t>
      </w:r>
      <w:r>
        <w:rPr>
          <w:rFonts w:hint="eastAsia" w:ascii="仿宋_GB2312" w:eastAsia="仿宋_GB2312" w:cs="仿宋_GB2312"/>
          <w:b/>
          <w:bCs w:val="0"/>
          <w:kern w:val="2"/>
          <w:sz w:val="32"/>
          <w:szCs w:val="32"/>
          <w:lang w:val="en-US" w:eastAsia="zh-CN"/>
        </w:rPr>
        <w:t>公务用车购置及运行维护费支出</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截至2023年</w:t>
      </w:r>
      <w:r>
        <w:rPr>
          <w:rFonts w:hint="eastAsia" w:ascii="仿宋_GB2312" w:eastAsia="仿宋_GB2312" w:cs="Times New Roman"/>
          <w:kern w:val="2"/>
          <w:sz w:val="32"/>
          <w:szCs w:val="32"/>
          <w:lang w:val="en-US" w:eastAsia="zh-CN"/>
        </w:rPr>
        <w:t>12</w:t>
      </w:r>
      <w:r>
        <w:rPr>
          <w:rFonts w:hint="eastAsia" w:ascii="仿宋_GB2312" w:eastAsia="仿宋_GB2312" w:cs="仿宋_GB2312"/>
          <w:kern w:val="2"/>
          <w:sz w:val="32"/>
          <w:szCs w:val="32"/>
          <w:lang w:val="en-US" w:eastAsia="zh-CN"/>
        </w:rPr>
        <w:t>月31日，单位共有公务用车</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辆，其中：轿车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辆、越野车</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辆、载客汽车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rPr>
      </w:pPr>
      <w:r>
        <w:rPr>
          <w:rFonts w:hint="eastAsia" w:ascii="仿宋_GB2312" w:eastAsia="仿宋_GB2312" w:cs="仿宋_GB2312"/>
          <w:b/>
          <w:bCs w:val="0"/>
          <w:kern w:val="2"/>
          <w:sz w:val="32"/>
          <w:szCs w:val="32"/>
          <w:lang w:val="en-US" w:eastAsia="zh-CN"/>
        </w:rPr>
        <w:t>公务用车购置费支出</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pPr>
        <w:pageBreakBefore w:val="0"/>
        <w:widowControl w:val="0"/>
        <w:kinsoku/>
        <w:wordWrap/>
        <w:overflowPunct/>
        <w:topLinePunct w:val="0"/>
        <w:bidi w:val="0"/>
        <w:spacing w:line="576" w:lineRule="exact"/>
        <w:ind w:firstLine="640"/>
        <w:textAlignment w:val="auto"/>
        <w:rPr>
          <w:rFonts w:ascii="仿宋" w:eastAsia="仿宋" w:cs="Times New Roman"/>
          <w:color w:val="000000"/>
          <w:sz w:val="32"/>
          <w:szCs w:val="32"/>
        </w:rPr>
      </w:pPr>
      <w:r>
        <w:rPr>
          <w:rFonts w:hint="eastAsia" w:ascii="仿宋_GB2312" w:eastAsia="仿宋_GB2312" w:cs="仿宋_GB2312"/>
          <w:b/>
          <w:bCs w:val="0"/>
          <w:kern w:val="2"/>
          <w:sz w:val="32"/>
          <w:szCs w:val="32"/>
          <w:lang w:val="en-US" w:eastAsia="zh-CN"/>
        </w:rPr>
        <w:t>公务用车运行维护费支出</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eastAsia="仿宋_GB2312" w:cs="Times New Roman"/>
          <w:kern w:val="2"/>
          <w:sz w:val="32"/>
          <w:szCs w:val="32"/>
        </w:rPr>
      </w:pPr>
      <w:r>
        <w:rPr>
          <w:rFonts w:hint="eastAsia" w:ascii="仿宋_GB2312" w:eastAsia="仿宋_GB2312" w:cs="Times New Roman"/>
          <w:b/>
          <w:bCs w:val="0"/>
          <w:kern w:val="2"/>
          <w:sz w:val="32"/>
          <w:szCs w:val="32"/>
          <w:lang w:val="en-US" w:eastAsia="zh-CN"/>
        </w:rPr>
        <w:t>3.</w:t>
      </w:r>
      <w:r>
        <w:rPr>
          <w:rFonts w:hint="eastAsia" w:ascii="仿宋_GB2312" w:eastAsia="仿宋_GB2312" w:cs="仿宋_GB2312"/>
          <w:b/>
          <w:bCs w:val="0"/>
          <w:kern w:val="2"/>
          <w:sz w:val="32"/>
          <w:szCs w:val="32"/>
          <w:lang w:val="en-US" w:eastAsia="zh-CN"/>
        </w:rPr>
        <w:t>公务接待费支出</w:t>
      </w:r>
      <w:r>
        <w:rPr>
          <w:rFonts w:ascii="仿宋_GB2312" w:eastAsia="仿宋_GB2312" w:cs="Times New Roman"/>
          <w:kern w:val="2"/>
          <w:sz w:val="32"/>
          <w:szCs w:val="32"/>
          <w:lang w:val="en-US" w:eastAsia="zh-CN"/>
        </w:rPr>
        <w:t>0.2</w:t>
      </w:r>
      <w:r>
        <w:rPr>
          <w:rFonts w:hint="eastAsia" w:ascii="仿宋_GB2312" w:eastAsia="仿宋_GB2312" w:cs="仿宋_GB2312"/>
          <w:kern w:val="2"/>
          <w:sz w:val="32"/>
          <w:szCs w:val="32"/>
          <w:lang w:val="en-US" w:eastAsia="zh-CN"/>
        </w:rPr>
        <w:t>万元，</w:t>
      </w:r>
      <w:r>
        <w:rPr>
          <w:rStyle w:val="22"/>
          <w:rFonts w:hint="eastAsia" w:ascii="仿宋" w:eastAsia="仿宋" w:cs="仿宋"/>
          <w:b w:val="0"/>
          <w:bCs/>
          <w:kern w:val="2"/>
          <w:sz w:val="32"/>
          <w:szCs w:val="32"/>
          <w:lang w:val="en-US" w:eastAsia="zh-CN"/>
        </w:rPr>
        <w:t>完成预算</w:t>
      </w:r>
      <w:r>
        <w:rPr>
          <w:rStyle w:val="22"/>
          <w:rFonts w:hint="eastAsia" w:ascii="仿宋" w:eastAsia="仿宋" w:cs="Times New Roman"/>
          <w:b w:val="0"/>
          <w:bCs/>
          <w:kern w:val="2"/>
          <w:sz w:val="32"/>
          <w:szCs w:val="32"/>
          <w:lang w:val="en-US" w:eastAsia="zh-CN"/>
        </w:rPr>
        <w:t>100%</w:t>
      </w:r>
      <w:r>
        <w:rPr>
          <w:rStyle w:val="22"/>
          <w:rFonts w:hint="eastAsia" w:ascii="仿宋" w:eastAsia="仿宋" w:cs="仿宋"/>
          <w:b w:val="0"/>
          <w:bCs/>
          <w:kern w:val="2"/>
          <w:sz w:val="32"/>
          <w:szCs w:val="32"/>
          <w:lang w:val="en-US" w:eastAsia="zh-CN"/>
        </w:rPr>
        <w:t>。</w:t>
      </w:r>
      <w:r>
        <w:rPr>
          <w:rFonts w:hint="eastAsia" w:ascii="仿宋_GB2312" w:eastAsia="仿宋_GB2312" w:cs="仿宋_GB2312"/>
          <w:kern w:val="2"/>
          <w:sz w:val="32"/>
          <w:szCs w:val="32"/>
          <w:lang w:val="en-US" w:eastAsia="zh-CN"/>
        </w:rPr>
        <w:t>公务接待费支出决算比2022年度</w:t>
      </w:r>
      <w:r>
        <w:rPr>
          <w:rFonts w:ascii="仿宋_GB2312" w:eastAsia="仿宋_GB2312" w:cs="仿宋_GB2312"/>
          <w:kern w:val="2"/>
          <w:sz w:val="32"/>
          <w:szCs w:val="32"/>
          <w:lang w:val="en-US" w:eastAsia="zh-CN"/>
        </w:rPr>
        <w:t>增加</w:t>
      </w:r>
      <w:r>
        <w:rPr>
          <w:rFonts w:ascii="仿宋_GB2312" w:eastAsia="仿宋_GB2312" w:cs="Times New Roman"/>
          <w:kern w:val="2"/>
          <w:sz w:val="32"/>
          <w:szCs w:val="32"/>
          <w:lang w:val="en-US" w:eastAsia="zh-CN"/>
        </w:rPr>
        <w:t>0.04</w:t>
      </w:r>
      <w:r>
        <w:rPr>
          <w:rFonts w:hint="eastAsia" w:ascii="仿宋_GB2312" w:eastAsia="仿宋_GB2312" w:cs="仿宋_GB2312"/>
          <w:kern w:val="2"/>
          <w:sz w:val="32"/>
          <w:szCs w:val="32"/>
          <w:lang w:val="en-US" w:eastAsia="zh-CN"/>
        </w:rPr>
        <w:t>万元，</w:t>
      </w:r>
      <w:r>
        <w:rPr>
          <w:rFonts w:ascii="仿宋_GB2312" w:eastAsia="仿宋_GB2312" w:cs="仿宋_GB2312"/>
          <w:kern w:val="2"/>
          <w:sz w:val="32"/>
          <w:szCs w:val="32"/>
          <w:lang w:val="en-US" w:eastAsia="zh-CN"/>
        </w:rPr>
        <w:t>增加</w:t>
      </w:r>
      <w:r>
        <w:rPr>
          <w:rFonts w:ascii="仿宋_GB2312" w:eastAsia="仿宋_GB2312" w:cs="Times New Roman"/>
          <w:kern w:val="2"/>
          <w:sz w:val="32"/>
          <w:szCs w:val="32"/>
          <w:lang w:val="en-US" w:eastAsia="zh-CN"/>
        </w:rPr>
        <w:t>25</w:t>
      </w:r>
      <w:r>
        <w:rPr>
          <w:rFonts w:hint="eastAsia" w:ascii="仿宋_GB2312" w:eastAsia="仿宋_GB2312" w:cs="Times New Roman"/>
          <w:kern w:val="2"/>
          <w:sz w:val="32"/>
          <w:szCs w:val="32"/>
          <w:lang w:val="en-US" w:eastAsia="zh-CN"/>
        </w:rPr>
        <w:t>%</w:t>
      </w:r>
      <w:r>
        <w:rPr>
          <w:rFonts w:hint="eastAsia" w:ascii="仿宋_GB2312" w:eastAsia="仿宋_GB2312" w:cs="仿宋_GB2312"/>
          <w:kern w:val="2"/>
          <w:sz w:val="32"/>
          <w:szCs w:val="32"/>
          <w:lang w:val="en-US" w:eastAsia="zh-CN"/>
        </w:rPr>
        <w:t>。主要原因是</w:t>
      </w:r>
      <w:r>
        <w:rPr>
          <w:rFonts w:hint="eastAsia" w:ascii="仿宋_GB2312" w:eastAsia="仿宋_GB2312"/>
          <w:color w:val="000000"/>
          <w:sz w:val="32"/>
          <w:szCs w:val="32"/>
        </w:rPr>
        <w:t>会议和接待次数的</w:t>
      </w:r>
      <w:r>
        <w:rPr>
          <w:rFonts w:ascii="仿宋_GB2312" w:eastAsia="仿宋_GB2312"/>
          <w:color w:val="000000"/>
          <w:sz w:val="32"/>
          <w:szCs w:val="32"/>
          <w:lang w:eastAsia="zh-CN"/>
        </w:rPr>
        <w:t>增加</w:t>
      </w:r>
      <w:r>
        <w:rPr>
          <w:rFonts w:hint="eastAsia" w:ascii="仿宋_GB2312" w:eastAsia="仿宋_GB2312" w:cs="仿宋_GB2312"/>
          <w:kern w:val="2"/>
          <w:sz w:val="32"/>
          <w:szCs w:val="32"/>
          <w:lang w:val="en-US" w:eastAsia="zh-CN"/>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黑体" w:eastAsia="黑体" w:cs="Times New Roman"/>
          <w:kern w:val="2"/>
          <w:sz w:val="32"/>
          <w:szCs w:val="32"/>
        </w:rPr>
      </w:pPr>
      <w:r>
        <w:rPr>
          <w:rFonts w:hint="eastAsia" w:ascii="仿宋" w:eastAsia="仿宋" w:cs="仿宋"/>
          <w:b/>
          <w:bCs w:val="0"/>
          <w:kern w:val="2"/>
          <w:sz w:val="32"/>
          <w:szCs w:val="32"/>
          <w:lang w:val="en-US" w:eastAsia="zh-CN"/>
        </w:rPr>
        <w:t>外事接待支出</w:t>
      </w:r>
      <w:r>
        <w:rPr>
          <w:rFonts w:hint="eastAsia" w:ascii="仿宋" w:eastAsia="仿宋" w:cs="Times New Roman"/>
          <w:kern w:val="2"/>
          <w:sz w:val="32"/>
          <w:szCs w:val="32"/>
          <w:lang w:val="en-US" w:eastAsia="zh-CN"/>
        </w:rPr>
        <w:t>0</w:t>
      </w:r>
      <w:r>
        <w:rPr>
          <w:rFonts w:hint="eastAsia" w:ascii="仿宋_GB2312" w:eastAsia="仿宋_GB2312" w:cs="仿宋_GB2312"/>
          <w:kern w:val="2"/>
          <w:sz w:val="32"/>
          <w:szCs w:val="32"/>
          <w:lang w:val="en-US" w:eastAsia="zh-CN"/>
        </w:rPr>
        <w:t>万元，外事接待</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批次，</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人次（不包括陪同人员），共计支出</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eastAsia="黑体" w:cs="Times New Roman"/>
          <w:b/>
          <w:bCs/>
          <w:sz w:val="32"/>
          <w:szCs w:val="32"/>
        </w:rPr>
      </w:pPr>
      <w:r>
        <w:rPr>
          <w:rFonts w:hint="eastAsia" w:ascii="黑体" w:eastAsia="黑体" w:cs="黑体"/>
          <w:kern w:val="2"/>
          <w:sz w:val="32"/>
          <w:szCs w:val="32"/>
          <w:lang w:val="en-US" w:eastAsia="zh-CN"/>
        </w:rPr>
        <w:t>八、</w:t>
      </w:r>
      <w:r>
        <w:rPr>
          <w:rStyle w:val="23"/>
          <w:rFonts w:hint="eastAsia" w:ascii="黑体" w:eastAsia="黑体" w:cs="黑体"/>
          <w:b w:val="0"/>
          <w:bCs/>
          <w:kern w:val="2"/>
          <w:sz w:val="32"/>
          <w:szCs w:val="32"/>
          <w:lang w:val="en-US" w:eastAsia="zh-CN"/>
        </w:rPr>
        <w:t>政府性基金预算支出决算情况说明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eastAsia="仿宋_GB2312" w:cs="Times New Roman"/>
          <w:kern w:val="2"/>
          <w:sz w:val="32"/>
          <w:szCs w:val="32"/>
        </w:rPr>
      </w:pPr>
      <w:r>
        <w:rPr>
          <w:rFonts w:hint="eastAsia" w:ascii="仿宋_GB2312" w:eastAsia="仿宋_GB2312" w:cs="仿宋_GB2312"/>
          <w:kern w:val="2"/>
          <w:sz w:val="32"/>
          <w:szCs w:val="32"/>
          <w:lang w:val="en-US" w:eastAsia="zh-CN"/>
        </w:rPr>
        <w:t>2023年度政府性基金预算财政拨款支出</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eastAsia="黑体" w:cs="Times New Roman"/>
          <w:b w:val="0"/>
          <w:bCs/>
          <w:sz w:val="32"/>
          <w:szCs w:val="32"/>
        </w:rPr>
      </w:pPr>
      <w:r>
        <w:rPr>
          <w:rStyle w:val="23"/>
          <w:rFonts w:hint="eastAsia" w:ascii="黑体" w:eastAsia="黑体" w:cs="黑体"/>
          <w:b w:val="0"/>
          <w:bCs/>
          <w:kern w:val="2"/>
          <w:sz w:val="32"/>
          <w:szCs w:val="32"/>
          <w:lang w:val="en-US" w:eastAsia="zh-CN"/>
        </w:rPr>
        <w:t>九、国有资本经营预算支出决算情况说明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eastAsia="方正小标宋简体" w:cs="方正小标宋简体"/>
          <w:kern w:val="2"/>
          <w:sz w:val="44"/>
          <w:szCs w:val="44"/>
        </w:rPr>
      </w:pPr>
      <w:r>
        <w:rPr>
          <w:rFonts w:hint="eastAsia" w:ascii="仿宋_GB2312" w:eastAsia="仿宋_GB2312" w:cs="仿宋_GB2312"/>
          <w:kern w:val="2"/>
          <w:sz w:val="32"/>
          <w:szCs w:val="32"/>
          <w:lang w:val="en-US" w:eastAsia="zh-CN"/>
        </w:rPr>
        <w:t>2023年度国有资本经营预算财政拨款支出</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r>
        <w:rPr>
          <w:rFonts w:hint="eastAsia" w:ascii="方正小标宋简体" w:eastAsia="方正小标宋简体" w:cs="方正小标宋简体"/>
          <w:kern w:val="2"/>
          <w:sz w:val="44"/>
          <w:szCs w:val="44"/>
          <w:lang w:val="en-US" w:eastAsia="zh-CN"/>
        </w:rPr>
        <w:t xml:space="preserve"> </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eastAsia="黑体" w:cs="Times New Roman"/>
          <w:b w:val="0"/>
          <w:bCs/>
          <w:sz w:val="32"/>
          <w:szCs w:val="32"/>
        </w:rPr>
      </w:pPr>
      <w:r>
        <w:rPr>
          <w:rStyle w:val="23"/>
          <w:rFonts w:hint="eastAsia" w:ascii="黑体" w:eastAsia="黑体" w:cs="黑体"/>
          <w:b w:val="0"/>
          <w:bCs/>
          <w:kern w:val="2"/>
          <w:sz w:val="32"/>
          <w:szCs w:val="32"/>
          <w:lang w:val="en-US" w:eastAsia="zh-CN"/>
        </w:rPr>
        <w:t>十、其他重要事项的情况说明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eastAsia="仿宋" w:cs="Times New Roman"/>
          <w:kern w:val="2"/>
          <w:sz w:val="32"/>
          <w:szCs w:val="32"/>
        </w:rPr>
      </w:pPr>
      <w:r>
        <w:rPr>
          <w:rFonts w:hint="eastAsia" w:ascii="仿宋" w:eastAsia="仿宋" w:cs="仿宋"/>
          <w:b/>
          <w:bCs w:val="0"/>
          <w:kern w:val="2"/>
          <w:sz w:val="32"/>
          <w:szCs w:val="32"/>
          <w:lang w:val="en-US" w:eastAsia="zh-CN"/>
        </w:rPr>
        <w:t>（一）机关运行经费支出情况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eastAsia="仿宋_GB2312" w:cs="Times New Roman"/>
          <w:kern w:val="2"/>
          <w:sz w:val="32"/>
          <w:szCs w:val="32"/>
        </w:rPr>
      </w:pPr>
      <w:r>
        <w:rPr>
          <w:rFonts w:hint="eastAsia" w:ascii="仿宋_GB2312" w:eastAsia="仿宋_GB2312" w:cs="仿宋_GB2312"/>
          <w:kern w:val="2"/>
          <w:sz w:val="32"/>
          <w:szCs w:val="32"/>
          <w:lang w:val="en-US" w:eastAsia="zh-CN"/>
        </w:rPr>
        <w:t>2023年度，</w:t>
      </w:r>
      <w:r>
        <w:rPr>
          <w:rFonts w:hint="eastAsia" w:ascii="仿宋_GB2312" w:eastAsia="仿宋_GB2312"/>
          <w:color w:val="000000"/>
          <w:sz w:val="32"/>
          <w:szCs w:val="32"/>
        </w:rPr>
        <w:t>茂县</w:t>
      </w:r>
      <w:r>
        <w:rPr>
          <w:rFonts w:ascii="仿宋_GB2312" w:eastAsia="仿宋_GB2312"/>
          <w:color w:val="000000"/>
          <w:sz w:val="32"/>
          <w:szCs w:val="32"/>
        </w:rPr>
        <w:t>粮食和物资储备中心</w:t>
      </w:r>
      <w:r>
        <w:rPr>
          <w:rFonts w:hint="eastAsia" w:ascii="仿宋_GB2312" w:eastAsia="仿宋_GB2312" w:cs="仿宋_GB2312"/>
          <w:kern w:val="2"/>
          <w:sz w:val="32"/>
          <w:szCs w:val="32"/>
          <w:lang w:val="en-US" w:eastAsia="zh-CN"/>
        </w:rPr>
        <w:t>机关运行经费支出</w:t>
      </w:r>
      <w:r>
        <w:rPr>
          <w:rFonts w:ascii="仿宋_GB2312" w:eastAsia="仿宋_GB2312" w:cs="Times New Roman"/>
          <w:kern w:val="2"/>
          <w:sz w:val="32"/>
          <w:szCs w:val="32"/>
          <w:lang w:val="en-US" w:eastAsia="zh-CN"/>
        </w:rPr>
        <w:t>10.19</w:t>
      </w:r>
      <w:r>
        <w:rPr>
          <w:rFonts w:hint="eastAsia" w:ascii="仿宋_GB2312" w:eastAsia="仿宋_GB2312" w:cs="仿宋_GB2312"/>
          <w:kern w:val="2"/>
          <w:sz w:val="32"/>
          <w:szCs w:val="32"/>
          <w:lang w:val="en-US" w:eastAsia="zh-CN"/>
        </w:rPr>
        <w:t>万元，比2022年度</w:t>
      </w:r>
      <w:r>
        <w:rPr>
          <w:rFonts w:ascii="仿宋_GB2312" w:eastAsia="仿宋_GB2312" w:cs="仿宋_GB2312"/>
          <w:kern w:val="2"/>
          <w:sz w:val="32"/>
          <w:szCs w:val="32"/>
          <w:lang w:val="en-US" w:eastAsia="zh-CN"/>
        </w:rPr>
        <w:t>减少</w:t>
      </w:r>
      <w:r>
        <w:rPr>
          <w:rFonts w:ascii="仿宋_GB2312" w:eastAsia="仿宋_GB2312" w:cs="Times New Roman"/>
          <w:kern w:val="2"/>
          <w:sz w:val="32"/>
          <w:szCs w:val="32"/>
          <w:lang w:val="en-US" w:eastAsia="zh-CN"/>
        </w:rPr>
        <w:t>1.48</w:t>
      </w:r>
      <w:r>
        <w:rPr>
          <w:rFonts w:hint="eastAsia" w:ascii="仿宋_GB2312" w:eastAsia="仿宋_GB2312" w:cs="仿宋_GB2312"/>
          <w:kern w:val="2"/>
          <w:sz w:val="32"/>
          <w:szCs w:val="32"/>
          <w:lang w:val="en-US" w:eastAsia="zh-CN"/>
        </w:rPr>
        <w:t>万元，</w:t>
      </w:r>
      <w:r>
        <w:rPr>
          <w:rFonts w:ascii="仿宋_GB2312" w:eastAsia="仿宋_GB2312" w:cs="仿宋_GB2312"/>
          <w:kern w:val="2"/>
          <w:sz w:val="32"/>
          <w:szCs w:val="32"/>
          <w:lang w:val="en-US" w:eastAsia="zh-CN"/>
        </w:rPr>
        <w:t>减少</w:t>
      </w:r>
      <w:r>
        <w:rPr>
          <w:rFonts w:ascii="仿宋_GB2312" w:eastAsia="仿宋_GB2312" w:cs="Times New Roman"/>
          <w:kern w:val="2"/>
          <w:sz w:val="32"/>
          <w:szCs w:val="32"/>
          <w:lang w:val="en-US" w:eastAsia="zh-CN"/>
        </w:rPr>
        <w:t>12.68</w:t>
      </w:r>
      <w:r>
        <w:rPr>
          <w:rFonts w:hint="eastAsia" w:ascii="仿宋_GB2312" w:eastAsia="仿宋_GB2312" w:cs="Times New Roman"/>
          <w:kern w:val="2"/>
          <w:sz w:val="32"/>
          <w:szCs w:val="32"/>
          <w:lang w:val="en-US" w:eastAsia="zh-CN"/>
        </w:rPr>
        <w:t>%</w:t>
      </w:r>
      <w:r>
        <w:rPr>
          <w:rFonts w:hint="eastAsia" w:ascii="仿宋_GB2312" w:eastAsia="仿宋_GB2312" w:cs="仿宋_GB2312"/>
          <w:kern w:val="2"/>
          <w:sz w:val="32"/>
          <w:szCs w:val="32"/>
          <w:lang w:val="en-US" w:eastAsia="zh-CN"/>
        </w:rPr>
        <w:t>。主要原因是</w:t>
      </w:r>
      <w:r>
        <w:rPr>
          <w:rFonts w:ascii="仿宋" w:eastAsia="仿宋" w:cs="仿宋"/>
          <w:kern w:val="2"/>
          <w:sz w:val="32"/>
          <w:szCs w:val="32"/>
          <w:lang w:val="en-US" w:eastAsia="zh-CN"/>
        </w:rPr>
        <w:t>单位人员减少</w:t>
      </w:r>
      <w:r>
        <w:rPr>
          <w:rFonts w:hint="eastAsia" w:ascii="仿宋_GB2312" w:eastAsia="仿宋_GB2312" w:cs="仿宋_GB2312"/>
          <w:kern w:val="2"/>
          <w:sz w:val="32"/>
          <w:szCs w:val="32"/>
          <w:lang w:val="en-US" w:eastAsia="zh-CN"/>
        </w:rPr>
        <w:t>。</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（二）政府采购支出情况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Times New Roman"/>
          <w:b/>
          <w:bCs w:val="0"/>
          <w:kern w:val="2"/>
          <w:sz w:val="32"/>
          <w:szCs w:val="32"/>
        </w:rPr>
      </w:pPr>
      <w:r>
        <w:rPr>
          <w:rFonts w:hint="eastAsia" w:ascii="仿宋_GB2312" w:eastAsia="仿宋_GB2312" w:cs="仿宋_GB2312"/>
          <w:kern w:val="2"/>
          <w:sz w:val="32"/>
          <w:szCs w:val="32"/>
          <w:lang w:val="en-US" w:eastAsia="zh-CN"/>
        </w:rPr>
        <w:t>2023年度</w:t>
      </w:r>
      <w:r>
        <w:rPr>
          <w:rFonts w:hint="eastAsia" w:ascii="仿宋_GB2312" w:eastAsia="仿宋_GB2312"/>
          <w:color w:val="000000"/>
          <w:sz w:val="32"/>
          <w:szCs w:val="32"/>
        </w:rPr>
        <w:t>茂县</w:t>
      </w:r>
      <w:r>
        <w:rPr>
          <w:rFonts w:ascii="仿宋_GB2312" w:eastAsia="仿宋_GB2312"/>
          <w:color w:val="000000"/>
          <w:sz w:val="32"/>
          <w:szCs w:val="32"/>
        </w:rPr>
        <w:t>粮食和物资储备中心无</w:t>
      </w:r>
      <w:r>
        <w:rPr>
          <w:rFonts w:hint="eastAsia" w:ascii="仿宋_GB2312" w:eastAsia="仿宋_GB2312" w:cs="仿宋_GB2312"/>
          <w:kern w:val="2"/>
          <w:sz w:val="32"/>
          <w:szCs w:val="32"/>
          <w:lang w:val="en-US" w:eastAsia="zh-CN"/>
        </w:rPr>
        <w:t>政府采购支出。</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（三）国有资产占有使用情况</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eastAsia="仿宋_GB2312" w:cs="Times New Roman"/>
          <w:kern w:val="2"/>
          <w:sz w:val="32"/>
          <w:szCs w:val="32"/>
        </w:rPr>
      </w:pPr>
      <w:r>
        <w:rPr>
          <w:rFonts w:hint="eastAsia" w:ascii="仿宋_GB2312" w:eastAsia="仿宋_GB2312" w:cs="仿宋_GB2312"/>
          <w:kern w:val="2"/>
          <w:sz w:val="32"/>
          <w:szCs w:val="32"/>
          <w:lang w:val="en-US" w:eastAsia="zh-CN"/>
        </w:rPr>
        <w:t>截至2023年</w:t>
      </w:r>
      <w:r>
        <w:rPr>
          <w:rFonts w:hint="eastAsia" w:ascii="仿宋_GB2312" w:eastAsia="仿宋_GB2312" w:cs="Times New Roman"/>
          <w:kern w:val="2"/>
          <w:sz w:val="32"/>
          <w:szCs w:val="32"/>
          <w:lang w:val="en-US" w:eastAsia="zh-CN"/>
        </w:rPr>
        <w:t>12</w:t>
      </w:r>
      <w:r>
        <w:rPr>
          <w:rFonts w:hint="eastAsia" w:ascii="仿宋_GB2312" w:eastAsia="仿宋_GB2312" w:cs="仿宋_GB2312"/>
          <w:kern w:val="2"/>
          <w:sz w:val="32"/>
          <w:szCs w:val="32"/>
          <w:lang w:val="en-US" w:eastAsia="zh-CN"/>
        </w:rPr>
        <w:t>月</w:t>
      </w:r>
      <w:r>
        <w:rPr>
          <w:rFonts w:hint="eastAsia" w:ascii="仿宋_GB2312" w:eastAsia="仿宋_GB2312" w:cs="Times New Roman"/>
          <w:kern w:val="2"/>
          <w:sz w:val="32"/>
          <w:szCs w:val="32"/>
          <w:lang w:val="en-US" w:eastAsia="zh-CN"/>
        </w:rPr>
        <w:t>31</w:t>
      </w:r>
      <w:r>
        <w:rPr>
          <w:rFonts w:hint="eastAsia" w:ascii="仿宋_GB2312" w:eastAsia="仿宋_GB2312" w:cs="仿宋_GB2312"/>
          <w:kern w:val="2"/>
          <w:sz w:val="32"/>
          <w:szCs w:val="32"/>
          <w:lang w:val="en-US" w:eastAsia="zh-CN"/>
        </w:rPr>
        <w:t>日，</w:t>
      </w:r>
      <w:r>
        <w:rPr>
          <w:rFonts w:hint="eastAsia" w:ascii="仿宋_GB2312" w:eastAsia="仿宋_GB2312"/>
          <w:color w:val="000000"/>
          <w:sz w:val="32"/>
          <w:szCs w:val="32"/>
        </w:rPr>
        <w:t>茂县</w:t>
      </w:r>
      <w:r>
        <w:rPr>
          <w:rFonts w:ascii="仿宋_GB2312" w:eastAsia="仿宋_GB2312"/>
          <w:color w:val="000000"/>
          <w:sz w:val="32"/>
          <w:szCs w:val="32"/>
        </w:rPr>
        <w:t>粮食和物资储备中心</w:t>
      </w:r>
      <w:r>
        <w:rPr>
          <w:rFonts w:hint="eastAsia" w:ascii="仿宋_GB2312" w:eastAsia="仿宋_GB2312" w:cs="仿宋_GB2312"/>
          <w:kern w:val="2"/>
          <w:sz w:val="32"/>
          <w:szCs w:val="32"/>
          <w:lang w:val="en-US" w:eastAsia="zh-CN"/>
        </w:rPr>
        <w:t>共有车辆</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辆，其中：主要领导干部用车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辆、机要通信用车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辆、应急保障用车</w:t>
      </w:r>
      <w:r>
        <w:rPr>
          <w:rFonts w:hint="eastAsia" w:ascii="仿宋_GB2312" w:eastAsia="仿宋_GB2312" w:cs="Times New Roman"/>
          <w:kern w:val="2"/>
          <w:sz w:val="32"/>
          <w:szCs w:val="32"/>
          <w:lang w:val="en-US" w:eastAsia="zh-CN"/>
        </w:rPr>
        <w:t>6</w:t>
      </w:r>
      <w:r>
        <w:rPr>
          <w:rFonts w:hint="eastAsia" w:ascii="仿宋_GB2312" w:eastAsia="仿宋_GB2312" w:cs="仿宋_GB2312"/>
          <w:kern w:val="2"/>
          <w:sz w:val="32"/>
          <w:szCs w:val="32"/>
          <w:lang w:val="en-US" w:eastAsia="zh-CN"/>
        </w:rPr>
        <w:t>辆、其他用车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辆。单价</w:t>
      </w:r>
      <w:r>
        <w:rPr>
          <w:rFonts w:hint="eastAsia" w:ascii="仿宋_GB2312" w:eastAsia="仿宋_GB2312" w:cs="Times New Roman"/>
          <w:kern w:val="2"/>
          <w:sz w:val="32"/>
          <w:szCs w:val="32"/>
          <w:lang w:val="en-US" w:eastAsia="zh-CN"/>
        </w:rPr>
        <w:t>50</w:t>
      </w:r>
      <w:r>
        <w:rPr>
          <w:rFonts w:hint="eastAsia" w:ascii="仿宋_GB2312" w:eastAsia="仿宋_GB2312" w:cs="仿宋_GB2312"/>
          <w:kern w:val="2"/>
          <w:sz w:val="32"/>
          <w:szCs w:val="32"/>
          <w:lang w:val="en-US" w:eastAsia="zh-CN"/>
        </w:rPr>
        <w:t>万元以上通用设备</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台（套），单价</w:t>
      </w:r>
      <w:r>
        <w:rPr>
          <w:rFonts w:hint="eastAsia" w:ascii="仿宋_GB2312" w:eastAsia="仿宋_GB2312" w:cs="Times New Roman"/>
          <w:kern w:val="2"/>
          <w:sz w:val="32"/>
          <w:szCs w:val="32"/>
          <w:lang w:val="en-US" w:eastAsia="zh-CN"/>
        </w:rPr>
        <w:t>100</w:t>
      </w:r>
      <w:r>
        <w:rPr>
          <w:rFonts w:hint="eastAsia" w:ascii="仿宋_GB2312" w:eastAsia="仿宋_GB2312" w:cs="仿宋_GB2312"/>
          <w:kern w:val="2"/>
          <w:sz w:val="32"/>
          <w:szCs w:val="32"/>
          <w:lang w:val="en-US" w:eastAsia="zh-CN"/>
        </w:rPr>
        <w:t>万元以上专用设备（不含车辆）</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台（套）。</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（四）预算绩效管理情况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eastAsia="仿宋_GB2312" w:cs="Times New Roman"/>
          <w:kern w:val="2"/>
          <w:sz w:val="32"/>
          <w:szCs w:val="32"/>
        </w:rPr>
      </w:pPr>
      <w:r>
        <w:rPr>
          <w:rFonts w:hint="eastAsia" w:ascii="仿宋_GB2312" w:eastAsia="仿宋_GB2312" w:cs="Times New Roman"/>
          <w:color w:val="000000"/>
          <w:sz w:val="32"/>
          <w:szCs w:val="32"/>
          <w:lang w:bidi="ar-SA"/>
        </w:rPr>
        <w:t>根据预算绩效管理要求，本部门在202</w:t>
      </w:r>
      <w:r>
        <w:rPr>
          <w:rFonts w:ascii="仿宋_GB2312" w:eastAsia="仿宋_GB2312" w:cs="Times New Roman"/>
          <w:color w:val="000000"/>
          <w:sz w:val="32"/>
          <w:szCs w:val="32"/>
          <w:lang w:bidi="ar-SA"/>
        </w:rPr>
        <w:t>3</w:t>
      </w:r>
      <w:r>
        <w:rPr>
          <w:rFonts w:hint="eastAsia" w:ascii="仿宋_GB2312" w:eastAsia="仿宋_GB2312" w:cs="Times New Roman"/>
          <w:color w:val="000000"/>
          <w:sz w:val="32"/>
          <w:szCs w:val="32"/>
          <w:lang w:bidi="ar-SA"/>
        </w:rPr>
        <w:t>年度预算编制阶段，选取</w:t>
      </w:r>
      <w:r>
        <w:rPr>
          <w:rFonts w:ascii="仿宋_GB2312" w:eastAsia="仿宋_GB2312" w:cs="仿宋_GB2312"/>
          <w:kern w:val="2"/>
          <w:sz w:val="32"/>
          <w:szCs w:val="32"/>
          <w:lang w:val="en-US" w:eastAsia="zh-CN"/>
        </w:rPr>
        <w:t>4</w:t>
      </w:r>
      <w:r>
        <w:rPr>
          <w:rFonts w:hint="eastAsia" w:ascii="仿宋_GB2312" w:eastAsia="仿宋_GB2312" w:cs="Times New Roman"/>
          <w:color w:val="000000"/>
          <w:sz w:val="32"/>
          <w:szCs w:val="32"/>
          <w:lang w:bidi="ar-SA"/>
        </w:rPr>
        <w:t>项目开展绩效监控</w:t>
      </w:r>
      <w:r>
        <w:rPr>
          <w:rFonts w:hint="eastAsia" w:ascii="仿宋_GB2312" w:eastAsia="仿宋_GB2312" w:cs="仿宋_GB2312"/>
          <w:kern w:val="2"/>
          <w:sz w:val="32"/>
          <w:szCs w:val="32"/>
          <w:lang w:val="en-US" w:eastAsia="zh-CN"/>
        </w:rPr>
        <w:t>、</w:t>
      </w:r>
      <w:r>
        <w:rPr>
          <w:rFonts w:hint="eastAsia" w:ascii="仿宋_GB2312" w:eastAsia="仿宋_GB2312" w:cs="Times New Roman"/>
          <w:color w:val="000000"/>
          <w:sz w:val="32"/>
          <w:szCs w:val="32"/>
          <w:lang w:bidi="ar-SA"/>
        </w:rPr>
        <w:t>绩效自评，</w:t>
      </w:r>
      <w:r>
        <w:rPr>
          <w:rFonts w:hint="eastAsia" w:ascii="仿宋_GB2312" w:eastAsia="仿宋_GB2312" w:cs="仿宋_GB2312"/>
          <w:kern w:val="2"/>
          <w:sz w:val="32"/>
          <w:szCs w:val="32"/>
          <w:lang w:val="en-US" w:eastAsia="zh-CN"/>
        </w:rPr>
        <w:t>编制了绩效目标。</w:t>
      </w:r>
      <w:r>
        <w:rPr>
          <w:rFonts w:hint="eastAsia" w:ascii="仿宋_GB2312" w:eastAsia="仿宋_GB2312" w:cs="Times New Roman"/>
          <w:kern w:val="2"/>
          <w:sz w:val="32"/>
          <w:szCs w:val="32"/>
          <w:lang w:val="en-US" w:eastAsia="zh-CN"/>
        </w:rPr>
        <w:br w:type="page"/>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eastAsia="黑体" w:cs="Times New Roman"/>
          <w:b w:val="0"/>
          <w:bCs/>
          <w:kern w:val="44"/>
          <w:sz w:val="44"/>
          <w:szCs w:val="44"/>
        </w:rPr>
      </w:pPr>
      <w:r>
        <w:rPr>
          <w:rFonts w:hint="eastAsia" w:ascii="黑体" w:eastAsia="黑体" w:cs="黑体"/>
          <w:kern w:val="2"/>
          <w:sz w:val="44"/>
          <w:szCs w:val="44"/>
          <w:lang w:val="en-US" w:eastAsia="zh-CN"/>
        </w:rPr>
        <w:t>第三部分</w:t>
      </w:r>
      <w:r>
        <w:rPr>
          <w:rFonts w:hint="eastAsia" w:ascii="黑体" w:eastAsia="黑体" w:cs="Times New Roman"/>
          <w:kern w:val="2"/>
          <w:sz w:val="44"/>
          <w:szCs w:val="44"/>
          <w:lang w:val="en-US" w:eastAsia="zh-CN"/>
        </w:rPr>
        <w:t xml:space="preserve">  </w:t>
      </w:r>
      <w:r>
        <w:rPr>
          <w:rFonts w:hint="eastAsia" w:ascii="黑体" w:eastAsia="黑体" w:cs="黑体"/>
          <w:kern w:val="2"/>
          <w:sz w:val="44"/>
          <w:szCs w:val="44"/>
          <w:lang w:val="en-US" w:eastAsia="zh-CN"/>
        </w:rPr>
        <w:t>名</w:t>
      </w:r>
      <w:r>
        <w:rPr>
          <w:rStyle w:val="21"/>
          <w:rFonts w:hint="eastAsia" w:ascii="黑体" w:eastAsia="黑体" w:cs="黑体"/>
          <w:b w:val="0"/>
          <w:bCs/>
          <w:kern w:val="44"/>
          <w:sz w:val="44"/>
          <w:szCs w:val="44"/>
          <w:lang w:val="en-US" w:eastAsia="zh-CN"/>
        </w:rPr>
        <w:t>词解释</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eastAsia="宋体" w:cs="Times New Roman"/>
          <w:b/>
          <w:bCs w:val="0"/>
          <w:kern w:val="2"/>
          <w:sz w:val="44"/>
          <w:szCs w:val="44"/>
        </w:rPr>
      </w:pPr>
      <w:r>
        <w:rPr>
          <w:rFonts w:hint="eastAsia" w:ascii="宋体" w:eastAsia="宋体" w:cs="Times New Roman"/>
          <w:b/>
          <w:bCs w:val="0"/>
          <w:kern w:val="2"/>
          <w:sz w:val="44"/>
          <w:szCs w:val="44"/>
          <w:lang w:val="en-US" w:eastAsia="zh-CN"/>
        </w:rPr>
        <w:t xml:space="preserve"> </w:t>
      </w:r>
    </w:p>
    <w:p>
      <w:pPr>
        <w:pStyle w:val="25"/>
        <w:spacing w:line="576" w:lineRule="exact"/>
        <w:ind w:firstLine="480" w:firstLineChars="200"/>
        <w:rPr>
          <w:rFonts w:hint="eastAsia" w:ascii="仿宋_GB2312" w:eastAsia="仿宋_GB2312"/>
          <w:sz w:val="32"/>
          <w:szCs w:val="32"/>
        </w:rPr>
      </w:pPr>
      <w:r>
        <w:t> </w:t>
      </w:r>
      <w:r>
        <w:rPr>
          <w:rFonts w:hint="eastAsia" w:ascii="仿宋_GB2312" w:eastAsia="仿宋_GB2312"/>
          <w:sz w:val="32"/>
          <w:szCs w:val="32"/>
        </w:rPr>
        <w:t>1.财政拨款收入：指单位从同级财政部门取得的财政预算资金。</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9.社会保障和就业（类）行政事业单位离退休（款）机关事业单位基本养老保险缴费支出（项）：指部门实施养老保险制度由单位缴纳的养老保险费的支出。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10.社会保障和就业（类）行政事业单位离退休（款）机关事业单位职业年金缴费支出（项）：指部门实施养老保险制度由单位缴纳的职业年金的支出。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11.医疗卫生与计划生育（类）行政事业单位医疗（款）行政单位医疗（项）：指厅机关及参公管理事业单位用于缴纳单位基本医疗保险支出。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12.医疗卫生与计划生育（类）行政事业单位医疗（款）事业单位医疗（项）：指事业单位用于缴纳单位基本医疗保险支出。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13.住房保障（类）住房改革支出（款）住房公积金（项）：反映行政事业单位按规定为职工缴纳的住房公积金。</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14.住房保障（类）住房改革支出（款）购房补贴（项）：指根据房改政策规定的标准，向符合条件职工发放的用于购</w:t>
      </w:r>
    </w:p>
    <w:p>
      <w:pPr>
        <w:spacing w:line="576" w:lineRule="exact"/>
        <w:rPr>
          <w:rFonts w:hint="eastAsia" w:ascii="仿宋_GB2312" w:eastAsia="仿宋_GB2312"/>
          <w:color w:val="000000"/>
          <w:sz w:val="32"/>
          <w:szCs w:val="32"/>
        </w:rPr>
      </w:pPr>
      <w:r>
        <w:rPr>
          <w:rFonts w:hint="eastAsia" w:ascii="仿宋_GB2312" w:eastAsia="仿宋_GB2312"/>
          <w:color w:val="000000"/>
          <w:sz w:val="32"/>
          <w:szCs w:val="32"/>
        </w:rPr>
        <w:t>买住房的补贴。</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15.农林水支出（类）扶贫（款）农村基础设施建设（项）：用于农村贫困地区乡村道路、住房、基本农田等生活条件改善方面的支出。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16.农林水支出（类）扶贫（款）其他扶贫支出（项）：反映除上述项目以外其他用于扶贫方面的支出。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17.农林水支出（类）其他农林水支出（款）其他农林水支出（项）：反映除化解债务支出以外其他用于农林水方面的支出。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18粮油事务等支出（类）其它粮油储备支出（款）行政运行（项）：反映粮油储备的有关支出。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19.基本支出：指为保障机构正常运转、完成日常工作任务而发生的人员支出和公用支出。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20.项目支出：指在基本支出之外为完成特定行政任务和事业发展目标所发生的支出。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21.经营支出：指事业单位在专业业务活动及其辅助活动之外开展非独立核算经营活动发生的支出。</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left="0"/>
        <w:outlineLvl w:val="0"/>
        <w:rPr>
          <w:rStyle w:val="19"/>
        </w:rPr>
      </w:pPr>
      <w:r>
        <w:rPr>
          <w:rFonts w:hint="eastAsia" w:ascii="仿宋_GB2312" w:eastAsia="仿宋_GB2312" w:cs="黑体"/>
          <w:sz w:val="32"/>
          <w:szCs w:val="32"/>
          <w:lang w:bidi="ar-SA"/>
        </w:rPr>
        <w:br w:type="page"/>
      </w:r>
      <w:r>
        <w:rPr>
          <w:rFonts w:hint="eastAsia" w:ascii="仿宋_GB2312" w:eastAsia="仿宋_GB2312" w:cs="黑体"/>
          <w:sz w:val="32"/>
          <w:szCs w:val="32"/>
          <w:lang w:bidi="ar-SA"/>
        </w:rPr>
        <w:t xml:space="preserve">    </w:t>
      </w:r>
      <w:r>
        <w:rPr>
          <w:rFonts w:ascii="仿宋_GB2312" w:eastAsia="仿宋_GB2312" w:cs="黑体"/>
          <w:sz w:val="32"/>
          <w:szCs w:val="32"/>
          <w:lang w:bidi="ar-SA"/>
        </w:rPr>
        <w:t xml:space="preserve">           </w:t>
      </w:r>
      <w:r>
        <w:rPr>
          <w:rFonts w:hint="eastAsia" w:ascii="黑体" w:eastAsia="黑体" w:cs="Times New Roman"/>
          <w:color w:val="000000"/>
          <w:kern w:val="2"/>
          <w:sz w:val="44"/>
          <w:szCs w:val="44"/>
          <w:lang w:val="en-US" w:eastAsia="zh-CN" w:bidi="ar-SA"/>
        </w:rPr>
        <w:t>第四部分 附件</w:t>
      </w:r>
      <w:r>
        <w:t> </w:t>
      </w:r>
    </w:p>
    <w:p>
      <w:pPr>
        <w:spacing w:line="600" w:lineRule="exact"/>
        <w:jc w:val="center"/>
        <w:outlineLvl w:val="0"/>
        <w:rPr>
          <w:rFonts w:hint="eastAsia" w:ascii="方正小标宋简体" w:eastAsia="方正小标宋简体" w:cs="方正小标宋简体"/>
          <w:sz w:val="44"/>
          <w:szCs w:val="44"/>
          <w:lang w:bidi="ar-SA"/>
        </w:rPr>
      </w:pPr>
      <w:bookmarkStart w:id="0" w:name="_Toc15396616"/>
    </w:p>
    <w:p>
      <w:pPr>
        <w:spacing w:line="600" w:lineRule="exact"/>
        <w:jc w:val="center"/>
        <w:outlineLvl w:val="0"/>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茂县粮食和物资储备中心</w:t>
      </w:r>
    </w:p>
    <w:p>
      <w:pPr>
        <w:spacing w:line="600" w:lineRule="exact"/>
        <w:jc w:val="center"/>
        <w:outlineLvl w:val="0"/>
        <w:rPr>
          <w:rFonts w:hint="eastAsia" w:ascii="黑体" w:eastAsia="黑体" w:cs="方正小标宋简体"/>
          <w:sz w:val="36"/>
          <w:szCs w:val="36"/>
          <w:lang w:bidi="ar-SA"/>
        </w:rPr>
      </w:pPr>
      <w:r>
        <w:rPr>
          <w:rFonts w:hint="eastAsia" w:ascii="方正小标宋简体" w:eastAsia="方正小标宋简体" w:cs="方正小标宋简体"/>
          <w:sz w:val="44"/>
          <w:szCs w:val="44"/>
          <w:lang w:bidi="ar-SA"/>
        </w:rPr>
        <w:t>2023年部门整体支出绩效评价报告</w:t>
      </w:r>
      <w:bookmarkEnd w:id="0"/>
    </w:p>
    <w:p>
      <w:pPr>
        <w:spacing w:line="580" w:lineRule="exact"/>
        <w:ind w:firstLine="640" w:firstLineChars="200"/>
        <w:rPr>
          <w:rFonts w:hint="eastAsia" w:ascii="黑体" w:eastAsia="黑体" w:cs="黑体"/>
          <w:sz w:val="32"/>
          <w:szCs w:val="32"/>
          <w:lang w:bidi="ar-SA"/>
        </w:rPr>
      </w:pPr>
    </w:p>
    <w:p>
      <w:pPr>
        <w:pStyle w:val="4"/>
        <w:numPr>
          <w:ilvl w:val="0"/>
          <w:numId w:val="4"/>
        </w:numPr>
        <w:rPr>
          <w:rFonts w:hint="eastAsia" w:ascii="黑体" w:eastAsia="黑体" w:cs="黑体"/>
          <w:b w:val="0"/>
          <w:bCs w:val="0"/>
          <w:lang w:bidi="ar-SA"/>
        </w:rPr>
      </w:pPr>
      <w:r>
        <w:rPr>
          <w:rFonts w:hint="eastAsia" w:ascii="黑体" w:eastAsia="黑体" w:cs="黑体"/>
          <w:b w:val="0"/>
          <w:bCs w:val="0"/>
          <w:lang w:bidi="ar-SA"/>
        </w:rPr>
        <w:t>单位概况</w:t>
      </w:r>
    </w:p>
    <w:p>
      <w:pPr>
        <w:numPr>
          <w:ilvl w:val="0"/>
          <w:numId w:val="5"/>
        </w:numPr>
        <w:spacing w:line="580" w:lineRule="exact"/>
        <w:rPr>
          <w:rFonts w:hint="eastAsia" w:ascii="楷体" w:eastAsia="楷体" w:cs="楷体"/>
          <w:b/>
          <w:bCs/>
          <w:sz w:val="32"/>
          <w:szCs w:val="32"/>
          <w:lang w:bidi="ar-SA"/>
        </w:rPr>
      </w:pPr>
      <w:r>
        <w:rPr>
          <w:rFonts w:hint="eastAsia" w:ascii="楷体" w:eastAsia="楷体" w:cs="楷体"/>
          <w:b/>
          <w:bCs/>
          <w:sz w:val="32"/>
          <w:szCs w:val="32"/>
          <w:lang w:bidi="ar-SA"/>
        </w:rPr>
        <w:t>机构组成</w:t>
      </w:r>
    </w:p>
    <w:p>
      <w:pPr>
        <w:spacing w:line="576" w:lineRule="exact"/>
        <w:ind w:firstLine="640" w:firstLineChars="200"/>
        <w:rPr>
          <w:rFonts w:hint="eastAsia" w:ascii="仿宋" w:eastAsia="仿宋" w:cs="仿宋_GB2312"/>
          <w:sz w:val="32"/>
          <w:szCs w:val="32"/>
          <w:lang w:bidi="ar-SA"/>
        </w:rPr>
      </w:pPr>
      <w:r>
        <w:rPr>
          <w:rFonts w:hint="eastAsia" w:ascii="仿宋" w:eastAsia="仿宋" w:cs="仿宋_GB2312"/>
          <w:sz w:val="32"/>
          <w:szCs w:val="32"/>
          <w:lang w:bidi="ar-SA"/>
        </w:rPr>
        <w:t>茂县粮食和物资储备中心是一级预算行政（参公）单位，无下属二级预算单位。</w:t>
      </w:r>
    </w:p>
    <w:p>
      <w:pPr>
        <w:numPr>
          <w:ilvl w:val="0"/>
          <w:numId w:val="5"/>
        </w:numPr>
        <w:spacing w:line="580" w:lineRule="exact"/>
        <w:rPr>
          <w:rFonts w:hint="eastAsia" w:ascii="楷体" w:eastAsia="楷体" w:cs="楷体"/>
          <w:b/>
          <w:bCs/>
          <w:sz w:val="32"/>
          <w:szCs w:val="32"/>
          <w:lang w:bidi="ar-SA"/>
        </w:rPr>
      </w:pPr>
      <w:r>
        <w:rPr>
          <w:rFonts w:hint="eastAsia" w:ascii="楷体" w:eastAsia="楷体" w:cs="楷体"/>
          <w:b/>
          <w:bCs/>
          <w:sz w:val="32"/>
          <w:szCs w:val="32"/>
          <w:lang w:bidi="ar-SA"/>
        </w:rPr>
        <w:t>机构职能</w:t>
      </w:r>
    </w:p>
    <w:p>
      <w:pPr>
        <w:spacing w:line="576" w:lineRule="exact"/>
        <w:ind w:firstLine="640" w:firstLineChars="200"/>
        <w:rPr>
          <w:rFonts w:hint="eastAsia" w:ascii="仿宋" w:eastAsia="仿宋" w:cs="仿宋"/>
          <w:sz w:val="32"/>
          <w:szCs w:val="32"/>
          <w:lang w:bidi="ar-SA"/>
        </w:rPr>
      </w:pPr>
      <w:r>
        <w:rPr>
          <w:rFonts w:hint="eastAsia" w:ascii="仿宋" w:eastAsia="仿宋" w:cs="仿宋"/>
          <w:sz w:val="32"/>
          <w:szCs w:val="32"/>
          <w:lang w:bidi="ar-SA"/>
        </w:rPr>
        <w:t>（1）负责省、州、县储备粮管理，指导全县粮食储备体系建设；制定县级储备粮管理的技术规范并监督执行；监督检查省、州、县储备粮库存数量、质量和安全；研究提出县级储备粮的收购、轮换、抛售计划，并组织实施。</w:t>
      </w:r>
    </w:p>
    <w:p>
      <w:pPr>
        <w:spacing w:line="576" w:lineRule="exact"/>
        <w:ind w:firstLine="640" w:firstLineChars="200"/>
        <w:rPr>
          <w:rFonts w:hint="eastAsia" w:ascii="仿宋" w:eastAsia="仿宋" w:cs="仿宋"/>
          <w:sz w:val="32"/>
          <w:szCs w:val="32"/>
          <w:lang w:bidi="ar-SA"/>
        </w:rPr>
      </w:pPr>
      <w:r>
        <w:rPr>
          <w:rFonts w:hint="eastAsia" w:ascii="仿宋" w:eastAsia="仿宋" w:cs="仿宋"/>
          <w:sz w:val="32"/>
          <w:szCs w:val="32"/>
          <w:lang w:bidi="ar-SA"/>
        </w:rPr>
        <w:t>（2）管理社会粮食流通，保障军队、城镇居民、农村群众、应急救灾、缺粮贫困地区、退耕还林、大骨节病人和国家重点建设项目的粮食供应。</w:t>
      </w:r>
    </w:p>
    <w:p>
      <w:pPr>
        <w:spacing w:line="576" w:lineRule="exact"/>
        <w:ind w:firstLine="640" w:firstLineChars="200"/>
        <w:rPr>
          <w:rFonts w:hint="eastAsia" w:ascii="仿宋" w:eastAsia="仿宋" w:cs="仿宋"/>
          <w:sz w:val="32"/>
          <w:szCs w:val="32"/>
          <w:lang w:bidi="ar-SA"/>
        </w:rPr>
      </w:pPr>
      <w:r>
        <w:rPr>
          <w:rFonts w:hint="eastAsia" w:ascii="仿宋" w:eastAsia="仿宋" w:cs="仿宋"/>
          <w:sz w:val="32"/>
          <w:szCs w:val="32"/>
          <w:lang w:bidi="ar-SA"/>
        </w:rPr>
        <w:t>（3）指导和协调全县粮食流通基础设施建设，编制全县粮油仓储、加工设施建设计划并组织实施；指导安全粮油网点建设，负责粮油仓储设施的报废、占用、拆迁等。</w:t>
      </w:r>
    </w:p>
    <w:p>
      <w:pPr>
        <w:spacing w:line="576" w:lineRule="exact"/>
        <w:ind w:firstLine="640" w:firstLineChars="200"/>
        <w:rPr>
          <w:rFonts w:hint="eastAsia" w:ascii="仿宋" w:eastAsia="仿宋" w:cs="仿宋"/>
          <w:sz w:val="32"/>
          <w:szCs w:val="32"/>
          <w:lang w:bidi="ar-SA"/>
        </w:rPr>
      </w:pPr>
      <w:r>
        <w:rPr>
          <w:rFonts w:hint="eastAsia" w:ascii="仿宋" w:eastAsia="仿宋" w:cs="仿宋"/>
          <w:sz w:val="32"/>
          <w:szCs w:val="32"/>
          <w:lang w:bidi="ar-SA"/>
        </w:rPr>
        <w:t>(4)指导全县粮食流通市场的行业行政管理、国有粮食企业的改革；指导并推动行业的技术改造、新技术推广应用、安全生产和抢险救灾工作；指导全县农村科学储粮工作；承担行业统计工作。</w:t>
      </w:r>
    </w:p>
    <w:p>
      <w:pPr>
        <w:spacing w:line="576" w:lineRule="exact"/>
        <w:ind w:firstLine="640" w:firstLineChars="200"/>
        <w:rPr>
          <w:rFonts w:hint="eastAsia" w:ascii="仿宋" w:eastAsia="仿宋" w:cs="仿宋"/>
          <w:sz w:val="32"/>
          <w:szCs w:val="32"/>
          <w:lang w:bidi="ar-SA"/>
        </w:rPr>
      </w:pPr>
      <w:r>
        <w:rPr>
          <w:rFonts w:hint="eastAsia" w:ascii="仿宋" w:eastAsia="仿宋" w:cs="仿宋"/>
          <w:sz w:val="32"/>
          <w:szCs w:val="32"/>
          <w:lang w:bidi="ar-SA"/>
        </w:rPr>
        <w:t>(5)指导全县粮食财务管理工作；组织实施粮食财务和会计制度工作，负责国有企业资产的监督管理；会同有关部门做好粮食收购资金使用；编报全县粮食系统财务报表，组织编制年度决算。</w:t>
      </w:r>
    </w:p>
    <w:p>
      <w:pPr>
        <w:numPr>
          <w:ilvl w:val="0"/>
          <w:numId w:val="5"/>
        </w:numPr>
        <w:spacing w:line="580" w:lineRule="exact"/>
        <w:rPr>
          <w:rFonts w:hint="eastAsia" w:ascii="楷体" w:eastAsia="楷体" w:cs="楷体"/>
          <w:b/>
          <w:bCs/>
          <w:sz w:val="32"/>
          <w:szCs w:val="32"/>
          <w:lang w:bidi="ar-SA"/>
        </w:rPr>
      </w:pPr>
      <w:r>
        <w:rPr>
          <w:rFonts w:hint="eastAsia" w:ascii="楷体" w:eastAsia="楷体" w:cs="楷体"/>
          <w:b/>
          <w:bCs/>
          <w:sz w:val="32"/>
          <w:szCs w:val="32"/>
          <w:lang w:bidi="ar-SA"/>
        </w:rPr>
        <w:t>人员概况</w:t>
      </w:r>
    </w:p>
    <w:p>
      <w:pPr>
        <w:snapToGrid w:val="0"/>
        <w:spacing w:line="576" w:lineRule="exact"/>
        <w:ind w:firstLine="640" w:firstLineChars="200"/>
        <w:rPr>
          <w:rFonts w:hint="eastAsia" w:ascii="仿宋" w:eastAsia="仿宋" w:cs="仿宋_GB2312"/>
          <w:sz w:val="32"/>
          <w:szCs w:val="32"/>
          <w:lang w:bidi="ar-SA"/>
        </w:rPr>
      </w:pPr>
      <w:r>
        <w:rPr>
          <w:rFonts w:hint="eastAsia" w:ascii="仿宋" w:eastAsia="仿宋"/>
          <w:sz w:val="32"/>
          <w:szCs w:val="32"/>
        </w:rPr>
        <w:t>茂县粮食和物资储备中心为参公单位，现有事业编制15人，在职职工14人，其中：参公人员12人，工勤人员2人。遗属8人。</w:t>
      </w:r>
    </w:p>
    <w:p>
      <w:pPr>
        <w:pStyle w:val="4"/>
        <w:ind w:left="420"/>
        <w:rPr>
          <w:rFonts w:hint="eastAsia" w:ascii="黑体" w:eastAsia="黑体" w:cs="黑体"/>
          <w:b w:val="0"/>
          <w:bCs w:val="0"/>
          <w:lang w:bidi="ar-SA"/>
        </w:rPr>
      </w:pPr>
      <w:r>
        <w:rPr>
          <w:rFonts w:hint="eastAsia" w:ascii="黑体" w:eastAsia="黑体" w:cs="黑体"/>
          <w:b w:val="0"/>
          <w:bCs w:val="0"/>
          <w:lang w:bidi="ar-SA"/>
        </w:rPr>
        <w:t>二、部门财政资金收支情况</w:t>
      </w:r>
    </w:p>
    <w:p>
      <w:pPr>
        <w:pStyle w:val="4"/>
        <w:ind w:left="420"/>
        <w:rPr>
          <w:rFonts w:hint="eastAsia" w:ascii="仿宋" w:eastAsia="仿宋"/>
          <w:b w:val="0"/>
          <w:bCs w:val="0"/>
          <w:color w:val="000000"/>
        </w:rPr>
      </w:pPr>
      <w:r>
        <w:rPr>
          <w:rFonts w:hint="eastAsia" w:ascii="仿宋" w:eastAsia="仿宋"/>
          <w:color w:val="000000"/>
          <w:kern w:val="0"/>
          <w:sz w:val="32"/>
          <w:szCs w:val="32"/>
          <w:shd w:val="clear" w:color="auto" w:fill="FFFFFF"/>
          <w:lang w:val="zh-CN" w:eastAsia="zh-CN"/>
        </w:rPr>
        <w:t>（一）收入情况。</w:t>
      </w:r>
      <w:r>
        <w:rPr>
          <w:rFonts w:hint="eastAsia" w:ascii="仿宋" w:eastAsia="仿宋"/>
          <w:b w:val="0"/>
          <w:bCs w:val="0"/>
          <w:sz w:val="32"/>
          <w:szCs w:val="32"/>
        </w:rPr>
        <w:t>2023年本单位年初预算收入404.99万元，决算报表收入404.99万元。其中基本收入325.88万元，项目收入81.87万元。</w:t>
      </w:r>
    </w:p>
    <w:p>
      <w:pPr>
        <w:widowControl/>
        <w:suppressAutoHyphens/>
        <w:adjustRightInd w:val="0"/>
        <w:snapToGrid w:val="0"/>
        <w:spacing w:line="560" w:lineRule="exact"/>
        <w:ind w:left="0" w:firstLine="481" w:firstLineChars="150"/>
        <w:contextualSpacing/>
        <w:jc w:val="left"/>
        <w:rPr>
          <w:rFonts w:hint="eastAsia" w:ascii="仿宋" w:eastAsia="仿宋"/>
          <w:b/>
          <w:bCs/>
          <w:color w:val="000000"/>
          <w:kern w:val="0"/>
          <w:sz w:val="32"/>
          <w:szCs w:val="32"/>
          <w:shd w:val="clear" w:color="auto" w:fill="FFFFFF"/>
        </w:rPr>
      </w:pPr>
      <w:r>
        <w:rPr>
          <w:rFonts w:hint="eastAsia" w:ascii="仿宋" w:eastAsia="仿宋"/>
          <w:b/>
          <w:bCs/>
          <w:color w:val="000000"/>
          <w:kern w:val="0"/>
          <w:sz w:val="32"/>
          <w:szCs w:val="32"/>
          <w:shd w:val="clear" w:color="auto" w:fill="FFFFFF"/>
          <w:lang w:val="zh-CN" w:eastAsia="zh-CN"/>
        </w:rPr>
        <w:t>（二）支出情况。</w:t>
      </w:r>
      <w:r>
        <w:rPr>
          <w:rFonts w:hint="eastAsia" w:ascii="仿宋" w:eastAsia="仿宋"/>
          <w:sz w:val="32"/>
          <w:szCs w:val="32"/>
        </w:rPr>
        <w:t>2023年本单位年初预算支出404.99万元，决算报表支出404.99万元。其中基本支出325.88万元，项目支出81.87万元。</w:t>
      </w:r>
    </w:p>
    <w:p>
      <w:pPr>
        <w:widowControl/>
        <w:suppressAutoHyphens/>
        <w:adjustRightInd w:val="0"/>
        <w:snapToGrid w:val="0"/>
        <w:spacing w:line="560" w:lineRule="exact"/>
        <w:ind w:left="0" w:firstLine="481" w:firstLineChars="150"/>
        <w:contextualSpacing/>
        <w:jc w:val="left"/>
        <w:rPr>
          <w:rFonts w:hint="eastAsia" w:ascii="仿宋" w:eastAsia="仿宋"/>
          <w:color w:val="000000"/>
          <w:kern w:val="0"/>
          <w:sz w:val="32"/>
          <w:szCs w:val="32"/>
          <w:shd w:val="clear" w:color="auto" w:fill="FFFFFF"/>
        </w:rPr>
      </w:pPr>
      <w:r>
        <w:rPr>
          <w:rFonts w:hint="eastAsia" w:ascii="仿宋" w:eastAsia="仿宋"/>
          <w:b/>
          <w:bCs/>
          <w:color w:val="000000"/>
          <w:kern w:val="0"/>
          <w:sz w:val="32"/>
          <w:szCs w:val="32"/>
          <w:shd w:val="clear" w:color="auto" w:fill="FFFFFF"/>
          <w:lang w:val="zh-CN" w:eastAsia="zh-CN"/>
        </w:rPr>
        <w:t>（三）</w:t>
      </w:r>
      <w:r>
        <w:rPr>
          <w:rFonts w:hint="eastAsia" w:ascii="仿宋" w:eastAsia="仿宋"/>
          <w:b/>
          <w:sz w:val="32"/>
          <w:szCs w:val="32"/>
        </w:rPr>
        <w:t>结余分配和结转结余情况。</w:t>
      </w:r>
      <w:r>
        <w:rPr>
          <w:rFonts w:hint="eastAsia" w:ascii="仿宋" w:eastAsia="仿宋"/>
          <w:sz w:val="32"/>
          <w:szCs w:val="32"/>
        </w:rPr>
        <w:t>2023年本单位预算决算报表</w:t>
      </w:r>
      <w:r>
        <w:rPr>
          <w:rFonts w:hint="eastAsia" w:ascii="仿宋" w:eastAsia="仿宋"/>
          <w:color w:val="000000"/>
          <w:kern w:val="0"/>
          <w:sz w:val="32"/>
          <w:szCs w:val="32"/>
          <w:shd w:val="clear" w:color="auto" w:fill="FFFFFF"/>
        </w:rPr>
        <w:t>结转结余为0元。</w:t>
      </w:r>
    </w:p>
    <w:p>
      <w:pPr>
        <w:keepNext w:val="0"/>
        <w:keepLines w:val="0"/>
        <w:pageBreakBefore w:val="0"/>
        <w:widowControl/>
        <w:suppressAutoHyphens/>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eastAsia="黑体" w:cs="Times New Roman"/>
          <w:color w:val="000000"/>
          <w:kern w:val="0"/>
          <w:sz w:val="32"/>
          <w:szCs w:val="32"/>
          <w:highlight w:val="none"/>
          <w:shd w:val="clear" w:color="auto" w:fill="FFFFFF"/>
          <w:lang w:val="zh-CN" w:eastAsia="zh-CN" w:bidi="ar-SA"/>
        </w:rPr>
      </w:pPr>
      <w:r>
        <w:rPr>
          <w:rFonts w:hint="eastAsia" w:ascii="仿宋" w:eastAsia="仿宋"/>
          <w:color w:val="000000"/>
          <w:kern w:val="0"/>
          <w:sz w:val="32"/>
          <w:szCs w:val="32"/>
          <w:shd w:val="clear" w:color="auto" w:fill="FFFFFF"/>
        </w:rPr>
        <w:t xml:space="preserve"> </w:t>
      </w:r>
      <w:r>
        <w:rPr>
          <w:rFonts w:eastAsia="黑体" w:cs="Times New Roman"/>
          <w:color w:val="000000"/>
          <w:kern w:val="0"/>
          <w:sz w:val="32"/>
          <w:szCs w:val="32"/>
          <w:highlight w:val="none"/>
          <w:shd w:val="clear" w:color="auto" w:fill="FFFFFF"/>
          <w:lang w:val="zh-CN" w:eastAsia="zh-CN" w:bidi="ar-SA"/>
        </w:rPr>
        <w:t>三、部门预算绩效分析</w:t>
      </w:r>
    </w:p>
    <w:p>
      <w:pPr>
        <w:keepNext w:val="0"/>
        <w:keepLines w:val="0"/>
        <w:pageBreakBefore w:val="0"/>
        <w:widowControl w:val="0"/>
        <w:suppressAutoHyphens/>
        <w:kinsoku/>
        <w:wordWrap/>
        <w:overflowPunct/>
        <w:topLinePunct w:val="0"/>
        <w:autoSpaceDE/>
        <w:autoSpaceDN/>
        <w:bidi w:val="0"/>
        <w:adjustRightInd w:val="0"/>
        <w:snapToGrid w:val="0"/>
        <w:spacing w:line="578" w:lineRule="exact"/>
        <w:ind w:left="0" w:firstLine="642" w:firstLineChars="200"/>
        <w:contextualSpacing/>
        <w:jc w:val="left"/>
        <w:textAlignment w:val="auto"/>
        <w:outlineLvl w:val="9"/>
        <w:rPr>
          <w:rFonts w:ascii="Times New Roman" w:hAnsi="Times New Roman" w:eastAsia="仿宋_GB2312" w:cs="Times New Roman"/>
          <w:sz w:val="32"/>
          <w:szCs w:val="32"/>
          <w:lang w:val="zh-CN" w:eastAsia="zh-CN" w:bidi="ar-SA"/>
        </w:rPr>
      </w:pPr>
      <w:r>
        <w:rPr>
          <w:rFonts w:ascii="Times New Roman" w:hAnsi="Times New Roman" w:eastAsia="楷体_GB2312" w:cs="Times New Roman"/>
          <w:b/>
          <w:bCs/>
          <w:color w:val="000000"/>
          <w:kern w:val="0"/>
          <w:sz w:val="32"/>
          <w:szCs w:val="32"/>
          <w:highlight w:val="none"/>
          <w:shd w:val="clear" w:color="auto" w:fill="FFFFFF"/>
          <w:lang w:val="zh-CN" w:eastAsia="zh-CN" w:bidi="ar-SA"/>
        </w:rPr>
        <w:t>（一）</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部门预算</w:t>
      </w:r>
      <w:r>
        <w:rPr>
          <w:rFonts w:ascii="Times New Roman" w:hAnsi="Times New Roman" w:eastAsia="楷体_GB2312" w:cs="Times New Roman"/>
          <w:b/>
          <w:bCs/>
          <w:color w:val="000000"/>
          <w:kern w:val="0"/>
          <w:sz w:val="32"/>
          <w:szCs w:val="32"/>
          <w:highlight w:val="none"/>
          <w:shd w:val="clear" w:color="auto" w:fill="FFFFFF"/>
          <w:lang w:val="zh-CN" w:eastAsia="zh-CN" w:bidi="ar-SA"/>
        </w:rPr>
        <w:t>总体绩效分析。</w:t>
      </w:r>
      <w:r>
        <w:rPr>
          <w:rFonts w:ascii="Times New Roman" w:hAnsi="Times New Roman" w:eastAsia="仿宋_GB2312" w:cs="Times New Roman"/>
          <w:sz w:val="32"/>
          <w:szCs w:val="32"/>
          <w:lang w:val="zh-CN" w:eastAsia="zh-CN" w:bidi="ar-SA"/>
        </w:rPr>
        <w:t>根据部门预算绩效评价指标体系“总体绩效”涉及</w:t>
      </w:r>
      <w:r>
        <w:rPr>
          <w:rFonts w:hint="eastAsia" w:ascii="Times New Roman" w:hAnsi="Times New Roman" w:eastAsia="仿宋_GB2312" w:cs="Times New Roman"/>
          <w:sz w:val="32"/>
          <w:szCs w:val="32"/>
          <w:lang w:val="zh-CN" w:eastAsia="zh-CN" w:bidi="ar-SA"/>
        </w:rPr>
        <w:t>二、三级</w:t>
      </w:r>
      <w:r>
        <w:rPr>
          <w:rFonts w:ascii="Times New Roman" w:hAnsi="Times New Roman" w:eastAsia="仿宋_GB2312" w:cs="Times New Roman"/>
          <w:sz w:val="32"/>
          <w:szCs w:val="32"/>
          <w:lang w:val="zh-CN" w:eastAsia="zh-CN" w:bidi="ar-SA"/>
        </w:rPr>
        <w:t>指标进行</w:t>
      </w:r>
      <w:r>
        <w:rPr>
          <w:rFonts w:hint="eastAsia" w:ascii="Times New Roman" w:hAnsi="Times New Roman" w:eastAsia="仿宋_GB2312" w:cs="Times New Roman"/>
          <w:sz w:val="32"/>
          <w:szCs w:val="32"/>
          <w:lang w:val="zh-CN" w:eastAsia="zh-CN" w:bidi="ar-SA"/>
        </w:rPr>
        <w:t>逐项</w:t>
      </w:r>
      <w:r>
        <w:rPr>
          <w:rFonts w:ascii="Times New Roman" w:hAnsi="Times New Roman" w:eastAsia="仿宋_GB2312" w:cs="Times New Roman"/>
          <w:sz w:val="32"/>
          <w:szCs w:val="32"/>
          <w:lang w:val="zh-CN" w:eastAsia="zh-CN" w:bidi="ar-SA"/>
        </w:rPr>
        <w:t>绩效分析</w:t>
      </w:r>
      <w:r>
        <w:rPr>
          <w:rFonts w:hint="eastAsia" w:ascii="Times New Roman" w:hAnsi="Times New Roman" w:eastAsia="仿宋_GB2312" w:cs="Times New Roman"/>
          <w:sz w:val="32"/>
          <w:szCs w:val="32"/>
          <w:lang w:val="zh-CN" w:eastAsia="zh-CN" w:bidi="ar-SA"/>
        </w:rPr>
        <w:t>并评分</w:t>
      </w:r>
      <w:r>
        <w:rPr>
          <w:rFonts w:ascii="Times New Roman" w:hAnsi="Times New Roman" w:eastAsia="仿宋_GB2312" w:cs="Times New Roman"/>
          <w:sz w:val="32"/>
          <w:szCs w:val="32"/>
          <w:lang w:val="zh-CN" w:eastAsia="zh-CN" w:bidi="ar-SA"/>
        </w:rPr>
        <w:t>，依次包括履职效能、预算管理、财务管理、资产管理、采购管理等情况。</w:t>
      </w:r>
    </w:p>
    <w:p>
      <w:pPr>
        <w:adjustRightInd w:val="0"/>
        <w:snapToGrid w:val="0"/>
        <w:spacing w:line="560" w:lineRule="exact"/>
        <w:ind w:left="0" w:firstLine="480" w:firstLineChars="150"/>
        <w:contextualSpacing/>
        <w:rPr>
          <w:rFonts w:hint="eastAsia" w:ascii="楷体_GB2312" w:eastAsia="楷体_GB2312" w:cs="楷体_GB2312"/>
          <w:color w:val="000000"/>
          <w:kern w:val="0"/>
          <w:sz w:val="32"/>
          <w:szCs w:val="32"/>
          <w:highlight w:val="none"/>
          <w:shd w:val="clear" w:color="auto" w:fill="FFFFFF"/>
          <w:lang w:val="zh-CN" w:eastAsia="zh-CN" w:bidi="ar-SA"/>
        </w:rPr>
      </w:pPr>
      <w:r>
        <w:rPr>
          <w:rFonts w:hint="eastAsia" w:ascii="楷体_GB2312" w:eastAsia="楷体_GB2312" w:cs="楷体_GB2312"/>
          <w:color w:val="000000"/>
          <w:kern w:val="0"/>
          <w:sz w:val="32"/>
          <w:szCs w:val="32"/>
          <w:highlight w:val="none"/>
          <w:shd w:val="clear" w:color="auto" w:fill="FFFFFF"/>
          <w:lang w:val="en-US" w:eastAsia="zh-CN" w:bidi="ar-SA"/>
        </w:rPr>
        <w:t>1.</w:t>
      </w:r>
      <w:r>
        <w:rPr>
          <w:rFonts w:hint="eastAsia" w:ascii="楷体_GB2312" w:eastAsia="楷体_GB2312" w:cs="楷体_GB2312"/>
          <w:color w:val="000000"/>
          <w:kern w:val="0"/>
          <w:sz w:val="32"/>
          <w:szCs w:val="32"/>
          <w:highlight w:val="none"/>
          <w:shd w:val="clear" w:color="auto" w:fill="FFFFFF"/>
          <w:lang w:val="zh-CN" w:eastAsia="zh-CN" w:bidi="ar-SA"/>
        </w:rPr>
        <w:t>履职效能。</w:t>
      </w:r>
    </w:p>
    <w:p>
      <w:pPr>
        <w:adjustRightInd w:val="0"/>
        <w:snapToGrid w:val="0"/>
        <w:spacing w:line="560" w:lineRule="exact"/>
        <w:ind w:left="0" w:firstLine="320" w:firstLineChars="100"/>
        <w:contextualSpacing/>
        <w:rPr>
          <w:rFonts w:hint="eastAsia" w:ascii="仿宋" w:eastAsia="仿宋"/>
          <w:sz w:val="32"/>
          <w:szCs w:val="32"/>
        </w:rPr>
      </w:pPr>
      <w:r>
        <w:rPr>
          <w:rFonts w:hint="eastAsia" w:ascii="仿宋" w:eastAsia="仿宋"/>
          <w:sz w:val="32"/>
          <w:szCs w:val="32"/>
        </w:rPr>
        <w:t>（1）做好全县储备粮油轮换任务。</w:t>
      </w:r>
    </w:p>
    <w:p>
      <w:pPr>
        <w:spacing w:line="560" w:lineRule="exact"/>
        <w:ind w:left="0" w:firstLine="320" w:firstLineChars="100"/>
        <w:rPr>
          <w:rFonts w:hint="eastAsia" w:ascii="仿宋" w:eastAsia="仿宋" w:cs="仿宋"/>
          <w:sz w:val="32"/>
          <w:szCs w:val="32"/>
          <w:lang w:bidi="ar-SA"/>
        </w:rPr>
      </w:pPr>
      <w:r>
        <w:rPr>
          <w:rFonts w:hint="eastAsia" w:ascii="仿宋" w:eastAsia="仿宋"/>
          <w:sz w:val="32"/>
          <w:szCs w:val="32"/>
        </w:rPr>
        <w:t>（2）完成应急物资储备库建设项目</w:t>
      </w:r>
    </w:p>
    <w:p>
      <w:pPr>
        <w:tabs>
          <w:tab w:val="left" w:pos="166"/>
        </w:tabs>
        <w:spacing w:line="560" w:lineRule="exact"/>
        <w:ind w:left="0" w:firstLine="320" w:firstLineChars="100"/>
        <w:rPr>
          <w:rFonts w:hint="eastAsia" w:ascii="仿宋" w:eastAsia="仿宋"/>
          <w:sz w:val="32"/>
          <w:szCs w:val="32"/>
        </w:rPr>
      </w:pPr>
      <w:r>
        <w:rPr>
          <w:rFonts w:hint="eastAsia" w:ascii="仿宋" w:eastAsia="仿宋"/>
          <w:sz w:val="32"/>
          <w:szCs w:val="32"/>
        </w:rPr>
        <w:t>（3）对采购的粮油进行质量安全检测及抽样工作，保证群众吃上“放心粮油”。</w:t>
      </w:r>
    </w:p>
    <w:p>
      <w:pPr>
        <w:spacing w:line="560" w:lineRule="exact"/>
        <w:ind w:firstLine="480" w:firstLineChars="150"/>
        <w:rPr>
          <w:rFonts w:hint="eastAsia" w:ascii="仿宋" w:eastAsia="仿宋"/>
          <w:sz w:val="32"/>
          <w:szCs w:val="32"/>
        </w:rPr>
      </w:pPr>
      <w:r>
        <w:rPr>
          <w:rFonts w:hint="eastAsia" w:ascii="楷体_GB2312" w:eastAsia="楷体_GB2312" w:cs="楷体_GB2312"/>
          <w:color w:val="000000"/>
          <w:kern w:val="0"/>
          <w:sz w:val="32"/>
          <w:szCs w:val="32"/>
          <w:highlight w:val="none"/>
          <w:shd w:val="clear" w:color="auto" w:fill="FFFFFF"/>
          <w:lang w:val="en-US" w:eastAsia="zh-CN" w:bidi="ar-SA"/>
        </w:rPr>
        <w:t>2.</w:t>
      </w:r>
      <w:r>
        <w:rPr>
          <w:rFonts w:hint="eastAsia" w:ascii="楷体_GB2312" w:eastAsia="楷体_GB2312" w:cs="楷体_GB2312"/>
          <w:color w:val="000000"/>
          <w:kern w:val="0"/>
          <w:sz w:val="32"/>
          <w:szCs w:val="32"/>
          <w:highlight w:val="none"/>
          <w:shd w:val="clear" w:color="auto" w:fill="FFFFFF"/>
          <w:lang w:val="zh-CN" w:eastAsia="zh-CN" w:bidi="ar-SA"/>
        </w:rPr>
        <w:t>预算管理。</w:t>
      </w:r>
      <w:r>
        <w:rPr>
          <w:rFonts w:hint="eastAsia" w:ascii="仿宋" w:eastAsia="仿宋"/>
          <w:sz w:val="32"/>
          <w:szCs w:val="32"/>
        </w:rPr>
        <w:t>在预决算编制过程中，我单位严格按照财政部门量入为出 ，实事求是的要求，细致核定相关工作经费。单位所有经费支出须经办公室主任初审签字、财务审核签字，分管领导签字、主要负责人签字审批的支付审批程序后方能予以报销；涉及大额资金的支出严格按照“三重一大”的要求须召开会议讨论通过，并形成专门的会议记录。单位所有经费支出均符合财政规定的支出标准和范围，不存在超预算、超标准、超范围的开支经费行为。</w:t>
      </w:r>
    </w:p>
    <w:p>
      <w:pPr>
        <w:adjustRightInd w:val="0"/>
        <w:snapToGrid w:val="0"/>
        <w:spacing w:line="560" w:lineRule="exact"/>
        <w:ind w:firstLine="480" w:firstLineChars="150"/>
        <w:contextualSpacing/>
        <w:jc w:val="left"/>
        <w:rPr>
          <w:rFonts w:hint="eastAsia" w:ascii="仿宋" w:eastAsia="仿宋" w:cs="楷体_GB2312"/>
          <w:kern w:val="0"/>
          <w:sz w:val="32"/>
          <w:szCs w:val="32"/>
          <w:lang w:val="zh-CN" w:eastAsia="zh-CN" w:bidi="ar-SA"/>
        </w:rPr>
      </w:pPr>
      <w:r>
        <w:rPr>
          <w:rFonts w:hint="eastAsia" w:ascii="楷体_GB2312" w:eastAsia="楷体_GB2312" w:cs="楷体_GB2312"/>
          <w:color w:val="000000"/>
          <w:kern w:val="0"/>
          <w:sz w:val="32"/>
          <w:szCs w:val="32"/>
          <w:highlight w:val="none"/>
          <w:shd w:val="clear" w:color="auto" w:fill="FFFFFF"/>
          <w:lang w:val="en-US" w:eastAsia="zh-CN" w:bidi="ar-SA"/>
        </w:rPr>
        <w:t>3.</w:t>
      </w:r>
      <w:r>
        <w:rPr>
          <w:rFonts w:hint="eastAsia" w:ascii="楷体_GB2312" w:eastAsia="楷体_GB2312" w:cs="楷体_GB2312"/>
          <w:color w:val="000000"/>
          <w:kern w:val="0"/>
          <w:sz w:val="32"/>
          <w:szCs w:val="32"/>
          <w:highlight w:val="none"/>
          <w:shd w:val="clear" w:color="auto" w:fill="FFFFFF"/>
          <w:lang w:val="zh-CN" w:eastAsia="zh-CN" w:bidi="ar-SA"/>
        </w:rPr>
        <w:t>财务管理。</w:t>
      </w:r>
      <w:r>
        <w:rPr>
          <w:rFonts w:hint="eastAsia" w:ascii="仿宋" w:eastAsia="仿宋"/>
          <w:kern w:val="0"/>
          <w:sz w:val="32"/>
          <w:szCs w:val="32"/>
          <w:lang w:val="zh-CN" w:eastAsia="zh-CN"/>
        </w:rPr>
        <w:t>根据《会计法》及相关财务有关规定，结合单位实际，</w:t>
      </w:r>
      <w:r>
        <w:rPr>
          <w:rFonts w:hint="eastAsia" w:ascii="仿宋" w:eastAsia="仿宋" w:cs="楷体_GB2312"/>
          <w:kern w:val="0"/>
          <w:sz w:val="32"/>
          <w:szCs w:val="32"/>
          <w:lang w:val="zh-CN" w:eastAsia="zh-CN" w:bidi="ar-SA"/>
        </w:rPr>
        <w:t>合理设置财务工作岗位，明确职责职能，严格实行不相容岗位分离，资金支付上严格按照相关财务管理制度的规定使用资金。</w:t>
      </w:r>
    </w:p>
    <w:p>
      <w:pPr>
        <w:pStyle w:val="26"/>
        <w:spacing w:line="560" w:lineRule="exact"/>
        <w:rPr>
          <w:rFonts w:hint="eastAsia" w:ascii="仿宋" w:eastAsia="仿宋"/>
          <w:kern w:val="2"/>
          <w:sz w:val="32"/>
          <w:szCs w:val="32"/>
        </w:rPr>
      </w:pPr>
      <w:r>
        <w:rPr>
          <w:rFonts w:hint="eastAsia" w:ascii="楷体_GB2312" w:eastAsia="楷体_GB2312" w:cs="楷体_GB2312"/>
          <w:color w:val="000000"/>
          <w:kern w:val="0"/>
          <w:sz w:val="32"/>
          <w:szCs w:val="32"/>
          <w:highlight w:val="none"/>
          <w:shd w:val="clear" w:color="auto" w:fill="FFFFFF"/>
          <w:lang w:val="en-US" w:eastAsia="zh-CN" w:bidi="ar-SA"/>
        </w:rPr>
        <w:t>4.</w:t>
      </w:r>
      <w:r>
        <w:rPr>
          <w:rFonts w:hint="eastAsia" w:ascii="楷体_GB2312" w:eastAsia="楷体_GB2312" w:cs="楷体_GB2312"/>
          <w:color w:val="000000"/>
          <w:kern w:val="0"/>
          <w:sz w:val="32"/>
          <w:szCs w:val="32"/>
          <w:highlight w:val="none"/>
          <w:shd w:val="clear" w:color="auto" w:fill="FFFFFF"/>
          <w:lang w:val="zh-CN" w:eastAsia="zh-CN" w:bidi="ar-SA"/>
        </w:rPr>
        <w:t>资产管理。</w:t>
      </w:r>
      <w:r>
        <w:rPr>
          <w:rFonts w:hint="eastAsia" w:ascii="仿宋" w:eastAsia="仿宋"/>
          <w:kern w:val="2"/>
          <w:sz w:val="32"/>
          <w:szCs w:val="32"/>
        </w:rPr>
        <w:t>单位所有固定资产由专人负责登记管理，办公室负责对单位固定资产实物情况进行全面管理；单位财务人员负责对固定资产账面价值进行审合统计并录入资产管理系统，对资产盘盈、盘亏、报废、清理等处置业务在获得有关部门审核批准后及时办理相应手续。每年定期对现有固定资产进行账物实物清查盘点，并按要求在四川省资产管理系统中准确、真实、完整地录入相关数据并上报。</w:t>
      </w:r>
    </w:p>
    <w:p>
      <w:pPr>
        <w:adjustRightInd w:val="0"/>
        <w:snapToGrid w:val="0"/>
        <w:spacing w:line="560" w:lineRule="exact"/>
        <w:ind w:firstLine="640" w:firstLineChars="200"/>
        <w:contextualSpacing/>
        <w:jc w:val="left"/>
        <w:rPr>
          <w:rFonts w:hint="eastAsia" w:ascii="仿宋" w:eastAsia="仿宋" w:cs="楷体_GB2312"/>
          <w:kern w:val="0"/>
          <w:sz w:val="32"/>
          <w:szCs w:val="32"/>
          <w:lang w:val="zh-CN" w:eastAsia="zh-CN" w:bidi="ar-SA"/>
        </w:rPr>
      </w:pPr>
      <w:r>
        <w:rPr>
          <w:rFonts w:hint="eastAsia" w:ascii="楷体_GB2312" w:eastAsia="楷体_GB2312" w:cs="楷体_GB2312"/>
          <w:color w:val="000000"/>
          <w:kern w:val="0"/>
          <w:sz w:val="32"/>
          <w:szCs w:val="32"/>
          <w:highlight w:val="none"/>
          <w:shd w:val="clear" w:color="auto" w:fill="FFFFFF"/>
          <w:lang w:val="en-US" w:eastAsia="zh-CN" w:bidi="ar-SA"/>
        </w:rPr>
        <w:t>5.</w:t>
      </w:r>
      <w:r>
        <w:rPr>
          <w:rFonts w:hint="eastAsia" w:ascii="楷体_GB2312" w:eastAsia="楷体_GB2312" w:cs="楷体_GB2312"/>
          <w:color w:val="000000"/>
          <w:kern w:val="0"/>
          <w:sz w:val="32"/>
          <w:szCs w:val="32"/>
          <w:highlight w:val="none"/>
          <w:shd w:val="clear" w:color="auto" w:fill="FFFFFF"/>
          <w:lang w:val="zh-CN" w:eastAsia="zh-CN" w:bidi="ar-SA"/>
        </w:rPr>
        <w:t>采购管理。</w:t>
      </w:r>
      <w:r>
        <w:rPr>
          <w:rFonts w:hint="eastAsia" w:ascii="仿宋" w:eastAsia="仿宋" w:cs="楷体_GB2312"/>
          <w:kern w:val="0"/>
          <w:sz w:val="32"/>
          <w:szCs w:val="32"/>
          <w:lang w:val="zh-CN" w:eastAsia="zh-CN" w:bidi="ar-SA"/>
        </w:rPr>
        <w:t>单位按照规定，建立了《采购内控管理制度》及流程，2023年单位无采购安排</w:t>
      </w:r>
      <w:r>
        <w:rPr>
          <w:rFonts w:hint="eastAsia" w:ascii="仿宋" w:eastAsia="仿宋"/>
          <w:kern w:val="0"/>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78" w:lineRule="exact"/>
        <w:ind w:firstLine="160" w:firstLineChars="50"/>
        <w:contextualSpacing/>
        <w:jc w:val="left"/>
        <w:textAlignment w:val="auto"/>
        <w:outlineLvl w:val="9"/>
        <w:rPr>
          <w:rFonts w:hint="eastAsia" w:ascii="仿宋" w:eastAsia="仿宋"/>
          <w:kern w:val="0"/>
          <w:sz w:val="32"/>
          <w:szCs w:val="32"/>
        </w:rPr>
      </w:pPr>
      <w:r>
        <w:rPr>
          <w:rFonts w:ascii="Times New Roman" w:hAnsi="Times New Roman" w:eastAsia="楷体_GB2312" w:cs="Times New Roman"/>
          <w:b/>
          <w:bCs/>
          <w:color w:val="000000"/>
          <w:kern w:val="0"/>
          <w:sz w:val="32"/>
          <w:szCs w:val="32"/>
          <w:highlight w:val="none"/>
          <w:shd w:val="clear" w:color="auto" w:fill="FFFFFF"/>
          <w:lang w:val="zh-CN" w:eastAsia="zh-CN" w:bidi="ar-SA"/>
        </w:rPr>
        <w:t>（二）部门预算项目绩效分析。</w:t>
      </w:r>
      <w:r>
        <w:rPr>
          <w:rFonts w:hint="eastAsia" w:ascii="仿宋" w:eastAsia="仿宋"/>
          <w:kern w:val="0"/>
          <w:sz w:val="32"/>
          <w:szCs w:val="32"/>
          <w:lang w:val="zh-CN" w:eastAsia="zh-CN"/>
        </w:rPr>
        <w:t>根据部门预算绩效评价指标体系“项目绩效”涉及二、三级指标进行逐项绩效分析并评分，依次包括项目</w:t>
      </w:r>
      <w:r>
        <w:rPr>
          <w:rFonts w:hint="eastAsia" w:ascii="仿宋" w:eastAsia="仿宋"/>
          <w:kern w:val="0"/>
          <w:sz w:val="32"/>
          <w:szCs w:val="32"/>
        </w:rPr>
        <w:t>决策、项目执行、目标实现等情况。</w:t>
      </w:r>
    </w:p>
    <w:p>
      <w:pPr>
        <w:adjustRightInd w:val="0"/>
        <w:snapToGrid w:val="0"/>
        <w:spacing w:line="560" w:lineRule="exact"/>
        <w:ind w:left="0" w:firstLine="480" w:firstLineChars="150"/>
        <w:contextualSpacing/>
        <w:jc w:val="left"/>
        <w:rPr>
          <w:rFonts w:hint="eastAsia" w:ascii="仿宋" w:eastAsia="仿宋"/>
          <w:kern w:val="0"/>
          <w:sz w:val="32"/>
          <w:szCs w:val="32"/>
          <w:lang w:val="zh-CN" w:eastAsia="zh-CN"/>
        </w:rPr>
      </w:pPr>
      <w:r>
        <w:rPr>
          <w:rFonts w:hint="eastAsia" w:ascii="仿宋" w:eastAsia="仿宋"/>
          <w:kern w:val="0"/>
          <w:sz w:val="32"/>
          <w:szCs w:val="32"/>
        </w:rPr>
        <w:t xml:space="preserve"> 常年项目绩效分析。</w:t>
      </w:r>
      <w:r>
        <w:rPr>
          <w:rFonts w:hint="eastAsia" w:ascii="仿宋" w:eastAsia="仿宋"/>
          <w:kern w:val="0"/>
          <w:sz w:val="32"/>
          <w:szCs w:val="32"/>
          <w:lang w:val="zh-CN" w:eastAsia="zh-CN"/>
        </w:rPr>
        <w:t>该类项目总数</w:t>
      </w:r>
      <w:r>
        <w:rPr>
          <w:rFonts w:hint="eastAsia" w:ascii="仿宋" w:eastAsia="仿宋"/>
          <w:kern w:val="0"/>
          <w:sz w:val="32"/>
          <w:szCs w:val="32"/>
        </w:rPr>
        <w:t xml:space="preserve"> 2</w:t>
      </w:r>
      <w:r>
        <w:rPr>
          <w:rFonts w:hint="eastAsia" w:ascii="仿宋" w:eastAsia="仿宋"/>
          <w:kern w:val="0"/>
          <w:sz w:val="32"/>
          <w:szCs w:val="32"/>
          <w:lang w:val="zh-CN" w:eastAsia="zh-CN"/>
        </w:rPr>
        <w:t>个，涉及预算总金额</w:t>
      </w:r>
      <w:r>
        <w:rPr>
          <w:rFonts w:hint="eastAsia" w:ascii="仿宋" w:eastAsia="仿宋"/>
          <w:sz w:val="32"/>
          <w:szCs w:val="32"/>
        </w:rPr>
        <w:t>10.5</w:t>
      </w:r>
      <w:r>
        <w:rPr>
          <w:rFonts w:hint="eastAsia" w:ascii="仿宋" w:eastAsia="仿宋"/>
          <w:kern w:val="0"/>
          <w:sz w:val="32"/>
          <w:szCs w:val="32"/>
          <w:lang w:val="zh-CN" w:eastAsia="zh-CN"/>
        </w:rPr>
        <w:t>万元，1—1</w:t>
      </w:r>
      <w:r>
        <w:rPr>
          <w:rFonts w:hint="eastAsia" w:ascii="仿宋" w:eastAsia="仿宋"/>
          <w:kern w:val="0"/>
          <w:sz w:val="32"/>
          <w:szCs w:val="32"/>
        </w:rPr>
        <w:t>2</w:t>
      </w:r>
      <w:r>
        <w:rPr>
          <w:rFonts w:hint="eastAsia" w:ascii="仿宋" w:eastAsia="仿宋"/>
          <w:kern w:val="0"/>
          <w:sz w:val="32"/>
          <w:szCs w:val="32"/>
          <w:lang w:val="zh-CN" w:eastAsia="zh-CN"/>
        </w:rPr>
        <w:t>月预算执行总体进度为100</w:t>
      </w:r>
      <w:r>
        <w:rPr>
          <w:rFonts w:hint="eastAsia" w:ascii="仿宋" w:eastAsia="仿宋"/>
          <w:kern w:val="0"/>
          <w:sz w:val="32"/>
          <w:szCs w:val="32"/>
        </w:rPr>
        <w:t xml:space="preserve"> </w:t>
      </w:r>
      <w:r>
        <w:rPr>
          <w:rFonts w:hint="eastAsia" w:ascii="仿宋" w:eastAsia="仿宋"/>
          <w:kern w:val="0"/>
          <w:sz w:val="32"/>
          <w:szCs w:val="32"/>
          <w:lang w:val="zh-CN" w:eastAsia="zh-CN"/>
        </w:rPr>
        <w:t>%，其中：预算结余率大于</w:t>
      </w:r>
      <w:r>
        <w:rPr>
          <w:rFonts w:hint="eastAsia" w:ascii="仿宋" w:eastAsia="仿宋"/>
          <w:kern w:val="0"/>
          <w:sz w:val="32"/>
          <w:szCs w:val="32"/>
        </w:rPr>
        <w:t>10%</w:t>
      </w:r>
      <w:r>
        <w:rPr>
          <w:rFonts w:hint="eastAsia" w:ascii="仿宋" w:eastAsia="仿宋"/>
          <w:kern w:val="0"/>
          <w:sz w:val="32"/>
          <w:szCs w:val="32"/>
          <w:lang w:val="zh-CN" w:eastAsia="zh-CN"/>
        </w:rPr>
        <w:t>的项目共计</w:t>
      </w:r>
      <w:r>
        <w:rPr>
          <w:rFonts w:hint="eastAsia" w:ascii="仿宋" w:eastAsia="仿宋"/>
          <w:kern w:val="0"/>
          <w:sz w:val="32"/>
          <w:szCs w:val="32"/>
        </w:rPr>
        <w:t xml:space="preserve"> 0 </w:t>
      </w:r>
      <w:r>
        <w:rPr>
          <w:rFonts w:hint="eastAsia" w:ascii="仿宋" w:eastAsia="仿宋"/>
          <w:kern w:val="0"/>
          <w:sz w:val="32"/>
          <w:szCs w:val="32"/>
          <w:lang w:val="zh-CN" w:eastAsia="zh-CN"/>
        </w:rPr>
        <w:t>个。</w:t>
      </w:r>
    </w:p>
    <w:p>
      <w:pPr>
        <w:adjustRightInd w:val="0"/>
        <w:snapToGrid w:val="0"/>
        <w:spacing w:line="560" w:lineRule="exact"/>
        <w:ind w:firstLine="640" w:firstLineChars="200"/>
        <w:contextualSpacing/>
        <w:jc w:val="left"/>
        <w:rPr>
          <w:rFonts w:hint="eastAsia" w:ascii="仿宋" w:eastAsia="仿宋"/>
          <w:kern w:val="0"/>
          <w:sz w:val="32"/>
          <w:szCs w:val="32"/>
          <w:lang w:val="zh-CN" w:eastAsia="zh-CN"/>
        </w:rPr>
      </w:pPr>
      <w:r>
        <w:rPr>
          <w:rFonts w:hint="eastAsia" w:ascii="仿宋" w:eastAsia="仿宋"/>
          <w:kern w:val="0"/>
          <w:sz w:val="32"/>
          <w:szCs w:val="32"/>
        </w:rPr>
        <w:t>阶段（一次性）项目绩效分析。</w:t>
      </w:r>
      <w:r>
        <w:rPr>
          <w:rFonts w:hint="eastAsia" w:ascii="仿宋" w:eastAsia="仿宋"/>
          <w:kern w:val="0"/>
          <w:sz w:val="32"/>
          <w:szCs w:val="32"/>
          <w:lang w:val="zh-CN" w:eastAsia="zh-CN"/>
        </w:rPr>
        <w:t>该类项目总数</w:t>
      </w:r>
      <w:r>
        <w:rPr>
          <w:rFonts w:hint="eastAsia" w:ascii="仿宋" w:eastAsia="仿宋"/>
          <w:kern w:val="0"/>
          <w:sz w:val="32"/>
          <w:szCs w:val="32"/>
        </w:rPr>
        <w:t xml:space="preserve"> 4</w:t>
      </w:r>
      <w:r>
        <w:rPr>
          <w:rFonts w:hint="eastAsia" w:ascii="仿宋" w:eastAsia="仿宋"/>
          <w:kern w:val="0"/>
          <w:sz w:val="32"/>
          <w:szCs w:val="32"/>
          <w:lang w:val="zh-CN" w:eastAsia="zh-CN"/>
        </w:rPr>
        <w:t>个，涉及预算总金额84.86万元，1—1</w:t>
      </w:r>
      <w:r>
        <w:rPr>
          <w:rFonts w:hint="eastAsia" w:ascii="仿宋" w:eastAsia="仿宋"/>
          <w:kern w:val="0"/>
          <w:sz w:val="32"/>
          <w:szCs w:val="32"/>
        </w:rPr>
        <w:t>2</w:t>
      </w:r>
      <w:r>
        <w:rPr>
          <w:rFonts w:hint="eastAsia" w:ascii="仿宋" w:eastAsia="仿宋"/>
          <w:kern w:val="0"/>
          <w:sz w:val="32"/>
          <w:szCs w:val="32"/>
          <w:lang w:val="zh-CN" w:eastAsia="zh-CN"/>
        </w:rPr>
        <w:t>月预算执行总体进度为</w:t>
      </w:r>
      <w:r>
        <w:rPr>
          <w:rFonts w:hint="eastAsia" w:ascii="仿宋" w:eastAsia="仿宋"/>
          <w:kern w:val="0"/>
          <w:sz w:val="32"/>
          <w:szCs w:val="32"/>
        </w:rPr>
        <w:t xml:space="preserve"> 100 </w:t>
      </w:r>
      <w:r>
        <w:rPr>
          <w:rFonts w:hint="eastAsia" w:ascii="仿宋" w:eastAsia="仿宋"/>
          <w:kern w:val="0"/>
          <w:sz w:val="32"/>
          <w:szCs w:val="32"/>
          <w:lang w:val="zh-CN" w:eastAsia="zh-CN"/>
        </w:rPr>
        <w:t>%，其中：预算结余率大于</w:t>
      </w:r>
      <w:r>
        <w:rPr>
          <w:rFonts w:hint="eastAsia" w:ascii="仿宋" w:eastAsia="仿宋"/>
          <w:kern w:val="0"/>
          <w:sz w:val="32"/>
          <w:szCs w:val="32"/>
        </w:rPr>
        <w:t>10%</w:t>
      </w:r>
      <w:r>
        <w:rPr>
          <w:rFonts w:hint="eastAsia" w:ascii="仿宋" w:eastAsia="仿宋"/>
          <w:kern w:val="0"/>
          <w:sz w:val="32"/>
          <w:szCs w:val="32"/>
          <w:lang w:val="zh-CN" w:eastAsia="zh-CN"/>
        </w:rPr>
        <w:t>的项目共计</w:t>
      </w:r>
      <w:r>
        <w:rPr>
          <w:rFonts w:hint="eastAsia" w:ascii="仿宋" w:eastAsia="仿宋"/>
          <w:kern w:val="0"/>
          <w:sz w:val="32"/>
          <w:szCs w:val="32"/>
        </w:rPr>
        <w:t xml:space="preserve"> 0</w:t>
      </w:r>
      <w:r>
        <w:rPr>
          <w:rFonts w:hint="eastAsia" w:ascii="仿宋" w:eastAsia="仿宋"/>
          <w:kern w:val="0"/>
          <w:sz w:val="32"/>
          <w:szCs w:val="32"/>
          <w:lang w:val="zh-CN" w:eastAsia="zh-CN"/>
        </w:rPr>
        <w:t>个。</w:t>
      </w:r>
    </w:p>
    <w:p>
      <w:pPr>
        <w:adjustRightInd w:val="0"/>
        <w:snapToGrid w:val="0"/>
        <w:spacing w:line="560" w:lineRule="exact"/>
        <w:ind w:firstLine="640" w:firstLineChars="200"/>
        <w:contextualSpacing/>
        <w:jc w:val="left"/>
        <w:rPr>
          <w:rFonts w:hint="eastAsia" w:ascii="仿宋" w:eastAsia="仿宋" w:cs="楷体_GB2312"/>
          <w:color w:val="000000"/>
          <w:kern w:val="0"/>
          <w:sz w:val="32"/>
          <w:szCs w:val="32"/>
          <w:shd w:val="clear" w:color="auto" w:fill="FFFFFF"/>
          <w:lang w:val="zh-CN" w:eastAsia="zh-CN" w:bidi="ar-SA"/>
        </w:rPr>
      </w:pPr>
      <w:r>
        <w:rPr>
          <w:rFonts w:hint="eastAsia" w:ascii="仿宋" w:eastAsia="仿宋" w:cs="楷体_GB2312"/>
          <w:color w:val="000000"/>
          <w:kern w:val="0"/>
          <w:sz w:val="32"/>
          <w:szCs w:val="32"/>
          <w:shd w:val="clear" w:color="auto" w:fill="FFFFFF"/>
          <w:lang w:bidi="ar-SA"/>
        </w:rPr>
        <w:t>1.</w:t>
      </w:r>
      <w:r>
        <w:rPr>
          <w:rFonts w:hint="eastAsia" w:ascii="仿宋" w:eastAsia="仿宋" w:cs="楷体_GB2312"/>
          <w:color w:val="000000"/>
          <w:kern w:val="0"/>
          <w:sz w:val="32"/>
          <w:szCs w:val="32"/>
          <w:shd w:val="clear" w:color="auto" w:fill="FFFFFF"/>
          <w:lang w:val="zh-CN" w:eastAsia="zh-CN" w:bidi="ar-SA"/>
        </w:rPr>
        <w:t>项目决策。</w:t>
      </w:r>
    </w:p>
    <w:p>
      <w:pPr>
        <w:adjustRightInd w:val="0"/>
        <w:snapToGrid w:val="0"/>
        <w:spacing w:line="560" w:lineRule="exact"/>
        <w:ind w:firstLine="640" w:firstLineChars="200"/>
        <w:contextualSpacing/>
        <w:jc w:val="left"/>
        <w:rPr>
          <w:rFonts w:hint="eastAsia" w:ascii="仿宋" w:eastAsia="仿宋"/>
          <w:color w:val="000000"/>
          <w:kern w:val="0"/>
          <w:sz w:val="32"/>
          <w:szCs w:val="32"/>
          <w:shd w:val="clear" w:color="auto" w:fill="FFFFFF"/>
          <w:lang w:val="zh-CN" w:eastAsia="zh-CN"/>
        </w:rPr>
      </w:pPr>
      <w:r>
        <w:rPr>
          <w:rFonts w:hint="eastAsia" w:ascii="仿宋" w:eastAsia="仿宋"/>
          <w:color w:val="000000"/>
          <w:kern w:val="0"/>
          <w:sz w:val="32"/>
          <w:szCs w:val="32"/>
          <w:shd w:val="clear" w:color="auto" w:fill="FFFFFF"/>
          <w:lang w:val="zh-CN" w:eastAsia="zh-CN"/>
        </w:rPr>
        <w:t>围绕决策程序、目标设置、项目入库进行绩效分析。</w:t>
      </w:r>
    </w:p>
    <w:p>
      <w:pPr>
        <w:adjustRightInd w:val="0"/>
        <w:snapToGrid w:val="0"/>
        <w:spacing w:line="560" w:lineRule="exact"/>
        <w:ind w:firstLine="640" w:firstLineChars="200"/>
        <w:contextualSpacing/>
        <w:jc w:val="left"/>
        <w:rPr>
          <w:rFonts w:hint="eastAsia" w:ascii="仿宋" w:eastAsia="仿宋"/>
          <w:color w:val="000000"/>
          <w:kern w:val="0"/>
          <w:sz w:val="32"/>
          <w:szCs w:val="32"/>
          <w:shd w:val="clear" w:color="auto" w:fill="FFFFFF"/>
          <w:lang w:val="zh-CN" w:eastAsia="zh-CN"/>
        </w:rPr>
      </w:pPr>
      <w:r>
        <w:rPr>
          <w:rFonts w:hint="eastAsia" w:ascii="仿宋" w:eastAsia="仿宋"/>
          <w:sz w:val="32"/>
          <w:szCs w:val="32"/>
        </w:rPr>
        <w:t>（1.）粮食轮换费用及利息项目实施按《茂县县级粮食储备轮换管理暂行办法》进行管理，储备数量、储备费用根据茂府函[2009]39号、茂府函[2011]49号、《茂县粮食局关于要求提高县级储备粮费用标准的请示》（茂粮发[2014]6号）、阿州发改[2019]]365号文件内容执行。文件要求县级储备稻谷数量1200吨，储备油50吨。2023年根据目标设置我县储备粮油数量均达标，保障了我县在应急时期有粮可供，稳定了市场秩序。</w:t>
      </w:r>
    </w:p>
    <w:p>
      <w:pPr>
        <w:spacing w:line="600" w:lineRule="exact"/>
        <w:rPr>
          <w:rFonts w:hint="eastAsia" w:ascii="仿宋" w:eastAsia="仿宋"/>
          <w:sz w:val="32"/>
          <w:szCs w:val="32"/>
        </w:rPr>
      </w:pPr>
      <w:r>
        <w:rPr>
          <w:rFonts w:hint="eastAsia" w:ascii="仿宋" w:eastAsia="仿宋"/>
          <w:sz w:val="32"/>
          <w:szCs w:val="32"/>
        </w:rPr>
        <w:t>（2）粮油监测费用、粮食质量安全检测监督费用及执法经费根据《四川省粮食管全保障条例》第五章 质量监管规定实施，我县将开展粮食质量安全检查和监测所需费用纳入同级财政预算，将采购的粮油委托有资质的第三方机构进行送检。每年不低于3次送检次数。保障了购入储备粮油的质量安全性。</w:t>
      </w:r>
    </w:p>
    <w:p>
      <w:pPr>
        <w:keepNext w:val="0"/>
        <w:keepLines w:val="0"/>
        <w:pageBreakBefore w:val="0"/>
        <w:widowControl w:val="0"/>
        <w:kinsoku/>
        <w:wordWrap/>
        <w:overflowPunct/>
        <w:topLinePunct w:val="0"/>
        <w:autoSpaceDE/>
        <w:autoSpaceDN/>
        <w:bidi w:val="0"/>
        <w:adjustRightInd w:val="0"/>
        <w:snapToGrid w:val="0"/>
        <w:spacing w:line="600" w:lineRule="exact"/>
        <w:ind w:firstLine="320" w:firstLineChars="100"/>
        <w:textAlignment w:val="auto"/>
        <w:rPr>
          <w:rFonts w:hint="eastAsia" w:ascii="仿宋" w:eastAsia="仿宋"/>
          <w:sz w:val="32"/>
          <w:szCs w:val="32"/>
          <w:lang w:val="zh-CN" w:eastAsia="zh-CN"/>
        </w:rPr>
      </w:pPr>
      <w:r>
        <w:rPr>
          <w:rFonts w:hint="eastAsia" w:ascii="仿宋" w:eastAsia="仿宋"/>
          <w:sz w:val="32"/>
          <w:szCs w:val="32"/>
        </w:rPr>
        <w:t>（3）应急物资库建设项目根据</w:t>
      </w:r>
      <w:r>
        <w:rPr>
          <w:rFonts w:hint="eastAsia" w:ascii="仿宋" w:eastAsia="仿宋" w:cs="宋体"/>
          <w:color w:val="000000"/>
          <w:sz w:val="32"/>
          <w:szCs w:val="32"/>
          <w:lang w:val="zh-CN" w:eastAsia="zh-CN" w:bidi="ar-SA"/>
        </w:rPr>
        <w:t>茂发改行审(2020)32号立项批复进行项目建设，建设规模：新建800平方米应急储备仓库、三通一平及设施设备采购。现项目建设已完工，</w:t>
      </w:r>
      <w:r>
        <w:rPr>
          <w:rFonts w:hint="eastAsia" w:ascii="仿宋" w:eastAsia="仿宋"/>
          <w:sz w:val="32"/>
          <w:szCs w:val="32"/>
          <w:lang w:val="zh-CN" w:eastAsia="zh-CN"/>
        </w:rPr>
        <w:t>建成后大大提高我县的应急物资储备能力，能满足全县应急物资储备的需要，填补了叠溪镇无应急物资储备库的空白。</w:t>
      </w:r>
    </w:p>
    <w:p>
      <w:pPr>
        <w:keepNext w:val="0"/>
        <w:keepLines w:val="0"/>
        <w:pageBreakBefore w:val="0"/>
        <w:widowControl w:val="0"/>
        <w:suppressLineNumbers w:val="0"/>
        <w:suppressAutoHyphens w:val="0"/>
        <w:bidi w:val="0"/>
        <w:spacing w:line="600" w:lineRule="exact"/>
        <w:ind w:firstLine="160" w:firstLineChars="50"/>
        <w:rPr>
          <w:rFonts w:hint="eastAsia" w:ascii="仿宋" w:eastAsia="仿宋"/>
          <w:sz w:val="32"/>
          <w:szCs w:val="32"/>
        </w:rPr>
      </w:pPr>
      <w:r>
        <w:rPr>
          <w:rFonts w:hint="eastAsia" w:ascii="仿宋" w:eastAsia="仿宋"/>
          <w:sz w:val="32"/>
          <w:szCs w:val="32"/>
        </w:rPr>
        <w:t>（4）省级促进粮油高质量发展项目</w:t>
      </w:r>
      <w:r>
        <w:rPr>
          <w:rFonts w:hint="eastAsia" w:ascii="仿宋" w:eastAsia="仿宋" w:cs="仿宋_GB2312"/>
          <w:color w:val="000000"/>
          <w:sz w:val="32"/>
          <w:szCs w:val="32"/>
          <w:lang w:bidi="ar-SA"/>
        </w:rPr>
        <w:t>为全面实施“六大提升行动”，加快推动茂县“十四五”粮食和应急物资储备发展规划项目建设，扎实做好稳产保供工作，夯实经济发展基础、稳定社会大局提供坚实保障。确保粮食在需要时调得出、用得上，迅速反应、高效运转、全力保供，更好发挥储备压舱石作用，进一步提升全县粮食应急保障水平，申报应急成品粮油保障能力提升项目。茂县粮食购销公司已采购完成</w:t>
      </w:r>
      <w:r>
        <w:rPr>
          <w:rFonts w:hint="eastAsia" w:ascii="仿宋" w:eastAsia="仿宋" w:cs="仿宋_GB2312"/>
          <w:sz w:val="32"/>
          <w:szCs w:val="32"/>
          <w:lang w:bidi="ar-SA"/>
        </w:rPr>
        <w:t>叉车等设施设备，</w:t>
      </w:r>
      <w:r>
        <w:rPr>
          <w:rFonts w:hint="eastAsia" w:ascii="仿宋" w:eastAsia="仿宋" w:cs="仿宋_GB2312"/>
          <w:bCs/>
          <w:sz w:val="32"/>
          <w:szCs w:val="32"/>
          <w:lang w:val="zh-CN" w:eastAsia="zh-CN" w:bidi="ar-SA"/>
        </w:rPr>
        <w:t>该项目的实施充分利用现有资源，完善粮食</w:t>
      </w:r>
      <w:r>
        <w:rPr>
          <w:rFonts w:hint="eastAsia" w:ascii="仿宋" w:eastAsia="仿宋" w:cs="仿宋_GB2312"/>
          <w:bCs/>
          <w:sz w:val="32"/>
          <w:szCs w:val="32"/>
          <w:lang w:bidi="ar-SA"/>
        </w:rPr>
        <w:t>基础</w:t>
      </w:r>
      <w:r>
        <w:rPr>
          <w:rFonts w:hint="eastAsia" w:ascii="仿宋" w:eastAsia="仿宋" w:cs="仿宋_GB2312"/>
          <w:bCs/>
          <w:sz w:val="32"/>
          <w:szCs w:val="32"/>
          <w:lang w:val="zh-CN" w:eastAsia="zh-CN" w:bidi="ar-SA"/>
        </w:rPr>
        <w:t>设施</w:t>
      </w:r>
      <w:r>
        <w:rPr>
          <w:rFonts w:hint="eastAsia" w:ascii="仿宋" w:eastAsia="仿宋" w:cs="仿宋_GB2312"/>
          <w:bCs/>
          <w:sz w:val="32"/>
          <w:szCs w:val="32"/>
          <w:lang w:bidi="ar-SA"/>
        </w:rPr>
        <w:t>设备</w:t>
      </w:r>
      <w:r>
        <w:rPr>
          <w:rFonts w:hint="eastAsia" w:ascii="仿宋" w:eastAsia="仿宋" w:cs="仿宋_GB2312"/>
          <w:bCs/>
          <w:sz w:val="32"/>
          <w:szCs w:val="32"/>
          <w:lang w:val="zh-CN" w:eastAsia="zh-CN" w:bidi="ar-SA"/>
        </w:rPr>
        <w:t>，提升了我县的粮食储备能力，</w:t>
      </w:r>
      <w:r>
        <w:rPr>
          <w:rFonts w:hint="eastAsia" w:ascii="仿宋" w:eastAsia="仿宋" w:cs="仿宋_GB2312"/>
          <w:bCs/>
          <w:sz w:val="32"/>
          <w:szCs w:val="32"/>
          <w:lang w:bidi="ar-SA"/>
        </w:rPr>
        <w:t>进一步提升我</w:t>
      </w:r>
      <w:r>
        <w:rPr>
          <w:rFonts w:hint="eastAsia" w:ascii="仿宋" w:eastAsia="仿宋" w:cs="仿宋_GB2312"/>
          <w:bCs/>
          <w:sz w:val="32"/>
          <w:szCs w:val="32"/>
          <w:lang w:val="zh-CN" w:eastAsia="zh-CN" w:bidi="ar-SA"/>
        </w:rPr>
        <w:t>县</w:t>
      </w:r>
      <w:r>
        <w:rPr>
          <w:rFonts w:hint="eastAsia" w:ascii="仿宋" w:eastAsia="仿宋" w:cs="仿宋_GB2312"/>
          <w:bCs/>
          <w:sz w:val="32"/>
          <w:szCs w:val="32"/>
          <w:lang w:bidi="ar-SA"/>
        </w:rPr>
        <w:t>应急成品</w:t>
      </w:r>
      <w:r>
        <w:rPr>
          <w:rFonts w:hint="eastAsia" w:ascii="仿宋" w:eastAsia="仿宋" w:cs="仿宋_GB2312"/>
          <w:bCs/>
          <w:sz w:val="32"/>
          <w:szCs w:val="32"/>
          <w:lang w:val="zh-CN" w:eastAsia="zh-CN" w:bidi="ar-SA"/>
        </w:rPr>
        <w:t>粮油</w:t>
      </w:r>
      <w:r>
        <w:rPr>
          <w:rFonts w:hint="eastAsia" w:ascii="仿宋" w:eastAsia="仿宋" w:cs="仿宋_GB2312"/>
          <w:bCs/>
          <w:sz w:val="32"/>
          <w:szCs w:val="32"/>
          <w:lang w:bidi="ar-SA"/>
        </w:rPr>
        <w:t>保障能力</w:t>
      </w:r>
      <w:r>
        <w:rPr>
          <w:rFonts w:hint="eastAsia" w:ascii="仿宋" w:eastAsia="仿宋" w:cs="仿宋_GB2312"/>
          <w:bCs/>
          <w:sz w:val="32"/>
          <w:szCs w:val="32"/>
          <w:lang w:val="zh-CN" w:eastAsia="zh-CN" w:bidi="ar-SA"/>
        </w:rPr>
        <w:t>发展</w:t>
      </w:r>
      <w:r>
        <w:rPr>
          <w:rFonts w:hint="eastAsia" w:ascii="仿宋" w:eastAsia="仿宋" w:cs="仿宋_GB2312"/>
          <w:bCs/>
          <w:sz w:val="32"/>
          <w:szCs w:val="32"/>
          <w:lang w:bidi="ar-SA"/>
        </w:rPr>
        <w:t>,</w:t>
      </w:r>
      <w:r>
        <w:rPr>
          <w:rFonts w:hint="eastAsia" w:ascii="仿宋" w:eastAsia="仿宋" w:cs="仿宋_GB2312"/>
          <w:bCs/>
          <w:sz w:val="32"/>
          <w:szCs w:val="32"/>
          <w:lang w:val="zh-CN" w:eastAsia="zh-CN" w:bidi="ar-SA"/>
        </w:rPr>
        <w:t>确保</w:t>
      </w:r>
      <w:r>
        <w:rPr>
          <w:rFonts w:hint="eastAsia" w:ascii="仿宋" w:eastAsia="仿宋" w:cs="仿宋_GB2312"/>
          <w:bCs/>
          <w:sz w:val="32"/>
          <w:szCs w:val="32"/>
          <w:lang w:bidi="ar-SA"/>
        </w:rPr>
        <w:t>我</w:t>
      </w:r>
      <w:r>
        <w:rPr>
          <w:rFonts w:hint="eastAsia" w:ascii="仿宋" w:eastAsia="仿宋" w:cs="仿宋_GB2312"/>
          <w:bCs/>
          <w:sz w:val="32"/>
          <w:szCs w:val="32"/>
          <w:lang w:val="zh-CN" w:eastAsia="zh-CN" w:bidi="ar-SA"/>
        </w:rPr>
        <w:t>县粮食安全。</w:t>
      </w:r>
    </w:p>
    <w:p>
      <w:pPr>
        <w:adjustRightInd w:val="0"/>
        <w:snapToGrid w:val="0"/>
        <w:spacing w:line="560" w:lineRule="exact"/>
        <w:ind w:left="0" w:firstLine="480" w:firstLineChars="150"/>
        <w:contextualSpacing/>
        <w:jc w:val="left"/>
        <w:rPr>
          <w:rFonts w:hint="eastAsia" w:ascii="仿宋" w:eastAsia="仿宋"/>
          <w:color w:val="000000"/>
          <w:kern w:val="0"/>
          <w:sz w:val="32"/>
          <w:szCs w:val="32"/>
          <w:shd w:val="clear" w:color="auto" w:fill="FFFFFF"/>
          <w:lang w:val="zh-CN" w:eastAsia="zh-CN"/>
        </w:rPr>
      </w:pPr>
      <w:r>
        <w:rPr>
          <w:rFonts w:hint="eastAsia" w:ascii="仿宋" w:eastAsia="仿宋" w:cs="楷体_GB2312"/>
          <w:color w:val="000000"/>
          <w:kern w:val="0"/>
          <w:sz w:val="32"/>
          <w:szCs w:val="32"/>
          <w:shd w:val="clear" w:color="auto" w:fill="FFFFFF"/>
          <w:lang w:bidi="ar-SA"/>
        </w:rPr>
        <w:t>2.项目执行</w:t>
      </w:r>
      <w:r>
        <w:rPr>
          <w:rFonts w:hint="eastAsia" w:ascii="仿宋" w:eastAsia="仿宋" w:cs="楷体_GB2312"/>
          <w:color w:val="000000"/>
          <w:kern w:val="0"/>
          <w:sz w:val="32"/>
          <w:szCs w:val="32"/>
          <w:shd w:val="clear" w:color="auto" w:fill="FFFFFF"/>
          <w:lang w:val="zh-CN" w:eastAsia="zh-CN" w:bidi="ar-SA"/>
        </w:rPr>
        <w:t>。</w:t>
      </w:r>
      <w:r>
        <w:rPr>
          <w:rFonts w:hint="eastAsia" w:ascii="仿宋" w:eastAsia="仿宋"/>
          <w:color w:val="000000"/>
          <w:kern w:val="0"/>
          <w:sz w:val="32"/>
          <w:szCs w:val="32"/>
          <w:shd w:val="clear" w:color="auto" w:fill="FFFFFF"/>
          <w:lang w:val="zh-CN" w:eastAsia="zh-CN"/>
        </w:rPr>
        <w:t>2023年项目执行上均与年初预算编制项目一致，与绩效目标设置方向一致，6个项目执行率达100%。</w:t>
      </w:r>
    </w:p>
    <w:p>
      <w:pPr>
        <w:adjustRightInd w:val="0"/>
        <w:snapToGrid w:val="0"/>
        <w:spacing w:line="560" w:lineRule="exact"/>
        <w:ind w:left="0" w:firstLine="480" w:firstLineChars="150"/>
        <w:contextualSpacing/>
        <w:jc w:val="left"/>
        <w:rPr>
          <w:rFonts w:hint="eastAsia" w:ascii="仿宋" w:eastAsia="仿宋" w:cs="楷体_GB2312"/>
          <w:color w:val="000000"/>
          <w:kern w:val="0"/>
          <w:sz w:val="32"/>
          <w:szCs w:val="32"/>
          <w:shd w:val="clear" w:color="auto" w:fill="FFFFFF"/>
          <w:lang w:val="zh-CN" w:eastAsia="zh-CN" w:bidi="ar-SA"/>
        </w:rPr>
      </w:pPr>
      <w:r>
        <w:rPr>
          <w:rFonts w:hint="eastAsia" w:ascii="仿宋" w:eastAsia="仿宋" w:cs="楷体_GB2312"/>
          <w:color w:val="000000"/>
          <w:kern w:val="0"/>
          <w:sz w:val="32"/>
          <w:szCs w:val="32"/>
          <w:shd w:val="clear" w:color="auto" w:fill="FFFFFF"/>
          <w:lang w:bidi="ar-SA"/>
        </w:rPr>
        <w:t>3.</w:t>
      </w:r>
      <w:r>
        <w:rPr>
          <w:rFonts w:hint="eastAsia" w:ascii="仿宋" w:eastAsia="仿宋" w:cs="楷体_GB2312"/>
          <w:color w:val="000000"/>
          <w:kern w:val="0"/>
          <w:sz w:val="32"/>
          <w:szCs w:val="32"/>
          <w:shd w:val="clear" w:color="auto" w:fill="FFFFFF"/>
          <w:lang w:val="zh-CN" w:eastAsia="zh-CN" w:bidi="ar-SA"/>
        </w:rPr>
        <w:t>目标实现。</w:t>
      </w:r>
    </w:p>
    <w:p>
      <w:pPr>
        <w:adjustRightInd w:val="0"/>
        <w:snapToGrid w:val="0"/>
        <w:spacing w:line="560" w:lineRule="exact"/>
        <w:ind w:left="0" w:firstLine="160" w:firstLineChars="50"/>
        <w:contextualSpacing/>
        <w:jc w:val="left"/>
        <w:rPr>
          <w:rFonts w:hint="eastAsia" w:ascii="仿宋" w:eastAsia="仿宋"/>
          <w:sz w:val="32"/>
          <w:szCs w:val="32"/>
        </w:rPr>
      </w:pPr>
      <w:r>
        <w:rPr>
          <w:rFonts w:hint="eastAsia" w:ascii="仿宋" w:eastAsia="仿宋"/>
          <w:sz w:val="32"/>
          <w:szCs w:val="32"/>
        </w:rPr>
        <w:t>（1.）粮食轮换费用及利息费用项目2023年县级储备稻谷1200吨，储备油50吨，根据目标设置我县储备粮油数量达标，保障了我县在应急时期有粮可供，稳定了市场秩序。</w:t>
      </w:r>
    </w:p>
    <w:p>
      <w:pPr>
        <w:spacing w:line="580" w:lineRule="exact"/>
        <w:rPr>
          <w:rFonts w:hint="eastAsia" w:ascii="仿宋" w:eastAsia="仿宋"/>
          <w:sz w:val="32"/>
          <w:szCs w:val="32"/>
        </w:rPr>
      </w:pPr>
      <w:r>
        <w:rPr>
          <w:rFonts w:hint="eastAsia" w:ascii="仿宋" w:eastAsia="仿宋"/>
          <w:sz w:val="32"/>
          <w:szCs w:val="32"/>
        </w:rPr>
        <w:t>（2）粮油监测费用、粮食质量安全检测监督费用及执法经费将采购的粮油委托有资质的第三方机构进行送检。2023年共送检数量17次，保障了购入储备粮油的质量安全性。</w:t>
      </w:r>
    </w:p>
    <w:p>
      <w:pPr>
        <w:keepNext w:val="0"/>
        <w:keepLines w:val="0"/>
        <w:pageBreakBefore w:val="0"/>
        <w:widowControl w:val="0"/>
        <w:kinsoku/>
        <w:wordWrap/>
        <w:overflowPunct/>
        <w:topLinePunct w:val="0"/>
        <w:autoSpaceDE/>
        <w:autoSpaceDN/>
        <w:bidi w:val="0"/>
        <w:adjustRightInd w:val="0"/>
        <w:snapToGrid w:val="0"/>
        <w:spacing w:line="600" w:lineRule="exact"/>
        <w:ind w:firstLine="320" w:firstLineChars="100"/>
        <w:textAlignment w:val="auto"/>
        <w:rPr>
          <w:rFonts w:hint="eastAsia" w:ascii="仿宋" w:eastAsia="仿宋"/>
          <w:sz w:val="32"/>
          <w:szCs w:val="32"/>
          <w:lang w:val="zh-CN" w:eastAsia="zh-CN"/>
        </w:rPr>
      </w:pPr>
      <w:r>
        <w:rPr>
          <w:rFonts w:hint="eastAsia" w:ascii="仿宋" w:eastAsia="仿宋"/>
          <w:sz w:val="32"/>
          <w:szCs w:val="32"/>
        </w:rPr>
        <w:t>（3）应急物资库建设项目</w:t>
      </w:r>
      <w:r>
        <w:rPr>
          <w:rFonts w:hint="eastAsia" w:ascii="仿宋" w:eastAsia="仿宋" w:cs="宋体"/>
          <w:color w:val="000000"/>
          <w:sz w:val="32"/>
          <w:szCs w:val="32"/>
          <w:lang w:val="zh-CN" w:eastAsia="zh-CN" w:bidi="ar-SA"/>
        </w:rPr>
        <w:t>新建800平方米应急储备仓库、三通一平及设施设备采购，</w:t>
      </w:r>
      <w:r>
        <w:rPr>
          <w:rFonts w:hint="eastAsia" w:ascii="仿宋" w:eastAsia="仿宋"/>
          <w:sz w:val="32"/>
          <w:szCs w:val="32"/>
          <w:lang w:val="zh-CN" w:eastAsia="zh-CN"/>
        </w:rPr>
        <w:t>提高我县的应急物资储备能力，能满足全县应急物资储备的需要，填补了叠溪镇无应急物资储备库的空白。</w:t>
      </w:r>
    </w:p>
    <w:p>
      <w:pPr>
        <w:keepNext w:val="0"/>
        <w:keepLines w:val="0"/>
        <w:pageBreakBefore w:val="0"/>
        <w:widowControl w:val="0"/>
        <w:suppressLineNumbers w:val="0"/>
        <w:suppressAutoHyphens w:val="0"/>
        <w:bidi w:val="0"/>
        <w:spacing w:line="560" w:lineRule="exact"/>
        <w:ind w:firstLine="160" w:firstLineChars="50"/>
        <w:rPr>
          <w:rFonts w:hint="eastAsia" w:ascii="仿宋" w:eastAsia="仿宋"/>
          <w:sz w:val="32"/>
          <w:szCs w:val="32"/>
        </w:rPr>
      </w:pPr>
      <w:r>
        <w:rPr>
          <w:rFonts w:hint="eastAsia" w:ascii="仿宋" w:eastAsia="仿宋"/>
          <w:sz w:val="32"/>
          <w:szCs w:val="32"/>
        </w:rPr>
        <w:t>（4）省级促进粮油高质量发展项目</w:t>
      </w:r>
      <w:r>
        <w:rPr>
          <w:rFonts w:hint="eastAsia" w:ascii="仿宋" w:eastAsia="仿宋" w:cs="仿宋_GB2312"/>
          <w:color w:val="000000"/>
          <w:sz w:val="32"/>
          <w:szCs w:val="32"/>
          <w:lang w:bidi="ar-SA"/>
        </w:rPr>
        <w:t>粮食购销公司已采购完成</w:t>
      </w:r>
      <w:r>
        <w:rPr>
          <w:rFonts w:hint="eastAsia" w:ascii="仿宋" w:eastAsia="仿宋" w:cs="仿宋_GB2312"/>
          <w:sz w:val="32"/>
          <w:szCs w:val="32"/>
          <w:lang w:bidi="ar-SA"/>
        </w:rPr>
        <w:t>叉车等设施设备，</w:t>
      </w:r>
      <w:r>
        <w:rPr>
          <w:rFonts w:hint="eastAsia" w:ascii="仿宋" w:eastAsia="仿宋" w:cs="仿宋_GB2312"/>
          <w:bCs/>
          <w:sz w:val="32"/>
          <w:szCs w:val="32"/>
          <w:lang w:val="zh-CN" w:eastAsia="zh-CN" w:bidi="ar-SA"/>
        </w:rPr>
        <w:t>该项目的实施充分利用现有资源，完善粮食</w:t>
      </w:r>
      <w:r>
        <w:rPr>
          <w:rFonts w:hint="eastAsia" w:ascii="仿宋" w:eastAsia="仿宋" w:cs="仿宋_GB2312"/>
          <w:bCs/>
          <w:sz w:val="32"/>
          <w:szCs w:val="32"/>
          <w:lang w:bidi="ar-SA"/>
        </w:rPr>
        <w:t>基础</w:t>
      </w:r>
      <w:r>
        <w:rPr>
          <w:rFonts w:hint="eastAsia" w:ascii="仿宋" w:eastAsia="仿宋" w:cs="仿宋_GB2312"/>
          <w:bCs/>
          <w:sz w:val="32"/>
          <w:szCs w:val="32"/>
          <w:lang w:val="zh-CN" w:eastAsia="zh-CN" w:bidi="ar-SA"/>
        </w:rPr>
        <w:t>设施</w:t>
      </w:r>
      <w:r>
        <w:rPr>
          <w:rFonts w:hint="eastAsia" w:ascii="仿宋" w:eastAsia="仿宋" w:cs="仿宋_GB2312"/>
          <w:bCs/>
          <w:sz w:val="32"/>
          <w:szCs w:val="32"/>
          <w:lang w:bidi="ar-SA"/>
        </w:rPr>
        <w:t>设备</w:t>
      </w:r>
      <w:r>
        <w:rPr>
          <w:rFonts w:hint="eastAsia" w:ascii="仿宋" w:eastAsia="仿宋" w:cs="仿宋_GB2312"/>
          <w:bCs/>
          <w:sz w:val="32"/>
          <w:szCs w:val="32"/>
          <w:lang w:val="zh-CN" w:eastAsia="zh-CN" w:bidi="ar-SA"/>
        </w:rPr>
        <w:t>，提升了我县的粮食储备能力，</w:t>
      </w:r>
      <w:r>
        <w:rPr>
          <w:rFonts w:hint="eastAsia" w:ascii="仿宋" w:eastAsia="仿宋" w:cs="仿宋_GB2312"/>
          <w:bCs/>
          <w:sz w:val="32"/>
          <w:szCs w:val="32"/>
          <w:lang w:bidi="ar-SA"/>
        </w:rPr>
        <w:t>进一步提升我</w:t>
      </w:r>
      <w:r>
        <w:rPr>
          <w:rFonts w:hint="eastAsia" w:ascii="仿宋" w:eastAsia="仿宋" w:cs="仿宋_GB2312"/>
          <w:bCs/>
          <w:sz w:val="32"/>
          <w:szCs w:val="32"/>
          <w:lang w:val="zh-CN" w:eastAsia="zh-CN" w:bidi="ar-SA"/>
        </w:rPr>
        <w:t>县</w:t>
      </w:r>
      <w:r>
        <w:rPr>
          <w:rFonts w:hint="eastAsia" w:ascii="仿宋" w:eastAsia="仿宋" w:cs="仿宋_GB2312"/>
          <w:bCs/>
          <w:sz w:val="32"/>
          <w:szCs w:val="32"/>
          <w:lang w:bidi="ar-SA"/>
        </w:rPr>
        <w:t>应急成品</w:t>
      </w:r>
      <w:r>
        <w:rPr>
          <w:rFonts w:hint="eastAsia" w:ascii="仿宋" w:eastAsia="仿宋" w:cs="仿宋_GB2312"/>
          <w:bCs/>
          <w:sz w:val="32"/>
          <w:szCs w:val="32"/>
          <w:lang w:val="zh-CN" w:eastAsia="zh-CN" w:bidi="ar-SA"/>
        </w:rPr>
        <w:t>粮油</w:t>
      </w:r>
      <w:r>
        <w:rPr>
          <w:rFonts w:hint="eastAsia" w:ascii="仿宋" w:eastAsia="仿宋" w:cs="仿宋_GB2312"/>
          <w:bCs/>
          <w:sz w:val="32"/>
          <w:szCs w:val="32"/>
          <w:lang w:bidi="ar-SA"/>
        </w:rPr>
        <w:t>保障能力</w:t>
      </w:r>
      <w:r>
        <w:rPr>
          <w:rFonts w:hint="eastAsia" w:ascii="仿宋" w:eastAsia="仿宋" w:cs="仿宋_GB2312"/>
          <w:bCs/>
          <w:sz w:val="32"/>
          <w:szCs w:val="32"/>
          <w:lang w:val="zh-CN" w:eastAsia="zh-CN" w:bidi="ar-SA"/>
        </w:rPr>
        <w:t>发展</w:t>
      </w:r>
      <w:r>
        <w:rPr>
          <w:rFonts w:hint="eastAsia" w:ascii="仿宋" w:eastAsia="仿宋" w:cs="仿宋_GB2312"/>
          <w:bCs/>
          <w:sz w:val="32"/>
          <w:szCs w:val="32"/>
          <w:lang w:bidi="ar-SA"/>
        </w:rPr>
        <w:t>,</w:t>
      </w:r>
      <w:r>
        <w:rPr>
          <w:rFonts w:hint="eastAsia" w:ascii="仿宋" w:eastAsia="仿宋" w:cs="仿宋_GB2312"/>
          <w:bCs/>
          <w:sz w:val="32"/>
          <w:szCs w:val="32"/>
          <w:lang w:val="zh-CN" w:eastAsia="zh-CN" w:bidi="ar-SA"/>
        </w:rPr>
        <w:t>确保</w:t>
      </w:r>
      <w:r>
        <w:rPr>
          <w:rFonts w:hint="eastAsia" w:ascii="仿宋" w:eastAsia="仿宋" w:cs="仿宋_GB2312"/>
          <w:bCs/>
          <w:sz w:val="32"/>
          <w:szCs w:val="32"/>
          <w:lang w:bidi="ar-SA"/>
        </w:rPr>
        <w:t>我</w:t>
      </w:r>
      <w:r>
        <w:rPr>
          <w:rFonts w:hint="eastAsia" w:ascii="仿宋" w:eastAsia="仿宋" w:cs="仿宋_GB2312"/>
          <w:bCs/>
          <w:sz w:val="32"/>
          <w:szCs w:val="32"/>
          <w:lang w:val="zh-CN" w:eastAsia="zh-CN" w:bidi="ar-SA"/>
        </w:rPr>
        <w:t>县粮食安全。</w:t>
      </w:r>
    </w:p>
    <w:p>
      <w:pPr>
        <w:spacing w:line="560" w:lineRule="exact"/>
        <w:ind w:left="315"/>
        <w:jc w:val="left"/>
        <w:rPr>
          <w:rFonts w:hint="eastAsia" w:ascii="仿宋" w:eastAsia="仿宋"/>
          <w:sz w:val="32"/>
          <w:szCs w:val="32"/>
        </w:rPr>
      </w:pPr>
      <w:r>
        <w:rPr>
          <w:rFonts w:ascii="Times New Roman" w:hAnsi="Times New Roman" w:eastAsia="楷体_GB2312" w:cs="Times New Roman"/>
          <w:b/>
          <w:bCs/>
          <w:color w:val="000000"/>
          <w:kern w:val="0"/>
          <w:sz w:val="32"/>
          <w:szCs w:val="32"/>
          <w:highlight w:val="none"/>
          <w:shd w:val="clear" w:color="auto" w:fill="FFFFFF"/>
          <w:lang w:val="zh-CN" w:eastAsia="zh-CN" w:bidi="ar-SA"/>
        </w:rPr>
        <w:t>（</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三</w:t>
      </w:r>
      <w:r>
        <w:rPr>
          <w:rFonts w:ascii="Times New Roman" w:hAnsi="Times New Roman" w:eastAsia="楷体_GB2312" w:cs="Times New Roman"/>
          <w:b/>
          <w:bCs/>
          <w:color w:val="000000"/>
          <w:kern w:val="0"/>
          <w:sz w:val="32"/>
          <w:szCs w:val="32"/>
          <w:highlight w:val="none"/>
          <w:shd w:val="clear" w:color="auto" w:fill="FFFFFF"/>
          <w:lang w:val="zh-CN" w:eastAsia="zh-CN" w:bidi="ar-SA"/>
        </w:rPr>
        <w:t>）重点领域绩效分析。</w:t>
      </w:r>
      <w:r>
        <w:rPr>
          <w:rFonts w:hint="eastAsia" w:ascii="仿宋" w:eastAsia="仿宋"/>
          <w:sz w:val="32"/>
          <w:szCs w:val="32"/>
        </w:rPr>
        <w:t>我单位年底固定资产433.43万元，较上年下降0%，占资产总额100%，2023年固定资产增减无变化。</w:t>
      </w:r>
    </w:p>
    <w:p>
      <w:pPr>
        <w:spacing w:line="560" w:lineRule="exact"/>
        <w:ind w:firstLine="321" w:firstLineChars="100"/>
        <w:rPr>
          <w:rFonts w:ascii="仿宋_GB2312" w:hAnsi="仿宋_GB2312" w:cs="宋体"/>
          <w:bCs/>
          <w:kern w:val="0"/>
          <w:sz w:val="32"/>
          <w:szCs w:val="32"/>
          <w:shd w:val="clear" w:color="auto" w:fill="FFFFFF"/>
          <w:lang w:val="zh-CN" w:eastAsia="zh-CN" w:bidi="ar-SA"/>
        </w:rPr>
      </w:pPr>
      <w:r>
        <w:rPr>
          <w:rFonts w:ascii="Times New Roman" w:hAnsi="Times New Roman" w:eastAsia="楷体_GB2312" w:cs="Times New Roman"/>
          <w:b/>
          <w:bCs/>
          <w:color w:val="000000"/>
          <w:kern w:val="0"/>
          <w:sz w:val="32"/>
          <w:szCs w:val="32"/>
          <w:highlight w:val="none"/>
          <w:shd w:val="clear" w:color="auto" w:fill="FFFFFF"/>
          <w:lang w:val="zh-CN" w:eastAsia="zh-CN" w:bidi="ar-SA"/>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w:t>
      </w:r>
      <w:r>
        <w:rPr>
          <w:rFonts w:hint="eastAsia" w:ascii="仿宋_GB2312" w:eastAsia="仿宋_GB2312" w:cs="宋体"/>
          <w:bCs/>
          <w:kern w:val="0"/>
          <w:sz w:val="32"/>
          <w:szCs w:val="32"/>
          <w:shd w:val="clear" w:color="auto" w:fill="FFFFFF"/>
          <w:lang w:val="zh-CN" w:eastAsia="zh-CN" w:bidi="ar-SA"/>
        </w:rPr>
        <w:t>我单位在预算编制上做到认真、负责、按时按规定报送。</w:t>
      </w:r>
      <w:r>
        <w:rPr>
          <w:rFonts w:hint="eastAsia" w:ascii="仿宋" w:eastAsia="仿宋" w:cs="宋体"/>
          <w:bCs/>
          <w:kern w:val="0"/>
          <w:sz w:val="32"/>
          <w:szCs w:val="32"/>
          <w:shd w:val="clear" w:color="auto" w:fill="FFFFFF"/>
          <w:lang w:val="zh-CN" w:eastAsia="zh-CN" w:bidi="ar-SA"/>
        </w:rPr>
        <w:t>所有预算收支</w:t>
      </w:r>
      <w:r>
        <w:rPr>
          <w:rFonts w:hint="eastAsia" w:ascii="仿宋_GB2312" w:eastAsia="仿宋_GB2312" w:cs="宋体"/>
          <w:bCs/>
          <w:kern w:val="0"/>
          <w:sz w:val="32"/>
          <w:szCs w:val="32"/>
          <w:shd w:val="clear" w:color="auto" w:fill="FFFFFF"/>
          <w:lang w:val="zh-CN" w:eastAsia="zh-CN" w:bidi="ar-SA"/>
        </w:rPr>
        <w:t>包括部门绩效目标制定、目标实现、预算编制准确、支出控制、预算动态调整、执行进度、预算完成情况</w:t>
      </w:r>
      <w:r>
        <w:rPr>
          <w:rFonts w:hint="eastAsia" w:ascii="仿宋_GB2312" w:hAnsi="仿宋_GB2312" w:cs="宋体"/>
          <w:bCs/>
          <w:kern w:val="0"/>
          <w:sz w:val="32"/>
          <w:szCs w:val="32"/>
          <w:shd w:val="clear" w:color="auto" w:fill="FFFFFF"/>
          <w:lang w:val="zh-CN" w:eastAsia="zh-CN" w:bidi="ar-SA"/>
        </w:rPr>
        <w:t>都符合国家政策，无</w:t>
      </w:r>
      <w:r>
        <w:rPr>
          <w:rFonts w:hint="eastAsia" w:ascii="仿宋_GB2312" w:eastAsia="仿宋_GB2312" w:cs="宋体"/>
          <w:bCs/>
          <w:kern w:val="0"/>
          <w:sz w:val="32"/>
          <w:szCs w:val="32"/>
          <w:shd w:val="clear" w:color="auto" w:fill="FFFFFF"/>
          <w:lang w:val="zh-CN" w:eastAsia="zh-CN" w:bidi="ar-SA"/>
        </w:rPr>
        <w:t>违规记录等情况</w:t>
      </w:r>
      <w:r>
        <w:rPr>
          <w:rFonts w:hint="eastAsia" w:ascii="仿宋_GB2312" w:hAnsi="仿宋_GB2312" w:cs="宋体"/>
          <w:bCs/>
          <w:kern w:val="0"/>
          <w:sz w:val="32"/>
          <w:szCs w:val="32"/>
          <w:shd w:val="clear" w:color="auto" w:fill="FFFFFF"/>
          <w:lang w:val="zh-CN" w:eastAsia="zh-CN" w:bidi="ar-SA"/>
        </w:rPr>
        <w:t>。</w:t>
      </w:r>
    </w:p>
    <w:p>
      <w:pPr>
        <w:keepNext w:val="0"/>
        <w:keepLines w:val="0"/>
        <w:pageBreakBefore w:val="0"/>
        <w:widowControl/>
        <w:suppressAutoHyphens/>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eastAsia="黑体" w:cs="Times New Roman"/>
          <w:color w:val="000000"/>
          <w:kern w:val="0"/>
          <w:sz w:val="32"/>
          <w:szCs w:val="32"/>
          <w:highlight w:val="none"/>
          <w:shd w:val="clear" w:color="auto" w:fill="FFFFFF"/>
          <w:lang w:val="zh-CN" w:eastAsia="zh-CN" w:bidi="ar-SA"/>
        </w:rPr>
      </w:pPr>
      <w:r>
        <w:rPr>
          <w:rFonts w:eastAsia="黑体" w:cs="Times New Roman"/>
          <w:color w:val="000000"/>
          <w:kern w:val="0"/>
          <w:sz w:val="32"/>
          <w:szCs w:val="32"/>
          <w:highlight w:val="none"/>
          <w:shd w:val="clear" w:color="auto" w:fill="FFFFFF"/>
          <w:lang w:val="zh-CN" w:eastAsia="zh-CN" w:bidi="ar-SA"/>
        </w:rPr>
        <w:t>四、评价结论及建议</w:t>
      </w:r>
    </w:p>
    <w:p>
      <w:pPr>
        <w:widowControl/>
        <w:suppressAutoHyphens/>
        <w:adjustRightInd w:val="0"/>
        <w:snapToGrid w:val="0"/>
        <w:spacing w:line="560" w:lineRule="exact"/>
        <w:ind w:firstLine="642" w:firstLineChars="200"/>
        <w:contextualSpacing/>
        <w:jc w:val="left"/>
        <w:rPr>
          <w:rFonts w:ascii="仿宋_GB2312" w:hAnsi="仿宋_GB2312" w:cs="宋体"/>
          <w:color w:val="000000"/>
          <w:kern w:val="0"/>
          <w:szCs w:val="32"/>
          <w:shd w:val="clear" w:color="auto" w:fill="FFFFFF"/>
          <w:lang w:val="zh-CN" w:eastAsia="zh-CN" w:bidi="ar-SA"/>
        </w:rPr>
      </w:pPr>
      <w:r>
        <w:rPr>
          <w:rFonts w:ascii="Times New Roman" w:hAnsi="Times New Roman" w:eastAsia="楷体_GB2312" w:cs="Times New Roman"/>
          <w:b/>
          <w:bCs/>
          <w:color w:val="000000"/>
          <w:kern w:val="0"/>
          <w:sz w:val="32"/>
          <w:szCs w:val="32"/>
          <w:highlight w:val="none"/>
          <w:shd w:val="clear" w:color="auto" w:fill="FFFFFF"/>
          <w:lang w:val="zh-CN" w:eastAsia="zh-CN" w:bidi="ar-SA"/>
        </w:rPr>
        <w:t>（一）评价结论。</w:t>
      </w:r>
      <w:r>
        <w:rPr>
          <w:rFonts w:hint="eastAsia" w:ascii="仿宋_GB2312" w:eastAsia="仿宋_GB2312"/>
          <w:sz w:val="32"/>
          <w:szCs w:val="32"/>
        </w:rPr>
        <w:t>20</w:t>
      </w:r>
      <w:r>
        <w:rPr>
          <w:rFonts w:hint="eastAsia" w:ascii="仿宋_GB2312" w:hAnsi="仿宋_GB2312"/>
          <w:sz w:val="32"/>
          <w:szCs w:val="32"/>
        </w:rPr>
        <w:t>2</w:t>
      </w:r>
      <w:r>
        <w:rPr>
          <w:rFonts w:ascii="仿宋_GB2312" w:hAnsi="仿宋_GB2312"/>
          <w:sz w:val="32"/>
          <w:szCs w:val="32"/>
        </w:rPr>
        <w:t>3</w:t>
      </w:r>
      <w:r>
        <w:rPr>
          <w:rFonts w:hint="eastAsia" w:ascii="仿宋_GB2312" w:eastAsia="仿宋_GB2312"/>
          <w:sz w:val="32"/>
          <w:szCs w:val="32"/>
        </w:rPr>
        <w:t>我单位整体支出绩效评价自查自评结果良好，全年基本支出保证了部门的正常运行和日常工作的正常开展，项目支出保障了重点工作的开展，达到预期绩效目标。</w:t>
      </w:r>
    </w:p>
    <w:p>
      <w:pPr>
        <w:snapToGrid w:val="0"/>
        <w:spacing w:line="576" w:lineRule="exact"/>
        <w:ind w:left="0" w:firstLine="321" w:firstLineChars="100"/>
        <w:rPr>
          <w:rFonts w:hint="eastAsia" w:ascii="仿宋_GB2312" w:eastAsia="仿宋_GB2312"/>
          <w:sz w:val="32"/>
          <w:szCs w:val="32"/>
        </w:rPr>
      </w:pPr>
      <w:r>
        <w:rPr>
          <w:rFonts w:ascii="Times New Roman" w:hAnsi="Times New Roman" w:eastAsia="楷体_GB2312" w:cs="Times New Roman"/>
          <w:b/>
          <w:bCs/>
          <w:color w:val="000000"/>
          <w:kern w:val="0"/>
          <w:sz w:val="32"/>
          <w:szCs w:val="32"/>
          <w:highlight w:val="none"/>
          <w:shd w:val="clear" w:color="auto" w:fill="FFFFFF"/>
          <w:lang w:val="zh-CN" w:eastAsia="zh-CN" w:bidi="ar-SA"/>
        </w:rPr>
        <w:t>（二）存在问题。无</w:t>
      </w:r>
    </w:p>
    <w:p>
      <w:pPr>
        <w:snapToGrid w:val="0"/>
        <w:spacing w:line="576" w:lineRule="exact"/>
        <w:ind w:left="0" w:firstLine="321" w:firstLineChars="100"/>
        <w:rPr>
          <w:rFonts w:hint="eastAsia" w:ascii="仿宋" w:eastAsia="仿宋" w:cs="仿宋"/>
          <w:sz w:val="32"/>
          <w:szCs w:val="32"/>
          <w:lang w:bidi="ar-SA"/>
        </w:rPr>
      </w:pPr>
      <w:r>
        <w:rPr>
          <w:rFonts w:ascii="Times New Roman" w:hAnsi="Times New Roman" w:eastAsia="楷体_GB2312" w:cs="Times New Roman"/>
          <w:b/>
          <w:bCs/>
          <w:color w:val="000000"/>
          <w:kern w:val="0"/>
          <w:sz w:val="32"/>
          <w:szCs w:val="32"/>
          <w:highlight w:val="none"/>
          <w:shd w:val="clear" w:color="auto" w:fill="FFFFFF"/>
          <w:lang w:val="zh-CN" w:eastAsia="zh-CN" w:bidi="ar-SA"/>
        </w:rPr>
        <w:t>（三）改进建议。一</w:t>
      </w:r>
      <w:r>
        <w:rPr>
          <w:rFonts w:hint="eastAsia" w:ascii="仿宋_GB2312" w:eastAsia="仿宋_GB2312" w:cs="宋体"/>
          <w:color w:val="000000"/>
          <w:kern w:val="0"/>
          <w:sz w:val="32"/>
          <w:szCs w:val="32"/>
          <w:shd w:val="clear" w:color="auto" w:fill="FFFFFF"/>
          <w:lang w:bidi="ar-SA"/>
        </w:rPr>
        <w:t>是严格审核预算方案，科学编制预算方案，认真执行，强化监督。</w:t>
      </w:r>
      <w:r>
        <w:rPr>
          <w:rFonts w:ascii="仿宋_GB2312" w:hAnsi="仿宋_GB2312" w:cs="宋体"/>
          <w:color w:val="000000"/>
          <w:kern w:val="0"/>
          <w:sz w:val="32"/>
          <w:szCs w:val="32"/>
          <w:shd w:val="clear" w:color="auto" w:fill="FFFFFF"/>
          <w:lang w:bidi="ar-SA"/>
        </w:rPr>
        <w:t>二</w:t>
      </w:r>
      <w:r>
        <w:rPr>
          <w:rFonts w:hint="eastAsia" w:ascii="仿宋" w:eastAsia="仿宋" w:cs="仿宋"/>
          <w:sz w:val="32"/>
          <w:szCs w:val="32"/>
          <w:lang w:bidi="ar-SA"/>
        </w:rPr>
        <w:t>是</w:t>
      </w:r>
      <w:r>
        <w:rPr>
          <w:rFonts w:hint="eastAsia" w:ascii="仿宋_GB2312" w:eastAsia="仿宋_GB2312" w:cs="仿宋_GB2312"/>
          <w:color w:val="333333"/>
          <w:kern w:val="0"/>
          <w:sz w:val="32"/>
          <w:szCs w:val="32"/>
          <w:lang w:bidi="ar-SA"/>
        </w:rPr>
        <w:t>加强新《预算法》《行政单位会计制度》等学习培训，规范部门预算收支核算，制定和完善基本支出、项目支出等各项支出标准，严格按项目和进度执行预算，增强预算的约束力和严肃性。</w:t>
      </w:r>
      <w:r>
        <w:rPr>
          <w:rFonts w:ascii="仿宋_GB2312" w:hAnsi="仿宋_GB2312" w:cs="仿宋_GB2312"/>
          <w:color w:val="333333"/>
          <w:kern w:val="0"/>
          <w:sz w:val="32"/>
          <w:szCs w:val="32"/>
          <w:lang w:bidi="ar-SA"/>
        </w:rPr>
        <w:t>三</w:t>
      </w:r>
      <w:r>
        <w:rPr>
          <w:rFonts w:hint="eastAsia" w:ascii="仿宋_GB2312" w:eastAsia="仿宋_GB2312" w:cs="仿宋_GB2312"/>
          <w:color w:val="333333"/>
          <w:kern w:val="0"/>
          <w:sz w:val="32"/>
          <w:szCs w:val="32"/>
          <w:lang w:bidi="ar-SA"/>
        </w:rPr>
        <w:t>是落实预算执行分析，及时了解预算执行差异，合理调整、纠正预算执行偏差，切实提高部门预算收支管理水平。</w:t>
      </w: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p>
    <w:p>
      <w:pPr>
        <w:spacing w:line="576" w:lineRule="exact"/>
        <w:rPr>
          <w:rFonts w:hint="eastAsia" w:ascii="仿宋_GB2312" w:eastAsia="仿宋_GB2312" w:cs="仿宋_GB2312"/>
          <w:color w:val="333333"/>
          <w:kern w:val="0"/>
          <w:sz w:val="32"/>
          <w:szCs w:val="32"/>
          <w:lang w:bidi="ar-SA"/>
        </w:rPr>
      </w:pPr>
    </w:p>
    <w:p>
      <w:pPr>
        <w:spacing w:line="576" w:lineRule="exact"/>
        <w:ind w:left="0" w:firstLine="639"/>
        <w:rPr>
          <w:rFonts w:hint="eastAsia" w:ascii="仿宋_GB2312" w:eastAsia="仿宋_GB2312" w:cs="仿宋_GB2312"/>
          <w:color w:val="333333"/>
          <w:kern w:val="0"/>
          <w:sz w:val="32"/>
          <w:szCs w:val="32"/>
          <w:lang w:bidi="ar-SA"/>
        </w:rPr>
      </w:pPr>
      <w:r>
        <w:rPr>
          <w:rFonts w:hint="eastAsia" w:ascii="仿宋_GB2312" w:eastAsia="仿宋_GB2312" w:cs="仿宋_GB2312"/>
          <w:color w:val="333333"/>
          <w:kern w:val="0"/>
          <w:sz w:val="32"/>
          <w:szCs w:val="32"/>
          <w:lang w:bidi="ar-SA"/>
        </w:rPr>
        <w:t>附件：</w:t>
      </w:r>
    </w:p>
    <w:p>
      <w:pPr>
        <w:pStyle w:val="27"/>
        <w:spacing w:line="600" w:lineRule="exact"/>
        <w:ind w:left="0"/>
        <w:jc w:val="center"/>
        <w:rPr>
          <w:rFonts w:hint="eastAsia" w:ascii="仿宋" w:eastAsia="仿宋"/>
          <w:sz w:val="44"/>
          <w:szCs w:val="44"/>
          <w:lang w:val="zh-CN" w:eastAsia="zh-CN"/>
        </w:rPr>
      </w:pPr>
      <w:r>
        <w:rPr>
          <w:rFonts w:hint="eastAsia" w:ascii="仿宋" w:eastAsia="仿宋"/>
          <w:sz w:val="44"/>
          <w:szCs w:val="44"/>
        </w:rPr>
        <w:t>2023年县级储备</w:t>
      </w:r>
      <w:r>
        <w:rPr>
          <w:rFonts w:hint="eastAsia" w:ascii="仿宋" w:eastAsia="仿宋"/>
          <w:sz w:val="44"/>
          <w:szCs w:val="44"/>
          <w:lang w:val="zh-CN" w:eastAsia="zh-CN"/>
        </w:rPr>
        <w:t>粮油轮换费用</w:t>
      </w:r>
    </w:p>
    <w:p>
      <w:pPr>
        <w:pStyle w:val="27"/>
        <w:spacing w:line="600" w:lineRule="exact"/>
        <w:ind w:left="0"/>
        <w:jc w:val="center"/>
        <w:rPr>
          <w:rFonts w:hint="eastAsia" w:ascii="仿宋" w:eastAsia="仿宋"/>
          <w:sz w:val="44"/>
          <w:szCs w:val="44"/>
        </w:rPr>
      </w:pPr>
      <w:r>
        <w:rPr>
          <w:rFonts w:hint="eastAsia" w:ascii="仿宋" w:eastAsia="仿宋"/>
          <w:sz w:val="44"/>
          <w:szCs w:val="44"/>
          <w:lang w:val="zh-CN" w:eastAsia="zh-CN"/>
        </w:rPr>
        <w:t>及利息</w:t>
      </w:r>
      <w:r>
        <w:rPr>
          <w:rFonts w:hint="eastAsia" w:ascii="仿宋" w:eastAsia="仿宋"/>
          <w:sz w:val="44"/>
          <w:szCs w:val="44"/>
        </w:rPr>
        <w:t>项目评价报告</w:t>
      </w:r>
    </w:p>
    <w:p>
      <w:pPr>
        <w:numPr>
          <w:ilvl w:val="0"/>
          <w:numId w:val="6"/>
        </w:numPr>
        <w:snapToGrid w:val="0"/>
        <w:spacing w:line="600" w:lineRule="exact"/>
        <w:rPr>
          <w:rFonts w:hint="eastAsia" w:ascii="仿宋" w:eastAsia="仿宋"/>
          <w:sz w:val="32"/>
          <w:szCs w:val="32"/>
          <w:lang w:val="zh-CN" w:eastAsia="zh-CN"/>
        </w:rPr>
      </w:pPr>
      <w:r>
        <w:rPr>
          <w:rFonts w:hint="eastAsia" w:ascii="仿宋" w:eastAsia="仿宋"/>
          <w:sz w:val="32"/>
          <w:szCs w:val="32"/>
          <w:lang w:val="zh-CN" w:eastAsia="zh-CN"/>
        </w:rPr>
        <w:t>项目概况</w:t>
      </w:r>
    </w:p>
    <w:p>
      <w:pPr>
        <w:snapToGrid w:val="0"/>
        <w:spacing w:line="600" w:lineRule="exact"/>
        <w:ind w:firstLine="640" w:firstLineChars="200"/>
        <w:rPr>
          <w:rFonts w:hint="eastAsia" w:ascii="仿宋" w:eastAsia="仿宋"/>
          <w:sz w:val="32"/>
          <w:szCs w:val="32"/>
          <w:lang w:val="zh-CN" w:eastAsia="zh-CN"/>
        </w:rPr>
      </w:pPr>
      <w:r>
        <w:rPr>
          <w:rFonts w:hint="eastAsia" w:ascii="仿宋" w:eastAsia="仿宋"/>
          <w:sz w:val="32"/>
          <w:szCs w:val="32"/>
          <w:lang w:val="zh-CN" w:eastAsia="zh-CN"/>
        </w:rPr>
        <w:t>（一）项目基本情况</w:t>
      </w:r>
    </w:p>
    <w:p>
      <w:pPr>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 xml:space="preserve"> 1.县级储备粮油轮换主管单位是茂县</w:t>
      </w:r>
      <w:r>
        <w:rPr>
          <w:rFonts w:hint="default" w:ascii="仿宋" w:eastAsia="仿宋"/>
          <w:sz w:val="32"/>
          <w:szCs w:val="32"/>
          <w:lang w:eastAsia="zh-CN"/>
        </w:rPr>
        <w:t>粮食和物资储备中心</w:t>
      </w:r>
      <w:r>
        <w:rPr>
          <w:rFonts w:hint="eastAsia" w:ascii="仿宋" w:eastAsia="仿宋"/>
          <w:sz w:val="32"/>
          <w:szCs w:val="32"/>
          <w:lang w:val="zh-CN" w:eastAsia="zh-CN"/>
        </w:rPr>
        <w:t>，主要负责监管下属企业项茂县粮食购销公司储备粮油采购、轮换及日常业务的开展工作。储备县级储备粮食稻谷1200吨，库存值343.65万元，资金来源为农发行贷款，贷款金额343.65万元。</w:t>
      </w:r>
    </w:p>
    <w:p>
      <w:pPr>
        <w:pStyle w:val="28"/>
        <w:snapToGrid w:val="0"/>
        <w:spacing w:line="600" w:lineRule="exact"/>
        <w:ind w:firstLine="480" w:firstLineChars="150"/>
        <w:rPr>
          <w:rFonts w:hint="eastAsia" w:ascii="仿宋" w:eastAsia="仿宋"/>
          <w:lang w:val="zh-CN" w:eastAsia="zh-CN"/>
        </w:rPr>
      </w:pPr>
      <w:r>
        <w:rPr>
          <w:rFonts w:hint="eastAsia" w:ascii="仿宋" w:eastAsia="仿宋"/>
          <w:lang w:val="zh-CN" w:eastAsia="zh-CN"/>
        </w:rPr>
        <w:t>2.项目立项、资金申报依据</w:t>
      </w:r>
    </w:p>
    <w:p>
      <w:pPr>
        <w:pStyle w:val="28"/>
        <w:snapToGrid w:val="0"/>
        <w:spacing w:line="600" w:lineRule="exact"/>
        <w:ind w:firstLine="736"/>
        <w:rPr>
          <w:rFonts w:hint="eastAsia" w:ascii="仿宋" w:eastAsia="仿宋"/>
          <w:lang w:val="zh-CN" w:eastAsia="zh-CN"/>
        </w:rPr>
      </w:pPr>
      <w:r>
        <w:rPr>
          <w:rFonts w:hint="eastAsia" w:ascii="仿宋" w:eastAsia="仿宋"/>
          <w:lang w:val="zh-CN" w:eastAsia="zh-CN"/>
        </w:rPr>
        <w:t>根据茂县人民政府《关于县粮食局新建县级储备县级专储粮食的请示的批复》（茂府函[2007]39]号）、《关于县级储备粮口品种的批复》（茂府函[2011]49]号），县级应储备粮食稻谷1200吨。由县财政局按储备数量，负责将县级储备粮保管费用、轮换费用、保管正常损耗损失、贷款利息费用纳入当年预算。</w:t>
      </w:r>
    </w:p>
    <w:p>
      <w:pPr>
        <w:keepNext w:val="0"/>
        <w:keepLines w:val="0"/>
        <w:pageBreakBefore w:val="0"/>
        <w:widowControl w:val="0"/>
        <w:kinsoku/>
        <w:wordWrap/>
        <w:overflowPunct/>
        <w:topLinePunct w:val="0"/>
        <w:autoSpaceDE/>
        <w:autoSpaceDN/>
        <w:bidi w:val="0"/>
        <w:adjustRightInd w:val="0"/>
        <w:snapToGrid w:val="0"/>
        <w:spacing w:line="600" w:lineRule="exact"/>
        <w:ind w:firstLine="320" w:firstLineChars="100"/>
        <w:textAlignment w:val="auto"/>
        <w:rPr>
          <w:rFonts w:hint="eastAsia" w:ascii="仿宋" w:eastAsia="仿宋"/>
          <w:sz w:val="32"/>
          <w:szCs w:val="32"/>
          <w:lang w:val="zh-CN" w:eastAsia="zh-CN"/>
        </w:rPr>
      </w:pPr>
      <w:r>
        <w:rPr>
          <w:rFonts w:hint="eastAsia" w:ascii="仿宋" w:eastAsia="仿宋"/>
          <w:sz w:val="32"/>
          <w:szCs w:val="32"/>
          <w:lang w:val="zh-CN" w:eastAsia="zh-CN"/>
        </w:rPr>
        <w:t>3.项目自评步骤及方法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800" w:firstLineChars="250"/>
        <w:textAlignment w:val="auto"/>
        <w:rPr>
          <w:rFonts w:hint="eastAsia" w:ascii="仿宋" w:eastAsia="仿宋"/>
          <w:color w:val="333333"/>
          <w:spacing w:val="0"/>
          <w:sz w:val="32"/>
          <w:szCs w:val="32"/>
          <w:shd w:val="clear" w:color="auto" w:fill="FFFFFF"/>
        </w:rPr>
      </w:pPr>
      <w:r>
        <w:rPr>
          <w:rFonts w:hint="eastAsia" w:ascii="仿宋" w:eastAsia="仿宋"/>
          <w:color w:val="333333"/>
          <w:spacing w:val="0"/>
          <w:sz w:val="32"/>
          <w:szCs w:val="32"/>
          <w:shd w:val="clear" w:color="auto" w:fill="FFFFFF"/>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认真听取上级领导建议意见，做好自评工作。</w:t>
      </w:r>
    </w:p>
    <w:p>
      <w:pPr>
        <w:pStyle w:val="28"/>
        <w:snapToGrid w:val="0"/>
        <w:spacing w:line="600" w:lineRule="exact"/>
        <w:ind w:firstLine="736"/>
        <w:rPr>
          <w:rFonts w:hint="eastAsia" w:ascii="仿宋" w:eastAsia="仿宋"/>
          <w:lang w:val="zh-CN" w:eastAsia="zh-CN"/>
        </w:rPr>
      </w:pPr>
      <w:r>
        <w:rPr>
          <w:rFonts w:hint="eastAsia" w:ascii="仿宋" w:eastAsia="仿宋"/>
          <w:lang w:val="zh-CN" w:eastAsia="zh-CN"/>
        </w:rPr>
        <w:t>（二）项目绩效目标。</w:t>
      </w:r>
    </w:p>
    <w:p>
      <w:pPr>
        <w:adjustRightInd w:val="0"/>
        <w:snapToGrid w:val="0"/>
        <w:spacing w:line="600" w:lineRule="exact"/>
        <w:ind w:firstLine="720"/>
        <w:rPr>
          <w:rFonts w:hint="eastAsia" w:ascii="仿宋" w:eastAsia="仿宋" w:cs="宋体"/>
          <w:color w:val="000000"/>
          <w:sz w:val="32"/>
          <w:szCs w:val="32"/>
          <w:lang w:val="zh-CN" w:eastAsia="zh-CN" w:bidi="ar-SA"/>
        </w:rPr>
      </w:pPr>
      <w:r>
        <w:rPr>
          <w:rFonts w:hint="eastAsia" w:ascii="仿宋" w:eastAsia="仿宋"/>
          <w:sz w:val="32"/>
          <w:szCs w:val="32"/>
          <w:lang w:val="zh-CN" w:eastAsia="zh-CN"/>
        </w:rPr>
        <w:t xml:space="preserve">   全县储备粮食稻谷1200吨，</w:t>
      </w:r>
      <w:r>
        <w:rPr>
          <w:rFonts w:hint="eastAsia" w:ascii="仿宋" w:eastAsia="仿宋" w:cs="宋体"/>
          <w:color w:val="000000"/>
          <w:sz w:val="32"/>
          <w:szCs w:val="32"/>
          <w:lang w:val="zh-CN" w:eastAsia="zh-CN" w:bidi="ar-SA"/>
        </w:rPr>
        <w:t>菜籽油50吨。</w:t>
      </w:r>
      <w:r>
        <w:rPr>
          <w:rFonts w:hint="eastAsia" w:ascii="仿宋" w:eastAsia="仿宋"/>
          <w:sz w:val="32"/>
          <w:szCs w:val="32"/>
          <w:lang w:val="zh-CN" w:eastAsia="zh-CN"/>
        </w:rPr>
        <w:t>绩效目标是确保全县粮油储备质量安全，在有突发灾情时，有充足粮油可供。</w:t>
      </w:r>
    </w:p>
    <w:p>
      <w:pPr>
        <w:pStyle w:val="28"/>
        <w:snapToGrid w:val="0"/>
        <w:spacing w:line="600" w:lineRule="exact"/>
        <w:ind w:left="0" w:firstLine="480" w:firstLineChars="150"/>
        <w:rPr>
          <w:rFonts w:hint="eastAsia" w:ascii="仿宋" w:eastAsia="仿宋"/>
          <w:lang w:val="zh-CN" w:eastAsia="zh-CN"/>
        </w:rPr>
      </w:pPr>
      <w:r>
        <w:rPr>
          <w:rFonts w:hint="eastAsia" w:ascii="仿宋" w:eastAsia="仿宋"/>
          <w:lang w:val="zh-CN" w:eastAsia="zh-CN"/>
        </w:rPr>
        <w:t>（ 三）项目资金申报相符性。</w:t>
      </w:r>
    </w:p>
    <w:p>
      <w:pPr>
        <w:pStyle w:val="28"/>
        <w:snapToGrid w:val="0"/>
        <w:spacing w:line="600" w:lineRule="exact"/>
        <w:rPr>
          <w:rFonts w:hint="eastAsia" w:ascii="仿宋" w:eastAsia="仿宋"/>
          <w:lang w:val="zh-CN" w:eastAsia="zh-CN"/>
        </w:rPr>
      </w:pPr>
      <w:r>
        <w:rPr>
          <w:rFonts w:hint="eastAsia" w:ascii="仿宋" w:eastAsia="仿宋"/>
          <w:lang w:val="zh-CN" w:eastAsia="zh-CN"/>
        </w:rPr>
        <w:t xml:space="preserve">  项目申报内容与具体实施内容相符、申报目标合理可行。</w:t>
      </w:r>
    </w:p>
    <w:p>
      <w:pPr>
        <w:snapToGrid w:val="0"/>
        <w:spacing w:line="600" w:lineRule="exact"/>
        <w:ind w:firstLine="720"/>
        <w:rPr>
          <w:rFonts w:hint="eastAsia" w:ascii="仿宋" w:eastAsia="仿宋"/>
          <w:sz w:val="32"/>
          <w:szCs w:val="32"/>
        </w:rPr>
      </w:pPr>
      <w:r>
        <w:rPr>
          <w:rFonts w:hint="eastAsia" w:ascii="仿宋" w:eastAsia="仿宋"/>
          <w:sz w:val="32"/>
          <w:szCs w:val="32"/>
        </w:rPr>
        <w:t>二、项目资金申报及使用方法</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480" w:firstLineChars="150"/>
        <w:textAlignment w:val="auto"/>
        <w:rPr>
          <w:rFonts w:hint="eastAsia" w:ascii="仿宋" w:eastAsia="仿宋"/>
          <w:color w:val="000000"/>
          <w:sz w:val="32"/>
          <w:szCs w:val="32"/>
          <w:lang w:val="zh-CN" w:eastAsia="zh-CN"/>
        </w:rPr>
      </w:pPr>
      <w:r>
        <w:rPr>
          <w:rFonts w:hint="eastAsia" w:ascii="仿宋" w:eastAsia="仿宋"/>
          <w:sz w:val="32"/>
          <w:szCs w:val="32"/>
          <w:lang w:val="zh-CN" w:eastAsia="zh-CN"/>
        </w:rPr>
        <w:tab/>
      </w:r>
      <w:r>
        <w:rPr>
          <w:rFonts w:ascii="仿宋" w:eastAsia="仿宋"/>
          <w:sz w:val="32"/>
          <w:szCs w:val="32"/>
          <w:lang w:val="zh-CN" w:eastAsia="zh-CN"/>
        </w:rPr>
        <w:t>(一)</w:t>
      </w:r>
      <w:r>
        <w:rPr>
          <w:rFonts w:hint="eastAsia" w:ascii="仿宋" w:eastAsia="仿宋"/>
          <w:sz w:val="32"/>
          <w:szCs w:val="32"/>
          <w:lang w:val="zh-CN" w:eastAsia="zh-CN"/>
        </w:rPr>
        <w:t>资金使用、到位及使用情况：截止评价时点实际到位资金10万元。</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截止评价时点2023年项目资金实际支出10万元。资金支付依据合规合法，资金支付与预算相符。</w:t>
      </w:r>
    </w:p>
    <w:p>
      <w:pPr>
        <w:keepNext w:val="0"/>
        <w:keepLines w:val="0"/>
        <w:pageBreakBefore w:val="0"/>
        <w:widowControl w:val="0"/>
        <w:kinsoku/>
        <w:wordWrap/>
        <w:overflowPunct/>
        <w:topLinePunct w:val="0"/>
        <w:autoSpaceDE/>
        <w:autoSpaceDN/>
        <w:adjustRightInd w:val="0"/>
        <w:snapToGrid w:val="0"/>
        <w:spacing w:line="600" w:lineRule="exact"/>
        <w:ind w:left="0" w:firstLine="640" w:firstLineChars="200"/>
        <w:rPr>
          <w:rFonts w:hint="eastAsia" w:ascii="仿宋" w:eastAsia="仿宋"/>
          <w:color w:val="C0504D"/>
          <w:sz w:val="32"/>
          <w:szCs w:val="32"/>
          <w:lang w:val="zh-CN" w:eastAsia="zh-CN"/>
        </w:rPr>
      </w:pPr>
      <w:r>
        <w:rPr>
          <w:rFonts w:hint="eastAsia" w:ascii="仿宋" w:eastAsia="仿宋"/>
          <w:sz w:val="32"/>
          <w:szCs w:val="32"/>
          <w:lang w:val="zh-CN" w:eastAsia="zh-CN"/>
        </w:rPr>
        <w:t>（</w:t>
      </w:r>
      <w:r>
        <w:rPr>
          <w:rFonts w:ascii="仿宋" w:eastAsia="仿宋"/>
          <w:sz w:val="32"/>
          <w:szCs w:val="32"/>
          <w:lang w:val="zh-CN" w:eastAsia="zh-CN"/>
        </w:rPr>
        <w:t>二</w:t>
      </w:r>
      <w:r>
        <w:rPr>
          <w:rFonts w:hint="eastAsia" w:ascii="仿宋" w:eastAsia="仿宋"/>
          <w:sz w:val="32"/>
          <w:szCs w:val="32"/>
          <w:lang w:val="zh-CN" w:eastAsia="zh-CN"/>
        </w:rPr>
        <w:t>）项目财务管理情况。</w:t>
      </w:r>
    </w:p>
    <w:p>
      <w:pPr>
        <w:adjustRightInd w:val="0"/>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三、项目实施及管理。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firstLine="719"/>
        <w:textAlignment w:val="auto"/>
        <w:rPr>
          <w:rFonts w:hint="eastAsia" w:ascii="仿宋" w:eastAsia="仿宋"/>
          <w:sz w:val="32"/>
          <w:szCs w:val="32"/>
          <w:lang w:val="zh-CN" w:eastAsia="zh-CN"/>
        </w:rPr>
      </w:pPr>
      <w:r>
        <w:rPr>
          <w:rFonts w:hint="eastAsia" w:ascii="仿宋" w:eastAsia="仿宋"/>
          <w:sz w:val="32"/>
          <w:szCs w:val="32"/>
          <w:lang w:val="zh-CN" w:eastAsia="zh-CN"/>
        </w:rPr>
        <w:t>项目组织架构及实施该项目按照招投标和政府采购相关政策要求，粮食采购以政府采购公开挂网进行招标。严格按照项目建设相关程序规定进行项目建设管理，项目建设相关手续齐备，组织管理机构建全，监管措施完善。严格按照项目建设相关程序和规定实施项目建设。</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color w:val="333333"/>
          <w:spacing w:val="0"/>
          <w:sz w:val="32"/>
          <w:szCs w:val="32"/>
          <w:shd w:val="clear" w:color="auto" w:fill="FFFFFF"/>
        </w:rPr>
      </w:pPr>
      <w:r>
        <w:rPr>
          <w:rFonts w:hint="eastAsia" w:ascii="仿宋" w:eastAsia="仿宋"/>
          <w:color w:val="333333"/>
          <w:spacing w:val="0"/>
          <w:sz w:val="32"/>
          <w:szCs w:val="32"/>
          <w:shd w:val="clear" w:color="auto" w:fill="FFFFFF"/>
        </w:rPr>
        <w:t>（二）项目管理情况：本项目采取项目工作领导小组负责制，全体成员积极配合、通力合作。项目工作领导小组负责协调相关工作，项目实施及资金管理。</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color w:val="333333"/>
          <w:spacing w:val="0"/>
          <w:sz w:val="32"/>
          <w:szCs w:val="32"/>
          <w:shd w:val="clear" w:color="auto" w:fill="FFFFFF"/>
        </w:rPr>
      </w:pPr>
      <w:r>
        <w:rPr>
          <w:rFonts w:hint="eastAsia" w:ascii="仿宋" w:eastAsia="仿宋"/>
          <w:color w:val="333333"/>
          <w:spacing w:val="0"/>
          <w:sz w:val="32"/>
          <w:szCs w:val="32"/>
          <w:shd w:val="clear" w:color="auto" w:fill="FFFFFF"/>
        </w:rPr>
        <w:t>（三）项目监管情况：单位制定管理制度，对项目资金按项目单独核算实行“专款专用、专人管理”，不得挤占挪用项目资金。强化监督，项目的正常实施监督检查是保障。对项目的实施定期或不定期的进行现场检查和监督，及时协调解决困难和问题，保证项目服务质量。</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color w:val="333333"/>
          <w:spacing w:val="0"/>
          <w:sz w:val="32"/>
          <w:szCs w:val="32"/>
          <w:shd w:val="clear" w:color="auto" w:fill="FFFFFF"/>
        </w:rPr>
        <w:t>四、</w:t>
      </w:r>
      <w:r>
        <w:rPr>
          <w:rFonts w:hint="eastAsia" w:ascii="仿宋" w:eastAsia="仿宋"/>
          <w:sz w:val="32"/>
          <w:szCs w:val="32"/>
        </w:rPr>
        <w:t>项目绩效情况</w:t>
      </w:r>
      <w:r>
        <w:rPr>
          <w:rFonts w:hint="eastAsia" w:ascii="仿宋" w:eastAsia="仿宋"/>
          <w:sz w:val="32"/>
          <w:szCs w:val="32"/>
          <w:lang w:val="zh-CN" w:eastAsia="zh-CN"/>
        </w:rPr>
        <w:tab/>
      </w:r>
    </w:p>
    <w:p>
      <w:pPr>
        <w:adjustRightInd w:val="0"/>
        <w:snapToGrid w:val="0"/>
        <w:spacing w:line="600" w:lineRule="exact"/>
        <w:ind w:firstLine="720"/>
        <w:rPr>
          <w:rFonts w:hint="eastAsia" w:ascii="仿宋" w:eastAsia="仿宋" w:cs="宋体"/>
          <w:color w:val="000000"/>
          <w:sz w:val="32"/>
          <w:szCs w:val="32"/>
          <w:lang w:val="zh-CN" w:eastAsia="zh-CN" w:bidi="ar-SA"/>
        </w:rPr>
      </w:pPr>
      <w:r>
        <w:rPr>
          <w:rFonts w:hint="eastAsia" w:ascii="仿宋" w:eastAsia="仿宋"/>
          <w:sz w:val="32"/>
          <w:szCs w:val="32"/>
          <w:lang w:val="zh-CN" w:eastAsia="zh-CN"/>
        </w:rPr>
        <w:t>1.项目完成情况：</w:t>
      </w:r>
      <w:r>
        <w:rPr>
          <w:rFonts w:hint="eastAsia" w:ascii="仿宋" w:eastAsia="仿宋" w:cs="宋体"/>
          <w:color w:val="000000"/>
          <w:sz w:val="32"/>
          <w:szCs w:val="32"/>
          <w:lang w:val="zh-CN" w:eastAsia="zh-CN" w:bidi="ar-SA"/>
        </w:rPr>
        <w:t>全县完成储备粮食1200吨储备、菜籽油50吨。</w:t>
      </w:r>
    </w:p>
    <w:p>
      <w:pPr>
        <w:pStyle w:val="28"/>
        <w:snapToGrid w:val="0"/>
        <w:spacing w:line="600" w:lineRule="exact"/>
        <w:rPr>
          <w:rFonts w:hint="eastAsia" w:ascii="仿宋" w:eastAsia="仿宋"/>
          <w:lang w:val="zh-CN" w:eastAsia="zh-CN"/>
        </w:rPr>
      </w:pPr>
      <w:r>
        <w:rPr>
          <w:rFonts w:hint="eastAsia" w:ascii="仿宋" w:eastAsia="仿宋"/>
          <w:lang w:val="zh-CN" w:eastAsia="zh-CN"/>
        </w:rPr>
        <w:t>2.项目效益情况：确保全县粮食安全，在有突发灾情时，有粮可用。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sz w:val="32"/>
          <w:szCs w:val="32"/>
          <w:lang w:val="zh-CN" w:eastAsia="zh-CN"/>
        </w:rPr>
      </w:pPr>
      <w:r>
        <w:rPr>
          <w:rFonts w:hint="eastAsia" w:ascii="仿宋" w:eastAsia="仿宋"/>
          <w:sz w:val="32"/>
          <w:szCs w:val="32"/>
          <w:lang w:val="zh-CN" w:eastAsia="zh-CN"/>
        </w:rPr>
        <w:t>五、评价结论及建议</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159" w:firstLine="480"/>
        <w:textAlignment w:val="auto"/>
        <w:rPr>
          <w:rFonts w:hint="eastAsia" w:ascii="仿宋" w:eastAsia="仿宋"/>
          <w:sz w:val="32"/>
          <w:szCs w:val="32"/>
          <w:lang w:val="zh-CN" w:eastAsia="zh-CN"/>
        </w:rPr>
      </w:pPr>
      <w:r>
        <w:rPr>
          <w:rFonts w:hint="eastAsia" w:ascii="仿宋" w:eastAsia="仿宋"/>
          <w:sz w:val="32"/>
          <w:szCs w:val="32"/>
          <w:lang w:val="zh-CN" w:eastAsia="zh-CN"/>
        </w:rPr>
        <w:t>评价结论：确保全县在应急时期有粮可用，群众放心，社会稳定。</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159" w:firstLine="480"/>
        <w:textAlignment w:val="auto"/>
        <w:rPr>
          <w:rFonts w:hint="eastAsia" w:ascii="仿宋" w:eastAsia="仿宋"/>
          <w:sz w:val="32"/>
          <w:szCs w:val="32"/>
          <w:lang w:val="zh-CN" w:eastAsia="zh-CN"/>
        </w:rPr>
      </w:pPr>
      <w:r>
        <w:rPr>
          <w:rFonts w:hint="eastAsia" w:ascii="仿宋" w:eastAsia="仿宋"/>
          <w:sz w:val="32"/>
          <w:szCs w:val="32"/>
          <w:lang w:val="zh-CN" w:eastAsia="zh-CN"/>
        </w:rPr>
        <w:t>存在的问题：无</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159" w:firstLine="480"/>
        <w:textAlignment w:val="auto"/>
        <w:rPr>
          <w:rFonts w:hint="eastAsia" w:ascii="仿宋" w:eastAsia="仿宋"/>
          <w:sz w:val="32"/>
          <w:szCs w:val="32"/>
          <w:lang w:val="zh-CN" w:eastAsia="zh-CN"/>
        </w:rPr>
      </w:pPr>
      <w:r>
        <w:rPr>
          <w:rFonts w:hint="eastAsia" w:ascii="仿宋" w:eastAsia="仿宋"/>
          <w:sz w:val="32"/>
          <w:szCs w:val="32"/>
          <w:lang w:val="zh-CN" w:eastAsia="zh-CN"/>
        </w:rPr>
        <w:t>相关建设：无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pPr>
        <w:spacing w:line="560" w:lineRule="exact"/>
        <w:ind w:left="0" w:firstLine="880" w:firstLineChars="200"/>
        <w:rPr>
          <w:rFonts w:hint="eastAsia" w:ascii="仿宋" w:eastAsia="仿宋" w:cs="Times New Roman"/>
          <w:kern w:val="2"/>
          <w:sz w:val="44"/>
          <w:szCs w:val="44"/>
          <w:lang w:bidi="ar-SA"/>
        </w:rPr>
      </w:pPr>
      <w:r>
        <w:rPr>
          <w:rFonts w:hint="eastAsia" w:ascii="仿宋" w:eastAsia="仿宋" w:cs="Times New Roman"/>
          <w:kern w:val="2"/>
          <w:sz w:val="44"/>
          <w:szCs w:val="44"/>
          <w:lang w:bidi="ar-SA"/>
        </w:rPr>
        <w:t>2023年粮食监测费用、粮食质量</w:t>
      </w:r>
    </w:p>
    <w:p>
      <w:pPr>
        <w:spacing w:line="560" w:lineRule="exact"/>
        <w:ind w:left="0"/>
        <w:jc w:val="center"/>
        <w:rPr>
          <w:rFonts w:hint="eastAsia" w:ascii="仿宋" w:eastAsia="仿宋"/>
          <w:sz w:val="44"/>
          <w:szCs w:val="44"/>
        </w:rPr>
      </w:pPr>
      <w:r>
        <w:rPr>
          <w:rFonts w:hint="eastAsia" w:ascii="仿宋" w:eastAsia="仿宋" w:cs="Times New Roman"/>
          <w:kern w:val="2"/>
          <w:sz w:val="44"/>
          <w:szCs w:val="44"/>
          <w:lang w:bidi="ar-SA"/>
        </w:rPr>
        <w:t>安全检测监督费用及执法经费评价报告</w:t>
      </w:r>
    </w:p>
    <w:p>
      <w:pPr>
        <w:numPr>
          <w:ilvl w:val="0"/>
          <w:numId w:val="9"/>
        </w:numPr>
        <w:snapToGrid w:val="0"/>
        <w:spacing w:line="600" w:lineRule="exact"/>
        <w:rPr>
          <w:rFonts w:ascii="黑体" w:eastAsia="黑体"/>
          <w:sz w:val="32"/>
          <w:szCs w:val="32"/>
          <w:lang w:val="zh-CN" w:eastAsia="zh-CN"/>
        </w:rPr>
      </w:pPr>
      <w:r>
        <w:rPr>
          <w:rFonts w:hint="eastAsia" w:ascii="黑体" w:eastAsia="黑体"/>
          <w:sz w:val="32"/>
          <w:szCs w:val="32"/>
          <w:lang w:val="zh-CN" w:eastAsia="zh-CN"/>
        </w:rPr>
        <w:t>项目概况</w:t>
      </w:r>
    </w:p>
    <w:p>
      <w:pPr>
        <w:pStyle w:val="2"/>
        <w:ind w:left="1060" w:leftChars="276" w:hanging="480" w:hangingChars="150"/>
        <w:rPr>
          <w:rFonts w:hint="eastAsia"/>
        </w:rPr>
      </w:pPr>
      <w:r>
        <w:t>(一)项目简介</w:t>
      </w:r>
    </w:p>
    <w:p>
      <w:pPr>
        <w:snapToGrid w:val="0"/>
        <w:spacing w:line="600" w:lineRule="exact"/>
        <w:ind w:firstLine="640" w:firstLineChars="200"/>
        <w:rPr>
          <w:rFonts w:hint="eastAsia" w:ascii="黑体" w:eastAsia="黑体"/>
          <w:sz w:val="32"/>
          <w:szCs w:val="32"/>
          <w:lang w:val="zh-CN" w:eastAsia="zh-CN"/>
        </w:rPr>
      </w:pPr>
      <w:r>
        <w:rPr>
          <w:rFonts w:hint="eastAsia" w:ascii="仿宋_GB2312" w:eastAsia="仿宋_GB2312" w:cs="Times New Roman"/>
          <w:kern w:val="2"/>
          <w:sz w:val="32"/>
          <w:szCs w:val="32"/>
          <w:lang w:bidi="ar-SA"/>
        </w:rPr>
        <w:t>1.本项目主要内容是为加强地方粮食储备管理，提升地方粮食储备市场调控能力，保障区域采购粮油质量安全，对市场上的粮油质量进行不定期抽样监测。</w:t>
      </w:r>
    </w:p>
    <w:p>
      <w:pPr>
        <w:pStyle w:val="28"/>
        <w:tabs>
          <w:tab w:val="left" w:pos="1"/>
          <w:tab w:val="left" w:pos="721"/>
        </w:tabs>
        <w:snapToGrid w:val="0"/>
        <w:spacing w:line="600" w:lineRule="exact"/>
        <w:ind w:firstLine="480" w:firstLineChars="150"/>
        <w:rPr>
          <w:rFonts w:hint="eastAsia" w:ascii="仿宋" w:eastAsia="仿宋"/>
          <w:lang w:val="zh-CN" w:eastAsia="zh-CN"/>
        </w:rPr>
      </w:pPr>
      <w:r>
        <w:rPr>
          <w:rFonts w:hint="eastAsia" w:ascii="仿宋" w:eastAsia="仿宋"/>
          <w:lang w:val="zh-CN" w:eastAsia="zh-CN"/>
        </w:rPr>
        <w:t>2.项目立项、资金申报依据</w:t>
      </w:r>
    </w:p>
    <w:p>
      <w:pPr>
        <w:pStyle w:val="28"/>
        <w:tabs>
          <w:tab w:val="left" w:pos="1"/>
          <w:tab w:val="left" w:pos="721"/>
        </w:tabs>
        <w:snapToGrid w:val="0"/>
        <w:spacing w:line="600" w:lineRule="exact"/>
        <w:ind w:left="0" w:firstLine="800" w:firstLineChars="250"/>
        <w:rPr>
          <w:rFonts w:hint="eastAsia" w:ascii="仿宋" w:eastAsia="仿宋"/>
          <w:lang w:val="zh-CN" w:eastAsia="zh-CN"/>
        </w:rPr>
      </w:pPr>
      <w:r>
        <w:rPr>
          <w:rFonts w:hint="eastAsia" w:ascii="仿宋" w:eastAsia="仿宋"/>
          <w:lang w:val="zh-CN" w:eastAsia="zh-CN"/>
        </w:rPr>
        <w:t>根据《四川省粮食安全保障条例》规定，将开展粮食质量安全检查和监测所需的费用，列入同级财政预算，我单位年初将该费用纳入财政预算内。</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sz w:val="32"/>
          <w:szCs w:val="32"/>
          <w:lang w:val="zh-CN" w:eastAsia="zh-CN"/>
        </w:rPr>
      </w:pPr>
      <w:r>
        <w:rPr>
          <w:rFonts w:hint="eastAsia" w:ascii="仿宋" w:eastAsia="仿宋"/>
          <w:sz w:val="32"/>
          <w:szCs w:val="32"/>
          <w:lang w:val="zh-CN" w:eastAsia="zh-CN"/>
        </w:rPr>
        <w:t>3.项目自评步骤及方法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800" w:firstLineChars="250"/>
        <w:textAlignment w:val="auto"/>
        <w:rPr>
          <w:rFonts w:hint="eastAsia" w:ascii="仿宋" w:eastAsia="仿宋"/>
          <w:color w:val="333333"/>
          <w:spacing w:val="0"/>
          <w:sz w:val="32"/>
          <w:szCs w:val="32"/>
          <w:shd w:val="clear" w:color="auto" w:fill="FFFFFF"/>
        </w:rPr>
      </w:pPr>
      <w:r>
        <w:rPr>
          <w:rFonts w:hint="eastAsia" w:ascii="仿宋" w:eastAsia="仿宋"/>
          <w:color w:val="333333"/>
          <w:spacing w:val="0"/>
          <w:sz w:val="32"/>
          <w:szCs w:val="32"/>
          <w:shd w:val="clear" w:color="auto" w:fill="FFFFFF"/>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认真听取上级领导建议意见，做好自评工作。</w:t>
      </w:r>
    </w:p>
    <w:p>
      <w:pPr>
        <w:pStyle w:val="28"/>
        <w:snapToGrid w:val="0"/>
        <w:spacing w:line="600" w:lineRule="exact"/>
        <w:ind w:firstLine="736"/>
        <w:rPr>
          <w:rFonts w:hint="eastAsia" w:ascii="仿宋" w:eastAsia="仿宋"/>
          <w:b/>
          <w:bCs/>
          <w:lang w:val="zh-CN" w:eastAsia="zh-CN"/>
        </w:rPr>
      </w:pPr>
      <w:r>
        <w:rPr>
          <w:rFonts w:hint="eastAsia" w:ascii="仿宋" w:eastAsia="仿宋"/>
          <w:b/>
          <w:bCs/>
          <w:lang w:val="zh-CN" w:eastAsia="zh-CN"/>
        </w:rPr>
        <w:t>（二）项目绩效目标。</w:t>
      </w:r>
    </w:p>
    <w:p>
      <w:pPr>
        <w:pStyle w:val="28"/>
        <w:snapToGrid w:val="0"/>
        <w:spacing w:line="600" w:lineRule="exact"/>
        <w:rPr>
          <w:rFonts w:hint="eastAsia" w:ascii="仿宋_GB2312"/>
          <w:lang w:val="zh-CN" w:eastAsia="zh-CN"/>
        </w:rPr>
      </w:pPr>
      <w:r>
        <w:rPr>
          <w:rFonts w:hint="eastAsia" w:ascii="仿宋_GB2312"/>
          <w:lang w:val="zh-CN" w:eastAsia="zh-CN"/>
        </w:rPr>
        <w:t xml:space="preserve">  </w:t>
      </w:r>
      <w:r>
        <w:rPr>
          <w:rFonts w:hint="eastAsia" w:ascii="仿宋_GB2312" w:eastAsia="仿宋_GB2312" w:cs="Times New Roman"/>
          <w:kern w:val="2"/>
          <w:sz w:val="32"/>
          <w:szCs w:val="32"/>
          <w:lang w:bidi="ar-SA"/>
        </w:rPr>
        <w:t>提升地方粮食储备市场调控能力，保障区域采购粮油质量安全</w:t>
      </w:r>
    </w:p>
    <w:p>
      <w:pPr>
        <w:pStyle w:val="28"/>
        <w:snapToGrid w:val="0"/>
        <w:spacing w:line="600" w:lineRule="exact"/>
        <w:ind w:left="0" w:firstLine="321" w:firstLineChars="100"/>
        <w:rPr>
          <w:rFonts w:hint="eastAsia" w:ascii="楷体_GB2312" w:eastAsia="楷体_GB2312"/>
          <w:b/>
          <w:lang w:val="zh-CN" w:eastAsia="zh-CN"/>
        </w:rPr>
      </w:pPr>
      <w:r>
        <w:rPr>
          <w:rFonts w:hint="eastAsia" w:ascii="楷体_GB2312" w:eastAsia="楷体_GB2312"/>
          <w:b/>
          <w:lang w:val="zh-CN" w:eastAsia="zh-CN"/>
        </w:rPr>
        <w:t>（ 三）项目资金申报相符性。</w:t>
      </w:r>
    </w:p>
    <w:p>
      <w:pPr>
        <w:pStyle w:val="28"/>
        <w:snapToGrid w:val="0"/>
        <w:spacing w:line="600" w:lineRule="exact"/>
        <w:rPr>
          <w:rFonts w:hint="eastAsia" w:ascii="仿宋_GB2312"/>
          <w:lang w:val="zh-CN" w:eastAsia="zh-CN"/>
        </w:rPr>
      </w:pPr>
      <w:r>
        <w:rPr>
          <w:rFonts w:hint="eastAsia" w:ascii="仿宋_GB2312"/>
          <w:lang w:val="zh-CN" w:eastAsia="zh-CN"/>
        </w:rPr>
        <w:t xml:space="preserve">  项目申报内容与具体实施内容相符、申报目标合理可行。</w:t>
      </w:r>
    </w:p>
    <w:p>
      <w:pPr>
        <w:snapToGrid w:val="0"/>
        <w:spacing w:line="600" w:lineRule="exact"/>
        <w:ind w:firstLine="720"/>
        <w:rPr>
          <w:rFonts w:hint="eastAsia" w:ascii="仿宋" w:eastAsia="仿宋"/>
          <w:sz w:val="32"/>
          <w:szCs w:val="32"/>
        </w:rPr>
      </w:pPr>
      <w:r>
        <w:rPr>
          <w:rFonts w:hint="eastAsia" w:ascii="仿宋" w:eastAsia="仿宋"/>
          <w:sz w:val="32"/>
          <w:szCs w:val="32"/>
        </w:rPr>
        <w:t>二、项目资金申报及使用方法</w:t>
      </w:r>
      <w:r>
        <w:rPr>
          <w:rFonts w:hint="eastAsia" w:ascii="楷体_GB2312" w:eastAsia="楷体_GB2312"/>
          <w:b/>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800" w:firstLineChars="250"/>
        <w:textAlignment w:val="auto"/>
        <w:rPr>
          <w:rFonts w:hint="eastAsia" w:ascii="仿宋" w:eastAsia="仿宋"/>
          <w:color w:val="000000"/>
          <w:sz w:val="32"/>
          <w:szCs w:val="32"/>
          <w:lang w:val="zh-CN" w:eastAsia="zh-CN"/>
        </w:rPr>
      </w:pPr>
      <w:r>
        <w:rPr>
          <w:rFonts w:ascii="仿宋_GB2312" w:hAnsi="仿宋_GB2312"/>
          <w:sz w:val="32"/>
          <w:szCs w:val="32"/>
          <w:lang w:val="zh-CN" w:eastAsia="zh-CN"/>
        </w:rPr>
        <w:t>(一)</w:t>
      </w:r>
      <w:r>
        <w:rPr>
          <w:rFonts w:ascii="仿宋_GB2312" w:hAnsi="仿宋_GB2312"/>
          <w:sz w:val="32"/>
          <w:szCs w:val="32"/>
          <w:lang w:val="zh-CN" w:eastAsia="zh-CN"/>
        </w:rPr>
        <w:tab/>
      </w:r>
      <w:r>
        <w:rPr>
          <w:rFonts w:hint="eastAsia" w:ascii="仿宋" w:eastAsia="仿宋"/>
          <w:sz w:val="32"/>
          <w:szCs w:val="32"/>
          <w:lang w:val="zh-CN" w:eastAsia="zh-CN"/>
        </w:rPr>
        <w:t>资金使用、到位及使用情况：截止评价时点实际到位资金5000元。</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截止评价时点2023年项目资金实际支出4590元。资金支付依据合规合法，资金支付与预算相符。</w:t>
      </w:r>
    </w:p>
    <w:p>
      <w:pPr>
        <w:keepNext w:val="0"/>
        <w:keepLines w:val="0"/>
        <w:pageBreakBefore w:val="0"/>
        <w:widowControl w:val="0"/>
        <w:kinsoku/>
        <w:wordWrap/>
        <w:overflowPunct/>
        <w:topLinePunct w:val="0"/>
        <w:autoSpaceDE/>
        <w:autoSpaceDN/>
        <w:adjustRightInd w:val="0"/>
        <w:snapToGrid w:val="0"/>
        <w:spacing w:line="600" w:lineRule="exact"/>
        <w:ind w:left="0" w:firstLine="640" w:firstLineChars="200"/>
        <w:rPr>
          <w:rFonts w:hint="eastAsia" w:ascii="仿宋" w:eastAsia="仿宋"/>
          <w:color w:val="C0504D"/>
          <w:sz w:val="32"/>
          <w:szCs w:val="32"/>
          <w:lang w:val="zh-CN" w:eastAsia="zh-CN"/>
        </w:rPr>
      </w:pPr>
      <w:r>
        <w:rPr>
          <w:rFonts w:hint="eastAsia" w:ascii="仿宋" w:eastAsia="仿宋"/>
          <w:sz w:val="32"/>
          <w:szCs w:val="32"/>
          <w:lang w:val="zh-CN" w:eastAsia="zh-CN"/>
        </w:rPr>
        <w:t>（</w:t>
      </w:r>
      <w:r>
        <w:rPr>
          <w:rFonts w:ascii="仿宋" w:eastAsia="仿宋"/>
          <w:sz w:val="32"/>
          <w:szCs w:val="32"/>
          <w:lang w:val="zh-CN" w:eastAsia="zh-CN"/>
        </w:rPr>
        <w:t>二</w:t>
      </w:r>
      <w:r>
        <w:rPr>
          <w:rFonts w:hint="eastAsia" w:ascii="仿宋" w:eastAsia="仿宋"/>
          <w:sz w:val="32"/>
          <w:szCs w:val="32"/>
          <w:lang w:val="zh-CN" w:eastAsia="zh-CN"/>
        </w:rPr>
        <w:t>）项目财务管理情况。</w:t>
      </w:r>
    </w:p>
    <w:p>
      <w:pPr>
        <w:adjustRightInd w:val="0"/>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三、项目实施及管理。</w:t>
      </w:r>
    </w:p>
    <w:p>
      <w:pPr>
        <w:keepNext w:val="0"/>
        <w:keepLines w:val="0"/>
        <w:pageBreakBefore w:val="0"/>
        <w:widowControl w:val="0"/>
        <w:kinsoku/>
        <w:wordWrap/>
        <w:overflowPunct/>
        <w:topLinePunct w:val="0"/>
        <w:autoSpaceDE/>
        <w:autoSpaceDN/>
        <w:bidi w:val="0"/>
        <w:adjustRightInd w:val="0"/>
        <w:snapToGrid w:val="0"/>
        <w:spacing w:line="600" w:lineRule="exact"/>
        <w:ind w:firstLine="800" w:firstLineChars="250"/>
        <w:textAlignment w:val="auto"/>
        <w:rPr>
          <w:rFonts w:hint="eastAsia" w:ascii="仿宋" w:eastAsia="仿宋"/>
          <w:sz w:val="32"/>
          <w:szCs w:val="32"/>
          <w:lang w:val="zh-CN" w:eastAsia="zh-CN"/>
        </w:rPr>
      </w:pPr>
      <w:r>
        <w:rPr>
          <w:rFonts w:hint="eastAsia" w:ascii="仿宋" w:eastAsia="仿宋"/>
          <w:sz w:val="32"/>
          <w:szCs w:val="32"/>
          <w:lang w:val="zh-CN" w:eastAsia="zh-CN"/>
        </w:rPr>
        <w:t>（一）项目组织架构及实施：该项目按照招投标和政府采购相关政策要求，粮食送检机构均为合格备案机构。严格按照项目建设相关程序规定进行项目建设管理，项目建设相关手续齐备，组织管理机构建全，监管措施完善。严格按照项目建设相关程序和规定实施项目建设。</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color w:val="333333"/>
          <w:spacing w:val="0"/>
          <w:sz w:val="32"/>
          <w:szCs w:val="32"/>
          <w:shd w:val="clear" w:color="auto" w:fill="FFFFFF"/>
        </w:rPr>
      </w:pPr>
      <w:r>
        <w:rPr>
          <w:rFonts w:hint="eastAsia" w:ascii="仿宋" w:eastAsia="仿宋"/>
          <w:color w:val="333333"/>
          <w:spacing w:val="0"/>
          <w:sz w:val="32"/>
          <w:szCs w:val="32"/>
          <w:shd w:val="clear" w:color="auto" w:fill="FFFFFF"/>
        </w:rPr>
        <w:t>（二）项目管理情况：本项目采取项目工作领导小组负责制，全体成员积极配合、通力合作。项目工作领导小组负责协调相关工作，项目实施及资金管理。</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color w:val="333333"/>
          <w:spacing w:val="0"/>
          <w:sz w:val="32"/>
          <w:szCs w:val="32"/>
          <w:shd w:val="clear" w:color="auto" w:fill="FFFFFF"/>
        </w:rPr>
      </w:pPr>
      <w:r>
        <w:rPr>
          <w:rFonts w:hint="eastAsia" w:ascii="仿宋" w:eastAsia="仿宋"/>
          <w:color w:val="333333"/>
          <w:spacing w:val="0"/>
          <w:sz w:val="32"/>
          <w:szCs w:val="32"/>
          <w:shd w:val="clear" w:color="auto" w:fill="FFFFFF"/>
        </w:rPr>
        <w:t>（三）项目监管情况：单位制定管理制度，对项目资金按项目单独核算实行“专款专用、专人管理”，不得挤占挪用项目资金。强化监督，项目的正常实施监督检查是保障。对项目的实施定期或不定期的进行现场检查和监督，及时协调解决困难和问题，保证项目服务质量。</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color w:val="333333"/>
          <w:spacing w:val="0"/>
          <w:sz w:val="32"/>
          <w:szCs w:val="32"/>
          <w:shd w:val="clear" w:color="auto" w:fill="FFFFFF"/>
        </w:rPr>
        <w:t>四、</w:t>
      </w:r>
      <w:r>
        <w:rPr>
          <w:rFonts w:hint="eastAsia" w:ascii="仿宋" w:eastAsia="仿宋"/>
          <w:sz w:val="32"/>
          <w:szCs w:val="32"/>
        </w:rPr>
        <w:t>项目绩效情况</w:t>
      </w:r>
      <w:r>
        <w:rPr>
          <w:rFonts w:hint="eastAsia" w:ascii="仿宋" w:eastAsia="仿宋"/>
          <w:sz w:val="32"/>
          <w:szCs w:val="32"/>
          <w:lang w:val="zh-CN" w:eastAsia="zh-CN"/>
        </w:rPr>
        <w:tab/>
      </w:r>
    </w:p>
    <w:p>
      <w:pPr>
        <w:adjustRightInd w:val="0"/>
        <w:snapToGrid w:val="0"/>
        <w:spacing w:line="600" w:lineRule="exact"/>
        <w:ind w:firstLine="720"/>
        <w:rPr>
          <w:rFonts w:hint="eastAsia" w:ascii="仿宋" w:eastAsia="仿宋" w:cs="宋体"/>
          <w:color w:val="000000"/>
          <w:sz w:val="32"/>
          <w:szCs w:val="32"/>
          <w:lang w:val="zh-CN" w:eastAsia="zh-CN" w:bidi="ar-SA"/>
        </w:rPr>
      </w:pPr>
      <w:r>
        <w:rPr>
          <w:rFonts w:hint="eastAsia" w:ascii="仿宋" w:eastAsia="仿宋"/>
          <w:sz w:val="32"/>
          <w:szCs w:val="32"/>
          <w:lang w:val="zh-CN" w:eastAsia="zh-CN"/>
        </w:rPr>
        <w:t>1.项目完成情况：</w:t>
      </w:r>
      <w:r>
        <w:rPr>
          <w:rFonts w:hint="eastAsia" w:ascii="仿宋" w:eastAsia="仿宋" w:cs="宋体"/>
          <w:color w:val="000000"/>
          <w:sz w:val="32"/>
          <w:szCs w:val="32"/>
          <w:lang w:val="zh-CN" w:eastAsia="zh-CN" w:bidi="ar-SA"/>
        </w:rPr>
        <w:t>全县完成粮食质量安全送检共3次，检测粮食质量结果均为合格。</w:t>
      </w:r>
    </w:p>
    <w:p>
      <w:pPr>
        <w:pStyle w:val="28"/>
        <w:snapToGrid w:val="0"/>
        <w:spacing w:line="600" w:lineRule="exact"/>
        <w:ind w:firstLine="579" w:firstLineChars="181"/>
        <w:rPr>
          <w:rFonts w:hint="eastAsia" w:ascii="仿宋_GB2312"/>
          <w:lang w:val="zh-CN" w:eastAsia="zh-CN"/>
        </w:rPr>
      </w:pPr>
      <w:r>
        <w:rPr>
          <w:rFonts w:hint="eastAsia" w:ascii="仿宋" w:eastAsia="仿宋"/>
          <w:lang w:val="zh-CN" w:eastAsia="zh-CN"/>
        </w:rPr>
        <w:t>2.项目效益情况：</w:t>
      </w:r>
      <w:r>
        <w:rPr>
          <w:rFonts w:hint="eastAsia" w:ascii="仿宋_GB2312"/>
          <w:lang w:val="zh-CN" w:eastAsia="zh-CN"/>
        </w:rPr>
        <w:t xml:space="preserve">  </w:t>
      </w:r>
      <w:r>
        <w:rPr>
          <w:rFonts w:hint="eastAsia" w:ascii="仿宋_GB2312" w:eastAsia="仿宋_GB2312" w:cs="Times New Roman"/>
          <w:kern w:val="2"/>
          <w:sz w:val="32"/>
          <w:szCs w:val="32"/>
          <w:lang w:bidi="ar-SA"/>
        </w:rPr>
        <w:t>提升地方粮食储备市场调控能力，保障区域采购粮油质量安全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eastAsia="仿宋"/>
          <w:sz w:val="32"/>
          <w:szCs w:val="32"/>
          <w:lang w:val="zh-CN" w:eastAsia="zh-CN"/>
        </w:rPr>
      </w:pPr>
      <w:r>
        <w:rPr>
          <w:rFonts w:hint="eastAsia" w:ascii="仿宋" w:eastAsia="仿宋"/>
          <w:sz w:val="32"/>
          <w:szCs w:val="32"/>
          <w:lang w:val="zh-CN" w:eastAsia="zh-CN"/>
        </w:rPr>
        <w:t>五、评价结论及建议</w:t>
      </w:r>
    </w:p>
    <w:p>
      <w:pPr>
        <w:pStyle w:val="28"/>
        <w:snapToGrid w:val="0"/>
        <w:spacing w:line="600" w:lineRule="exact"/>
        <w:rPr>
          <w:rFonts w:hint="eastAsia" w:ascii="仿宋_GB2312"/>
          <w:lang w:val="zh-CN" w:eastAsia="zh-CN"/>
        </w:rPr>
      </w:pPr>
      <w:r>
        <w:rPr>
          <w:rFonts w:ascii="仿宋" w:eastAsia="仿宋"/>
          <w:sz w:val="32"/>
          <w:szCs w:val="32"/>
          <w:lang w:val="zh-CN" w:eastAsia="zh-CN"/>
        </w:rPr>
        <w:t>(一)</w:t>
      </w:r>
      <w:r>
        <w:rPr>
          <w:rFonts w:hint="eastAsia" w:ascii="仿宋" w:eastAsia="仿宋"/>
          <w:sz w:val="32"/>
          <w:szCs w:val="32"/>
          <w:lang w:val="zh-CN" w:eastAsia="zh-CN"/>
        </w:rPr>
        <w:t>评价结论：</w:t>
      </w:r>
      <w:r>
        <w:rPr>
          <w:rFonts w:hint="eastAsia" w:ascii="仿宋_GB2312" w:eastAsia="仿宋_GB2312" w:cs="Times New Roman"/>
          <w:kern w:val="2"/>
          <w:sz w:val="32"/>
          <w:szCs w:val="32"/>
          <w:lang w:bidi="ar-SA"/>
        </w:rPr>
        <w:t>提升地方粮食储备市场调控能力，保障区域采购粮油质量安全</w:t>
      </w:r>
      <w:r>
        <w:rPr>
          <w:rFonts w:hint="eastAsia" w:ascii="仿宋" w:eastAsia="仿宋" w:cs="宋体"/>
          <w:color w:val="000000"/>
          <w:sz w:val="32"/>
          <w:szCs w:val="32"/>
          <w:lang w:val="zh-CN" w:eastAsia="zh-CN" w:bidi="ar-SA"/>
        </w:rPr>
        <w:t>。</w:t>
      </w:r>
    </w:p>
    <w:p>
      <w:pPr>
        <w:keepNext w:val="0"/>
        <w:keepLines w:val="0"/>
        <w:pageBreakBefore w:val="0"/>
        <w:widowControl w:val="0"/>
        <w:kinsoku/>
        <w:wordWrap/>
        <w:overflowPunct/>
        <w:topLinePunct w:val="0"/>
        <w:autoSpaceDE/>
        <w:autoSpaceDN/>
        <w:adjustRightInd w:val="0"/>
        <w:snapToGrid w:val="0"/>
        <w:spacing w:line="600" w:lineRule="exact"/>
        <w:ind w:firstLine="320" w:firstLineChars="100"/>
        <w:rPr>
          <w:rFonts w:hint="eastAsia" w:ascii="仿宋" w:eastAsia="仿宋"/>
          <w:sz w:val="32"/>
          <w:szCs w:val="32"/>
          <w:lang w:val="zh-CN" w:eastAsia="zh-CN"/>
        </w:rPr>
      </w:pPr>
      <w:r>
        <w:rPr>
          <w:rFonts w:ascii="仿宋" w:eastAsia="仿宋"/>
          <w:sz w:val="32"/>
          <w:szCs w:val="32"/>
          <w:lang w:val="zh-CN" w:eastAsia="zh-CN"/>
        </w:rPr>
        <w:t>(二)</w:t>
      </w:r>
      <w:r>
        <w:rPr>
          <w:rFonts w:hint="eastAsia" w:ascii="仿宋" w:eastAsia="仿宋"/>
          <w:sz w:val="32"/>
          <w:szCs w:val="32"/>
          <w:lang w:val="zh-CN" w:eastAsia="zh-CN"/>
        </w:rPr>
        <w:t>存在的问题：无</w:t>
      </w:r>
    </w:p>
    <w:p>
      <w:pPr>
        <w:keepNext w:val="0"/>
        <w:keepLines w:val="0"/>
        <w:pageBreakBefore w:val="0"/>
        <w:widowControl w:val="0"/>
        <w:kinsoku/>
        <w:wordWrap/>
        <w:overflowPunct/>
        <w:topLinePunct w:val="0"/>
        <w:autoSpaceDE/>
        <w:autoSpaceDN/>
        <w:bidi w:val="0"/>
        <w:adjustRightInd w:val="0"/>
        <w:snapToGrid w:val="0"/>
        <w:spacing w:line="600" w:lineRule="exact"/>
        <w:ind w:firstLine="320" w:firstLineChars="100"/>
        <w:textAlignment w:val="auto"/>
        <w:rPr>
          <w:rFonts w:hint="eastAsia" w:ascii="仿宋" w:eastAsia="仿宋"/>
          <w:sz w:val="32"/>
          <w:szCs w:val="32"/>
          <w:lang w:val="zh-CN" w:eastAsia="zh-CN"/>
        </w:rPr>
      </w:pPr>
      <w:r>
        <w:rPr>
          <w:rFonts w:ascii="仿宋" w:eastAsia="仿宋"/>
          <w:sz w:val="32"/>
          <w:szCs w:val="32"/>
          <w:lang w:val="zh-CN" w:eastAsia="zh-CN"/>
        </w:rPr>
        <w:t>(三)</w:t>
      </w:r>
      <w:r>
        <w:rPr>
          <w:rFonts w:hint="eastAsia" w:ascii="仿宋" w:eastAsia="仿宋"/>
          <w:sz w:val="32"/>
          <w:szCs w:val="32"/>
          <w:lang w:val="zh-CN" w:eastAsia="zh-CN"/>
        </w:rPr>
        <w:t>相关建设：无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sz w:val="32"/>
          <w:szCs w:val="32"/>
          <w:lang w:val="zh-CN" w:eastAsia="zh-CN"/>
        </w:rPr>
      </w:pP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 w:eastAsia="仿宋"/>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pPr>
        <w:spacing w:line="576" w:lineRule="exact"/>
        <w:ind w:left="0" w:firstLine="639"/>
        <w:rPr>
          <w:rFonts w:hint="eastAsia" w:ascii="仿宋" w:eastAsia="仿宋" w:cs="仿宋_GB2312"/>
          <w:color w:val="333333"/>
          <w:kern w:val="0"/>
          <w:sz w:val="32"/>
          <w:szCs w:val="32"/>
          <w:lang w:bidi="ar-SA"/>
        </w:rPr>
      </w:pPr>
    </w:p>
    <w:p>
      <w:pPr>
        <w:spacing w:line="576" w:lineRule="exact"/>
        <w:ind w:left="0"/>
        <w:rPr>
          <w:rFonts w:hint="eastAsia" w:ascii="仿宋" w:eastAsia="仿宋" w:cs="仿宋_GB2312"/>
          <w:color w:val="333333"/>
          <w:kern w:val="0"/>
          <w:sz w:val="32"/>
          <w:szCs w:val="32"/>
          <w:lang w:bidi="ar-SA"/>
        </w:rPr>
      </w:pPr>
    </w:p>
    <w:p>
      <w:pPr>
        <w:spacing w:line="576" w:lineRule="exact"/>
        <w:ind w:left="0"/>
        <w:rPr>
          <w:rFonts w:hint="eastAsia" w:ascii="仿宋" w:eastAsia="仿宋" w:cs="仿宋_GB2312"/>
          <w:color w:val="333333"/>
          <w:kern w:val="0"/>
          <w:sz w:val="32"/>
          <w:szCs w:val="32"/>
          <w:lang w:bidi="ar-SA"/>
        </w:rPr>
      </w:pPr>
      <w:r>
        <w:rPr>
          <w:rFonts w:hint="eastAsia" w:ascii="仿宋" w:eastAsia="仿宋" w:cs="仿宋_GB2312"/>
          <w:color w:val="333333"/>
          <w:kern w:val="0"/>
          <w:sz w:val="32"/>
          <w:szCs w:val="32"/>
          <w:lang w:bidi="ar-SA"/>
        </w:rPr>
        <w:t xml:space="preserve"> </w:t>
      </w:r>
    </w:p>
    <w:p>
      <w:pPr>
        <w:pStyle w:val="29"/>
        <w:spacing w:line="560" w:lineRule="exact"/>
        <w:rPr>
          <w:rFonts w:hint="eastAsia" w:ascii="仿宋" w:eastAsia="仿宋"/>
          <w:sz w:val="32"/>
          <w:szCs w:val="32"/>
        </w:rPr>
      </w:pPr>
    </w:p>
    <w:p>
      <w:pPr>
        <w:adjustRightInd w:val="0"/>
        <w:snapToGrid w:val="0"/>
        <w:spacing w:line="560" w:lineRule="exact"/>
        <w:ind w:firstLine="640" w:firstLineChars="200"/>
        <w:contextualSpacing/>
        <w:jc w:val="left"/>
        <w:rPr>
          <w:rFonts w:hint="eastAsia" w:ascii="仿宋" w:eastAsia="仿宋"/>
          <w:kern w:val="0"/>
          <w:sz w:val="32"/>
          <w:szCs w:val="32"/>
          <w:lang w:val="zh-CN"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78" w:lineRule="exact"/>
        <w:ind w:firstLine="160" w:firstLineChars="50"/>
        <w:contextualSpacing/>
        <w:jc w:val="left"/>
        <w:textAlignment w:val="auto"/>
        <w:outlineLvl w:val="9"/>
        <w:rPr>
          <w:rFonts w:hint="eastAsia" w:ascii="仿宋" w:eastAsia="仿宋" w:cs="Times New Roman"/>
          <w:color w:val="000000"/>
          <w:kern w:val="0"/>
          <w:sz w:val="32"/>
          <w:szCs w:val="32"/>
          <w:highlight w:val="none"/>
          <w:shd w:val="clear" w:color="auto" w:fill="FFFFFF"/>
          <w:lang w:val="zh-CN" w:eastAsia="zh-CN" w:bidi="ar-SA"/>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keepNext w:val="0"/>
        <w:keepLines w:val="0"/>
        <w:pageBreakBefore w:val="0"/>
        <w:widowControl w:val="0"/>
        <w:tabs>
          <w:tab w:val="left" w:pos="1440"/>
        </w:tabs>
        <w:kinsoku/>
        <w:wordWrap/>
        <w:overflowPunct/>
        <w:topLinePunct w:val="0"/>
        <w:autoSpaceDE/>
        <w:autoSpaceDN/>
        <w:spacing w:line="600" w:lineRule="exact"/>
        <w:ind w:left="0"/>
        <w:jc w:val="center"/>
        <w:rPr>
          <w:rFonts w:hint="eastAsia" w:ascii="仿宋" w:eastAsia="仿宋"/>
          <w:sz w:val="36"/>
          <w:szCs w:val="36"/>
        </w:rPr>
      </w:pPr>
      <w:r>
        <w:rPr>
          <w:rFonts w:hint="eastAsia" w:ascii="仿宋" w:eastAsia="仿宋"/>
          <w:sz w:val="36"/>
          <w:szCs w:val="36"/>
        </w:rPr>
        <w:t xml:space="preserve">  </w:t>
      </w:r>
    </w:p>
    <w:p>
      <w:pPr>
        <w:keepNext w:val="0"/>
        <w:keepLines w:val="0"/>
        <w:pageBreakBefore w:val="0"/>
        <w:widowControl w:val="0"/>
        <w:tabs>
          <w:tab w:val="left" w:pos="1440"/>
        </w:tabs>
        <w:kinsoku/>
        <w:wordWrap/>
        <w:overflowPunct/>
        <w:topLinePunct w:val="0"/>
        <w:autoSpaceDE/>
        <w:autoSpaceDN/>
        <w:spacing w:line="600" w:lineRule="exact"/>
        <w:ind w:left="0"/>
        <w:jc w:val="center"/>
        <w:rPr>
          <w:rFonts w:ascii="仿宋" w:eastAsia="仿宋"/>
          <w:sz w:val="36"/>
          <w:szCs w:val="36"/>
        </w:rPr>
      </w:pPr>
    </w:p>
    <w:p>
      <w:pPr>
        <w:keepNext w:val="0"/>
        <w:keepLines w:val="0"/>
        <w:pageBreakBefore w:val="0"/>
        <w:widowControl w:val="0"/>
        <w:tabs>
          <w:tab w:val="left" w:pos="1440"/>
        </w:tabs>
        <w:kinsoku/>
        <w:wordWrap/>
        <w:overflowPunct/>
        <w:topLinePunct w:val="0"/>
        <w:autoSpaceDE/>
        <w:autoSpaceDN/>
        <w:spacing w:line="600" w:lineRule="exact"/>
        <w:ind w:left="0"/>
        <w:jc w:val="center"/>
        <w:rPr>
          <w:rFonts w:hint="eastAsia" w:ascii="仿宋" w:eastAsia="仿宋"/>
          <w:sz w:val="36"/>
          <w:szCs w:val="36"/>
          <w:lang w:eastAsia="zh-CN"/>
        </w:rPr>
      </w:pPr>
      <w:r>
        <w:rPr>
          <w:rFonts w:hint="eastAsia" w:ascii="仿宋" w:eastAsia="仿宋"/>
          <w:sz w:val="36"/>
          <w:szCs w:val="36"/>
        </w:rPr>
        <w:t>省级高质量发展资金</w:t>
      </w:r>
      <w:r>
        <w:rPr>
          <w:rFonts w:hint="eastAsia" w:ascii="仿宋" w:eastAsia="仿宋"/>
          <w:sz w:val="36"/>
          <w:szCs w:val="36"/>
          <w:lang w:eastAsia="zh-CN"/>
        </w:rPr>
        <w:t>专项预算项目</w:t>
      </w:r>
    </w:p>
    <w:p>
      <w:pPr>
        <w:keepNext w:val="0"/>
        <w:keepLines w:val="0"/>
        <w:pageBreakBefore w:val="0"/>
        <w:widowControl w:val="0"/>
        <w:tabs>
          <w:tab w:val="left" w:pos="1440"/>
        </w:tabs>
        <w:kinsoku/>
        <w:wordWrap/>
        <w:overflowPunct/>
        <w:topLinePunct w:val="0"/>
        <w:autoSpaceDE/>
        <w:autoSpaceDN/>
        <w:spacing w:line="600" w:lineRule="exact"/>
        <w:ind w:left="0"/>
        <w:jc w:val="center"/>
        <w:rPr>
          <w:rFonts w:hint="eastAsia" w:ascii="仿宋" w:eastAsia="仿宋"/>
          <w:sz w:val="36"/>
          <w:szCs w:val="36"/>
        </w:rPr>
      </w:pPr>
      <w:r>
        <w:rPr>
          <w:rFonts w:hint="eastAsia" w:ascii="仿宋" w:eastAsia="仿宋"/>
          <w:sz w:val="36"/>
          <w:szCs w:val="36"/>
        </w:rPr>
        <w:t>评价报告</w:t>
      </w:r>
    </w:p>
    <w:p>
      <w:pPr>
        <w:adjustRightInd w:val="0"/>
        <w:snapToGrid w:val="0"/>
        <w:spacing w:line="600" w:lineRule="exact"/>
        <w:ind w:firstLine="0"/>
        <w:rPr>
          <w:rFonts w:hint="eastAsia" w:ascii="仿宋" w:eastAsia="仿宋"/>
          <w:sz w:val="32"/>
          <w:szCs w:val="32"/>
          <w:lang w:val="zh-CN" w:eastAsia="zh-CN"/>
        </w:rPr>
      </w:pPr>
      <w:r>
        <w:rPr>
          <w:rFonts w:hint="eastAsia" w:ascii="仿宋" w:eastAsia="仿宋"/>
          <w:color w:val="auto"/>
          <w:kern w:val="2"/>
          <w:sz w:val="32"/>
          <w:szCs w:val="32"/>
        </w:rPr>
        <w:t>一、</w:t>
      </w:r>
      <w:r>
        <w:rPr>
          <w:rFonts w:hint="eastAsia" w:ascii="仿宋" w:eastAsia="仿宋"/>
          <w:sz w:val="32"/>
          <w:szCs w:val="32"/>
          <w:lang w:val="zh-CN" w:eastAsia="zh-CN"/>
        </w:rPr>
        <w:t>项目概况</w:t>
      </w:r>
    </w:p>
    <w:p>
      <w:pPr>
        <w:adjustRightInd w:val="0"/>
        <w:snapToGrid w:val="0"/>
        <w:spacing w:line="600" w:lineRule="exact"/>
        <w:ind w:left="0" w:firstLine="800" w:firstLineChars="250"/>
        <w:rPr>
          <w:rFonts w:hint="eastAsia" w:ascii="仿宋" w:eastAsia="仿宋" w:cs="宋体"/>
          <w:color w:val="000000"/>
          <w:sz w:val="32"/>
          <w:szCs w:val="32"/>
          <w:lang w:val="zh-CN" w:eastAsia="zh-CN" w:bidi="ar-SA"/>
        </w:rPr>
      </w:pPr>
      <w:r>
        <w:rPr>
          <w:rFonts w:hint="eastAsia" w:ascii="仿宋" w:eastAsia="仿宋" w:cs="宋体"/>
          <w:color w:val="000000"/>
          <w:sz w:val="32"/>
          <w:szCs w:val="32"/>
          <w:lang w:val="zh-CN" w:eastAsia="zh-CN" w:bidi="ar-SA"/>
        </w:rPr>
        <w:t>1</w:t>
      </w:r>
      <w:r>
        <w:rPr>
          <w:rFonts w:ascii="仿宋" w:eastAsia="仿宋" w:cs="宋体"/>
          <w:color w:val="000000"/>
          <w:sz w:val="32"/>
          <w:szCs w:val="32"/>
          <w:lang w:val="zh-CN" w:eastAsia="zh-CN" w:bidi="ar-SA"/>
        </w:rPr>
        <w:t>.</w:t>
      </w:r>
      <w:r>
        <w:rPr>
          <w:rFonts w:hint="eastAsia" w:ascii="仿宋" w:eastAsia="仿宋" w:cs="宋体"/>
          <w:color w:val="000000"/>
          <w:sz w:val="32"/>
          <w:szCs w:val="32"/>
          <w:lang w:val="zh-CN" w:eastAsia="zh-CN" w:bidi="ar-SA"/>
        </w:rPr>
        <w:t>按照《粮食购销领域监管信息化规范》，在现有省级平台及智能粮库系统的基础上，拓宽监管数据范围，提升监管数据质量，深化数据共享共用。进一步提高地方储备粮监管效能，强化省级平台协同监管，大幅提升粮食购销领域穿透式监管能力，不断提高智能化监管水平。</w:t>
      </w:r>
    </w:p>
    <w:p>
      <w:pPr>
        <w:adjustRightInd w:val="0"/>
        <w:snapToGrid w:val="0"/>
        <w:spacing w:line="600" w:lineRule="exact"/>
        <w:ind w:firstLine="720"/>
        <w:rPr>
          <w:rFonts w:hint="eastAsia" w:ascii="仿宋" w:eastAsia="仿宋" w:cs="宋体"/>
          <w:color w:val="000000"/>
          <w:sz w:val="32"/>
          <w:szCs w:val="32"/>
          <w:lang w:val="zh-CN" w:eastAsia="zh-CN" w:bidi="ar-SA"/>
        </w:rPr>
      </w:pPr>
      <w:r>
        <w:rPr>
          <w:rFonts w:hint="eastAsia" w:ascii="仿宋" w:eastAsia="仿宋" w:cs="宋体"/>
          <w:color w:val="000000"/>
          <w:sz w:val="32"/>
          <w:szCs w:val="32"/>
          <w:lang w:val="zh-CN" w:eastAsia="zh-CN" w:bidi="ar-SA"/>
        </w:rPr>
        <w:t>2</w:t>
      </w:r>
      <w:r>
        <w:rPr>
          <w:rFonts w:ascii="仿宋" w:eastAsia="仿宋" w:cs="宋体"/>
          <w:color w:val="000000"/>
          <w:sz w:val="32"/>
          <w:szCs w:val="32"/>
          <w:lang w:val="zh-CN" w:eastAsia="zh-CN" w:bidi="ar-SA"/>
        </w:rPr>
        <w:t>.</w:t>
      </w:r>
      <w:r>
        <w:rPr>
          <w:rFonts w:hint="eastAsia" w:ascii="仿宋" w:eastAsia="仿宋" w:cs="宋体"/>
          <w:color w:val="000000"/>
          <w:sz w:val="32"/>
          <w:szCs w:val="32"/>
          <w:lang w:val="zh-CN" w:eastAsia="zh-CN" w:bidi="ar-SA"/>
        </w:rPr>
        <w:t>项目批复总投资99100元。实际到位资金99100元，其中：省级资金99100元。项目建设为应急储备仓库进行数据设施设备采购，进一步提高地方储备粮监管效能，强化省级平台协同监管。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olor w:val="333333"/>
          <w:spacing w:val="0"/>
          <w:sz w:val="32"/>
          <w:szCs w:val="32"/>
          <w:shd w:val="clear" w:color="auto" w:fill="FFFFFF"/>
        </w:rPr>
      </w:pPr>
      <w:r>
        <w:rPr>
          <w:rFonts w:hint="eastAsia" w:ascii="仿宋" w:eastAsia="仿宋"/>
          <w:sz w:val="32"/>
          <w:szCs w:val="32"/>
          <w:lang w:val="zh-CN" w:eastAsia="zh-CN"/>
        </w:rPr>
        <w:t>3.项目自评步骤及方法：</w:t>
      </w:r>
      <w:r>
        <w:rPr>
          <w:rFonts w:hint="eastAsia" w:ascii="仿宋" w:eastAsia="仿宋"/>
          <w:color w:val="333333"/>
          <w:spacing w:val="0"/>
          <w:sz w:val="32"/>
          <w:szCs w:val="32"/>
          <w:shd w:val="clear" w:color="auto" w:fill="FFFFFF"/>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认真听取上级领导建议意见，做好自评工作。</w:t>
      </w:r>
    </w:p>
    <w:p>
      <w:pPr>
        <w:adjustRightInd w:val="0"/>
        <w:snapToGrid w:val="0"/>
        <w:spacing w:line="600" w:lineRule="exact"/>
        <w:ind w:left="0"/>
        <w:rPr>
          <w:rFonts w:hint="eastAsia" w:ascii="仿宋" w:eastAsia="仿宋"/>
          <w:sz w:val="32"/>
          <w:szCs w:val="32"/>
        </w:rPr>
      </w:pPr>
      <w:r>
        <w:rPr>
          <w:rFonts w:hint="eastAsia" w:ascii="仿宋" w:eastAsia="仿宋"/>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480" w:firstLineChars="150"/>
        <w:textAlignment w:val="auto"/>
        <w:rPr>
          <w:rFonts w:hint="eastAsia" w:ascii="仿宋" w:eastAsia="仿宋"/>
          <w:color w:val="000000"/>
          <w:sz w:val="32"/>
          <w:szCs w:val="32"/>
          <w:lang w:val="zh-CN" w:eastAsia="zh-CN"/>
        </w:rPr>
      </w:pPr>
      <w:r>
        <w:rPr>
          <w:rFonts w:hint="eastAsia" w:ascii="仿宋" w:eastAsia="仿宋"/>
          <w:sz w:val="32"/>
          <w:szCs w:val="32"/>
          <w:lang w:val="zh-CN" w:eastAsia="zh-CN"/>
        </w:rPr>
        <w:t>（一）资金申报及批复。该项目计划批复总投资99100元。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480" w:firstLineChars="150"/>
        <w:textAlignment w:val="auto"/>
        <w:rPr>
          <w:rFonts w:hint="eastAsia" w:ascii="仿宋" w:eastAsia="仿宋"/>
          <w:color w:val="000000"/>
          <w:sz w:val="32"/>
          <w:szCs w:val="32"/>
          <w:lang w:val="zh-CN" w:eastAsia="zh-CN"/>
        </w:rPr>
      </w:pPr>
      <w:r>
        <w:rPr>
          <w:rFonts w:hint="eastAsia" w:ascii="仿宋" w:eastAsia="仿宋"/>
          <w:sz w:val="32"/>
          <w:szCs w:val="32"/>
          <w:lang w:val="zh-CN" w:eastAsia="zh-CN"/>
        </w:rPr>
        <w:t>（二）资金使用、到位及使用情况：截止评价时点实际到位资金99100元，其中</w:t>
      </w:r>
      <w:r>
        <w:rPr>
          <w:rFonts w:hint="eastAsia" w:ascii="仿宋" w:eastAsia="仿宋" w:cs="宋体"/>
          <w:color w:val="000000"/>
          <w:sz w:val="32"/>
          <w:szCs w:val="32"/>
          <w:lang w:val="zh-CN" w:eastAsia="zh-CN" w:bidi="ar-SA"/>
        </w:rPr>
        <w:t>省级资金到位99100元。</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截止评价时点2023年项目资金实际支出99100元。资金支付依据合规合法，资金支付与预算相符。</w:t>
      </w:r>
    </w:p>
    <w:p>
      <w:pPr>
        <w:keepNext w:val="0"/>
        <w:keepLines w:val="0"/>
        <w:pageBreakBefore w:val="0"/>
        <w:widowControl w:val="0"/>
        <w:kinsoku/>
        <w:wordWrap/>
        <w:overflowPunct/>
        <w:topLinePunct w:val="0"/>
        <w:autoSpaceDE/>
        <w:autoSpaceDN/>
        <w:adjustRightInd w:val="0"/>
        <w:snapToGrid w:val="0"/>
        <w:spacing w:line="600" w:lineRule="exact"/>
        <w:ind w:left="0" w:firstLine="640" w:firstLineChars="200"/>
        <w:rPr>
          <w:rFonts w:hint="eastAsia" w:ascii="仿宋" w:eastAsia="仿宋"/>
          <w:color w:val="C0504D"/>
          <w:sz w:val="32"/>
          <w:szCs w:val="32"/>
          <w:lang w:val="zh-CN" w:eastAsia="zh-CN"/>
        </w:rPr>
      </w:pPr>
      <w:r>
        <w:rPr>
          <w:rFonts w:hint="eastAsia" w:ascii="仿宋" w:eastAsia="仿宋"/>
          <w:sz w:val="32"/>
          <w:szCs w:val="32"/>
          <w:lang w:val="zh-CN" w:eastAsia="zh-CN"/>
        </w:rPr>
        <w:t>（三）项目财务管理情况。</w:t>
      </w:r>
    </w:p>
    <w:p>
      <w:pPr>
        <w:adjustRightInd w:val="0"/>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三、项目实施及管理。</w:t>
      </w:r>
    </w:p>
    <w:p>
      <w:pPr>
        <w:keepNext w:val="0"/>
        <w:keepLines w:val="0"/>
        <w:pageBreakBefore w:val="0"/>
        <w:widowControl w:val="0"/>
        <w:kinsoku/>
        <w:wordWrap/>
        <w:overflowPunct/>
        <w:topLinePunct w:val="0"/>
        <w:autoSpaceDE/>
        <w:autoSpaceDN/>
        <w:bidi w:val="0"/>
        <w:adjustRightInd w:val="0"/>
        <w:snapToGrid w:val="0"/>
        <w:spacing w:line="600" w:lineRule="exact"/>
        <w:ind w:left="14" w:firstLine="719"/>
        <w:textAlignment w:val="auto"/>
        <w:rPr>
          <w:rFonts w:hint="eastAsia" w:ascii="仿宋" w:eastAsia="仿宋"/>
          <w:sz w:val="32"/>
          <w:szCs w:val="32"/>
          <w:lang w:val="zh-CN" w:eastAsia="zh-CN"/>
        </w:rPr>
      </w:pPr>
      <w:r>
        <w:rPr>
          <w:rFonts w:ascii="仿宋" w:eastAsia="仿宋"/>
          <w:sz w:val="32"/>
          <w:szCs w:val="32"/>
          <w:lang w:val="zh-CN" w:eastAsia="zh-CN"/>
        </w:rPr>
        <w:t>(一)</w:t>
      </w:r>
      <w:r>
        <w:rPr>
          <w:rFonts w:hint="eastAsia" w:ascii="仿宋" w:eastAsia="仿宋"/>
          <w:sz w:val="32"/>
          <w:szCs w:val="32"/>
          <w:lang w:val="zh-CN" w:eastAsia="zh-CN"/>
        </w:rPr>
        <w:t>项目组织架构及实施该项目按照招投标和政府采购相关政策要求，以政府采购公开挂网进行招标。严格按照项目建设相关程序规定进行项目建设管理，项目建设相关手续齐备，组织管理机构建全，监管措施完善。严格按照项目建设相关程序和规定实施项目建设。</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color w:val="333333"/>
          <w:spacing w:val="0"/>
          <w:sz w:val="32"/>
          <w:szCs w:val="32"/>
          <w:shd w:val="clear" w:color="auto" w:fill="FFFFFF"/>
        </w:rPr>
      </w:pPr>
      <w:r>
        <w:rPr>
          <w:rFonts w:hint="eastAsia" w:ascii="仿宋" w:eastAsia="仿宋"/>
          <w:color w:val="333333"/>
          <w:spacing w:val="0"/>
          <w:sz w:val="32"/>
          <w:szCs w:val="32"/>
          <w:shd w:val="clear" w:color="auto" w:fill="FFFFFF"/>
        </w:rPr>
        <w:t>（二）项目管理情况：本项目采取项目工作领导小组负责制，全体成员积极配合、通力合作。项目工作领导小组负责协调相关工作，项目实施及资金管理。</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 w:eastAsia="仿宋"/>
          <w:color w:val="333333"/>
          <w:spacing w:val="0"/>
          <w:sz w:val="32"/>
          <w:szCs w:val="32"/>
          <w:shd w:val="clear" w:color="auto" w:fill="FFFFFF"/>
        </w:rPr>
      </w:pPr>
      <w:r>
        <w:rPr>
          <w:rFonts w:hint="eastAsia" w:ascii="仿宋" w:eastAsia="仿宋"/>
          <w:color w:val="333333"/>
          <w:spacing w:val="0"/>
          <w:sz w:val="32"/>
          <w:szCs w:val="32"/>
          <w:shd w:val="clear" w:color="auto" w:fill="FFFFFF"/>
        </w:rPr>
        <w:t>（三）项目监管情况：单位制定管理制度，对项目资金按项目单独核算实行“专款专用、专人管理”，不得挤占挪用项目资金。强化监督，项目的正常实施监督检查是保障。对项目的实施定期或不定期的进行现场检查和监督，及时协调解决困难和问题，保证项目服务质量。</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color w:val="333333"/>
          <w:spacing w:val="0"/>
          <w:sz w:val="32"/>
          <w:szCs w:val="32"/>
          <w:shd w:val="clear" w:color="auto" w:fill="FFFFFF"/>
        </w:rPr>
        <w:t>四、</w:t>
      </w:r>
      <w:r>
        <w:rPr>
          <w:rFonts w:hint="eastAsia" w:ascii="仿宋" w:eastAsia="仿宋"/>
          <w:sz w:val="32"/>
          <w:szCs w:val="32"/>
        </w:rPr>
        <w:t>项目绩效情况</w:t>
      </w:r>
      <w:r>
        <w:rPr>
          <w:rFonts w:hint="eastAsia" w:ascii="仿宋" w:eastAsia="仿宋"/>
          <w:sz w:val="32"/>
          <w:szCs w:val="32"/>
          <w:lang w:val="zh-CN" w:eastAsia="zh-CN"/>
        </w:rPr>
        <w:tab/>
      </w:r>
    </w:p>
    <w:p>
      <w:pPr>
        <w:adjustRightInd w:val="0"/>
        <w:snapToGrid w:val="0"/>
        <w:spacing w:line="600" w:lineRule="exact"/>
        <w:ind w:firstLine="720"/>
        <w:rPr>
          <w:rFonts w:hint="eastAsia" w:ascii="仿宋" w:eastAsia="仿宋" w:cs="宋体"/>
          <w:color w:val="000000"/>
          <w:sz w:val="32"/>
          <w:szCs w:val="32"/>
          <w:lang w:val="zh-CN" w:eastAsia="zh-CN" w:bidi="ar-SA"/>
        </w:rPr>
      </w:pPr>
      <w:r>
        <w:rPr>
          <w:rFonts w:hint="eastAsia" w:ascii="仿宋" w:eastAsia="仿宋"/>
          <w:sz w:val="32"/>
          <w:szCs w:val="32"/>
          <w:lang w:val="zh-CN" w:eastAsia="zh-CN"/>
        </w:rPr>
        <w:t>1.项目完成情况：</w:t>
      </w:r>
      <w:r>
        <w:rPr>
          <w:rFonts w:hint="eastAsia" w:ascii="仿宋" w:eastAsia="仿宋" w:cs="宋体"/>
          <w:color w:val="000000"/>
          <w:sz w:val="32"/>
          <w:szCs w:val="32"/>
          <w:lang w:val="zh-CN" w:eastAsia="zh-CN" w:bidi="ar-SA"/>
        </w:rPr>
        <w:t>项目信息智能化升级已建设完成，设施设备采购完成。</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宋体"/>
          <w:color w:val="000000"/>
          <w:sz w:val="32"/>
          <w:szCs w:val="32"/>
          <w:lang w:val="zh-CN" w:eastAsia="zh-CN" w:bidi="ar-SA"/>
        </w:rPr>
      </w:pPr>
      <w:r>
        <w:rPr>
          <w:rFonts w:hint="eastAsia" w:ascii="仿宋" w:eastAsia="仿宋"/>
          <w:sz w:val="32"/>
          <w:szCs w:val="32"/>
          <w:lang w:val="zh-CN" w:eastAsia="zh-CN"/>
        </w:rPr>
        <w:t>2.项目效益情况：该项目</w:t>
      </w:r>
      <w:r>
        <w:rPr>
          <w:rFonts w:hint="eastAsia" w:ascii="仿宋" w:eastAsia="仿宋" w:cs="宋体"/>
          <w:color w:val="000000"/>
          <w:sz w:val="32"/>
          <w:szCs w:val="32"/>
          <w:lang w:val="zh-CN" w:eastAsia="zh-CN" w:bidi="ar-SA"/>
        </w:rPr>
        <w:t>进一步提高地方储备粮监管效能，强化省级平台协同监管，大幅提升粮食购销领域穿透式监管能力，不断提高智能化监管水平</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sz w:val="32"/>
          <w:szCs w:val="32"/>
          <w:lang w:val="zh-CN" w:eastAsia="zh-CN"/>
        </w:rPr>
      </w:pPr>
      <w:r>
        <w:rPr>
          <w:rFonts w:hint="eastAsia" w:ascii="仿宋" w:eastAsia="仿宋"/>
          <w:sz w:val="32"/>
          <w:szCs w:val="32"/>
          <w:lang w:val="zh-CN" w:eastAsia="zh-CN"/>
        </w:rPr>
        <w:t>五、评价结论及建议</w:t>
      </w:r>
    </w:p>
    <w:p>
      <w:pPr>
        <w:keepNext w:val="0"/>
        <w:keepLines w:val="0"/>
        <w:pageBreakBefore w:val="0"/>
        <w:widowControl w:val="0"/>
        <w:kinsoku/>
        <w:wordWrap/>
        <w:overflowPunct/>
        <w:topLinePunct w:val="0"/>
        <w:autoSpaceDE/>
        <w:autoSpaceDN/>
        <w:adjustRightInd w:val="0"/>
        <w:snapToGrid w:val="0"/>
        <w:spacing w:line="600" w:lineRule="exact"/>
        <w:ind w:firstLine="800" w:firstLineChars="250"/>
        <w:rPr>
          <w:rFonts w:hint="eastAsia" w:ascii="仿宋" w:eastAsia="仿宋"/>
          <w:sz w:val="32"/>
          <w:szCs w:val="32"/>
          <w:lang w:val="zh-CN" w:eastAsia="zh-CN"/>
        </w:rPr>
      </w:pPr>
      <w:r>
        <w:rPr>
          <w:rFonts w:ascii="仿宋" w:eastAsia="仿宋"/>
          <w:sz w:val="32"/>
          <w:szCs w:val="32"/>
          <w:lang w:val="zh-CN" w:eastAsia="zh-CN"/>
        </w:rPr>
        <w:t>(一)</w:t>
      </w:r>
      <w:r>
        <w:rPr>
          <w:rFonts w:hint="eastAsia" w:ascii="仿宋" w:eastAsia="仿宋"/>
          <w:sz w:val="32"/>
          <w:szCs w:val="32"/>
          <w:lang w:val="zh-CN" w:eastAsia="zh-CN"/>
        </w:rPr>
        <w:t>评价结论：</w:t>
      </w:r>
      <w:r>
        <w:rPr>
          <w:rFonts w:hint="eastAsia" w:ascii="仿宋" w:eastAsia="仿宋" w:cs="宋体"/>
          <w:color w:val="000000"/>
          <w:sz w:val="32"/>
          <w:szCs w:val="32"/>
          <w:lang w:val="zh-CN" w:eastAsia="zh-CN" w:bidi="ar-SA"/>
        </w:rPr>
        <w:t>进一步提高地方储备粮监管效能，强化省级平台协同监管，大幅提升粮食购销领域穿透式监管能力，不断提高智能化监管水平</w:t>
      </w:r>
      <w:r>
        <w:rPr>
          <w:rFonts w:hint="eastAsia" w:ascii="仿宋" w:eastAsia="仿宋"/>
          <w:sz w:val="32"/>
          <w:szCs w:val="32"/>
          <w:lang w:val="zh-CN" w:eastAsia="zh-CN"/>
        </w:rPr>
        <w:t>存在的问题：无</w:t>
      </w:r>
    </w:p>
    <w:p>
      <w:pPr>
        <w:keepNext w:val="0"/>
        <w:keepLines w:val="0"/>
        <w:pageBreakBefore w:val="0"/>
        <w:widowControl w:val="0"/>
        <w:kinsoku/>
        <w:wordWrap/>
        <w:overflowPunct/>
        <w:topLinePunct w:val="0"/>
        <w:autoSpaceDE/>
        <w:autoSpaceDN/>
        <w:bidi w:val="0"/>
        <w:adjustRightInd w:val="0"/>
        <w:snapToGrid w:val="0"/>
        <w:spacing w:line="600" w:lineRule="exact"/>
        <w:ind w:firstLine="800" w:firstLineChars="250"/>
        <w:textAlignment w:val="auto"/>
        <w:rPr>
          <w:rFonts w:hint="eastAsia" w:ascii="仿宋" w:eastAsia="仿宋"/>
          <w:sz w:val="32"/>
          <w:szCs w:val="32"/>
          <w:lang w:val="zh-CN" w:eastAsia="zh-CN"/>
        </w:rPr>
      </w:pPr>
      <w:r>
        <w:rPr>
          <w:rFonts w:ascii="仿宋" w:eastAsia="仿宋"/>
          <w:sz w:val="32"/>
          <w:szCs w:val="32"/>
          <w:lang w:val="zh-CN" w:eastAsia="zh-CN"/>
        </w:rPr>
        <w:t>(二)</w:t>
      </w:r>
      <w:r>
        <w:rPr>
          <w:rFonts w:hint="eastAsia" w:ascii="仿宋" w:eastAsia="仿宋"/>
          <w:sz w:val="32"/>
          <w:szCs w:val="32"/>
          <w:lang w:val="zh-CN" w:eastAsia="zh-CN"/>
        </w:rPr>
        <w:t>相关建设：无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sz w:val="32"/>
          <w:szCs w:val="32"/>
          <w:lang w:val="zh-CN" w:eastAsia="zh-CN"/>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r>
        <w:rPr>
          <w:rFonts w:hint="eastAsia" w:ascii="仿宋" w:eastAsia="仿宋"/>
          <w:sz w:val="32"/>
          <w:szCs w:val="32"/>
        </w:rPr>
        <w:t xml:space="preserve"> </w:t>
      </w: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r>
        <w:rPr>
          <w:rFonts w:hint="eastAsia" w:ascii="仿宋" w:eastAsia="仿宋"/>
          <w:sz w:val="32"/>
          <w:szCs w:val="32"/>
        </w:rPr>
        <w:t xml:space="preserve"> </w:t>
      </w: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keepNext w:val="0"/>
        <w:keepLines w:val="0"/>
        <w:pageBreakBefore w:val="0"/>
        <w:widowControl w:val="0"/>
        <w:tabs>
          <w:tab w:val="left" w:pos="1440"/>
        </w:tabs>
        <w:kinsoku/>
        <w:wordWrap/>
        <w:overflowPunct/>
        <w:topLinePunct w:val="0"/>
        <w:autoSpaceDE/>
        <w:autoSpaceDN/>
        <w:spacing w:line="600" w:lineRule="exact"/>
        <w:ind w:left="97" w:firstLine="1620" w:firstLineChars="450"/>
        <w:rPr>
          <w:rFonts w:hint="eastAsia" w:ascii="仿宋" w:eastAsia="仿宋"/>
          <w:sz w:val="36"/>
          <w:szCs w:val="36"/>
        </w:rPr>
      </w:pPr>
    </w:p>
    <w:p>
      <w:pPr>
        <w:keepNext w:val="0"/>
        <w:keepLines w:val="0"/>
        <w:pageBreakBefore w:val="0"/>
        <w:widowControl w:val="0"/>
        <w:tabs>
          <w:tab w:val="left" w:pos="1440"/>
        </w:tabs>
        <w:kinsoku/>
        <w:wordWrap/>
        <w:overflowPunct/>
        <w:topLinePunct w:val="0"/>
        <w:autoSpaceDE/>
        <w:autoSpaceDN/>
        <w:spacing w:line="600" w:lineRule="exact"/>
        <w:ind w:left="97" w:firstLine="1620" w:firstLineChars="450"/>
        <w:rPr>
          <w:rFonts w:hint="eastAsia" w:ascii="仿宋" w:eastAsia="仿宋"/>
          <w:sz w:val="36"/>
          <w:szCs w:val="36"/>
        </w:rPr>
      </w:pPr>
    </w:p>
    <w:p>
      <w:pPr>
        <w:keepNext w:val="0"/>
        <w:keepLines w:val="0"/>
        <w:pageBreakBefore w:val="0"/>
        <w:widowControl w:val="0"/>
        <w:tabs>
          <w:tab w:val="left" w:pos="1440"/>
        </w:tabs>
        <w:kinsoku/>
        <w:wordWrap/>
        <w:overflowPunct/>
        <w:topLinePunct w:val="0"/>
        <w:autoSpaceDE/>
        <w:autoSpaceDN/>
        <w:spacing w:line="600" w:lineRule="exact"/>
        <w:ind w:left="97" w:firstLine="1620" w:firstLineChars="450"/>
        <w:rPr>
          <w:rFonts w:hint="eastAsia" w:ascii="仿宋" w:eastAsia="仿宋"/>
          <w:sz w:val="36"/>
          <w:szCs w:val="36"/>
        </w:rPr>
      </w:pPr>
      <w:r>
        <w:rPr>
          <w:rFonts w:hint="eastAsia" w:ascii="仿宋" w:eastAsia="仿宋"/>
          <w:sz w:val="36"/>
          <w:szCs w:val="36"/>
        </w:rPr>
        <w:t>茂县应急物资储备库</w:t>
      </w:r>
      <w:r>
        <w:rPr>
          <w:rFonts w:hint="eastAsia" w:ascii="仿宋" w:eastAsia="仿宋"/>
          <w:sz w:val="36"/>
          <w:szCs w:val="36"/>
          <w:lang w:eastAsia="zh-CN"/>
        </w:rPr>
        <w:t>专项预算项目</w:t>
      </w:r>
    </w:p>
    <w:p>
      <w:pPr>
        <w:keepNext w:val="0"/>
        <w:keepLines w:val="0"/>
        <w:pageBreakBefore w:val="0"/>
        <w:widowControl w:val="0"/>
        <w:tabs>
          <w:tab w:val="left" w:pos="1440"/>
        </w:tabs>
        <w:kinsoku/>
        <w:wordWrap/>
        <w:overflowPunct/>
        <w:topLinePunct w:val="0"/>
        <w:autoSpaceDE/>
        <w:autoSpaceDN/>
        <w:spacing w:line="600" w:lineRule="exact"/>
        <w:jc w:val="center"/>
        <w:rPr>
          <w:rFonts w:hint="eastAsia" w:ascii="仿宋" w:eastAsia="仿宋"/>
          <w:sz w:val="36"/>
          <w:szCs w:val="36"/>
        </w:rPr>
      </w:pPr>
      <w:r>
        <w:rPr>
          <w:rFonts w:hint="eastAsia" w:ascii="仿宋" w:eastAsia="仿宋"/>
          <w:sz w:val="36"/>
          <w:szCs w:val="36"/>
        </w:rPr>
        <w:t>自评报告</w:t>
      </w:r>
    </w:p>
    <w:p>
      <w:pPr>
        <w:adjustRightInd w:val="0"/>
        <w:snapToGrid w:val="0"/>
        <w:spacing w:line="600" w:lineRule="exact"/>
        <w:ind w:firstLine="0"/>
        <w:rPr>
          <w:rFonts w:hint="eastAsia" w:ascii="仿宋" w:eastAsia="仿宋"/>
          <w:sz w:val="32"/>
          <w:szCs w:val="32"/>
          <w:lang w:val="zh-CN" w:eastAsia="zh-CN"/>
        </w:rPr>
      </w:pPr>
      <w:r>
        <w:rPr>
          <w:rFonts w:hint="eastAsia" w:ascii="仿宋" w:eastAsia="仿宋"/>
          <w:color w:val="auto"/>
          <w:kern w:val="2"/>
          <w:sz w:val="32"/>
          <w:szCs w:val="32"/>
        </w:rPr>
        <w:t>一、</w:t>
      </w:r>
      <w:r>
        <w:rPr>
          <w:rFonts w:hint="eastAsia" w:ascii="仿宋" w:eastAsia="仿宋"/>
          <w:sz w:val="32"/>
          <w:szCs w:val="32"/>
          <w:lang w:val="zh-CN" w:eastAsia="zh-CN"/>
        </w:rPr>
        <w:t>项目概况</w:t>
      </w:r>
    </w:p>
    <w:p>
      <w:pPr>
        <w:adjustRightInd w:val="0"/>
        <w:snapToGrid w:val="0"/>
        <w:spacing w:line="600" w:lineRule="exact"/>
        <w:ind w:left="0" w:firstLine="800" w:firstLineChars="250"/>
        <w:rPr>
          <w:rFonts w:hint="eastAsia" w:ascii="仿宋" w:eastAsia="仿宋" w:cs="宋体"/>
          <w:color w:val="000000"/>
          <w:sz w:val="32"/>
          <w:szCs w:val="32"/>
          <w:lang w:val="zh-CN" w:eastAsia="zh-CN" w:bidi="ar-SA"/>
        </w:rPr>
      </w:pPr>
      <w:r>
        <w:rPr>
          <w:rFonts w:hint="eastAsia" w:ascii="仿宋" w:eastAsia="仿宋" w:cs="宋体"/>
          <w:color w:val="000000"/>
          <w:sz w:val="32"/>
          <w:szCs w:val="32"/>
          <w:lang w:val="zh-CN" w:eastAsia="zh-CN" w:bidi="ar-SA"/>
        </w:rPr>
        <w:t>1、茂县应急物资储备库建设项目属于2021年灾后恢复重建和综合防灾减灾能力建设专项中央预算内投资项目，项目业主为茂县粮食和物资储备中心，具体对项目实施。主管监督单位为茂县发展和改革局，具体对项目进行监督实施。</w:t>
      </w:r>
    </w:p>
    <w:p>
      <w:pPr>
        <w:adjustRightInd w:val="0"/>
        <w:snapToGrid w:val="0"/>
        <w:spacing w:line="600" w:lineRule="exact"/>
        <w:ind w:firstLine="720"/>
        <w:rPr>
          <w:rFonts w:hint="eastAsia" w:ascii="仿宋" w:eastAsia="仿宋" w:cs="宋体"/>
          <w:color w:val="000000"/>
          <w:sz w:val="32"/>
          <w:szCs w:val="32"/>
          <w:lang w:val="zh-CN" w:eastAsia="zh-CN" w:bidi="ar-SA"/>
        </w:rPr>
      </w:pPr>
      <w:r>
        <w:rPr>
          <w:rFonts w:hint="eastAsia" w:ascii="仿宋" w:eastAsia="仿宋" w:cs="宋体"/>
          <w:color w:val="000000"/>
          <w:sz w:val="32"/>
          <w:szCs w:val="32"/>
          <w:lang w:val="zh-CN" w:eastAsia="zh-CN" w:bidi="ar-SA"/>
        </w:rPr>
        <w:t>2、项目立项批复为茂发改行审(2020)32号。资金申报的依据为综合防灾减灾能力和应急设施建设项目。项目建设地址在茂县叠溪镇。项目批复总投资520万元。实际到位资金424万元，其中：中央预算内投资382万元，省配套42万元。项目建设规模为新建800平方米应急储备仓库、三通一平及设施设备采购。</w:t>
      </w:r>
    </w:p>
    <w:p>
      <w:pPr>
        <w:adjustRightInd w:val="0"/>
        <w:snapToGrid w:val="0"/>
        <w:spacing w:line="600" w:lineRule="exact"/>
        <w:ind w:firstLine="720"/>
        <w:rPr>
          <w:rFonts w:hint="eastAsia" w:ascii="仿宋" w:eastAsia="仿宋" w:cs="宋体"/>
          <w:color w:val="000000"/>
          <w:sz w:val="32"/>
          <w:szCs w:val="32"/>
          <w:lang w:val="zh-CN" w:eastAsia="zh-CN" w:bidi="ar-SA"/>
        </w:rPr>
      </w:pPr>
      <w:r>
        <w:rPr>
          <w:rFonts w:hint="eastAsia" w:ascii="仿宋" w:eastAsia="仿宋" w:cs="宋体"/>
          <w:color w:val="000000"/>
          <w:sz w:val="32"/>
          <w:szCs w:val="32"/>
          <w:lang w:val="zh-CN" w:eastAsia="zh-CN" w:bidi="ar-SA"/>
        </w:rPr>
        <w:t>3、制定了项目建设资金支付管理办法，明确了资金使用范围和方向。</w:t>
      </w:r>
    </w:p>
    <w:p>
      <w:pPr>
        <w:adjustRightInd w:val="0"/>
        <w:snapToGrid w:val="0"/>
        <w:spacing w:line="600" w:lineRule="exact"/>
        <w:ind w:left="0"/>
        <w:rPr>
          <w:rFonts w:hint="eastAsia" w:ascii="仿宋" w:eastAsia="仿宋" w:cs="宋体"/>
          <w:color w:val="FF0000"/>
          <w:sz w:val="32"/>
          <w:szCs w:val="32"/>
          <w:lang w:val="zh-CN" w:eastAsia="zh-CN" w:bidi="ar-SA"/>
        </w:rPr>
      </w:pPr>
      <w:r>
        <w:rPr>
          <w:rFonts w:hint="eastAsia" w:ascii="仿宋" w:eastAsia="仿宋"/>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ab/>
      </w:r>
      <w:r>
        <w:rPr>
          <w:rFonts w:hint="eastAsia" w:ascii="仿宋" w:eastAsia="仿宋"/>
          <w:sz w:val="32"/>
          <w:szCs w:val="32"/>
          <w:lang w:val="zh-CN" w:eastAsia="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color w:val="000000"/>
          <w:sz w:val="32"/>
          <w:szCs w:val="32"/>
          <w:lang w:val="zh-CN" w:eastAsia="zh-CN"/>
        </w:rPr>
      </w:pPr>
      <w:r>
        <w:rPr>
          <w:rFonts w:hint="eastAsia" w:ascii="仿宋" w:eastAsia="仿宋"/>
          <w:sz w:val="32"/>
          <w:szCs w:val="32"/>
          <w:lang w:val="zh-CN" w:eastAsia="zh-CN"/>
        </w:rPr>
        <w:t>1．资金计划及到位。该项目计划批复总投资520万元，截止评价时点实际到位资金424万元，其中</w:t>
      </w:r>
      <w:r>
        <w:rPr>
          <w:rFonts w:hint="eastAsia" w:ascii="仿宋" w:eastAsia="仿宋" w:cs="宋体"/>
          <w:color w:val="000000"/>
          <w:sz w:val="32"/>
          <w:szCs w:val="32"/>
          <w:lang w:val="zh-CN" w:eastAsia="zh-CN" w:bidi="ar-SA"/>
        </w:rPr>
        <w:t>中央预算内投资到位382万元，省配套到位42万元。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2．资金使用。截止评价时点项目资金实际支出60.02824万元。其中：项目工程款按合同约定支付278022.45元，项目三通一平按工程量和合同约定支付64320元，项目二类费用按相关收费标准和合同约定支付257940元。资金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color w:val="C0504D"/>
          <w:sz w:val="32"/>
          <w:szCs w:val="32"/>
          <w:lang w:val="zh-CN" w:eastAsia="zh-CN"/>
        </w:rPr>
      </w:pPr>
      <w:r>
        <w:rPr>
          <w:rFonts w:hint="eastAsia" w:ascii="仿宋" w:eastAsia="仿宋"/>
          <w:sz w:val="32"/>
          <w:szCs w:val="32"/>
          <w:lang w:val="zh-CN" w:eastAsia="zh-CN"/>
        </w:rPr>
        <w:t>（二）项目财务管理情况。</w:t>
      </w:r>
    </w:p>
    <w:p>
      <w:pPr>
        <w:adjustRightInd w:val="0"/>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该项目按照招投标和政府采购相关政策要求，以政府采购公开挂网进行招标。严格按照项目建设相关程序规定进行项目建设管理，项目建设相关手续齐备，组织管理机构建全，监管措施完善。严格按照项目建设相关程序和规定实施项目建设。</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rPr>
        <w:t>三、项目绩效情况</w:t>
      </w:r>
      <w:r>
        <w:rPr>
          <w:rFonts w:hint="eastAsia" w:ascii="仿宋" w:eastAsia="仿宋"/>
          <w:sz w:val="32"/>
          <w:szCs w:val="32"/>
          <w:lang w:val="zh-CN" w:eastAsia="zh-CN"/>
        </w:rPr>
        <w:tab/>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 w:eastAsia="仿宋"/>
          <w:sz w:val="32"/>
          <w:szCs w:val="32"/>
          <w:lang w:val="zh-CN" w:eastAsia="zh-CN"/>
        </w:rPr>
      </w:pPr>
      <w:r>
        <w:rPr>
          <w:rFonts w:hint="eastAsia" w:ascii="仿宋" w:eastAsia="仿宋"/>
          <w:sz w:val="32"/>
          <w:szCs w:val="32"/>
          <w:lang w:val="zh-CN" w:eastAsia="zh-CN"/>
        </w:rPr>
        <w:t>（一）项目完成情况。项目已全面完成。</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sz w:val="32"/>
          <w:szCs w:val="32"/>
          <w:lang w:val="zh-CN" w:eastAsia="zh-CN"/>
        </w:rPr>
      </w:pPr>
      <w:r>
        <w:rPr>
          <w:rFonts w:hint="eastAsia" w:ascii="仿宋" w:eastAsia="仿宋"/>
          <w:sz w:val="32"/>
          <w:szCs w:val="32"/>
          <w:lang w:val="zh-CN" w:eastAsia="zh-CN"/>
        </w:rPr>
        <w:t>（二）项目效益情况。该项目建成后将大大提高我县的应急物资储备能力，能满足全县应急物资储备的需要，填补了该乡镇无应急物资储备库的空白。</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rPr>
      </w:pPr>
      <w:r>
        <w:rPr>
          <w:rFonts w:hint="eastAsia" w:ascii="仿宋" w:eastAsia="仿宋"/>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（一）存在的问题。无</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eastAsia="仿宋"/>
          <w:sz w:val="32"/>
          <w:szCs w:val="32"/>
          <w:lang w:val="zh-CN" w:eastAsia="zh-CN"/>
        </w:rPr>
      </w:pPr>
      <w:r>
        <w:rPr>
          <w:rFonts w:hint="eastAsia" w:ascii="仿宋" w:eastAsia="仿宋"/>
          <w:sz w:val="32"/>
          <w:szCs w:val="32"/>
          <w:lang w:val="zh-CN" w:eastAsia="zh-CN"/>
        </w:rPr>
        <w:t>（二）相关建议。无</w:t>
      </w: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r>
        <w:rPr>
          <w:rFonts w:hint="eastAsia" w:ascii="仿宋" w:eastAsia="仿宋"/>
          <w:sz w:val="32"/>
          <w:szCs w:val="32"/>
        </w:rPr>
        <w:t xml:space="preserve"> </w:t>
      </w:r>
    </w:p>
    <w:p>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pPr>
        <w:keepNext w:val="0"/>
        <w:keepLines w:val="0"/>
        <w:pageBreakBefore w:val="0"/>
        <w:widowControl w:val="0"/>
        <w:suppressLineNumbers w:val="0"/>
        <w:suppressAutoHyphens/>
        <w:kinsoku/>
        <w:wordWrap/>
        <w:overflowPunct/>
        <w:topLinePunct w:val="0"/>
        <w:snapToGrid/>
        <w:spacing w:line="600" w:lineRule="exact"/>
        <w:ind w:left="0" w:firstLine="420" w:firstLineChars="200"/>
        <w:jc w:val="center"/>
        <w:outlineLvl w:val="0"/>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auto"/>
    <w:pitch w:val="default"/>
    <w:sig w:usb0="00000000" w:usb1="00000000" w:usb2="00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
    <w:altName w:val="DejaVu San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Lucida Sans">
    <w:altName w:val="仿宋_GB2312"/>
    <w:panose1 w:val="00000000000000000000"/>
    <w:charset w:val="01"/>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pBdr>
        <w:top w:val="none" w:color="auto" w:sz="0" w:space="0"/>
        <w:left w:val="none" w:color="auto" w:sz="0" w:space="0"/>
        <w:bottom w:val="none" w:color="auto" w:sz="0" w:space="0"/>
        <w:right w:val="none" w:color="auto" w:sz="0" w:space="0"/>
      </w:pBdr>
    </w:pPr>
    <w:r>
      <w:rPr>
        <w:rStyle w:val="18"/>
      </w:rPr>
      <w:fldChar w:fldCharType="begin"/>
    </w:r>
    <w:r>
      <w:rPr>
        <w:rStyle w:val="18"/>
      </w:rPr>
      <w:instrText xml:space="preserve">Page</w:instrText>
    </w:r>
    <w:r>
      <w:rPr>
        <w:rStyle w:val="18"/>
      </w:rPr>
      <w:fldChar w:fldCharType="separate"/>
    </w:r>
    <w:r>
      <w:rPr>
        <w:rStyle w:val="18"/>
      </w:rPr>
      <w:t>1</w:t>
    </w:r>
    <w:r>
      <w:rPr>
        <w:rStyle w:val="1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pBdr>
        <w:top w:val="none" w:color="auto" w:sz="0" w:space="0"/>
        <w:left w:val="none" w:color="auto" w:sz="0" w:space="0"/>
        <w:bottom w:val="none" w:color="auto" w:sz="0" w:space="0"/>
        <w:right w:val="none" w:color="auto" w:sz="0" w:space="0"/>
      </w:pBdr>
    </w:pPr>
    <w:r>
      <w:rPr>
        <w:rStyle w:val="18"/>
      </w:rPr>
      <w:fldChar w:fldCharType="begin"/>
    </w:r>
    <w:r>
      <w:rPr>
        <w:rStyle w:val="18"/>
      </w:rPr>
      <w:instrText xml:space="preserve">Page</w:instrText>
    </w:r>
    <w:r>
      <w:rPr>
        <w:rStyle w:val="18"/>
      </w:rPr>
      <w:fldChar w:fldCharType="separate"/>
    </w:r>
    <w:r>
      <w:rPr>
        <w:rStyle w:val="18"/>
      </w:rPr>
      <w:t>1</w:t>
    </w:r>
    <w:r>
      <w:rPr>
        <w:rStyle w:val="1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ind w:left="1440" w:firstLine="65176"/>
      </w:pPr>
    </w:lvl>
    <w:lvl w:ilvl="2" w:tentative="0">
      <w:start w:val="1"/>
      <w:numFmt w:val="decimal"/>
      <w:lvlText w:val="%3."/>
      <w:lvlJc w:val="left"/>
      <w:pPr>
        <w:ind w:left="2160" w:firstLine="65176"/>
      </w:pPr>
    </w:lvl>
    <w:lvl w:ilvl="3" w:tentative="0">
      <w:start w:val="1"/>
      <w:numFmt w:val="decimal"/>
      <w:lvlText w:val="%4."/>
      <w:lvlJc w:val="left"/>
      <w:pPr>
        <w:ind w:left="2880" w:firstLine="65176"/>
      </w:pPr>
    </w:lvl>
    <w:lvl w:ilvl="4" w:tentative="0">
      <w:start w:val="1"/>
      <w:numFmt w:val="decimal"/>
      <w:lvlText w:val="%5."/>
      <w:lvlJc w:val="left"/>
      <w:pPr>
        <w:ind w:left="3600" w:firstLine="65176"/>
      </w:pPr>
    </w:lvl>
    <w:lvl w:ilvl="5" w:tentative="0">
      <w:start w:val="1"/>
      <w:numFmt w:val="decimal"/>
      <w:lvlText w:val="%6."/>
      <w:lvlJc w:val="left"/>
      <w:pPr>
        <w:ind w:left="4320" w:firstLine="65176"/>
      </w:pPr>
    </w:lvl>
    <w:lvl w:ilvl="6" w:tentative="0">
      <w:start w:val="1"/>
      <w:numFmt w:val="decimal"/>
      <w:lvlText w:val="%7."/>
      <w:lvlJc w:val="left"/>
      <w:pPr>
        <w:ind w:left="5040" w:firstLine="65176"/>
      </w:pPr>
    </w:lvl>
    <w:lvl w:ilvl="7" w:tentative="0">
      <w:start w:val="1"/>
      <w:numFmt w:val="decimal"/>
      <w:lvlText w:val="%8."/>
      <w:lvlJc w:val="left"/>
      <w:pPr>
        <w:ind w:left="5760" w:firstLine="65176"/>
      </w:pPr>
    </w:lvl>
    <w:lvl w:ilvl="8" w:tentative="0">
      <w:start w:val="1"/>
      <w:numFmt w:val="decimal"/>
      <w:lvlText w:val="%9."/>
      <w:lvlJc w:val="left"/>
      <w:pPr>
        <w:ind w:left="6480" w:firstLine="65176"/>
      </w:pPr>
    </w:lvl>
  </w:abstractNum>
  <w:abstractNum w:abstractNumId="1">
    <w:nsid w:val="E4761AC5"/>
    <w:multiLevelType w:val="multilevel"/>
    <w:tmpl w:val="E4761AC5"/>
    <w:lvl w:ilvl="0" w:tentative="0">
      <w:start w:val="1"/>
      <w:numFmt w:val="chineseCountingThousand"/>
      <w:lvlText w:val="%1、"/>
      <w:lvlJc w:val="left"/>
      <w:pPr>
        <w:ind w:left="1120" w:hanging="640"/>
      </w:pPr>
      <w:rPr>
        <w:rFonts w:hint="default" w:ascii="黑体" w:hAnsi="黑体" w:eastAsia="黑体"/>
        <w:sz w:val="32"/>
        <w:szCs w:val="32"/>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EE7C0A43"/>
    <w:multiLevelType w:val="singleLevel"/>
    <w:tmpl w:val="EE7C0A43"/>
    <w:lvl w:ilvl="0" w:tentative="0">
      <w:start w:val="1"/>
      <w:numFmt w:val="chineseCounting"/>
      <w:suff w:val="nothing"/>
      <w:lvlText w:val="%1、"/>
      <w:legacy w:legacy="1" w:legacySpace="0" w:legacyIndent="420"/>
      <w:lvlJc w:val="left"/>
      <w:pPr>
        <w:ind w:left="0" w:firstLine="420"/>
      </w:pPr>
      <w:rPr>
        <w:rFonts w:hint="eastAsia" w:cs="Times New Roman"/>
      </w:rPr>
    </w:lvl>
  </w:abstractNum>
  <w:abstractNum w:abstractNumId="3">
    <w:nsid w:val="04C0CDA7"/>
    <w:multiLevelType w:val="multilevel"/>
    <w:tmpl w:val="04C0CDA7"/>
    <w:lvl w:ilvl="0" w:tentative="0">
      <w:start w:val="1"/>
      <w:numFmt w:val="chineseCountingThousand"/>
      <w:lvlText w:val="（%1）"/>
      <w:legacy w:legacy="1" w:legacySpace="0" w:legacyIndent="899"/>
      <w:lvlJc w:val="left"/>
      <w:pPr>
        <w:ind w:left="1619" w:hanging="899"/>
      </w:pPr>
    </w:lvl>
    <w:lvl w:ilvl="1" w:tentative="0">
      <w:start w:val="1"/>
      <w:numFmt w:val="lowerLetter"/>
      <w:lvlText w:val="%2)"/>
      <w:legacy w:legacy="1" w:legacySpace="0" w:legacyIndent="420"/>
      <w:lvlJc w:val="left"/>
      <w:pPr>
        <w:ind w:left="1560" w:hanging="420"/>
      </w:pPr>
    </w:lvl>
    <w:lvl w:ilvl="2" w:tentative="0">
      <w:start w:val="1"/>
      <w:numFmt w:val="lowerRoman"/>
      <w:lvlText w:val="%3."/>
      <w:legacy w:legacy="1" w:legacySpace="0" w:legacyIndent="420"/>
      <w:lvlJc w:val="right"/>
      <w:pPr>
        <w:ind w:left="1980" w:hanging="420"/>
      </w:pPr>
    </w:lvl>
    <w:lvl w:ilvl="3" w:tentative="0">
      <w:start w:val="1"/>
      <w:numFmt w:val="decimal"/>
      <w:lvlText w:val="%4."/>
      <w:legacy w:legacy="1" w:legacySpace="0" w:legacyIndent="420"/>
      <w:lvlJc w:val="left"/>
      <w:pPr>
        <w:ind w:left="2400" w:hanging="420"/>
      </w:pPr>
    </w:lvl>
    <w:lvl w:ilvl="4" w:tentative="0">
      <w:start w:val="1"/>
      <w:numFmt w:val="lowerLetter"/>
      <w:lvlText w:val="%5)"/>
      <w:legacy w:legacy="1" w:legacySpace="0" w:legacyIndent="420"/>
      <w:lvlJc w:val="left"/>
      <w:pPr>
        <w:ind w:left="2820" w:hanging="420"/>
      </w:pPr>
    </w:lvl>
    <w:lvl w:ilvl="5" w:tentative="0">
      <w:start w:val="1"/>
      <w:numFmt w:val="lowerRoman"/>
      <w:lvlText w:val="%6."/>
      <w:legacy w:legacy="1" w:legacySpace="0" w:legacyIndent="420"/>
      <w:lvlJc w:val="right"/>
      <w:pPr>
        <w:ind w:left="3240" w:hanging="420"/>
      </w:pPr>
    </w:lvl>
    <w:lvl w:ilvl="6" w:tentative="0">
      <w:start w:val="1"/>
      <w:numFmt w:val="decimal"/>
      <w:lvlText w:val="%7."/>
      <w:legacy w:legacy="1" w:legacySpace="0" w:legacyIndent="420"/>
      <w:lvlJc w:val="left"/>
      <w:pPr>
        <w:ind w:left="3660" w:hanging="420"/>
      </w:pPr>
    </w:lvl>
    <w:lvl w:ilvl="7" w:tentative="0">
      <w:start w:val="1"/>
      <w:numFmt w:val="lowerLetter"/>
      <w:lvlText w:val="%8)"/>
      <w:legacy w:legacy="1" w:legacySpace="0" w:legacyIndent="420"/>
      <w:lvlJc w:val="left"/>
      <w:pPr>
        <w:ind w:left="4080" w:hanging="420"/>
      </w:pPr>
    </w:lvl>
    <w:lvl w:ilvl="8" w:tentative="0">
      <w:start w:val="1"/>
      <w:numFmt w:val="lowerRoman"/>
      <w:lvlText w:val="%9."/>
      <w:legacy w:legacy="1" w:legacySpace="0" w:legacyIndent="420"/>
      <w:lvlJc w:val="right"/>
      <w:pPr>
        <w:ind w:left="4500" w:hanging="420"/>
      </w:pPr>
    </w:lvl>
  </w:abstractNum>
  <w:abstractNum w:abstractNumId="4">
    <w:nsid w:val="05963987"/>
    <w:multiLevelType w:val="singleLevel"/>
    <w:tmpl w:val="05963987"/>
    <w:lvl w:ilvl="0" w:tentative="0">
      <w:start w:val="1"/>
      <w:numFmt w:val="chineseCounting"/>
      <w:suff w:val="nothing"/>
      <w:lvlText w:val="（%1）"/>
      <w:legacy w:legacy="1" w:legacySpace="0" w:legacyIndent="420"/>
      <w:lvlJc w:val="left"/>
      <w:pPr>
        <w:ind w:left="0" w:firstLine="420"/>
      </w:pPr>
      <w:rPr>
        <w:rFonts w:hint="eastAsia" w:cs="Times New Roman"/>
      </w:rPr>
    </w:lvl>
  </w:abstractNum>
  <w:abstractNum w:abstractNumId="5">
    <w:nsid w:val="131B624A"/>
    <w:multiLevelType w:val="multilevel"/>
    <w:tmpl w:val="131B624A"/>
    <w:lvl w:ilvl="0" w:tentative="0">
      <w:start w:val="1"/>
      <w:numFmt w:val="chineseCountingThousand"/>
      <w:lvlText w:val="%1、"/>
      <w:legacy w:legacy="1" w:legacySpace="0" w:legacyIndent="640"/>
      <w:lvlJc w:val="left"/>
      <w:pPr>
        <w:ind w:left="1360" w:hanging="640"/>
      </w:pPr>
    </w:lvl>
    <w:lvl w:ilvl="1" w:tentative="0">
      <w:start w:val="1"/>
      <w:numFmt w:val="lowerLetter"/>
      <w:lvlText w:val="%2)"/>
      <w:legacy w:legacy="1" w:legacySpace="0" w:legacyIndent="420"/>
      <w:lvlJc w:val="left"/>
      <w:pPr>
        <w:ind w:left="1560" w:hanging="420"/>
      </w:pPr>
    </w:lvl>
    <w:lvl w:ilvl="2" w:tentative="0">
      <w:start w:val="1"/>
      <w:numFmt w:val="lowerRoman"/>
      <w:lvlText w:val="%3."/>
      <w:legacy w:legacy="1" w:legacySpace="0" w:legacyIndent="420"/>
      <w:lvlJc w:val="right"/>
      <w:pPr>
        <w:ind w:left="1980" w:hanging="420"/>
      </w:pPr>
    </w:lvl>
    <w:lvl w:ilvl="3" w:tentative="0">
      <w:start w:val="1"/>
      <w:numFmt w:val="decimal"/>
      <w:lvlText w:val="%4."/>
      <w:legacy w:legacy="1" w:legacySpace="0" w:legacyIndent="420"/>
      <w:lvlJc w:val="left"/>
      <w:pPr>
        <w:ind w:left="2400" w:hanging="420"/>
      </w:pPr>
    </w:lvl>
    <w:lvl w:ilvl="4" w:tentative="0">
      <w:start w:val="1"/>
      <w:numFmt w:val="lowerLetter"/>
      <w:lvlText w:val="%5)"/>
      <w:legacy w:legacy="1" w:legacySpace="0" w:legacyIndent="420"/>
      <w:lvlJc w:val="left"/>
      <w:pPr>
        <w:ind w:left="2820" w:hanging="420"/>
      </w:pPr>
    </w:lvl>
    <w:lvl w:ilvl="5" w:tentative="0">
      <w:start w:val="1"/>
      <w:numFmt w:val="lowerRoman"/>
      <w:lvlText w:val="%6."/>
      <w:legacy w:legacy="1" w:legacySpace="0" w:legacyIndent="420"/>
      <w:lvlJc w:val="right"/>
      <w:pPr>
        <w:ind w:left="3240" w:hanging="420"/>
      </w:pPr>
    </w:lvl>
    <w:lvl w:ilvl="6" w:tentative="0">
      <w:start w:val="1"/>
      <w:numFmt w:val="decimal"/>
      <w:lvlText w:val="%7."/>
      <w:legacy w:legacy="1" w:legacySpace="0" w:legacyIndent="420"/>
      <w:lvlJc w:val="left"/>
      <w:pPr>
        <w:ind w:left="3660" w:hanging="420"/>
      </w:pPr>
    </w:lvl>
    <w:lvl w:ilvl="7" w:tentative="0">
      <w:start w:val="1"/>
      <w:numFmt w:val="lowerLetter"/>
      <w:lvlText w:val="%8)"/>
      <w:legacy w:legacy="1" w:legacySpace="0" w:legacyIndent="420"/>
      <w:lvlJc w:val="left"/>
      <w:pPr>
        <w:ind w:left="4080" w:hanging="420"/>
      </w:pPr>
    </w:lvl>
    <w:lvl w:ilvl="8" w:tentative="0">
      <w:start w:val="1"/>
      <w:numFmt w:val="lowerRoman"/>
      <w:lvlText w:val="%9."/>
      <w:legacy w:legacy="1" w:legacySpace="0" w:legacyIndent="420"/>
      <w:lvlJc w:val="right"/>
      <w:pPr>
        <w:ind w:left="4500" w:hanging="420"/>
      </w:pPr>
    </w:lvl>
  </w:abstractNum>
  <w:abstractNum w:abstractNumId="6">
    <w:nsid w:val="4D8E4D30"/>
    <w:multiLevelType w:val="multilevel"/>
    <w:tmpl w:val="4D8E4D30"/>
    <w:lvl w:ilvl="0" w:tentative="0">
      <w:start w:val="1"/>
      <w:numFmt w:val="decimal"/>
      <w:lvlText w:val="（%1）"/>
      <w:lvlJc w:val="left"/>
      <w:pPr>
        <w:ind w:left="1264" w:hanging="704"/>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E795579"/>
    <w:multiLevelType w:val="singleLevel"/>
    <w:tmpl w:val="4E795579"/>
    <w:lvl w:ilvl="0" w:tentative="0">
      <w:start w:val="5"/>
      <w:numFmt w:val="chineseCounting"/>
      <w:suff w:val="space"/>
      <w:lvlText w:val="第%1部分"/>
      <w:lvlJc w:val="left"/>
      <w:pPr>
        <w:ind w:left="0" w:firstLine="0"/>
      </w:pPr>
      <w:rPr>
        <w:rFonts w:hint="eastAsia"/>
      </w:rPr>
    </w:lvl>
  </w:abstractNum>
  <w:abstractNum w:abstractNumId="8">
    <w:nsid w:val="512EB842"/>
    <w:multiLevelType w:val="multilevel"/>
    <w:tmpl w:val="512EB842"/>
    <w:lvl w:ilvl="0" w:tentative="0">
      <w:start w:val="1"/>
      <w:numFmt w:val="chineseCountingThousand"/>
      <w:lvlText w:val="（%1）"/>
      <w:legacy w:legacy="1" w:legacySpace="0" w:legacyIndent="969"/>
      <w:lvlJc w:val="left"/>
      <w:pPr>
        <w:ind w:left="1609" w:hanging="969"/>
      </w:pPr>
    </w:lvl>
    <w:lvl w:ilvl="1" w:tentative="0">
      <w:start w:val="1"/>
      <w:numFmt w:val="lowerLetter"/>
      <w:lvlText w:val="%2)"/>
      <w:legacy w:legacy="1" w:legacySpace="0" w:legacyIndent="420"/>
      <w:lvlJc w:val="left"/>
      <w:pPr>
        <w:ind w:left="1480" w:hanging="420"/>
      </w:pPr>
    </w:lvl>
    <w:lvl w:ilvl="2" w:tentative="0">
      <w:start w:val="1"/>
      <w:numFmt w:val="lowerRoman"/>
      <w:lvlText w:val="%3."/>
      <w:legacy w:legacy="1" w:legacySpace="0" w:legacyIndent="420"/>
      <w:lvlJc w:val="right"/>
      <w:pPr>
        <w:ind w:left="1900" w:hanging="420"/>
      </w:pPr>
    </w:lvl>
    <w:lvl w:ilvl="3" w:tentative="0">
      <w:start w:val="1"/>
      <w:numFmt w:val="decimal"/>
      <w:lvlText w:val="%4."/>
      <w:legacy w:legacy="1" w:legacySpace="0" w:legacyIndent="420"/>
      <w:lvlJc w:val="left"/>
      <w:pPr>
        <w:ind w:left="2320" w:hanging="420"/>
      </w:pPr>
    </w:lvl>
    <w:lvl w:ilvl="4" w:tentative="0">
      <w:start w:val="1"/>
      <w:numFmt w:val="lowerLetter"/>
      <w:lvlText w:val="%5)"/>
      <w:legacy w:legacy="1" w:legacySpace="0" w:legacyIndent="420"/>
      <w:lvlJc w:val="left"/>
      <w:pPr>
        <w:ind w:left="2740" w:hanging="420"/>
      </w:pPr>
    </w:lvl>
    <w:lvl w:ilvl="5" w:tentative="0">
      <w:start w:val="1"/>
      <w:numFmt w:val="lowerRoman"/>
      <w:lvlText w:val="%6."/>
      <w:legacy w:legacy="1" w:legacySpace="0" w:legacyIndent="420"/>
      <w:lvlJc w:val="right"/>
      <w:pPr>
        <w:ind w:left="3160" w:hanging="420"/>
      </w:pPr>
    </w:lvl>
    <w:lvl w:ilvl="6" w:tentative="0">
      <w:start w:val="1"/>
      <w:numFmt w:val="decimal"/>
      <w:lvlText w:val="%7."/>
      <w:legacy w:legacy="1" w:legacySpace="0" w:legacyIndent="420"/>
      <w:lvlJc w:val="left"/>
      <w:pPr>
        <w:ind w:left="3580" w:hanging="420"/>
      </w:pPr>
    </w:lvl>
    <w:lvl w:ilvl="7" w:tentative="0">
      <w:start w:val="1"/>
      <w:numFmt w:val="lowerLetter"/>
      <w:lvlText w:val="%8)"/>
      <w:legacy w:legacy="1" w:legacySpace="0" w:legacyIndent="420"/>
      <w:lvlJc w:val="left"/>
      <w:pPr>
        <w:ind w:left="4000" w:hanging="420"/>
      </w:pPr>
    </w:lvl>
    <w:lvl w:ilvl="8" w:tentative="0">
      <w:start w:val="1"/>
      <w:numFmt w:val="lowerRoman"/>
      <w:lvlText w:val="%9."/>
      <w:legacy w:legacy="1" w:legacySpace="0" w:legacyIndent="420"/>
      <w:lvlJc w:val="right"/>
      <w:pPr>
        <w:ind w:left="4420" w:hanging="420"/>
      </w:pPr>
    </w:lvl>
  </w:abstractNum>
  <w:num w:numId="1">
    <w:abstractNumId w:val="7"/>
  </w:num>
  <w:num w:numId="2">
    <w:abstractNumId w:val="0"/>
  </w:num>
  <w:num w:numId="3">
    <w:abstractNumId w:val="6"/>
  </w:num>
  <w:num w:numId="4">
    <w:abstractNumId w:val="2"/>
  </w:num>
  <w:num w:numId="5">
    <w:abstractNumId w:val="4"/>
  </w:num>
  <w:num w:numId="6">
    <w:abstractNumId w:val="5"/>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U1ZGEwNTAwNThhMTdmM2FhY2FlMzkwNDNiZWM0NGIifQ=="/>
    <w:docVar w:name="KSO_WPS_MARK_KEY" w:val="24d0312c-7052-40e3-aaec-667171814512"/>
  </w:docVars>
  <w:rsids>
    <w:rsidRoot w:val="00000000"/>
    <w:rsid w:val="FE7B23FF"/>
    <w:rsid w:val="FF3BB2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link w:val="19"/>
    <w:qFormat/>
    <w:uiPriority w:val="0"/>
    <w:pPr>
      <w:keepNext/>
      <w:keepLines/>
      <w:widowControl w:val="0"/>
      <w:suppressLineNumbers w:val="0"/>
      <w:suppressAutoHyphens/>
      <w:spacing w:before="340" w:beforeAutospacing="0" w:after="330" w:afterAutospacing="0" w:line="576" w:lineRule="auto"/>
      <w:jc w:val="both"/>
      <w:outlineLvl w:val="0"/>
    </w:pPr>
    <w:rPr>
      <w:rFonts w:ascii="Calibri" w:hAnsi="Calibri" w:eastAsia="宋体" w:cs="Times New Roman"/>
      <w:b/>
      <w:bCs/>
      <w:kern w:val="44"/>
      <w:sz w:val="44"/>
      <w:szCs w:val="44"/>
      <w:lang w:val="en-US" w:eastAsia="zh-CN"/>
    </w:rPr>
  </w:style>
  <w:style w:type="paragraph" w:styleId="4">
    <w:name w:val="heading 2"/>
    <w:basedOn w:val="1"/>
    <w:next w:val="1"/>
    <w:qFormat/>
    <w:uiPriority w:val="0"/>
    <w:pPr>
      <w:keepNext/>
      <w:keepLines/>
      <w:widowControl w:val="0"/>
      <w:suppressLineNumbers w:val="0"/>
      <w:suppressAutoHyphens/>
      <w:spacing w:before="260" w:beforeAutospacing="0" w:after="260" w:afterAutospacing="0" w:line="415" w:lineRule="auto"/>
      <w:jc w:val="both"/>
      <w:outlineLvl w:val="1"/>
    </w:pPr>
    <w:rPr>
      <w:rFonts w:ascii="Cambria" w:hAnsi="Cambria" w:eastAsia="宋体" w:cs="Times New Roman"/>
      <w:b/>
      <w:bCs/>
      <w:kern w:val="2"/>
      <w:sz w:val="32"/>
      <w:szCs w:val="32"/>
      <w:lang w:val="en-US" w:eastAsia="zh-CN"/>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sz w:val="32"/>
      <w:szCs w:val="21"/>
    </w:rPr>
  </w:style>
  <w:style w:type="paragraph" w:styleId="6">
    <w:name w:val="index 5"/>
    <w:basedOn w:val="1"/>
    <w:next w:val="1"/>
    <w:qFormat/>
    <w:uiPriority w:val="0"/>
    <w:pPr>
      <w:ind w:left="1680"/>
    </w:pPr>
  </w:style>
  <w:style w:type="paragraph" w:styleId="7">
    <w:name w:val="index 6"/>
    <w:basedOn w:val="1"/>
    <w:next w:val="1"/>
    <w:qFormat/>
    <w:uiPriority w:val="0"/>
    <w:pPr>
      <w:ind w:left="2100"/>
    </w:pPr>
  </w:style>
  <w:style w:type="paragraph" w:styleId="8">
    <w:name w:val="Body Text"/>
    <w:basedOn w:val="1"/>
    <w:qFormat/>
    <w:uiPriority w:val="0"/>
    <w:pPr>
      <w:keepNext w:val="0"/>
      <w:keepLines w:val="0"/>
      <w:widowControl w:val="0"/>
      <w:suppressLineNumbers w:val="0"/>
      <w:suppressAutoHyphens/>
      <w:spacing w:before="0" w:beforeAutospacing="0" w:after="140" w:afterAutospacing="0" w:line="274" w:lineRule="auto"/>
      <w:jc w:val="both"/>
    </w:pPr>
    <w:rPr>
      <w:rFonts w:ascii="Calibri" w:hAnsi="Calibri" w:eastAsia="宋体" w:cs="Times New Roman"/>
      <w:kern w:val="2"/>
      <w:sz w:val="21"/>
      <w:szCs w:val="21"/>
      <w:lang w:val="en-US" w:eastAsia="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keepNext w:val="0"/>
      <w:keepLines w:val="0"/>
      <w:widowControl w:val="0"/>
      <w:suppressLineNumbers w:val="0"/>
      <w:suppressAutoHyphens/>
      <w:spacing w:before="93" w:beforeAutospacing="0"/>
      <w:jc w:val="center"/>
    </w:pPr>
    <w:rPr>
      <w:rFonts w:ascii="仿宋" w:eastAsia="仿宋" w:cs="Times New Roman"/>
      <w:kern w:val="2"/>
      <w:sz w:val="28"/>
      <w:szCs w:val="28"/>
      <w:lang w:val="en-US" w:eastAsia="zh-CN"/>
    </w:rPr>
  </w:style>
  <w:style w:type="paragraph" w:styleId="12">
    <w:name w:val="index 7"/>
    <w:basedOn w:val="1"/>
    <w:next w:val="1"/>
    <w:qFormat/>
    <w:uiPriority w:val="0"/>
    <w:pPr>
      <w:ind w:left="2520"/>
    </w:pPr>
  </w:style>
  <w:style w:type="paragraph" w:styleId="13">
    <w:name w:val="toc 2"/>
    <w:basedOn w:val="1"/>
    <w:next w:val="1"/>
    <w:qFormat/>
    <w:uiPriority w:val="0"/>
    <w:pPr>
      <w:keepNext w:val="0"/>
      <w:keepLines w:val="0"/>
      <w:widowControl w:val="0"/>
      <w:suppressLineNumbers w:val="0"/>
      <w:suppressAutoHyphens/>
      <w:ind w:left="200" w:leftChars="200"/>
      <w:jc w:val="both"/>
    </w:pPr>
    <w:rPr>
      <w:rFonts w:ascii="Calibri" w:hAnsi="Calibri" w:eastAsia="宋体" w:cs="Times New Roman"/>
      <w:kern w:val="2"/>
      <w:sz w:val="21"/>
      <w:szCs w:val="21"/>
      <w:lang w:val="en-US" w:eastAsia="zh-CN"/>
    </w:rPr>
  </w:style>
  <w:style w:type="paragraph" w:styleId="14">
    <w:name w:val="Body Text First Indent 2"/>
    <w:qFormat/>
    <w:uiPriority w:val="0"/>
    <w:pPr>
      <w:keepNext w:val="0"/>
      <w:keepLines w:val="0"/>
      <w:widowControl w:val="0"/>
      <w:suppressLineNumbers w:val="0"/>
      <w:suppressAutoHyphens/>
      <w:spacing w:after="120" w:afterAutospacing="0"/>
      <w:ind w:left="200" w:leftChars="200" w:firstLine="200" w:firstLineChars="200"/>
      <w:jc w:val="both"/>
    </w:pPr>
    <w:rPr>
      <w:rFonts w:ascii="仿宋_GB2312" w:hAnsi="仿宋_GB2312" w:eastAsia="宋体" w:cs="Times New Roman"/>
      <w:kern w:val="2"/>
      <w:sz w:val="21"/>
      <w:szCs w:val="21"/>
      <w:lang w:val="en-US" w:eastAsia="zh-CN" w:bidi="ar-SA"/>
    </w:rPr>
  </w:style>
  <w:style w:type="character" w:styleId="17">
    <w:name w:val="Strong"/>
    <w:qFormat/>
    <w:uiPriority w:val="0"/>
    <w:rPr>
      <w:b/>
    </w:rPr>
  </w:style>
  <w:style w:type="character" w:styleId="18">
    <w:name w:val="page number"/>
    <w:basedOn w:val="16"/>
    <w:qFormat/>
    <w:uiPriority w:val="0"/>
  </w:style>
  <w:style w:type="character" w:customStyle="1" w:styleId="19">
    <w:name w:val="heading 1 Char"/>
    <w:basedOn w:val="16"/>
    <w:link w:val="3"/>
    <w:qFormat/>
    <w:uiPriority w:val="0"/>
    <w:rPr>
      <w:rFonts w:ascii="Calibri" w:hAnsi="Calibri" w:eastAsia="宋体" w:cs="Times New Roman"/>
      <w:b/>
      <w:bCs/>
      <w:kern w:val="44"/>
      <w:sz w:val="44"/>
      <w:szCs w:val="44"/>
      <w:lang w:val="en-US" w:eastAsia="zh-CN" w:bidi="ar-SA"/>
    </w:rPr>
  </w:style>
  <w:style w:type="character" w:customStyle="1" w:styleId="20">
    <w:name w:val="10"/>
    <w:basedOn w:val="16"/>
    <w:qFormat/>
    <w:uiPriority w:val="0"/>
    <w:rPr>
      <w:rFonts w:ascii="Times New Roman" w:hAnsi="Times New Roman" w:cs="Times New Roman"/>
    </w:rPr>
  </w:style>
  <w:style w:type="character" w:customStyle="1" w:styleId="21">
    <w:name w:val="16"/>
    <w:basedOn w:val="16"/>
    <w:qFormat/>
    <w:uiPriority w:val="0"/>
    <w:rPr>
      <w:rFonts w:ascii="Times New Roman" w:hAnsi="Times New Roman" w:cs="Times New Roman"/>
      <w:b/>
      <w:bCs/>
      <w:kern w:val="44"/>
      <w:sz w:val="44"/>
      <w:szCs w:val="44"/>
    </w:rPr>
  </w:style>
  <w:style w:type="character" w:customStyle="1" w:styleId="22">
    <w:name w:val="15"/>
    <w:basedOn w:val="16"/>
    <w:qFormat/>
    <w:uiPriority w:val="0"/>
    <w:rPr>
      <w:rFonts w:ascii="Times New Roman" w:hAnsi="Times New Roman" w:cs="Times New Roman"/>
      <w:b/>
    </w:rPr>
  </w:style>
  <w:style w:type="character" w:customStyle="1" w:styleId="23">
    <w:name w:val="17"/>
    <w:basedOn w:val="16"/>
    <w:qFormat/>
    <w:uiPriority w:val="0"/>
    <w:rPr>
      <w:rFonts w:ascii="Cambria" w:hAnsi="Cambria" w:eastAsia="宋体" w:cs="Times New Roman"/>
      <w:b/>
      <w:bCs/>
      <w:sz w:val="32"/>
      <w:szCs w:val="32"/>
    </w:rPr>
  </w:style>
  <w:style w:type="paragraph" w:customStyle="1" w:styleId="24">
    <w:name w:val="List Paragraph"/>
    <w:basedOn w:val="1"/>
    <w:qFormat/>
    <w:uiPriority w:val="0"/>
    <w:pPr>
      <w:keepNext w:val="0"/>
      <w:keepLines w:val="0"/>
      <w:widowControl w:val="0"/>
      <w:suppressLineNumbers w:val="0"/>
      <w:suppressAutoHyphens/>
      <w:spacing w:before="0" w:beforeAutospacing="0" w:after="0" w:afterAutospacing="0"/>
      <w:ind w:left="0" w:right="0" w:firstLine="200" w:firstLineChars="200"/>
      <w:jc w:val="both"/>
    </w:pPr>
    <w:rPr>
      <w:rFonts w:ascii="Calibri" w:hAnsi="Calibri" w:eastAsia="宋体" w:cs="Times New Roman"/>
      <w:kern w:val="2"/>
      <w:sz w:val="21"/>
      <w:szCs w:val="21"/>
      <w:lang w:val="en-US" w:eastAsia="zh-CN"/>
    </w:rPr>
  </w:style>
  <w:style w:type="paragraph" w:customStyle="1" w:styleId="25">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ascii="仿宋" w:eastAsia="仿宋" w:cs="仿宋"/>
      <w:color w:val="000000"/>
      <w:kern w:val="0"/>
      <w:sz w:val="24"/>
      <w:szCs w:val="24"/>
      <w:lang w:val="en-US" w:eastAsia="zh-CN"/>
    </w:rPr>
  </w:style>
  <w:style w:type="paragraph" w:customStyle="1" w:styleId="26">
    <w:name w:val="No Spacing1"/>
    <w:qFormat/>
    <w:uiPriority w:val="0"/>
    <w:pPr>
      <w:ind w:firstLine="200" w:firstLineChars="200"/>
    </w:pPr>
    <w:rPr>
      <w:rFonts w:ascii="Times New Roman" w:hAnsi="Times New Roman" w:eastAsia="仿宋_GB2312" w:cs="Times New Roman"/>
      <w:sz w:val="30"/>
      <w:szCs w:val="22"/>
      <w:lang w:val="en-US" w:eastAsia="zh-CN" w:bidi="ar-SA"/>
    </w:rPr>
  </w:style>
  <w:style w:type="paragraph" w:customStyle="1" w:styleId="27">
    <w:name w:val="四号正文"/>
    <w:basedOn w:val="1"/>
    <w:qFormat/>
    <w:uiPriority w:val="0"/>
    <w:pPr>
      <w:widowControl w:val="0"/>
      <w:spacing w:line="360" w:lineRule="auto"/>
      <w:jc w:val="both"/>
    </w:pPr>
    <w:rPr>
      <w:rFonts w:ascii="??" w:hAnsi="??" w:eastAsia="宋体" w:cs="Times New Roman"/>
      <w:color w:val="000000"/>
      <w:kern w:val="0"/>
      <w:sz w:val="28"/>
      <w:szCs w:val="21"/>
      <w:lang w:val="zh-CN" w:eastAsia="zh-CN" w:bidi="ar-SA"/>
    </w:rPr>
  </w:style>
  <w:style w:type="paragraph" w:customStyle="1" w:styleId="28">
    <w:name w:val="列表段落"/>
    <w:basedOn w:val="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paragraph" w:customStyle="1" w:styleId="29">
    <w:name w:val="标题 5（有编号）（绿盟科技）"/>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987662"/>
          <c:y val="0.010873505"/>
          <c:w val="0.85275084"/>
          <c:h val="0.74570495"/>
        </c:manualLayout>
      </c:layout>
      <c:barChart>
        <c:barDir val="col"/>
        <c:grouping val="clustered"/>
        <c:varyColors val="0"/>
        <c:ser>
          <c:idx val="0"/>
          <c:order val="0"/>
          <c:tx>
            <c:strRef>
              <c:f>'工作表465539'!$A$2</c:f>
              <c:strCache>
                <c:ptCount val="1"/>
                <c:pt idx="0">
                  <c:v/>
                </c:pt>
              </c:strCache>
            </c:strRef>
          </c:tx>
          <c:spPr>
            <a:solidFill>
              <a:srgbClr val="5B9BD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'工作表465539'!$B$1:$E$1</c:f>
              <c:strCache>
                <c:ptCount val="4"/>
                <c:pt idx="0">
                  <c:v>2022年收支合计</c:v>
                </c:pt>
                <c:pt idx="1">
                  <c:v>2023年收支合计</c:v>
                </c:pt>
              </c:strCache>
            </c:strRef>
          </c:cat>
          <c:val>
            <c:numRef>
              <c:f>'工作表465539'!$B$2:$E$2</c:f>
              <c:numCache>
                <c:formatCode>General</c:formatCode>
                <c:ptCount val="4"/>
                <c:pt idx="0">
                  <c:v>647.83</c:v>
                </c:pt>
                <c:pt idx="1">
                  <c:v>404.99</c:v>
                </c:pt>
              </c:numCache>
            </c:numRef>
          </c:val>
        </c:ser>
        <c:ser>
          <c:idx val="1"/>
          <c:order val="1"/>
          <c:tx>
            <c:strRef>
              <c:f>'工作表465539'!$A$3</c:f>
              <c:strCache>
                <c:ptCount val="1"/>
                <c:pt idx="0">
                  <c:v/>
                </c:pt>
              </c:strCache>
            </c:strRef>
          </c:tx>
          <c:spPr>
            <a:solidFill>
              <a:srgbClr val="ED7D31"/>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'工作表465539'!$B$1:$E$1</c:f>
              <c:strCache>
                <c:ptCount val="4"/>
                <c:pt idx="0">
                  <c:v>2022年收支合计</c:v>
                </c:pt>
                <c:pt idx="1">
                  <c:v>2023年收支合计</c:v>
                </c:pt>
              </c:strCache>
            </c:strRef>
          </c:cat>
          <c:val>
            <c:numRef>
              <c:f>'工作表465539'!$B$3:$E$3</c:f>
              <c:numCache>
                <c:formatCode>General</c:formatCode>
                <c:ptCount val="4"/>
              </c:numCache>
            </c:numRef>
          </c:val>
        </c:ser>
        <c:ser>
          <c:idx val="2"/>
          <c:order val="2"/>
          <c:tx>
            <c:strRef>
              <c:f>'工作表465539'!$A$4</c:f>
              <c:strCache>
                <c:ptCount val="1"/>
                <c:pt idx="0">
                  <c:v/>
                </c:pt>
              </c:strCache>
            </c:strRef>
          </c:tx>
          <c:spPr>
            <a:solidFill>
              <a:srgbClr val="A5A5A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'工作表465539'!$B$1:$E$1</c:f>
              <c:strCache>
                <c:ptCount val="4"/>
                <c:pt idx="0">
                  <c:v>2022年收支合计</c:v>
                </c:pt>
                <c:pt idx="1">
                  <c:v>2023年收支合计</c:v>
                </c:pt>
              </c:strCache>
            </c:strRef>
          </c:cat>
          <c:val>
            <c:numRef>
              <c:f>'工作表465539'!$B$4:$E$4</c:f>
              <c:numCache>
                <c:formatCode>General</c:formatCode>
                <c:ptCount val="4"/>
              </c:numCache>
            </c:numRef>
          </c:val>
        </c:ser>
        <c:dLbls>
          <c:showLegendKey val="0"/>
          <c:showVal val="1"/>
          <c:showCatName val="0"/>
          <c:showSerName val="0"/>
          <c:showPercent val="0"/>
          <c:showBubbleSize val="0"/>
        </c:dLbls>
        <c:gapWidth val="15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8D8D8"/>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8D8D8"/>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legend>
    <c:plotVisOnly val="1"/>
    <c:dispBlanksAs val="gap"/>
    <c:showDLblsOverMax val="0"/>
  </c:chart>
  <c:spPr>
    <a:solidFill>
      <a:srgbClr val="FFFFFF"/>
    </a:solidFill>
    <a:ln w="6350" cap="flat" cmpd="sng" algn="ctr">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a:cs typeface="Lucida Sans"/>
              </a:defRPr>
            </a:pPr>
            <a:r>
              <a:rPr lang="zh-CN"/>
              <a:t>本年支出合计</a:t>
            </a:r>
            <a:endParaRPr lang="zh-CN"/>
          </a:p>
        </c:rich>
      </c:tx>
      <c:layout/>
      <c:overlay val="0"/>
      <c:spPr>
        <a:noFill/>
        <a:ln>
          <a:noFill/>
        </a:ln>
      </c:spPr>
    </c:title>
    <c:autoTitleDeleted val="0"/>
    <c:plotArea>
      <c:layout/>
      <c:pieChart>
        <c:varyColors val="1"/>
        <c:ser>
          <c:idx val="0"/>
          <c:order val="0"/>
          <c:tx>
            <c:strRef>
              <c:f>本年支出合计</c:f>
              <c:strCache>
                <c:ptCount val="1"/>
                <c:pt idx="0">
                  <c:v>本年支出合计</c:v>
                </c:pt>
              </c:strCache>
            </c:strRef>
          </c:tx>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{"基本支出","项目支出"}</c:f>
              <c:strCache>
                <c:ptCount val="2"/>
                <c:pt idx="0">
                  <c:v>基本支出</c:v>
                </c:pt>
                <c:pt idx="1">
                  <c:v>项目支出</c:v>
                </c:pt>
              </c:strCache>
            </c:strRef>
          </c:cat>
          <c:val>
            <c:numRef>
              <c:f>{323.12,81.87}</c:f>
              <c:numCache>
                <c:formatCode>General</c:formatCode>
                <c:ptCount val="2"/>
                <c:pt idx="0">
                  <c:v>323.12</c:v>
                </c:pt>
                <c:pt idx="1">
                  <c:v>81.87</c:v>
                </c:pt>
              </c:numCache>
            </c:numRef>
          </c:val>
        </c:ser>
        <c:dLbls>
          <c:showLegendKey val="0"/>
          <c:showVal val="0"/>
          <c:showCatName val="0"/>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56628"/>
          <c:y val="0.061668146"/>
          <c:w val="0.834403"/>
          <c:h val="0.5988207"/>
        </c:manualLayout>
      </c:layout>
      <c:barChart>
        <c:barDir val="col"/>
        <c:grouping val="clustered"/>
        <c:varyColors val="0"/>
        <c:ser>
          <c:idx val="0"/>
          <c:order val="0"/>
          <c:tx>
            <c:strRef>
              <c:f>2022</c:f>
              <c:strCache>
                <c:ptCount val="1"/>
                <c:pt idx="0">
                  <c:v>2022</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"}</c:f>
              <c:strCache>
                <c:ptCount val="1"/>
                <c:pt idx="0">
                  <c:v>一般公共预算财政拨款支出</c:v>
                </c:pt>
              </c:strCache>
            </c:strRef>
          </c:cat>
          <c:val>
            <c:numRef>
              <c:f>{647.82}</c:f>
              <c:numCache>
                <c:formatCode>General</c:formatCode>
                <c:ptCount val="1"/>
                <c:pt idx="0">
                  <c:v>647.82</c:v>
                </c:pt>
              </c:numCache>
            </c:numRef>
          </c:val>
        </c:ser>
        <c:ser>
          <c:idx val="1"/>
          <c:order val="1"/>
          <c:tx>
            <c:strRef>
              <c:f>2023</c:f>
              <c:strCache>
                <c:ptCount val="1"/>
                <c:pt idx="0">
                  <c:v>2023</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"}</c:f>
              <c:strCache>
                <c:ptCount val="1"/>
                <c:pt idx="0">
                  <c:v>一般公共预算财政拨款支出</c:v>
                </c:pt>
              </c:strCache>
            </c:strRef>
          </c:cat>
          <c:val>
            <c:numRef>
              <c:f>{404.99}</c:f>
              <c:numCache>
                <c:formatCode>General</c:formatCode>
                <c:ptCount val="1"/>
                <c:pt idx="0">
                  <c:v>404.99</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"}</c:f>
              <c:strCache>
                <c:ptCount val="1"/>
                <c:pt idx="0">
                  <c:v>一般公共预算财政拨款支出</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a:cs typeface="Lucida Sans"/>
              </a:defRPr>
            </a:pPr>
            <a:r>
              <a:rPr lang="zh-CN"/>
              <a:t>一般公共预算财政拨款支出</a:t>
            </a:r>
            <a:endParaRPr lang="zh-CN"/>
          </a:p>
        </c:rich>
      </c:tx>
      <c:layout/>
      <c:overlay val="0"/>
      <c:spPr>
        <a:noFill/>
        <a:ln>
          <a:noFill/>
        </a:ln>
      </c:spPr>
    </c:title>
    <c:autoTitleDeleted val="0"/>
    <c:plotArea>
      <c:layout/>
      <c:pieChart>
        <c:varyColors val="1"/>
        <c:ser>
          <c:idx val="0"/>
          <c:order val="0"/>
          <c:tx>
            <c:strRef>
              <c:f>一般公共预算财政拨款支出</c:f>
              <c:strCache>
                <c:ptCount val="1"/>
                <c:pt idx="0">
                  <c:v>一般公共预算财政拨款支出</c:v>
                </c:pt>
              </c:strCache>
            </c:strRef>
          </c:tx>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2"/>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Lucida Sans"/>
                      </a:defRPr>
                    </a:pPr>
                    <a:r>
                      <a:rPr lang="zh-CN" sz="900" b="0" i="0" u="none" strike="noStrike" baseline="0">
                        <a:solidFill>
                          <a:srgbClr val="404040"/>
                        </a:solidFill>
                        <a:latin typeface="Times New Roman" panose="02020603050405020304"/>
                        <a:ea typeface="宋体"/>
                        <a:cs typeface="Lucida Sans"/>
                      </a:rPr>
                      <a:t>4.72%</a:t>
                    </a:r>
                    <a:endParaRPr lang="zh-CN" sz="900" b="0" i="0" u="none" strike="noStrike" baseline="0">
                      <a:solidFill>
                        <a:srgbClr val="404040"/>
                      </a:solidFill>
                      <a:latin typeface="Times New Roman" panose="02020603050405020304"/>
                      <a:ea typeface="宋体"/>
                      <a:cs typeface="Lucida Sans"/>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{"粮油物资储备支出","社会保障和就业支出","卫生健康支出","住房保障支出"}</c:f>
              <c:strCache>
                <c:ptCount val="4"/>
                <c:pt idx="0">
                  <c:v>粮油物资储备支出</c:v>
                </c:pt>
                <c:pt idx="1">
                  <c:v>社会保障和就业支出</c:v>
                </c:pt>
                <c:pt idx="2">
                  <c:v>卫生健康支出</c:v>
                </c:pt>
                <c:pt idx="3">
                  <c:v>住房保障支出</c:v>
                </c:pt>
              </c:strCache>
            </c:strRef>
          </c:cat>
          <c:val>
            <c:numRef>
              <c:f>{325.88,39.11,19.14,20.86}</c:f>
              <c:numCache>
                <c:formatCode>General</c:formatCode>
                <c:ptCount val="4"/>
                <c:pt idx="0">
                  <c:v>325.88</c:v>
                </c:pt>
                <c:pt idx="1">
                  <c:v>39.11</c:v>
                </c:pt>
                <c:pt idx="2">
                  <c:v>19.14</c:v>
                </c:pt>
                <c:pt idx="3">
                  <c:v>20.86</c:v>
                </c:pt>
              </c:numCache>
            </c:numRef>
          </c:val>
        </c:ser>
        <c:dLbls>
          <c:showLegendKey val="0"/>
          <c:showVal val="0"/>
          <c:showCatName val="0"/>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0" i="0" u="none" strike="noStrike" kern="1200" baseline="0">
                <a:solidFill>
                  <a:srgbClr val="000000"/>
                </a:solidFill>
                <a:latin typeface="Times New Roman" panose="02020603050405020304"/>
                <a:ea typeface="宋体"/>
                <a:cs typeface="Lucida Sans"/>
              </a:defRPr>
            </a:pPr>
            <a:r>
              <a:rPr lang="zh-CN"/>
              <a:t> 三公经费支出</a:t>
            </a:r>
            <a:endParaRPr lang="zh-CN"/>
          </a:p>
        </c:rich>
      </c:tx>
      <c:layout/>
      <c:overlay val="0"/>
      <c:spPr>
        <a:ln>
          <a:noFill/>
        </a:ln>
      </c:spPr>
    </c:title>
    <c:autoTitleDeleted val="0"/>
    <c:plotArea>
      <c:layout/>
      <c:pieChart>
        <c:varyColors val="1"/>
        <c:ser>
          <c:idx val="0"/>
          <c:order val="0"/>
          <c:tx>
            <c:strRef>
              <c:f>'工作表465543'!$A$2</c:f>
              <c:strCache>
                <c:ptCount val="1"/>
                <c:pt idx="0">
                  <c:v/>
                </c:pt>
              </c:strCache>
            </c:strRef>
          </c:tx>
          <c:spPr>
            <a:solidFill>
              <a:srgbClr val="4F81BD"/>
            </a:solidFill>
            <a:ln>
              <a:noFill/>
            </a:ln>
          </c:spPr>
          <c:explosion val="0"/>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3"/>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'工作表465543'!$B$1:$E$1</c:f>
              <c:strCache>
                <c:ptCount val="4"/>
                <c:pt idx="0">
                  <c:v>公务接待费</c:v>
                </c:pt>
              </c:strCache>
            </c:strRef>
          </c:cat>
          <c:val>
            <c:numRef>
              <c:f>'工作表465543'!$B$2:$E$2</c:f>
              <c:numCache>
                <c:formatCode>0%</c:formatCode>
                <c:ptCount val="4"/>
                <c:pt idx="0">
                  <c:v>1</c:v>
                </c:pt>
              </c:numCache>
            </c:numRef>
          </c:val>
        </c:ser>
        <c:ser>
          <c:idx val="1"/>
          <c:order val="1"/>
          <c:tx>
            <c:strRef>
              <c:f>'工作表465543'!$A$3</c:f>
              <c:strCache>
                <c:ptCount val="1"/>
                <c:pt idx="0">
                  <c:v/>
                </c:pt>
              </c:strCache>
            </c:strRef>
          </c:tx>
          <c:spPr>
            <a:solidFill>
              <a:srgbClr val="C0504D"/>
            </a:solidFill>
            <a:ln>
              <a:noFill/>
            </a:ln>
          </c:spPr>
          <c:explosion val="0"/>
          <c:dPt>
            <c:idx val="0"/>
            <c:bubble3D val="0"/>
            <c:spPr>
              <a:ln>
                <a:noFill/>
              </a:ln>
            </c:spPr>
          </c:dPt>
          <c:dPt>
            <c:idx val="1"/>
            <c:bubble3D val="0"/>
            <c:spPr>
              <a:ln>
                <a:noFill/>
              </a:ln>
            </c:spPr>
          </c:dPt>
          <c:dPt>
            <c:idx val="2"/>
            <c:bubble3D val="0"/>
            <c:spPr>
              <a:ln>
                <a:noFill/>
              </a:ln>
            </c:spPr>
          </c:dPt>
          <c:dPt>
            <c:idx val="3"/>
            <c:bubble3D val="0"/>
            <c:spPr>
              <a:ln>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'工作表465543'!$B$1:$E$1</c:f>
              <c:strCache>
                <c:ptCount val="4"/>
                <c:pt idx="0">
                  <c:v>公务接待费</c:v>
                </c:pt>
              </c:strCache>
            </c:strRef>
          </c:cat>
          <c:val>
            <c:numRef>
              <c:f>'工作表465543'!$B$3:$E$3</c:f>
              <c:numCache>
                <c:formatCode>General</c:formatCode>
                <c:ptCount val="4"/>
              </c:numCache>
            </c:numRef>
          </c:val>
        </c:ser>
        <c:ser>
          <c:idx val="2"/>
          <c:order val="2"/>
          <c:tx>
            <c:strRef>
              <c:f>'工作表465543'!$A$4</c:f>
              <c:strCache>
                <c:ptCount val="1"/>
                <c:pt idx="0">
                  <c:v/>
                </c:pt>
              </c:strCache>
            </c:strRef>
          </c:tx>
          <c:spPr>
            <a:solidFill>
              <a:srgbClr val="9BBB59"/>
            </a:solidFill>
            <a:ln>
              <a:noFill/>
            </a:ln>
          </c:spPr>
          <c:explosion val="0"/>
          <c:dPt>
            <c:idx val="0"/>
            <c:bubble3D val="0"/>
            <c:spPr>
              <a:ln>
                <a:noFill/>
              </a:ln>
            </c:spPr>
          </c:dPt>
          <c:dPt>
            <c:idx val="1"/>
            <c:bubble3D val="0"/>
            <c:spPr>
              <a:ln>
                <a:noFill/>
              </a:ln>
            </c:spPr>
          </c:dPt>
          <c:dPt>
            <c:idx val="2"/>
            <c:bubble3D val="0"/>
            <c:spPr>
              <a:ln>
                <a:noFill/>
              </a:ln>
            </c:spPr>
          </c:dPt>
          <c:dPt>
            <c:idx val="3"/>
            <c:bubble3D val="0"/>
            <c:spPr>
              <a:ln>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'工作表465543'!$B$1:$E$1</c:f>
              <c:strCache>
                <c:ptCount val="4"/>
                <c:pt idx="0">
                  <c:v>公务接待费</c:v>
                </c:pt>
              </c:strCache>
            </c:strRef>
          </c:cat>
          <c:val>
            <c:numRef>
              <c:f>'工作表465543'!$B$4:$E$4</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legend>
    <c:plotVisOnly val="1"/>
    <c:dispBlanksAs val="gap"/>
    <c:showDLblsOverMax val="0"/>
  </c:chart>
  <c:spPr>
    <a:solidFill>
      <a:srgbClr val="FFFFFF"/>
    </a:solidFill>
    <a:ln w="6350" cap="flat" cmpd="sng" algn="ctr">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34</Pages>
  <Words>11411</Words>
  <Characters>12859</Characters>
  <Lines>692</Lines>
  <Paragraphs>263</Paragraphs>
  <TotalTime>101</TotalTime>
  <ScaleCrop>false</ScaleCrop>
  <LinksUpToDate>false</LinksUpToDate>
  <CharactersWithSpaces>13016</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cp:lastPrinted>2024-09-26T23:45:00Z</cp:lastPrinted>
  <dcterms:modified xsi:type="dcterms:W3CDTF">2026-06-02T10:16:22Z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D4A39BB81AD24DD694D5EAEE214133A3_12</vt:lpwstr>
  </property>
</Properties>
</file>