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eastAsia="方正小标宋简体" w:cs="方正小标宋简体"/>
          <w:sz w:val="48"/>
          <w:szCs w:val="48"/>
        </w:rPr>
      </w:pPr>
    </w:p>
    <w:p>
      <w:pPr>
        <w:spacing w:line="576" w:lineRule="exact"/>
        <w:jc w:val="center"/>
        <w:rPr>
          <w:rFonts w:ascii="方正小标宋简体" w:eastAsia="方正小标宋简体" w:cs="方正小标宋简体"/>
          <w:sz w:val="48"/>
          <w:szCs w:val="48"/>
        </w:rPr>
      </w:pPr>
    </w:p>
    <w:p>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2023年度</w:t>
      </w:r>
    </w:p>
    <w:p>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四川省阿坝州茂县档案馆部门决算</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rPr>
          <w:rFonts w:ascii="黑体" w:eastAsia="黑体"/>
          <w:sz w:val="72"/>
          <w:szCs w:val="72"/>
        </w:rPr>
      </w:pPr>
    </w:p>
    <w:p>
      <w:pPr>
        <w:spacing w:line="576" w:lineRule="exact"/>
        <w:rPr>
          <w:rFonts w:ascii="黑体" w:eastAsia="黑体"/>
          <w:sz w:val="72"/>
          <w:szCs w:val="72"/>
        </w:rPr>
      </w:pPr>
      <w:r>
        <w:rPr>
          <w:rFonts w:ascii="黑体" w:eastAsia="黑体"/>
          <w:sz w:val="72"/>
          <w:szCs w:val="72"/>
        </w:rPr>
        <w:t> </w:t>
      </w:r>
    </w:p>
    <w:p>
      <w:pPr>
        <w:pStyle w:val="19"/>
        <w:spacing w:line="576" w:lineRule="exact"/>
        <w:jc w:val="center"/>
        <w:rPr>
          <w:rFonts w:ascii="黑体" w:eastAsia="黑体" w:cs="Times New Roman"/>
          <w:color w:val="000000"/>
          <w:sz w:val="48"/>
          <w:szCs w:val="48"/>
        </w:rPr>
      </w:pPr>
      <w:r>
        <w:rPr>
          <w:rFonts w:hint="eastAsia" w:ascii="黑体" w:eastAsia="黑体" w:cs="Times New Roman"/>
          <w:color w:val="000000"/>
          <w:sz w:val="48"/>
          <w:szCs w:val="48"/>
        </w:rPr>
        <w:t>目录</w:t>
      </w:r>
    </w:p>
    <w:p>
      <w:pPr>
        <w:pStyle w:val="14"/>
        <w:spacing w:line="576" w:lineRule="exact"/>
        <w:jc w:val="center"/>
      </w:pPr>
      <w:r>
        <w:rPr>
          <w:rFonts w:hint="eastAsia"/>
          <w:b w:val="0"/>
          <w:bCs w:val="0"/>
          <w:sz w:val="24"/>
          <w:szCs w:val="24"/>
        </w:rPr>
        <w:t>公开时间：2024年9月25日</w:t>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TOC \o "1-3" \h \u </w:instrText>
      </w:r>
      <w:r>
        <w:fldChar w:fldCharType="separate"/>
      </w:r>
      <w:r>
        <w:fldChar w:fldCharType="begin"/>
      </w:r>
      <w:r>
        <w:instrText xml:space="preserve"> HYPERLINK \l "_Toc178176219" </w:instrText>
      </w:r>
      <w:r>
        <w:fldChar w:fldCharType="separate"/>
      </w:r>
      <w:r>
        <w:rPr>
          <w:rStyle w:val="24"/>
          <w:rFonts w:hint="eastAsia" w:ascii="黑体" w:eastAsia="黑体"/>
        </w:rPr>
        <w:t>第一部分</w:t>
      </w:r>
      <w:r>
        <w:rPr>
          <w:rStyle w:val="24"/>
          <w:rFonts w:ascii="黑体" w:eastAsia="黑体"/>
        </w:rPr>
        <w:t xml:space="preserve"> </w:t>
      </w:r>
      <w:r>
        <w:rPr>
          <w:rStyle w:val="24"/>
          <w:rFonts w:hint="eastAsia" w:ascii="黑体" w:eastAsia="黑体"/>
        </w:rPr>
        <w:t>部门概况</w:t>
      </w:r>
      <w:r>
        <w:tab/>
      </w:r>
      <w:r>
        <w:fldChar w:fldCharType="begin"/>
      </w:r>
      <w:r>
        <w:instrText xml:space="preserve"> PAGEREF _Toc178176219 \h </w:instrText>
      </w:r>
      <w:r>
        <w:fldChar w:fldCharType="separate"/>
      </w:r>
      <w:r>
        <w:t>3</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"_Toc178176220" </w:instrText>
      </w:r>
      <w:r>
        <w:fldChar w:fldCharType="separate"/>
      </w:r>
      <w:r>
        <w:rPr>
          <w:rStyle w:val="24"/>
          <w:rFonts w:hint="eastAsia" w:ascii="黑体" w:eastAsia="黑体"/>
        </w:rPr>
        <w:t>一、部门职责</w:t>
      </w:r>
      <w:r>
        <w:tab/>
      </w:r>
      <w:r>
        <w:fldChar w:fldCharType="begin"/>
      </w:r>
      <w:r>
        <w:instrText xml:space="preserve"> PAGEREF _Toc178176220 \h </w:instrText>
      </w:r>
      <w:r>
        <w:fldChar w:fldCharType="separate"/>
      </w:r>
      <w:r>
        <w:t>3</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"_Toc178176221" </w:instrText>
      </w:r>
      <w:r>
        <w:fldChar w:fldCharType="separate"/>
      </w:r>
      <w:r>
        <w:rPr>
          <w:rStyle w:val="24"/>
          <w:rFonts w:hint="eastAsia" w:ascii="黑体" w:eastAsia="黑体"/>
        </w:rPr>
        <w:t>二、机构设置</w:t>
      </w:r>
      <w:r>
        <w:tab/>
      </w:r>
      <w:r>
        <w:fldChar w:fldCharType="begin"/>
      </w:r>
      <w:r>
        <w:instrText xml:space="preserve"> PAGEREF _Toc178176221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"_Toc178176222" </w:instrText>
      </w:r>
      <w:r>
        <w:fldChar w:fldCharType="separate"/>
      </w:r>
      <w:r>
        <w:rPr>
          <w:rStyle w:val="24"/>
          <w:rFonts w:hint="eastAsia"/>
        </w:rPr>
        <w:t>第二部分</w:t>
      </w:r>
      <w:r>
        <w:rPr>
          <w:rStyle w:val="24"/>
        </w:rPr>
        <w:t xml:space="preserve"> 2023</w:t>
      </w:r>
      <w:r>
        <w:rPr>
          <w:rStyle w:val="24"/>
          <w:rFonts w:hint="eastAsia"/>
        </w:rPr>
        <w:t>年度部门决算情况说明</w:t>
      </w:r>
      <w:r>
        <w:tab/>
      </w:r>
      <w:r>
        <w:fldChar w:fldCharType="begin"/>
      </w:r>
      <w:r>
        <w:instrText xml:space="preserve"> PAGEREF _Toc178176222 \h </w:instrText>
      </w:r>
      <w:r>
        <w:fldChar w:fldCharType="separate"/>
      </w:r>
      <w:r>
        <w:t>4</w:t>
      </w:r>
      <w:r>
        <w:fldChar w:fldCharType="end"/>
      </w:r>
      <w:r>
        <w:fldChar w:fldCharType="end"/>
      </w:r>
    </w:p>
    <w:p>
      <w:pPr>
        <w:pStyle w:val="17"/>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"_Toc178176223" </w:instrText>
      </w:r>
      <w:r>
        <w:fldChar w:fldCharType="separate"/>
      </w:r>
      <w:r>
        <w:rPr>
          <w:rStyle w:val="24"/>
          <w:rFonts w:hint="eastAsia" w:ascii="黑体" w:eastAsia="黑体"/>
        </w:rPr>
        <w:t>一、</w:t>
      </w:r>
      <w:r>
        <w:rPr>
          <w:rFonts w:asciiTheme="minorHAnsi" w:hAnsiTheme="minorHAnsi" w:eastAsiaTheme="minorEastAsia" w:cstheme="minorBidi"/>
          <w:smallCaps w:val="0"/>
          <w:sz w:val="21"/>
          <w:szCs w:val="22"/>
        </w:rPr>
        <w:tab/>
      </w:r>
      <w:r>
        <w:rPr>
          <w:rStyle w:val="24"/>
          <w:rFonts w:hint="eastAsia" w:ascii="黑体" w:eastAsia="黑体"/>
        </w:rPr>
        <w:t>收入支出决算总体情况说明</w:t>
      </w:r>
      <w:r>
        <w:tab/>
      </w:r>
      <w:r>
        <w:fldChar w:fldCharType="begin"/>
      </w:r>
      <w:r>
        <w:instrText xml:space="preserve"> PAGEREF _Toc178176223 \h </w:instrText>
      </w:r>
      <w:r>
        <w:fldChar w:fldCharType="separate"/>
      </w:r>
      <w:r>
        <w:t>4</w:t>
      </w:r>
      <w:r>
        <w:fldChar w:fldCharType="end"/>
      </w:r>
      <w:r>
        <w:fldChar w:fldCharType="end"/>
      </w:r>
    </w:p>
    <w:p>
      <w:pPr>
        <w:pStyle w:val="17"/>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"_Toc178176224" </w:instrText>
      </w:r>
      <w:r>
        <w:fldChar w:fldCharType="separate"/>
      </w:r>
      <w:r>
        <w:rPr>
          <w:rStyle w:val="24"/>
          <w:rFonts w:hint="eastAsia" w:ascii="黑体" w:eastAsia="黑体"/>
        </w:rPr>
        <w:t>二、</w:t>
      </w:r>
      <w:r>
        <w:rPr>
          <w:rFonts w:asciiTheme="minorHAnsi" w:hAnsiTheme="minorHAnsi" w:eastAsiaTheme="minorEastAsia" w:cstheme="minorBidi"/>
          <w:smallCaps w:val="0"/>
          <w:sz w:val="21"/>
          <w:szCs w:val="22"/>
        </w:rPr>
        <w:tab/>
      </w:r>
      <w:r>
        <w:rPr>
          <w:rStyle w:val="24"/>
          <w:rFonts w:hint="eastAsia" w:ascii="黑体" w:eastAsia="黑体"/>
        </w:rPr>
        <w:t>收入决算情况说明</w:t>
      </w:r>
      <w:r>
        <w:tab/>
      </w:r>
      <w:r>
        <w:fldChar w:fldCharType="begin"/>
      </w:r>
      <w:r>
        <w:instrText xml:space="preserve"> PAGEREF _Toc178176224 \h </w:instrText>
      </w:r>
      <w:r>
        <w:fldChar w:fldCharType="separate"/>
      </w:r>
      <w:r>
        <w:t>4</w:t>
      </w:r>
      <w:r>
        <w:fldChar w:fldCharType="end"/>
      </w:r>
      <w:r>
        <w:fldChar w:fldCharType="end"/>
      </w:r>
    </w:p>
    <w:p>
      <w:pPr>
        <w:pStyle w:val="17"/>
        <w:tabs>
          <w:tab w:val="left" w:pos="840"/>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"_Toc178176225" </w:instrText>
      </w:r>
      <w:r>
        <w:fldChar w:fldCharType="separate"/>
      </w:r>
      <w:r>
        <w:rPr>
          <w:rStyle w:val="24"/>
          <w:rFonts w:hint="eastAsia" w:ascii="黑体" w:hAnsi="Cambria" w:eastAsia="黑体"/>
          <w:bCs/>
        </w:rPr>
        <w:t>三、</w:t>
      </w:r>
      <w:r>
        <w:rPr>
          <w:rFonts w:asciiTheme="minorHAnsi" w:hAnsiTheme="minorHAnsi" w:eastAsiaTheme="minorEastAsia" w:cstheme="minorBidi"/>
          <w:smallCaps w:val="0"/>
          <w:sz w:val="21"/>
          <w:szCs w:val="22"/>
        </w:rPr>
        <w:tab/>
      </w:r>
      <w:r>
        <w:rPr>
          <w:rStyle w:val="24"/>
          <w:rFonts w:hint="eastAsia" w:ascii="黑体" w:eastAsia="黑体"/>
        </w:rPr>
        <w:t>支</w:t>
      </w:r>
      <w:r>
        <w:rPr>
          <w:rStyle w:val="24"/>
          <w:rFonts w:hint="eastAsia" w:ascii="黑体" w:hAnsi="Cambria" w:eastAsia="黑体"/>
          <w:bCs/>
        </w:rPr>
        <w:t>出决算情况说明</w:t>
      </w:r>
      <w:r>
        <w:tab/>
      </w:r>
      <w:r>
        <w:fldChar w:fldCharType="begin"/>
      </w:r>
      <w:r>
        <w:instrText xml:space="preserve"> PAGEREF _Toc178176225 \h </w:instrText>
      </w:r>
      <w:r>
        <w:fldChar w:fldCharType="separate"/>
      </w:r>
      <w:r>
        <w:t>5</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"_Toc178176226" </w:instrText>
      </w:r>
      <w:r>
        <w:fldChar w:fldCharType="separate"/>
      </w:r>
      <w:r>
        <w:rPr>
          <w:rStyle w:val="24"/>
          <w:rFonts w:hint="eastAsia" w:ascii="黑体" w:eastAsia="黑体"/>
        </w:rPr>
        <w:t>四、财</w:t>
      </w:r>
      <w:r>
        <w:rPr>
          <w:rStyle w:val="24"/>
          <w:rFonts w:hint="eastAsia" w:ascii="黑体" w:hAnsi="Cambria" w:eastAsia="黑体"/>
          <w:bCs/>
        </w:rPr>
        <w:t>政拨款收入支出决算总体情况说明</w:t>
      </w:r>
      <w:r>
        <w:tab/>
      </w:r>
      <w:r>
        <w:fldChar w:fldCharType="begin"/>
      </w:r>
      <w:r>
        <w:instrText xml:space="preserve"> PAGEREF _Toc178176226 \h </w:instrText>
      </w:r>
      <w:r>
        <w:fldChar w:fldCharType="separate"/>
      </w:r>
      <w:r>
        <w:t>5</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"_Toc178176227" </w:instrText>
      </w:r>
      <w:r>
        <w:fldChar w:fldCharType="separate"/>
      </w:r>
      <w:r>
        <w:rPr>
          <w:rStyle w:val="24"/>
          <w:rFonts w:hint="eastAsia" w:ascii="黑体" w:eastAsia="黑体"/>
        </w:rPr>
        <w:t>五、</w:t>
      </w:r>
      <w:r>
        <w:rPr>
          <w:rStyle w:val="24"/>
          <w:rFonts w:hint="eastAsia" w:ascii="黑体" w:eastAsia="黑体"/>
          <w:b/>
        </w:rPr>
        <w:t>一</w:t>
      </w:r>
      <w:r>
        <w:rPr>
          <w:rStyle w:val="24"/>
          <w:rFonts w:hint="eastAsia" w:ascii="黑体" w:hAnsi="Cambria" w:eastAsia="黑体"/>
          <w:bCs/>
        </w:rPr>
        <w:t>般公共预算财政拨款支出决算情况说明</w:t>
      </w:r>
      <w:r>
        <w:tab/>
      </w:r>
      <w:r>
        <w:fldChar w:fldCharType="begin"/>
      </w:r>
      <w:r>
        <w:instrText xml:space="preserve"> PAGEREF _Toc178176227 \h </w:instrText>
      </w:r>
      <w:r>
        <w:fldChar w:fldCharType="separate"/>
      </w:r>
      <w:r>
        <w:t>6</w:t>
      </w:r>
      <w:r>
        <w:fldChar w:fldCharType="end"/>
      </w:r>
      <w: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"_Toc178176228" </w:instrText>
      </w:r>
      <w:r>
        <w:fldChar w:fldCharType="separate"/>
      </w:r>
      <w:r>
        <w:rPr>
          <w:rStyle w:val="24"/>
          <w:rFonts w:hint="eastAsia" w:ascii="仿宋" w:eastAsia="仿宋"/>
          <w:b/>
          <w:i w:val="0"/>
        </w:rPr>
        <w:t>（一）一般公共预算财政拨款支出决算总体情况</w:t>
      </w:r>
      <w:r>
        <w:rPr>
          <w:i w:val="0"/>
        </w:rPr>
        <w:tab/>
      </w:r>
      <w:r>
        <w:rPr>
          <w:i w:val="0"/>
        </w:rPr>
        <w:fldChar w:fldCharType="begin"/>
      </w:r>
      <w:r>
        <w:rPr>
          <w:i w:val="0"/>
        </w:rPr>
        <w:instrText xml:space="preserve"> PAGEREF _Toc178176228 \h </w:instrText>
      </w:r>
      <w:r>
        <w:rPr>
          <w:i w:val="0"/>
        </w:rPr>
        <w:fldChar w:fldCharType="separate"/>
      </w:r>
      <w:r>
        <w:rPr>
          <w:i w:val="0"/>
        </w:rPr>
        <w:t>6</w:t>
      </w:r>
      <w:r>
        <w:rPr>
          <w:i w:val="0"/>
        </w:rPr>
        <w:fldChar w:fldCharType="end"/>
      </w:r>
      <w:r>
        <w:rPr>
          <w:i w:val="0"/>
        </w:rP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"_Toc178176229" </w:instrText>
      </w:r>
      <w:r>
        <w:fldChar w:fldCharType="separate"/>
      </w:r>
      <w:r>
        <w:rPr>
          <w:rStyle w:val="24"/>
          <w:rFonts w:hint="eastAsia" w:ascii="仿宋" w:eastAsia="仿宋"/>
          <w:b/>
          <w:i w:val="0"/>
        </w:rPr>
        <w:t>（二）一般公共预算财政拨款支出决算结构情况</w:t>
      </w:r>
      <w:r>
        <w:rPr>
          <w:i w:val="0"/>
        </w:rPr>
        <w:tab/>
      </w:r>
      <w:r>
        <w:rPr>
          <w:i w:val="0"/>
        </w:rPr>
        <w:fldChar w:fldCharType="begin"/>
      </w:r>
      <w:r>
        <w:rPr>
          <w:i w:val="0"/>
        </w:rPr>
        <w:instrText xml:space="preserve"> PAGEREF _Toc178176229 \h </w:instrText>
      </w:r>
      <w:r>
        <w:rPr>
          <w:i w:val="0"/>
        </w:rPr>
        <w:fldChar w:fldCharType="separate"/>
      </w:r>
      <w:r>
        <w:rPr>
          <w:i w:val="0"/>
        </w:rPr>
        <w:t>6</w:t>
      </w:r>
      <w:r>
        <w:rPr>
          <w:i w:val="0"/>
        </w:rPr>
        <w:fldChar w:fldCharType="end"/>
      </w:r>
      <w:r>
        <w:rPr>
          <w:i w:val="0"/>
        </w:rP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"_Toc178176230" </w:instrText>
      </w:r>
      <w:r>
        <w:fldChar w:fldCharType="separate"/>
      </w:r>
      <w:r>
        <w:rPr>
          <w:rStyle w:val="24"/>
          <w:rFonts w:hint="eastAsia" w:ascii="仿宋" w:eastAsia="仿宋"/>
          <w:b/>
          <w:i w:val="0"/>
        </w:rPr>
        <w:t>（三）一般公共预算财政拨款支出决算具体情况</w:t>
      </w:r>
      <w:r>
        <w:rPr>
          <w:i w:val="0"/>
        </w:rPr>
        <w:tab/>
      </w:r>
      <w:r>
        <w:rPr>
          <w:i w:val="0"/>
        </w:rPr>
        <w:fldChar w:fldCharType="begin"/>
      </w:r>
      <w:r>
        <w:rPr>
          <w:i w:val="0"/>
        </w:rPr>
        <w:instrText xml:space="preserve"> PAGEREF _Toc178176230 \h </w:instrText>
      </w:r>
      <w:r>
        <w:rPr>
          <w:i w:val="0"/>
        </w:rPr>
        <w:fldChar w:fldCharType="separate"/>
      </w:r>
      <w:r>
        <w:rPr>
          <w:i w:val="0"/>
        </w:rPr>
        <w:t>7</w:t>
      </w:r>
      <w:r>
        <w:rPr>
          <w:i w:val="0"/>
        </w:rPr>
        <w:fldChar w:fldCharType="end"/>
      </w:r>
      <w:r>
        <w:rPr>
          <w:i w:val="0"/>
        </w:rP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"_Toc178176231" </w:instrText>
      </w:r>
      <w:r>
        <w:fldChar w:fldCharType="separate"/>
      </w:r>
      <w:r>
        <w:rPr>
          <w:rStyle w:val="24"/>
          <w:rFonts w:hint="eastAsia" w:ascii="黑体" w:eastAsia="黑体"/>
        </w:rPr>
        <w:t>六</w:t>
      </w:r>
      <w:r>
        <w:rPr>
          <w:rStyle w:val="24"/>
          <w:rFonts w:hint="eastAsia" w:ascii="黑体" w:eastAsia="黑体"/>
          <w:b/>
        </w:rPr>
        <w:t>、一</w:t>
      </w:r>
      <w:r>
        <w:rPr>
          <w:rStyle w:val="24"/>
          <w:rFonts w:hint="eastAsia" w:ascii="黑体" w:hAnsi="Cambria" w:eastAsia="黑体"/>
          <w:bCs/>
        </w:rPr>
        <w:t>般公共预算财政拨款基本支出决算情况说明</w:t>
      </w:r>
      <w:r>
        <w:tab/>
      </w:r>
      <w:r>
        <w:fldChar w:fldCharType="begin"/>
      </w:r>
      <w:r>
        <w:instrText xml:space="preserve"> PAGEREF _Toc178176231 \h </w:instrText>
      </w:r>
      <w:r>
        <w:fldChar w:fldCharType="separate"/>
      </w:r>
      <w:r>
        <w:t>7</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"_Toc178176232" </w:instrText>
      </w:r>
      <w:r>
        <w:fldChar w:fldCharType="separate"/>
      </w:r>
      <w:r>
        <w:rPr>
          <w:rStyle w:val="24"/>
          <w:rFonts w:hint="eastAsia" w:ascii="黑体" w:eastAsia="黑体"/>
        </w:rPr>
        <w:t>七、</w:t>
      </w:r>
      <w:r>
        <w:rPr>
          <w:rStyle w:val="24"/>
          <w:rFonts w:ascii="黑体" w:hAnsi="Cambria" w:eastAsia="黑体"/>
          <w:b/>
          <w:bCs/>
        </w:rPr>
        <w:t>“</w:t>
      </w:r>
      <w:r>
        <w:rPr>
          <w:rStyle w:val="24"/>
          <w:rFonts w:hint="eastAsia" w:ascii="黑体" w:hAnsi="Cambria" w:eastAsia="黑体"/>
          <w:bCs/>
        </w:rPr>
        <w:t>三公”经费财政拨款支出决算情况说明</w:t>
      </w:r>
      <w:r>
        <w:tab/>
      </w:r>
      <w:r>
        <w:fldChar w:fldCharType="begin"/>
      </w:r>
      <w:r>
        <w:instrText xml:space="preserve"> PAGEREF _Toc178176232 \h </w:instrText>
      </w:r>
      <w:r>
        <w:fldChar w:fldCharType="separate"/>
      </w:r>
      <w:r>
        <w:t>8</w:t>
      </w:r>
      <w:r>
        <w:fldChar w:fldCharType="end"/>
      </w:r>
      <w: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"_Toc178176233" </w:instrText>
      </w:r>
      <w:r>
        <w:fldChar w:fldCharType="separate"/>
      </w:r>
      <w:r>
        <w:rPr>
          <w:rStyle w:val="24"/>
          <w:rFonts w:hint="eastAsia" w:ascii="仿宋" w:eastAsia="仿宋"/>
          <w:b/>
          <w:i w:val="0"/>
        </w:rPr>
        <w:t>（一）“三公”经费财政拨款支出决算总体情况说明</w:t>
      </w:r>
      <w:r>
        <w:rPr>
          <w:i w:val="0"/>
        </w:rPr>
        <w:tab/>
      </w:r>
      <w:r>
        <w:rPr>
          <w:i w:val="0"/>
        </w:rPr>
        <w:fldChar w:fldCharType="begin"/>
      </w:r>
      <w:r>
        <w:rPr>
          <w:i w:val="0"/>
        </w:rPr>
        <w:instrText xml:space="preserve"> PAGEREF _Toc178176233 \h </w:instrText>
      </w:r>
      <w:r>
        <w:rPr>
          <w:i w:val="0"/>
        </w:rPr>
        <w:fldChar w:fldCharType="separate"/>
      </w:r>
      <w:r>
        <w:rPr>
          <w:i w:val="0"/>
        </w:rPr>
        <w:t>8</w:t>
      </w:r>
      <w:r>
        <w:rPr>
          <w:i w:val="0"/>
        </w:rPr>
        <w:fldChar w:fldCharType="end"/>
      </w:r>
      <w:r>
        <w:rPr>
          <w:i w:val="0"/>
        </w:rP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"_Toc178176234" </w:instrText>
      </w:r>
      <w:r>
        <w:fldChar w:fldCharType="separate"/>
      </w:r>
      <w:r>
        <w:rPr>
          <w:rStyle w:val="24"/>
          <w:rFonts w:hint="eastAsia" w:ascii="仿宋" w:eastAsia="仿宋"/>
          <w:b/>
          <w:i w:val="0"/>
        </w:rPr>
        <w:t>（二）“三公”经费财政拨款支出决算具体情况说明</w:t>
      </w:r>
      <w:r>
        <w:rPr>
          <w:i w:val="0"/>
        </w:rPr>
        <w:tab/>
      </w:r>
      <w:r>
        <w:rPr>
          <w:i w:val="0"/>
        </w:rPr>
        <w:fldChar w:fldCharType="begin"/>
      </w:r>
      <w:r>
        <w:rPr>
          <w:i w:val="0"/>
        </w:rPr>
        <w:instrText xml:space="preserve"> PAGEREF _Toc178176234 \h </w:instrText>
      </w:r>
      <w:r>
        <w:rPr>
          <w:i w:val="0"/>
        </w:rPr>
        <w:fldChar w:fldCharType="separate"/>
      </w:r>
      <w:r>
        <w:rPr>
          <w:i w:val="0"/>
        </w:rPr>
        <w:t>8</w:t>
      </w:r>
      <w:r>
        <w:rPr>
          <w:i w:val="0"/>
        </w:rPr>
        <w:fldChar w:fldCharType="end"/>
      </w:r>
      <w:r>
        <w:rPr>
          <w:i w:val="0"/>
        </w:rP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"_Toc178176235" </w:instrText>
      </w:r>
      <w:r>
        <w:fldChar w:fldCharType="separate"/>
      </w:r>
      <w:r>
        <w:rPr>
          <w:rStyle w:val="24"/>
          <w:rFonts w:hint="eastAsia" w:ascii="黑体" w:eastAsia="黑体"/>
        </w:rPr>
        <w:t>八、</w:t>
      </w:r>
      <w:r>
        <w:rPr>
          <w:rStyle w:val="24"/>
          <w:rFonts w:hint="eastAsia" w:ascii="黑体" w:hAnsi="Cambria" w:eastAsia="黑体"/>
          <w:bCs/>
        </w:rPr>
        <w:t>政府性基金预算支出决算情况说明</w:t>
      </w:r>
      <w:r>
        <w:tab/>
      </w:r>
      <w:r>
        <w:fldChar w:fldCharType="begin"/>
      </w:r>
      <w:r>
        <w:instrText xml:space="preserve"> PAGEREF _Toc178176235 \h </w:instrText>
      </w:r>
      <w:r>
        <w:fldChar w:fldCharType="separate"/>
      </w:r>
      <w:r>
        <w:t>10</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"_Toc178176236" </w:instrText>
      </w:r>
      <w:r>
        <w:fldChar w:fldCharType="separate"/>
      </w:r>
      <w:r>
        <w:rPr>
          <w:rStyle w:val="24"/>
          <w:rFonts w:hint="eastAsia" w:ascii="黑体" w:hAnsi="Cambria" w:eastAsia="黑体"/>
          <w:bCs/>
        </w:rPr>
        <w:t>九、 国有资本经营预算支出决算情况说明</w:t>
      </w:r>
      <w:r>
        <w:tab/>
      </w:r>
      <w:r>
        <w:fldChar w:fldCharType="begin"/>
      </w:r>
      <w:r>
        <w:instrText xml:space="preserve"> PAGEREF _Toc178176236 \h </w:instrText>
      </w:r>
      <w:r>
        <w:fldChar w:fldCharType="separate"/>
      </w:r>
      <w:r>
        <w:t>10</w:t>
      </w:r>
      <w:r>
        <w:fldChar w:fldCharType="end"/>
      </w:r>
      <w:r>
        <w:fldChar w:fldCharType="end"/>
      </w:r>
    </w:p>
    <w:p>
      <w:pPr>
        <w:pStyle w:val="17"/>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"_Toc178176237" </w:instrText>
      </w:r>
      <w:r>
        <w:fldChar w:fldCharType="separate"/>
      </w:r>
      <w:r>
        <w:rPr>
          <w:rStyle w:val="24"/>
          <w:rFonts w:hint="eastAsia" w:ascii="黑体" w:eastAsia="黑体"/>
        </w:rPr>
        <w:t>十</w:t>
      </w:r>
      <w:r>
        <w:rPr>
          <w:rStyle w:val="24"/>
          <w:rFonts w:hint="eastAsia" w:ascii="黑体" w:hAnsi="Cambria" w:eastAsia="黑体"/>
          <w:b/>
          <w:bCs/>
        </w:rPr>
        <w:t>、</w:t>
      </w:r>
      <w:r>
        <w:rPr>
          <w:rStyle w:val="24"/>
          <w:rFonts w:hint="eastAsia" w:ascii="黑体" w:hAnsi="Cambria" w:eastAsia="黑体"/>
          <w:bCs/>
        </w:rPr>
        <w:t>其他重要事项的情况说明</w:t>
      </w:r>
      <w:r>
        <w:tab/>
      </w:r>
      <w:r>
        <w:fldChar w:fldCharType="begin"/>
      </w:r>
      <w:r>
        <w:instrText xml:space="preserve"> PAGEREF _Toc178176237 \h </w:instrText>
      </w:r>
      <w:r>
        <w:fldChar w:fldCharType="separate"/>
      </w:r>
      <w:r>
        <w:t>10</w:t>
      </w:r>
      <w:r>
        <w:fldChar w:fldCharType="end"/>
      </w:r>
      <w: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"_Toc178176238" </w:instrText>
      </w:r>
      <w:r>
        <w:fldChar w:fldCharType="separate"/>
      </w:r>
      <w:r>
        <w:rPr>
          <w:rStyle w:val="24"/>
          <w:rFonts w:hint="eastAsia" w:ascii="仿宋" w:eastAsia="仿宋"/>
          <w:b/>
          <w:i w:val="0"/>
        </w:rPr>
        <w:t>（一）机关运行经费支出情况</w:t>
      </w:r>
      <w:r>
        <w:rPr>
          <w:i w:val="0"/>
        </w:rPr>
        <w:tab/>
      </w:r>
      <w:r>
        <w:rPr>
          <w:i w:val="0"/>
        </w:rPr>
        <w:fldChar w:fldCharType="begin"/>
      </w:r>
      <w:r>
        <w:rPr>
          <w:i w:val="0"/>
        </w:rPr>
        <w:instrText xml:space="preserve"> PAGEREF _Toc178176238 \h </w:instrText>
      </w:r>
      <w:r>
        <w:rPr>
          <w:i w:val="0"/>
        </w:rPr>
        <w:fldChar w:fldCharType="separate"/>
      </w:r>
      <w:r>
        <w:rPr>
          <w:i w:val="0"/>
        </w:rPr>
        <w:t>10</w:t>
      </w:r>
      <w:r>
        <w:rPr>
          <w:i w:val="0"/>
        </w:rPr>
        <w:fldChar w:fldCharType="end"/>
      </w:r>
      <w:r>
        <w:rPr>
          <w:i w:val="0"/>
        </w:rP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"_Toc178176239" </w:instrText>
      </w:r>
      <w:r>
        <w:fldChar w:fldCharType="separate"/>
      </w:r>
      <w:r>
        <w:rPr>
          <w:rStyle w:val="24"/>
          <w:rFonts w:hint="eastAsia" w:ascii="仿宋" w:eastAsia="仿宋"/>
          <w:b/>
          <w:i w:val="0"/>
        </w:rPr>
        <w:t>（二）政府采购支出情况</w:t>
      </w:r>
      <w:r>
        <w:rPr>
          <w:i w:val="0"/>
        </w:rPr>
        <w:tab/>
      </w:r>
      <w:r>
        <w:rPr>
          <w:i w:val="0"/>
        </w:rPr>
        <w:fldChar w:fldCharType="begin"/>
      </w:r>
      <w:r>
        <w:rPr>
          <w:i w:val="0"/>
        </w:rPr>
        <w:instrText xml:space="preserve"> PAGEREF _Toc178176239 \h </w:instrText>
      </w:r>
      <w:r>
        <w:rPr>
          <w:i w:val="0"/>
        </w:rPr>
        <w:fldChar w:fldCharType="separate"/>
      </w:r>
      <w:r>
        <w:rPr>
          <w:i w:val="0"/>
        </w:rPr>
        <w:t>10</w:t>
      </w:r>
      <w:r>
        <w:rPr>
          <w:i w:val="0"/>
        </w:rPr>
        <w:fldChar w:fldCharType="end"/>
      </w:r>
      <w:r>
        <w:rPr>
          <w:i w:val="0"/>
        </w:rP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"_Toc178176240" </w:instrText>
      </w:r>
      <w:r>
        <w:fldChar w:fldCharType="separate"/>
      </w:r>
      <w:r>
        <w:rPr>
          <w:rStyle w:val="24"/>
          <w:rFonts w:hint="eastAsia" w:ascii="仿宋" w:eastAsia="仿宋"/>
          <w:b/>
          <w:i w:val="0"/>
        </w:rPr>
        <w:t>（三）国有资产占有使用情况</w:t>
      </w:r>
      <w:r>
        <w:rPr>
          <w:i w:val="0"/>
        </w:rPr>
        <w:tab/>
      </w:r>
      <w:r>
        <w:rPr>
          <w:i w:val="0"/>
        </w:rPr>
        <w:fldChar w:fldCharType="begin"/>
      </w:r>
      <w:r>
        <w:rPr>
          <w:i w:val="0"/>
        </w:rPr>
        <w:instrText xml:space="preserve"> PAGEREF _Toc178176240 \h </w:instrText>
      </w:r>
      <w:r>
        <w:rPr>
          <w:i w:val="0"/>
        </w:rPr>
        <w:fldChar w:fldCharType="separate"/>
      </w:r>
      <w:r>
        <w:rPr>
          <w:i w:val="0"/>
        </w:rPr>
        <w:t>10</w:t>
      </w:r>
      <w:r>
        <w:rPr>
          <w:i w:val="0"/>
        </w:rPr>
        <w:fldChar w:fldCharType="end"/>
      </w:r>
      <w:r>
        <w:rPr>
          <w:i w:val="0"/>
        </w:rPr>
        <w:fldChar w:fldCharType="end"/>
      </w:r>
    </w:p>
    <w:p>
      <w:pPr>
        <w:pStyle w:val="9"/>
        <w:tabs>
          <w:tab w:val="right" w:leader="dot" w:pos="8296"/>
        </w:tabs>
        <w:rPr>
          <w:rFonts w:asciiTheme="minorHAnsi" w:hAnsiTheme="minorHAnsi" w:eastAsiaTheme="minorEastAsia" w:cstheme="minorBidi"/>
          <w:i w:val="0"/>
          <w:iCs w:val="0"/>
          <w:sz w:val="21"/>
          <w:szCs w:val="22"/>
        </w:rPr>
      </w:pPr>
      <w:r>
        <w:fldChar w:fldCharType="begin"/>
      </w:r>
      <w:r>
        <w:instrText xml:space="preserve"> HYPERLINK \l "_Toc178176241" </w:instrText>
      </w:r>
      <w:r>
        <w:fldChar w:fldCharType="separate"/>
      </w:r>
      <w:r>
        <w:rPr>
          <w:rStyle w:val="24"/>
          <w:rFonts w:hint="eastAsia" w:ascii="仿宋" w:eastAsia="仿宋"/>
          <w:b/>
          <w:i w:val="0"/>
        </w:rPr>
        <w:t>（四）预算绩效管理情况</w:t>
      </w:r>
      <w:r>
        <w:rPr>
          <w:i w:val="0"/>
        </w:rPr>
        <w:tab/>
      </w:r>
      <w:r>
        <w:rPr>
          <w:i w:val="0"/>
        </w:rPr>
        <w:fldChar w:fldCharType="begin"/>
      </w:r>
      <w:r>
        <w:rPr>
          <w:i w:val="0"/>
        </w:rPr>
        <w:instrText xml:space="preserve"> PAGEREF _Toc178176241 \h </w:instrText>
      </w:r>
      <w:r>
        <w:rPr>
          <w:i w:val="0"/>
        </w:rPr>
        <w:fldChar w:fldCharType="separate"/>
      </w:r>
      <w:r>
        <w:rPr>
          <w:i w:val="0"/>
        </w:rPr>
        <w:t>10</w:t>
      </w:r>
      <w:r>
        <w:rPr>
          <w:i w:val="0"/>
        </w:rPr>
        <w:fldChar w:fldCharType="end"/>
      </w:r>
      <w:r>
        <w:rPr>
          <w:i w:val="0"/>
        </w:rP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"_Toc178176242" </w:instrText>
      </w:r>
      <w:r>
        <w:fldChar w:fldCharType="separate"/>
      </w:r>
      <w:r>
        <w:rPr>
          <w:rStyle w:val="24"/>
          <w:rFonts w:hint="eastAsia" w:ascii="黑体" w:eastAsia="黑体"/>
          <w:kern w:val="44"/>
        </w:rPr>
        <w:t>第三部分</w:t>
      </w:r>
      <w:r>
        <w:rPr>
          <w:rStyle w:val="24"/>
          <w:rFonts w:hint="eastAsia" w:ascii="黑体" w:eastAsia="黑体"/>
        </w:rPr>
        <w:t xml:space="preserve"> 名</w:t>
      </w:r>
      <w:r>
        <w:rPr>
          <w:rStyle w:val="24"/>
          <w:rFonts w:hint="eastAsia" w:ascii="黑体" w:eastAsia="黑体"/>
          <w:kern w:val="44"/>
        </w:rPr>
        <w:t>词解释</w:t>
      </w:r>
      <w:r>
        <w:tab/>
      </w:r>
      <w:r>
        <w:fldChar w:fldCharType="begin"/>
      </w:r>
      <w:r>
        <w:instrText xml:space="preserve"> PAGEREF _Toc178176242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"_Toc178176243" </w:instrText>
      </w:r>
      <w:r>
        <w:fldChar w:fldCharType="separate"/>
      </w:r>
      <w:r>
        <w:rPr>
          <w:rStyle w:val="24"/>
          <w:rFonts w:hint="eastAsia" w:ascii="黑体" w:eastAsia="黑体"/>
        </w:rPr>
        <w:t>第</w:t>
      </w:r>
      <w:r>
        <w:rPr>
          <w:rStyle w:val="24"/>
          <w:rFonts w:hint="eastAsia" w:ascii="黑体" w:eastAsia="黑体"/>
          <w:kern w:val="44"/>
        </w:rPr>
        <w:t>四部分</w:t>
      </w:r>
      <w:r>
        <w:rPr>
          <w:rStyle w:val="24"/>
          <w:rFonts w:ascii="黑体" w:eastAsia="黑体"/>
          <w:kern w:val="44"/>
        </w:rPr>
        <w:t xml:space="preserve"> </w:t>
      </w:r>
      <w:r>
        <w:rPr>
          <w:rStyle w:val="24"/>
          <w:rFonts w:hint="eastAsia" w:ascii="黑体" w:eastAsia="黑体"/>
          <w:kern w:val="44"/>
        </w:rPr>
        <w:t>附件</w:t>
      </w:r>
      <w:r>
        <w:tab/>
      </w:r>
      <w:r>
        <w:fldChar w:fldCharType="begin"/>
      </w:r>
      <w:r>
        <w:instrText xml:space="preserve"> PAGEREF _Toc178176243 \h </w:instrText>
      </w:r>
      <w:r>
        <w:fldChar w:fldCharType="separate"/>
      </w:r>
      <w:r>
        <w:t>15</w:t>
      </w:r>
      <w:r>
        <w:fldChar w:fldCharType="end"/>
      </w:r>
      <w: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"_Toc178176244" </w:instrText>
      </w:r>
      <w:r>
        <w:fldChar w:fldCharType="separate"/>
      </w:r>
      <w:r>
        <w:rPr>
          <w:rStyle w:val="24"/>
          <w:rFonts w:hint="eastAsia" w:ascii="黑体" w:eastAsia="黑体" w:cs="黑体"/>
        </w:rPr>
        <w:t>附件</w:t>
      </w:r>
      <w:r>
        <w:rPr>
          <w:rStyle w:val="24"/>
          <w:rFonts w:ascii="黑体" w:eastAsia="黑体" w:cs="黑体"/>
        </w:rPr>
        <w:t>1</w:t>
      </w:r>
      <w:r>
        <w:tab/>
      </w:r>
      <w:r>
        <w:fldChar w:fldCharType="begin"/>
      </w:r>
      <w:r>
        <w:instrText xml:space="preserve"> PAGEREF _Toc178176244 \h </w:instrText>
      </w:r>
      <w:r>
        <w:fldChar w:fldCharType="separate"/>
      </w:r>
      <w:r>
        <w:t>15</w:t>
      </w:r>
      <w:r>
        <w:fldChar w:fldCharType="end"/>
      </w:r>
      <w: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"_Toc178176245" </w:instrText>
      </w:r>
      <w:r>
        <w:fldChar w:fldCharType="separate"/>
      </w:r>
      <w:r>
        <w:rPr>
          <w:rStyle w:val="24"/>
          <w:rFonts w:hint="eastAsia" w:ascii="黑体" w:eastAsia="黑体" w:cs="黑体"/>
        </w:rPr>
        <w:t>附件</w:t>
      </w:r>
      <w:r>
        <w:rPr>
          <w:rStyle w:val="24"/>
          <w:rFonts w:ascii="黑体" w:eastAsia="黑体" w:cs="黑体"/>
        </w:rPr>
        <w:t>2</w:t>
      </w:r>
      <w:r>
        <w:tab/>
      </w:r>
      <w:r>
        <w:fldChar w:fldCharType="begin"/>
      </w:r>
      <w:r>
        <w:instrText xml:space="preserve"> PAGEREF _Toc178176245 \h </w:instrText>
      </w:r>
      <w:r>
        <w:fldChar w:fldCharType="separate"/>
      </w:r>
      <w:r>
        <w:t>21</w:t>
      </w:r>
      <w:r>
        <w:fldChar w:fldCharType="end"/>
      </w:r>
      <w: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HYPERLINK \l "_Toc178176245"</w:instrText>
      </w:r>
      <w:r>
        <w:fldChar w:fldCharType="separate"/>
      </w:r>
      <w:r>
        <w:rPr>
          <w:rStyle w:val="24"/>
          <w:rFonts w:hint="eastAsia" w:ascii="黑体" w:eastAsia="黑体" w:cs="黑体"/>
        </w:rPr>
        <w:t>附件3</w:t>
      </w:r>
      <w:r>
        <w:tab/>
      </w:r>
      <w:r>
        <w:rPr>
          <w:rFonts w:hint="eastAsia"/>
        </w:rPr>
        <w:t>25</w:t>
      </w:r>
      <w:r>
        <w:fldChar w:fldCharType="end"/>
      </w:r>
    </w:p>
    <w:p>
      <w:pPr>
        <w:pStyle w:val="14"/>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HYPERLINK \l "_Toc178176243"</w:instrText>
      </w:r>
      <w:r>
        <w:fldChar w:fldCharType="separate"/>
      </w:r>
      <w:r>
        <w:rPr>
          <w:rStyle w:val="24"/>
          <w:rFonts w:hint="eastAsia" w:ascii="黑体" w:eastAsia="黑体"/>
        </w:rPr>
        <w:t>第</w:t>
      </w:r>
      <w:r>
        <w:rPr>
          <w:rStyle w:val="24"/>
          <w:rFonts w:hint="eastAsia" w:ascii="黑体" w:eastAsia="黑体"/>
          <w:kern w:val="44"/>
        </w:rPr>
        <w:t>五部分</w:t>
      </w:r>
      <w:r>
        <w:rPr>
          <w:rStyle w:val="24"/>
          <w:rFonts w:ascii="黑体" w:eastAsia="黑体"/>
          <w:kern w:val="44"/>
        </w:rPr>
        <w:t xml:space="preserve"> </w:t>
      </w:r>
      <w:r>
        <w:rPr>
          <w:rStyle w:val="24"/>
          <w:rFonts w:hint="eastAsia" w:ascii="黑体" w:eastAsia="黑体"/>
          <w:kern w:val="44"/>
        </w:rPr>
        <w:t>附表</w:t>
      </w:r>
      <w:r>
        <w:tab/>
      </w:r>
      <w:r>
        <w:rPr>
          <w:rFonts w:hint="eastAsia"/>
        </w:rPr>
        <w:t>29</w:t>
      </w:r>
      <w:r>
        <w:fldChar w:fldCharType="end"/>
      </w:r>
    </w:p>
    <w:p>
      <w:pPr>
        <w:spacing w:line="576" w:lineRule="exact"/>
      </w:pPr>
      <w:r>
        <w:fldChar w:fldCharType="end"/>
      </w:r>
    </w:p>
    <w:p>
      <w:pPr>
        <w:pStyle w:val="19"/>
        <w:spacing w:line="576" w:lineRule="exact"/>
      </w:pPr>
    </w:p>
    <w:p>
      <w:pPr>
        <w:pStyle w:val="2"/>
        <w:spacing w:line="576" w:lineRule="exact"/>
        <w:jc w:val="center"/>
        <w:rPr>
          <w:rFonts w:ascii="黑体" w:eastAsia="黑体"/>
          <w:b w:val="0"/>
        </w:rPr>
      </w:pPr>
      <w:bookmarkStart w:id="0" w:name="_Toc178176219"/>
      <w:r>
        <w:rPr>
          <w:rFonts w:hint="eastAsia" w:ascii="黑体" w:eastAsia="黑体"/>
          <w:b w:val="0"/>
        </w:rPr>
        <w:t>第一部分 部门概况</w:t>
      </w:r>
      <w:bookmarkEnd w:id="0"/>
    </w:p>
    <w:p>
      <w:pPr>
        <w:pStyle w:val="3"/>
        <w:spacing w:line="576" w:lineRule="exact"/>
        <w:ind w:firstLine="640" w:firstLineChars="200"/>
        <w:rPr>
          <w:rFonts w:ascii="黑体" w:eastAsia="黑体"/>
          <w:b w:val="0"/>
          <w:color w:val="000000"/>
        </w:rPr>
      </w:pPr>
      <w:bookmarkStart w:id="1" w:name="_Toc178176220"/>
      <w:r>
        <w:rPr>
          <w:rFonts w:hint="eastAsia" w:ascii="黑体" w:eastAsia="黑体"/>
          <w:b w:val="0"/>
          <w:color w:val="000000"/>
        </w:rPr>
        <w:t>一、部门职责</w:t>
      </w:r>
      <w:bookmarkEnd w:id="1"/>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bookmarkStart w:id="2" w:name="_Toc15378446"/>
      <w:bookmarkStart w:id="3" w:name="_Toc79163854"/>
      <w:bookmarkStart w:id="4" w:name="_Toc15377199"/>
      <w:bookmarkStart w:id="5" w:name="_Toc79163604"/>
      <w:r>
        <w:rPr>
          <w:rFonts w:hint="eastAsia" w:ascii="仿宋" w:eastAsia="仿宋"/>
          <w:color w:val="2E2E2E"/>
          <w:sz w:val="32"/>
          <w:szCs w:val="32"/>
        </w:rPr>
        <w:t>1.贯彻实施《中华人民共和国档案法》及档案工作的法律、法规和方针政策，进行行政执法监督；制定实施全县档案事业发展规划和档案工作的规章制度。</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2.监管对国家和社会具有保存价值或应当保密的集体和个人档案。</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3.对全县各级机关、团体、企业事业单位和其他组织、重点项目的档案工作进行监督和指导，审查制定县级各专业系统的档案管理办法，组织全县档案信息资源开发工作。</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4.集中统一管理县级各机关、团体及其所属单位重要的档案资料，维护档案的完整，确保档案资料的安全。</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6.组织并指导全县档案理论和科学技术研究、档案保护、档案教育、档案宣传、档案干部培训和档案专业技术职务评审工作。</w:t>
      </w:r>
    </w:p>
    <w:p>
      <w:pPr>
        <w:snapToGrid w:val="0"/>
        <w:spacing w:line="576" w:lineRule="exact"/>
        <w:ind w:firstLine="640" w:firstLineChars="200"/>
        <w:rPr>
          <w:rFonts w:ascii="仿宋" w:eastAsia="仿宋"/>
          <w:sz w:val="32"/>
          <w:szCs w:val="32"/>
        </w:rPr>
      </w:pPr>
      <w:r>
        <w:rPr>
          <w:rFonts w:hint="eastAsia" w:ascii="仿宋" w:eastAsia="仿宋"/>
          <w:sz w:val="32"/>
          <w:szCs w:val="32"/>
        </w:rPr>
        <w:t>7.完成县委、县政府、省、州档案局（馆）交办的有关事项。</w:t>
      </w:r>
    </w:p>
    <w:bookmarkEnd w:id="2"/>
    <w:bookmarkEnd w:id="3"/>
    <w:bookmarkEnd w:id="4"/>
    <w:bookmarkEnd w:id="5"/>
    <w:p>
      <w:pPr>
        <w:pStyle w:val="3"/>
        <w:spacing w:line="576" w:lineRule="exact"/>
        <w:ind w:firstLine="640" w:firstLineChars="200"/>
        <w:rPr>
          <w:rFonts w:ascii="黑体" w:eastAsia="黑体"/>
          <w:b w:val="0"/>
          <w:color w:val="000000"/>
        </w:rPr>
      </w:pPr>
      <w:bookmarkStart w:id="6" w:name="_Toc178176221"/>
      <w:r>
        <w:rPr>
          <w:rFonts w:hint="eastAsia" w:ascii="黑体" w:eastAsia="黑体"/>
          <w:b w:val="0"/>
          <w:color w:val="000000"/>
        </w:rPr>
        <w:t>二、机构设置</w:t>
      </w:r>
      <w:bookmarkEnd w:id="6"/>
    </w:p>
    <w:p>
      <w:pPr>
        <w:spacing w:line="576" w:lineRule="exact"/>
        <w:ind w:firstLine="640" w:firstLineChars="200"/>
        <w:rPr>
          <w:rFonts w:ascii="仿宋" w:eastAsia="仿宋"/>
          <w:sz w:val="32"/>
          <w:szCs w:val="32"/>
        </w:rPr>
      </w:pPr>
      <w:r>
        <w:rPr>
          <w:rFonts w:ascii="仿宋" w:eastAsia="仿宋"/>
          <w:sz w:val="32"/>
          <w:szCs w:val="32"/>
        </w:rPr>
        <w:t>四川省阿坝州茂县</w:t>
      </w:r>
      <w:r>
        <w:rPr>
          <w:rFonts w:hint="eastAsia" w:ascii="仿宋" w:eastAsia="仿宋"/>
          <w:sz w:val="32"/>
          <w:szCs w:val="32"/>
        </w:rPr>
        <w:t>档案馆是一级预算单位，参照公务员法管理的事业单位1个，无下属二级单位。</w:t>
      </w:r>
    </w:p>
    <w:p>
      <w:pPr>
        <w:pStyle w:val="2"/>
        <w:keepNext w:val="0"/>
        <w:keepLines w:val="0"/>
        <w:widowControl/>
        <w:spacing w:line="576" w:lineRule="exact"/>
        <w:jc w:val="center"/>
      </w:pPr>
      <w:bookmarkStart w:id="7" w:name="_Toc178176222"/>
      <w:r>
        <w:t>第二部分 202</w:t>
      </w:r>
      <w:r>
        <w:rPr>
          <w:rFonts w:hint="eastAsia"/>
        </w:rPr>
        <w:t>3</w:t>
      </w:r>
      <w:r>
        <w:t>年度部门决算情况说明</w:t>
      </w:r>
      <w:bookmarkEnd w:id="7"/>
    </w:p>
    <w:p>
      <w:pPr>
        <w:pStyle w:val="19"/>
        <w:spacing w:line="576" w:lineRule="exact"/>
      </w:pPr>
      <w:r>
        <w:t> </w:t>
      </w:r>
    </w:p>
    <w:p>
      <w:pPr>
        <w:pStyle w:val="31"/>
        <w:numPr>
          <w:ilvl w:val="0"/>
          <w:numId w:val="1"/>
        </w:numPr>
        <w:spacing w:line="576" w:lineRule="exact"/>
        <w:ind w:firstLineChars="0"/>
        <w:outlineLvl w:val="1"/>
        <w:rPr>
          <w:rFonts w:ascii="黑体" w:eastAsia="黑体"/>
          <w:color w:val="000000"/>
          <w:sz w:val="32"/>
          <w:szCs w:val="32"/>
        </w:rPr>
      </w:pPr>
      <w:bookmarkStart w:id="8" w:name="_Toc178176223"/>
      <w:r>
        <w:rPr>
          <w:rFonts w:hint="eastAsia" w:ascii="黑体" w:eastAsia="黑体"/>
          <w:color w:val="000000"/>
          <w:sz w:val="32"/>
          <w:szCs w:val="32"/>
        </w:rPr>
        <w:t>收入支出决算总体情况说明</w:t>
      </w:r>
      <w:bookmarkEnd w:id="8"/>
    </w:p>
    <w:p>
      <w:pPr>
        <w:spacing w:line="576"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年度收、支总计</w:t>
      </w:r>
      <w:r>
        <w:rPr>
          <w:rFonts w:hint="eastAsia" w:ascii="仿宋" w:eastAsia="仿宋"/>
          <w:color w:val="000000"/>
          <w:sz w:val="32"/>
          <w:szCs w:val="32"/>
        </w:rPr>
        <w:t>228.6</w:t>
      </w:r>
      <w:r>
        <w:rPr>
          <w:rFonts w:ascii="仿宋" w:eastAsia="仿宋"/>
          <w:color w:val="000000"/>
          <w:sz w:val="32"/>
          <w:szCs w:val="32"/>
        </w:rPr>
        <w:t>万元。与202</w:t>
      </w:r>
      <w:r>
        <w:rPr>
          <w:rFonts w:hint="eastAsia" w:ascii="仿宋" w:eastAsia="仿宋"/>
          <w:color w:val="000000"/>
          <w:sz w:val="32"/>
          <w:szCs w:val="32"/>
        </w:rPr>
        <w:t>2</w:t>
      </w:r>
      <w:r>
        <w:rPr>
          <w:rFonts w:ascii="仿宋" w:eastAsia="仿宋"/>
          <w:color w:val="000000"/>
          <w:sz w:val="32"/>
          <w:szCs w:val="32"/>
        </w:rPr>
        <w:t>年相比，收、支总计各增加</w:t>
      </w:r>
      <w:r>
        <w:rPr>
          <w:rFonts w:hint="eastAsia" w:ascii="仿宋" w:eastAsia="仿宋"/>
          <w:color w:val="000000"/>
          <w:sz w:val="32"/>
          <w:szCs w:val="32"/>
        </w:rPr>
        <w:t>2.37</w:t>
      </w:r>
      <w:r>
        <w:rPr>
          <w:rFonts w:ascii="仿宋" w:eastAsia="仿宋"/>
          <w:color w:val="000000"/>
          <w:sz w:val="32"/>
          <w:szCs w:val="32"/>
        </w:rPr>
        <w:t>万元，增长</w:t>
      </w:r>
      <w:r>
        <w:rPr>
          <w:rFonts w:hint="eastAsia" w:ascii="仿宋" w:eastAsia="仿宋"/>
          <w:color w:val="000000"/>
          <w:sz w:val="32"/>
          <w:szCs w:val="32"/>
        </w:rPr>
        <w:t>1.05</w:t>
      </w:r>
      <w:r>
        <w:rPr>
          <w:rFonts w:ascii="仿宋" w:eastAsia="仿宋"/>
          <w:color w:val="000000"/>
          <w:sz w:val="32"/>
          <w:szCs w:val="32"/>
        </w:rPr>
        <w:t>%。主要变动原因是</w:t>
      </w:r>
      <w:r>
        <w:rPr>
          <w:rFonts w:hint="eastAsia" w:ascii="仿宋" w:eastAsia="仿宋"/>
          <w:color w:val="000000"/>
          <w:sz w:val="32"/>
          <w:szCs w:val="32"/>
        </w:rPr>
        <w:t>档案馆2023年工资及社会保障支出增加。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：收、支决算总计变动情况图（单位：万元）</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790950" cy="1896745"/>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1"/>
        <w:numPr>
          <w:ilvl w:val="0"/>
          <w:numId w:val="1"/>
        </w:numPr>
        <w:spacing w:line="576" w:lineRule="exact"/>
        <w:ind w:firstLineChars="0"/>
        <w:outlineLvl w:val="1"/>
        <w:rPr>
          <w:rFonts w:ascii="黑体" w:eastAsia="黑体"/>
          <w:color w:val="000000"/>
          <w:sz w:val="32"/>
          <w:szCs w:val="32"/>
        </w:rPr>
      </w:pPr>
      <w:bookmarkStart w:id="9" w:name="_Toc178176224"/>
      <w:bookmarkStart w:id="10" w:name="_Toc15396604"/>
      <w:bookmarkStart w:id="11" w:name="_Toc79163611"/>
      <w:bookmarkStart w:id="12" w:name="_Toc115101710"/>
      <w:bookmarkStart w:id="13" w:name="_Toc15377206"/>
      <w:r>
        <w:rPr>
          <w:rFonts w:hint="eastAsia" w:ascii="黑体" w:eastAsia="黑体"/>
          <w:color w:val="000000"/>
          <w:sz w:val="32"/>
          <w:szCs w:val="32"/>
        </w:rPr>
        <w:t>收入决算情况说明</w:t>
      </w:r>
      <w:bookmarkEnd w:id="9"/>
    </w:p>
    <w:p>
      <w:pPr>
        <w:spacing w:line="576"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年本年收入合计</w:t>
      </w:r>
      <w:r>
        <w:rPr>
          <w:rFonts w:hint="eastAsia" w:ascii="仿宋" w:eastAsia="仿宋"/>
          <w:color w:val="000000"/>
          <w:sz w:val="32"/>
          <w:szCs w:val="32"/>
        </w:rPr>
        <w:t>228.6</w:t>
      </w:r>
      <w:r>
        <w:rPr>
          <w:rFonts w:ascii="仿宋" w:eastAsia="仿宋"/>
          <w:color w:val="000000"/>
          <w:sz w:val="32"/>
          <w:szCs w:val="32"/>
        </w:rPr>
        <w:t>万元，其中：一般公共预算财政拨款收入</w:t>
      </w:r>
      <w:r>
        <w:rPr>
          <w:rFonts w:hint="eastAsia" w:ascii="仿宋" w:eastAsia="仿宋"/>
          <w:color w:val="000000"/>
          <w:sz w:val="32"/>
          <w:szCs w:val="32"/>
        </w:rPr>
        <w:t>228.6</w:t>
      </w:r>
      <w:r>
        <w:rPr>
          <w:rFonts w:ascii="仿宋" w:eastAsia="仿宋"/>
          <w:color w:val="000000"/>
          <w:sz w:val="32"/>
          <w:szCs w:val="32"/>
        </w:rPr>
        <w:t xml:space="preserve">万元，占 </w:t>
      </w:r>
      <w:r>
        <w:rPr>
          <w:rFonts w:hint="eastAsia" w:ascii="仿宋" w:eastAsia="仿宋"/>
          <w:color w:val="000000"/>
          <w:sz w:val="32"/>
          <w:szCs w:val="32"/>
        </w:rPr>
        <w:t>100</w:t>
      </w:r>
      <w:r>
        <w:rPr>
          <w:rFonts w:ascii="仿宋" w:eastAsia="仿宋"/>
          <w:color w:val="000000"/>
          <w:sz w:val="32"/>
          <w:szCs w:val="32"/>
        </w:rPr>
        <w:t>%；</w:t>
      </w:r>
      <w:bookmarkEnd w:id="10"/>
      <w:bookmarkEnd w:id="11"/>
      <w:bookmarkEnd w:id="12"/>
      <w:bookmarkEnd w:id="13"/>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政府性基金预算财政拨款收入0万元；上级补助收入0万元；事业收入0万元；经营收入0万元；附属单位上缴收入0万元；其他收入0万元。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：收入决算结构图(单位:万元)</w:t>
      </w:r>
    </w:p>
    <w:p>
      <w:pPr>
        <w:ind w:firstLine="640" w:firstLineChars="200"/>
        <w:rPr>
          <w:rFonts w:ascii="仿宋" w:eastAsia="仿宋"/>
          <w:color w:val="FF0000"/>
          <w:sz w:val="32"/>
          <w:szCs w:val="32"/>
        </w:rPr>
      </w:pPr>
      <w:r>
        <w:rPr>
          <w:rFonts w:ascii="仿宋" w:eastAsia="仿宋"/>
          <w:color w:val="FF0000"/>
          <w:sz w:val="32"/>
          <w:szCs w:val="32"/>
        </w:rPr>
        <w:drawing>
          <wp:inline distT="0" distB="0" distL="0" distR="0">
            <wp:extent cx="2232660" cy="1165860"/>
            <wp:effectExtent l="0" t="0" r="0" b="0"/>
            <wp:docPr id="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1"/>
        <w:numPr>
          <w:ilvl w:val="0"/>
          <w:numId w:val="1"/>
        </w:numPr>
        <w:spacing w:line="600" w:lineRule="exact"/>
        <w:ind w:firstLineChars="0"/>
        <w:outlineLvl w:val="1"/>
        <w:rPr>
          <w:rStyle w:val="26"/>
          <w:rFonts w:ascii="黑体" w:eastAsia="黑体"/>
          <w:b w:val="0"/>
        </w:rPr>
      </w:pPr>
      <w:bookmarkStart w:id="14" w:name="_Toc15377207"/>
      <w:bookmarkStart w:id="15" w:name="_Toc79163612"/>
      <w:bookmarkStart w:id="16" w:name="_Toc115101711"/>
      <w:bookmarkStart w:id="17" w:name="_Toc15396605"/>
      <w:bookmarkStart w:id="18" w:name="_Toc178176225"/>
      <w:r>
        <w:rPr>
          <w:rFonts w:hint="eastAsia" w:ascii="黑体" w:eastAsia="黑体"/>
          <w:color w:val="000000"/>
          <w:sz w:val="32"/>
          <w:szCs w:val="32"/>
        </w:rPr>
        <w:t>支</w:t>
      </w:r>
      <w:r>
        <w:rPr>
          <w:rStyle w:val="26"/>
          <w:rFonts w:hint="eastAsia" w:ascii="黑体" w:eastAsia="黑体"/>
          <w:b w:val="0"/>
        </w:rPr>
        <w:t>出决算情况说明</w:t>
      </w:r>
      <w:bookmarkEnd w:id="14"/>
      <w:bookmarkEnd w:id="15"/>
      <w:bookmarkEnd w:id="16"/>
      <w:bookmarkEnd w:id="17"/>
      <w:bookmarkEnd w:id="18"/>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3年本年支出合计228.6万元，其中：基本支出228.6万元，占100</w:t>
      </w:r>
      <w:r>
        <w:rPr>
          <w:rFonts w:ascii="仿宋_GB2312" w:eastAsia="仿宋_GB2312"/>
          <w:sz w:val="32"/>
          <w:szCs w:val="32"/>
        </w:rPr>
        <w:t>%</w:t>
      </w:r>
      <w:r>
        <w:rPr>
          <w:rFonts w:hint="eastAsia" w:ascii="仿宋_GB2312" w:eastAsia="仿宋_GB2312"/>
          <w:sz w:val="32"/>
          <w:szCs w:val="32"/>
        </w:rPr>
        <w:t>；项目支出0万元；上缴上级支出0万元；经营支出0万元；对附属单位补助支出0万元。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：支出决算结构图(单位:万元)</w:t>
      </w:r>
    </w:p>
    <w:p>
      <w:pPr>
        <w:ind w:firstLine="640" w:firstLineChars="200"/>
        <w:rPr>
          <w:rFonts w:ascii="仿宋" w:eastAsia="仿宋"/>
          <w:color w:val="000000"/>
        </w:rPr>
      </w:pPr>
      <w:r>
        <w:rPr>
          <w:rFonts w:ascii="仿宋" w:eastAsia="仿宋"/>
          <w:color w:val="FF0000"/>
          <w:sz w:val="32"/>
          <w:szCs w:val="32"/>
        </w:rPr>
        <w:drawing>
          <wp:inline distT="0" distB="0" distL="0" distR="0">
            <wp:extent cx="3155950" cy="1644650"/>
            <wp:effectExtent l="0" t="0" r="0" b="0"/>
            <wp:docPr id="3"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eastAsia="黑体"/>
          <w:b w:val="0"/>
        </w:rPr>
      </w:pPr>
      <w:bookmarkStart w:id="19" w:name="_Toc115101712"/>
      <w:bookmarkStart w:id="20" w:name="_Toc15377208"/>
      <w:bookmarkStart w:id="21" w:name="_Toc15396606"/>
      <w:bookmarkStart w:id="22" w:name="_Toc79163613"/>
      <w:bookmarkStart w:id="23" w:name="_Toc178176226"/>
      <w:r>
        <w:rPr>
          <w:rFonts w:hint="eastAsia" w:ascii="黑体" w:eastAsia="黑体"/>
          <w:color w:val="000000"/>
          <w:sz w:val="32"/>
          <w:szCs w:val="32"/>
        </w:rPr>
        <w:t>四、财</w:t>
      </w:r>
      <w:r>
        <w:rPr>
          <w:rStyle w:val="26"/>
          <w:rFonts w:hint="eastAsia" w:ascii="黑体" w:eastAsia="黑体"/>
          <w:b w:val="0"/>
        </w:rPr>
        <w:t>政拨款收入支出决算总体情况说明</w:t>
      </w:r>
      <w:bookmarkEnd w:id="19"/>
      <w:bookmarkEnd w:id="20"/>
      <w:bookmarkEnd w:id="21"/>
      <w:bookmarkEnd w:id="22"/>
      <w:bookmarkEnd w:id="23"/>
    </w:p>
    <w:p>
      <w:pPr>
        <w:spacing w:line="600" w:lineRule="exact"/>
        <w:ind w:firstLine="64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w:t>
      </w:r>
      <w:r>
        <w:rPr>
          <w:rFonts w:hint="eastAsia" w:ascii="仿宋" w:eastAsia="仿宋"/>
          <w:color w:val="000000"/>
          <w:sz w:val="32"/>
          <w:szCs w:val="32"/>
        </w:rPr>
        <w:t>财政拨款收、支总计228.6万元。与</w:t>
      </w:r>
      <w:r>
        <w:rPr>
          <w:rFonts w:ascii="仿宋" w:eastAsia="仿宋"/>
          <w:color w:val="000000"/>
          <w:sz w:val="32"/>
          <w:szCs w:val="32"/>
        </w:rPr>
        <w:t>202</w:t>
      </w:r>
      <w:r>
        <w:rPr>
          <w:rFonts w:hint="eastAsia" w:ascii="仿宋" w:eastAsia="仿宋"/>
          <w:color w:val="000000"/>
          <w:sz w:val="32"/>
          <w:szCs w:val="32"/>
        </w:rPr>
        <w:t>2</w:t>
      </w:r>
      <w:r>
        <w:rPr>
          <w:rFonts w:ascii="仿宋" w:eastAsia="仿宋"/>
          <w:color w:val="000000"/>
          <w:sz w:val="32"/>
          <w:szCs w:val="32"/>
        </w:rPr>
        <w:t>年</w:t>
      </w:r>
      <w:r>
        <w:rPr>
          <w:rFonts w:hint="eastAsia" w:ascii="仿宋" w:eastAsia="仿宋"/>
          <w:color w:val="000000"/>
          <w:sz w:val="32"/>
          <w:szCs w:val="32"/>
        </w:rPr>
        <w:t>相比，财政拨款收、支总计各增加2.37万元，增长1.05</w:t>
      </w:r>
      <w:r>
        <w:rPr>
          <w:rFonts w:ascii="仿宋" w:eastAsia="仿宋"/>
          <w:color w:val="000000"/>
          <w:sz w:val="32"/>
          <w:szCs w:val="32"/>
        </w:rPr>
        <w:t>%</w:t>
      </w:r>
      <w:r>
        <w:rPr>
          <w:rFonts w:hint="eastAsia" w:ascii="仿宋" w:eastAsia="仿宋"/>
          <w:color w:val="000000"/>
          <w:sz w:val="32"/>
          <w:szCs w:val="32"/>
        </w:rPr>
        <w:t>。主要变动原因是工资及社会保障支出增加。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：财政拨款收、支决算总计变动情况（单位:万元）</w:t>
      </w:r>
    </w:p>
    <w:p>
      <w:pPr>
        <w:rPr>
          <w:rFonts w:ascii="仿宋" w:eastAsia="仿宋"/>
          <w:color w:val="000000"/>
        </w:rPr>
      </w:pPr>
      <w:r>
        <w:rPr>
          <w:rFonts w:hint="eastAsia" w:ascii="仿宋" w:eastAsia="仿宋"/>
          <w:color w:val="000000"/>
        </w:rPr>
        <w:drawing>
          <wp:inline distT="0" distB="0" distL="0" distR="0">
            <wp:extent cx="3790950" cy="1896745"/>
            <wp:effectExtent l="0" t="0" r="0" b="0"/>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eastAsia="黑体"/>
          <w:b w:val="0"/>
        </w:rPr>
      </w:pPr>
      <w:bookmarkStart w:id="24" w:name="_Toc178176227"/>
      <w:bookmarkStart w:id="25" w:name="_Toc15377209"/>
      <w:bookmarkStart w:id="26" w:name="_Toc79163614"/>
      <w:bookmarkStart w:id="27" w:name="_Toc115101713"/>
      <w:bookmarkStart w:id="28" w:name="_Toc15396607"/>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24"/>
      <w:bookmarkEnd w:id="25"/>
      <w:bookmarkEnd w:id="26"/>
      <w:bookmarkEnd w:id="27"/>
      <w:bookmarkEnd w:id="28"/>
    </w:p>
    <w:p>
      <w:pPr>
        <w:spacing w:line="600" w:lineRule="exact"/>
        <w:ind w:firstLine="642" w:firstLineChars="200"/>
        <w:outlineLvl w:val="2"/>
        <w:rPr>
          <w:rFonts w:ascii="仿宋" w:eastAsia="仿宋"/>
          <w:b/>
          <w:color w:val="000000"/>
          <w:sz w:val="32"/>
          <w:szCs w:val="32"/>
        </w:rPr>
      </w:pPr>
      <w:bookmarkStart w:id="29" w:name="_Toc79163615"/>
      <w:bookmarkStart w:id="30" w:name="_Toc15377210"/>
      <w:bookmarkStart w:id="31" w:name="_Toc115101714"/>
      <w:bookmarkStart w:id="32" w:name="_Toc178176228"/>
      <w:r>
        <w:rPr>
          <w:rFonts w:hint="eastAsia" w:ascii="仿宋" w:eastAsia="仿宋"/>
          <w:b/>
          <w:color w:val="000000"/>
          <w:sz w:val="32"/>
          <w:szCs w:val="32"/>
        </w:rPr>
        <w:t>（一）一般公共预算财政拨款支出决算总体情况</w:t>
      </w:r>
      <w:bookmarkEnd w:id="29"/>
      <w:bookmarkEnd w:id="30"/>
      <w:bookmarkEnd w:id="31"/>
      <w:bookmarkEnd w:id="32"/>
    </w:p>
    <w:p>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w:t>
      </w:r>
      <w:r>
        <w:rPr>
          <w:rFonts w:hint="eastAsia" w:ascii="仿宋" w:eastAsia="仿宋"/>
          <w:color w:val="000000"/>
          <w:sz w:val="32"/>
          <w:szCs w:val="32"/>
        </w:rPr>
        <w:t>一般公共预算财政拨款支出228.6万元，占本年支出合计的100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w:t>
      </w:r>
      <w:r>
        <w:rPr>
          <w:rFonts w:hint="eastAsia" w:ascii="仿宋" w:eastAsia="仿宋"/>
          <w:color w:val="000000"/>
          <w:sz w:val="32"/>
          <w:szCs w:val="32"/>
        </w:rPr>
        <w:t>2</w:t>
      </w:r>
      <w:r>
        <w:rPr>
          <w:rFonts w:ascii="仿宋" w:eastAsia="仿宋"/>
          <w:color w:val="000000"/>
          <w:sz w:val="32"/>
          <w:szCs w:val="32"/>
        </w:rPr>
        <w:t>年</w:t>
      </w:r>
      <w:r>
        <w:rPr>
          <w:rFonts w:hint="eastAsia" w:ascii="仿宋" w:eastAsia="仿宋"/>
          <w:color w:val="000000"/>
          <w:sz w:val="32"/>
          <w:szCs w:val="32"/>
        </w:rPr>
        <w:t>相比，一般公共预算财政拨款增加2.37万元，增长1.05</w:t>
      </w:r>
      <w:r>
        <w:rPr>
          <w:rFonts w:ascii="仿宋" w:eastAsia="仿宋"/>
          <w:color w:val="000000"/>
          <w:sz w:val="32"/>
          <w:szCs w:val="32"/>
        </w:rPr>
        <w:t>%</w:t>
      </w:r>
      <w:r>
        <w:rPr>
          <w:rFonts w:hint="eastAsia" w:ascii="仿宋" w:eastAsia="仿宋"/>
          <w:color w:val="000000"/>
          <w:sz w:val="32"/>
          <w:szCs w:val="32"/>
        </w:rPr>
        <w:t>。主要变动原因是工资及社会保障支出增加。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853055" cy="193484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eastAsia="仿宋"/>
          <w:b/>
          <w:color w:val="000000"/>
          <w:sz w:val="32"/>
          <w:szCs w:val="32"/>
        </w:rPr>
      </w:pPr>
      <w:bookmarkStart w:id="33" w:name="_Toc79163616"/>
      <w:bookmarkStart w:id="34" w:name="_Toc15377211"/>
      <w:bookmarkStart w:id="35" w:name="_Toc115101715"/>
      <w:bookmarkStart w:id="36" w:name="_Toc178176229"/>
      <w:r>
        <w:rPr>
          <w:rFonts w:hint="eastAsia" w:ascii="仿宋" w:eastAsia="仿宋"/>
          <w:b/>
          <w:color w:val="000000"/>
          <w:sz w:val="32"/>
          <w:szCs w:val="32"/>
        </w:rPr>
        <w:t>（二）一般公共预算财政拨款支出决算结构情况</w:t>
      </w:r>
      <w:bookmarkEnd w:id="33"/>
      <w:bookmarkEnd w:id="34"/>
      <w:bookmarkEnd w:id="35"/>
      <w:bookmarkEnd w:id="36"/>
    </w:p>
    <w:p>
      <w:pPr>
        <w:spacing w:line="600" w:lineRule="exact"/>
        <w:ind w:firstLine="640"/>
        <w:rPr>
          <w:rFonts w:ascii="仿宋" w:eastAsia="仿宋"/>
          <w:b/>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w:t>
      </w:r>
      <w:r>
        <w:rPr>
          <w:rFonts w:hint="eastAsia" w:ascii="仿宋" w:eastAsia="仿宋"/>
          <w:color w:val="000000"/>
          <w:sz w:val="32"/>
          <w:szCs w:val="32"/>
        </w:rPr>
        <w:t>一般公共预算财政拨款支出228.6万元，主要用于以下方面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支出168.66万元，占73.78</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支出30.97万元，占13.55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rPr>
        <w:t>12.28万元，占5.37</w:t>
      </w:r>
      <w:r>
        <w:rPr>
          <w:rFonts w:ascii="仿宋" w:eastAsia="仿宋"/>
          <w:color w:val="000000"/>
          <w:sz w:val="32"/>
          <w:szCs w:val="32"/>
        </w:rPr>
        <w:t>%</w:t>
      </w:r>
      <w:r>
        <w:rPr>
          <w:rFonts w:hint="eastAsia" w:ascii="仿宋" w:eastAsia="仿宋"/>
          <w:color w:val="000000"/>
          <w:sz w:val="32"/>
          <w:szCs w:val="32"/>
        </w:rPr>
        <w:t>；住房保障支出16.69万元，占7.3</w:t>
      </w:r>
      <w:r>
        <w:rPr>
          <w:rFonts w:ascii="仿宋" w:eastAsia="仿宋"/>
          <w:color w:val="000000"/>
          <w:sz w:val="32"/>
          <w:szCs w:val="32"/>
        </w:rPr>
        <w:t>%</w:t>
      </w:r>
      <w:r>
        <w:rPr>
          <w:rFonts w:hint="eastAsia" w:ascii="仿宋" w:eastAsia="仿宋"/>
          <w:color w:val="000000"/>
          <w:sz w:val="32"/>
          <w:szCs w:val="32"/>
        </w:rPr>
        <w:t>。</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926080" cy="1844040"/>
            <wp:effectExtent l="0" t="0" r="0" b="0"/>
            <wp:docPr id="6"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eastAsia="仿宋"/>
          <w:b/>
          <w:color w:val="000000"/>
          <w:sz w:val="32"/>
          <w:szCs w:val="32"/>
        </w:rPr>
      </w:pPr>
      <w:bookmarkStart w:id="37" w:name="_Toc15377212"/>
      <w:bookmarkStart w:id="38" w:name="_Toc79163617"/>
      <w:bookmarkStart w:id="39" w:name="_Toc115101716"/>
      <w:bookmarkStart w:id="40" w:name="_Toc178176230"/>
      <w:r>
        <w:rPr>
          <w:rFonts w:hint="eastAsia" w:ascii="仿宋" w:eastAsia="仿宋"/>
          <w:b/>
          <w:color w:val="000000"/>
          <w:sz w:val="32"/>
          <w:szCs w:val="32"/>
        </w:rPr>
        <w:t>（三）一般公共预算财政拨款支出决算具体情况</w:t>
      </w:r>
      <w:bookmarkEnd w:id="37"/>
      <w:bookmarkEnd w:id="38"/>
      <w:bookmarkEnd w:id="39"/>
      <w:bookmarkEnd w:id="40"/>
    </w:p>
    <w:p>
      <w:pPr>
        <w:spacing w:line="600" w:lineRule="exact"/>
        <w:ind w:firstLine="640" w:firstLineChars="200"/>
        <w:rPr>
          <w:rFonts w:ascii="仿宋_GB2312" w:eastAsia="仿宋_GB2312"/>
          <w:bCs/>
          <w:sz w:val="32"/>
          <w:szCs w:val="32"/>
        </w:rPr>
      </w:pPr>
      <w:bookmarkStart w:id="41" w:name="_Toc15377213"/>
      <w:bookmarkStart w:id="42" w:name="_Toc15377444"/>
      <w:bookmarkStart w:id="43" w:name="_Toc15378460"/>
      <w:r>
        <w:rPr>
          <w:rFonts w:ascii="仿宋_GB2312" w:eastAsia="仿宋_GB2312"/>
          <w:bCs/>
          <w:sz w:val="32"/>
          <w:szCs w:val="32"/>
        </w:rPr>
        <w:t>202</w:t>
      </w:r>
      <w:r>
        <w:rPr>
          <w:rFonts w:hint="eastAsia" w:ascii="仿宋_GB2312" w:eastAsia="仿宋_GB2312"/>
          <w:bCs/>
          <w:sz w:val="32"/>
          <w:szCs w:val="32"/>
        </w:rPr>
        <w:t>3</w:t>
      </w:r>
      <w:r>
        <w:rPr>
          <w:rFonts w:ascii="仿宋_GB2312" w:eastAsia="仿宋_GB2312"/>
          <w:bCs/>
          <w:sz w:val="32"/>
          <w:szCs w:val="32"/>
        </w:rPr>
        <w:t>年</w:t>
      </w:r>
      <w:r>
        <w:rPr>
          <w:rFonts w:hint="eastAsia" w:ascii="仿宋_GB2312" w:eastAsia="仿宋_GB2312"/>
          <w:bCs/>
          <w:sz w:val="32"/>
          <w:szCs w:val="32"/>
        </w:rPr>
        <w:t>一般公共预算支出决算数为228.6万元，完成预算100</w:t>
      </w:r>
      <w:r>
        <w:rPr>
          <w:rFonts w:ascii="仿宋_GB2312" w:eastAsia="仿宋_GB2312"/>
          <w:bCs/>
          <w:sz w:val="32"/>
          <w:szCs w:val="32"/>
        </w:rPr>
        <w:t>%</w:t>
      </w:r>
      <w:r>
        <w:rPr>
          <w:rFonts w:hint="eastAsia" w:ascii="仿宋_GB2312" w:eastAsia="仿宋_GB2312"/>
          <w:bCs/>
          <w:sz w:val="32"/>
          <w:szCs w:val="32"/>
        </w:rPr>
        <w:t>。其中：</w:t>
      </w:r>
      <w:bookmarkEnd w:id="41"/>
      <w:bookmarkEnd w:id="42"/>
      <w:bookmarkEnd w:id="43"/>
    </w:p>
    <w:p>
      <w:pPr>
        <w:spacing w:line="600" w:lineRule="exact"/>
        <w:ind w:firstLine="640" w:firstLineChars="200"/>
        <w:rPr>
          <w:rFonts w:ascii="仿宋" w:eastAsia="仿宋"/>
          <w:color w:val="000000"/>
          <w:sz w:val="32"/>
          <w:szCs w:val="32"/>
        </w:rPr>
      </w:pPr>
      <w:r>
        <w:rPr>
          <w:rStyle w:val="23"/>
          <w:rFonts w:ascii="仿宋" w:eastAsia="仿宋"/>
          <w:b w:val="0"/>
          <w:bCs/>
          <w:color w:val="000000"/>
          <w:sz w:val="32"/>
          <w:szCs w:val="32"/>
        </w:rPr>
        <w:t>1.</w:t>
      </w:r>
      <w:r>
        <w:rPr>
          <w:rStyle w:val="23"/>
          <w:rFonts w:hint="eastAsia" w:ascii="仿宋" w:eastAsia="仿宋"/>
          <w:b w:val="0"/>
          <w:bCs/>
          <w:color w:val="000000"/>
          <w:sz w:val="32"/>
          <w:szCs w:val="32"/>
        </w:rPr>
        <w:t>一般公共服务（类）档案事务（款）行政运行（项）</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支出决算为168.66万元，完成预算100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p>
    <w:p>
      <w:pPr>
        <w:spacing w:line="576" w:lineRule="exact"/>
        <w:ind w:firstLine="640" w:firstLineChars="200"/>
        <w:rPr>
          <w:rStyle w:val="23"/>
          <w:rFonts w:ascii="仿宋" w:eastAsia="仿宋"/>
          <w:b w:val="0"/>
          <w:bCs/>
          <w:color w:val="000000"/>
          <w:sz w:val="32"/>
          <w:szCs w:val="32"/>
        </w:rPr>
      </w:pPr>
      <w:bookmarkStart w:id="44" w:name="_Toc79163618"/>
      <w:bookmarkStart w:id="45" w:name="_Toc15396608"/>
      <w:bookmarkStart w:id="46" w:name="_Toc15377214"/>
      <w:r>
        <w:rPr>
          <w:rStyle w:val="23"/>
          <w:rFonts w:hint="eastAsia" w:ascii="仿宋" w:eastAsia="仿宋"/>
          <w:b w:val="0"/>
          <w:bCs/>
          <w:color w:val="000000"/>
          <w:sz w:val="32"/>
          <w:szCs w:val="32"/>
        </w:rPr>
        <w:t>2. 社会保障和就业支出（类）行政事业单位养老支出（款）机关事业单位基本养老保险缴费支出（项）:支出决算为20.65万元，完成预算100%。</w:t>
      </w:r>
    </w:p>
    <w:p>
      <w:pPr>
        <w:spacing w:line="576" w:lineRule="exact"/>
        <w:ind w:firstLine="640" w:firstLineChars="200"/>
        <w:rPr>
          <w:rStyle w:val="23"/>
          <w:rFonts w:ascii="仿宋" w:eastAsia="仿宋"/>
          <w:b w:val="0"/>
          <w:bCs/>
          <w:color w:val="000000"/>
          <w:sz w:val="32"/>
          <w:szCs w:val="32"/>
        </w:rPr>
      </w:pPr>
      <w:r>
        <w:rPr>
          <w:rStyle w:val="23"/>
          <w:rFonts w:hint="eastAsia" w:ascii="仿宋" w:eastAsia="仿宋"/>
          <w:b w:val="0"/>
          <w:bCs/>
          <w:color w:val="000000"/>
          <w:sz w:val="32"/>
          <w:szCs w:val="32"/>
        </w:rPr>
        <w:t>3.</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社会保障和就业（类）行政事业单位养老支出（款）机关事业单位职业年金缴费支出（项）:支出决算为10.32万元，完成预算100%。</w:t>
      </w:r>
    </w:p>
    <w:p>
      <w:pPr>
        <w:spacing w:line="576" w:lineRule="exact"/>
        <w:ind w:firstLine="640" w:firstLineChars="200"/>
        <w:rPr>
          <w:rFonts w:ascii="仿宋" w:eastAsia="仿宋"/>
          <w:color w:val="000000"/>
          <w:sz w:val="32"/>
          <w:szCs w:val="32"/>
        </w:rPr>
      </w:pPr>
      <w:r>
        <w:rPr>
          <w:rStyle w:val="23"/>
          <w:rFonts w:hint="eastAsia" w:ascii="仿宋" w:eastAsia="仿宋"/>
          <w:b w:val="0"/>
          <w:bCs/>
          <w:color w:val="000000"/>
          <w:sz w:val="32"/>
          <w:szCs w:val="32"/>
        </w:rPr>
        <w:t>4.</w:t>
      </w:r>
      <w:r>
        <w:rPr>
          <w:rFonts w:ascii="仿宋" w:eastAsia="仿宋"/>
          <w:color w:val="000000"/>
          <w:sz w:val="32"/>
          <w:szCs w:val="32"/>
        </w:rPr>
        <w:t xml:space="preserve"> </w:t>
      </w:r>
      <w:r>
        <w:rPr>
          <w:rStyle w:val="23"/>
          <w:rFonts w:hint="eastAsia" w:ascii="仿宋" w:eastAsia="仿宋"/>
          <w:b w:val="0"/>
          <w:bCs/>
          <w:color w:val="000000"/>
          <w:sz w:val="32"/>
          <w:szCs w:val="32"/>
        </w:rPr>
        <w:t>卫生健康支出（类）行政事业单位医疗（款）行政单位医疗（项）:支出决算为12.28万元，完成预算100%。</w:t>
      </w:r>
    </w:p>
    <w:p>
      <w:pPr>
        <w:spacing w:line="576" w:lineRule="exact"/>
        <w:ind w:firstLine="640" w:firstLineChars="200"/>
        <w:rPr>
          <w:rStyle w:val="23"/>
          <w:rFonts w:ascii="仿宋" w:eastAsia="仿宋"/>
          <w:b w:val="0"/>
          <w:bCs/>
          <w:color w:val="000000"/>
          <w:sz w:val="32"/>
          <w:szCs w:val="32"/>
        </w:rPr>
      </w:pPr>
      <w:r>
        <w:rPr>
          <w:rStyle w:val="23"/>
          <w:rFonts w:hint="eastAsia" w:ascii="仿宋" w:eastAsia="仿宋"/>
          <w:b w:val="0"/>
          <w:bCs/>
          <w:color w:val="000000"/>
          <w:sz w:val="32"/>
          <w:szCs w:val="32"/>
        </w:rPr>
        <w:t>5.</w:t>
      </w:r>
      <w:r>
        <w:rPr>
          <w:rStyle w:val="23"/>
          <w:rFonts w:ascii="仿宋" w:eastAsia="仿宋"/>
          <w:b w:val="0"/>
          <w:bCs/>
          <w:color w:val="000000"/>
          <w:sz w:val="32"/>
          <w:szCs w:val="32"/>
        </w:rPr>
        <w:t xml:space="preserve"> </w:t>
      </w:r>
      <w:r>
        <w:rPr>
          <w:rFonts w:hint="eastAsia" w:ascii="仿宋" w:eastAsia="仿宋"/>
          <w:color w:val="000000"/>
          <w:sz w:val="32"/>
          <w:szCs w:val="32"/>
        </w:rPr>
        <w:t>住房保障支出（类）住房改革支出（款）住房公积金（项）：支出决算为16.68万元，完成预算100%</w:t>
      </w:r>
      <w:r>
        <w:rPr>
          <w:rStyle w:val="23"/>
          <w:rFonts w:hint="eastAsia" w:ascii="仿宋" w:eastAsia="仿宋"/>
          <w:bCs/>
          <w:color w:val="000000"/>
          <w:sz w:val="32"/>
          <w:szCs w:val="32"/>
        </w:rPr>
        <w:t>。</w:t>
      </w:r>
    </w:p>
    <w:p>
      <w:pPr>
        <w:tabs>
          <w:tab w:val="right" w:pos="8306"/>
        </w:tabs>
        <w:spacing w:line="600" w:lineRule="exact"/>
        <w:ind w:firstLine="640"/>
        <w:outlineLvl w:val="1"/>
        <w:rPr>
          <w:rStyle w:val="26"/>
        </w:rPr>
      </w:pPr>
      <w:bookmarkStart w:id="47" w:name="_Toc115101717"/>
      <w:bookmarkStart w:id="48" w:name="_Toc178176231"/>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44"/>
      <w:bookmarkEnd w:id="45"/>
      <w:bookmarkEnd w:id="46"/>
      <w:bookmarkEnd w:id="47"/>
      <w:bookmarkEnd w:id="48"/>
      <w:r>
        <w:rPr>
          <w:rStyle w:val="26"/>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w:t>
      </w:r>
      <w:r>
        <w:rPr>
          <w:rFonts w:hint="eastAsia" w:ascii="仿宋" w:eastAsia="仿宋"/>
          <w:color w:val="000000"/>
          <w:sz w:val="32"/>
          <w:szCs w:val="32"/>
        </w:rPr>
        <w:t>一般公共预算财政拨款基本支出228.6万元，其中：</w:t>
      </w:r>
    </w:p>
    <w:p>
      <w:pPr>
        <w:spacing w:line="600" w:lineRule="exact"/>
        <w:ind w:firstLine="645"/>
        <w:rPr>
          <w:rFonts w:ascii="仿宋" w:eastAsia="仿宋"/>
          <w:color w:val="000000"/>
          <w:sz w:val="32"/>
          <w:szCs w:val="32"/>
        </w:rPr>
      </w:pPr>
      <w:r>
        <w:rPr>
          <w:rFonts w:hint="eastAsia" w:ascii="仿宋" w:eastAsia="仿宋"/>
          <w:color w:val="000000"/>
          <w:sz w:val="32"/>
          <w:szCs w:val="32"/>
        </w:rPr>
        <w:t>人员经费217.58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11.02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eastAsia="黑体"/>
          <w:b w:val="0"/>
        </w:rPr>
      </w:pPr>
      <w:bookmarkStart w:id="49" w:name="_Toc115101718"/>
      <w:bookmarkStart w:id="50" w:name="_Toc15377215"/>
      <w:bookmarkStart w:id="51" w:name="_Toc79163619"/>
      <w:bookmarkStart w:id="52" w:name="_Toc15396609"/>
      <w:bookmarkStart w:id="53" w:name="_Toc178176232"/>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49"/>
      <w:bookmarkEnd w:id="50"/>
      <w:bookmarkEnd w:id="51"/>
      <w:bookmarkEnd w:id="52"/>
      <w:bookmarkEnd w:id="53"/>
    </w:p>
    <w:p>
      <w:pPr>
        <w:spacing w:line="600" w:lineRule="exact"/>
        <w:ind w:firstLine="640"/>
        <w:outlineLvl w:val="2"/>
        <w:rPr>
          <w:rFonts w:ascii="仿宋" w:eastAsia="仿宋"/>
          <w:b/>
          <w:color w:val="000000"/>
          <w:sz w:val="32"/>
          <w:szCs w:val="32"/>
        </w:rPr>
      </w:pPr>
      <w:bookmarkStart w:id="54" w:name="_Toc115101719"/>
      <w:bookmarkStart w:id="55" w:name="_Toc15377216"/>
      <w:bookmarkStart w:id="56" w:name="_Toc79163620"/>
      <w:bookmarkStart w:id="57" w:name="_Toc178176233"/>
      <w:r>
        <w:rPr>
          <w:rFonts w:hint="eastAsia" w:ascii="仿宋" w:eastAsia="仿宋"/>
          <w:b/>
          <w:color w:val="000000"/>
          <w:sz w:val="32"/>
          <w:szCs w:val="32"/>
        </w:rPr>
        <w:t>（一）“三公”经费财政拨款支出决算总体情况说明</w:t>
      </w:r>
      <w:bookmarkEnd w:id="54"/>
      <w:bookmarkEnd w:id="55"/>
      <w:bookmarkEnd w:id="56"/>
      <w:bookmarkEnd w:id="57"/>
    </w:p>
    <w:p>
      <w:pPr>
        <w:spacing w:line="600" w:lineRule="exact"/>
        <w:ind w:firstLine="64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w:t>
      </w:r>
      <w:r>
        <w:rPr>
          <w:rFonts w:hint="eastAsia" w:ascii="仿宋" w:eastAsia="仿宋"/>
          <w:color w:val="000000"/>
          <w:sz w:val="32"/>
          <w:szCs w:val="32"/>
        </w:rPr>
        <w:t>“三公”经费财政拨款支出决算为3.34万元，完成预算100</w:t>
      </w:r>
      <w:r>
        <w:rPr>
          <w:rFonts w:ascii="仿宋" w:eastAsia="仿宋"/>
          <w:color w:val="000000"/>
          <w:sz w:val="32"/>
          <w:szCs w:val="32"/>
        </w:rPr>
        <w:t>%</w:t>
      </w:r>
      <w:r>
        <w:rPr>
          <w:rFonts w:hint="eastAsia" w:ascii="仿宋" w:eastAsia="仿宋"/>
          <w:color w:val="000000"/>
          <w:sz w:val="32"/>
          <w:szCs w:val="32"/>
        </w:rPr>
        <w:t>，较上年度减少0.76万元,下降18.54%,我馆认真贯彻落实中央八项规定及省委省政府十项规定要求，厉行节约，从严控制“三公”经费支出，做到全年实际支出与预算持平。</w:t>
      </w:r>
    </w:p>
    <w:p>
      <w:pPr>
        <w:spacing w:line="600" w:lineRule="exact"/>
        <w:ind w:firstLine="640"/>
        <w:outlineLvl w:val="2"/>
        <w:rPr>
          <w:rFonts w:ascii="仿宋" w:eastAsia="仿宋"/>
          <w:b/>
          <w:color w:val="000000"/>
          <w:sz w:val="32"/>
          <w:szCs w:val="32"/>
        </w:rPr>
      </w:pPr>
      <w:bookmarkStart w:id="58" w:name="_Toc79163621"/>
      <w:bookmarkStart w:id="59" w:name="_Toc15377217"/>
      <w:bookmarkStart w:id="60" w:name="_Toc115101720"/>
      <w:bookmarkStart w:id="61" w:name="_Toc178176234"/>
      <w:r>
        <w:rPr>
          <w:rFonts w:hint="eastAsia" w:ascii="仿宋" w:eastAsia="仿宋"/>
          <w:b/>
          <w:color w:val="000000"/>
          <w:sz w:val="32"/>
          <w:szCs w:val="32"/>
        </w:rPr>
        <w:t>（二）“三公”经费财政拨款支出决算具体情况说明</w:t>
      </w:r>
      <w:bookmarkEnd w:id="58"/>
      <w:bookmarkEnd w:id="59"/>
      <w:bookmarkEnd w:id="60"/>
      <w:bookmarkEnd w:id="61"/>
    </w:p>
    <w:p>
      <w:pPr>
        <w:spacing w:line="600" w:lineRule="exact"/>
        <w:ind w:firstLine="64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3</w:t>
      </w:r>
      <w:r>
        <w:rPr>
          <w:rFonts w:ascii="仿宋" w:eastAsia="仿宋"/>
          <w:color w:val="000000"/>
          <w:sz w:val="32"/>
          <w:szCs w:val="32"/>
        </w:rPr>
        <w:t>年</w:t>
      </w:r>
      <w:r>
        <w:rPr>
          <w:rFonts w:hint="eastAsia" w:ascii="仿宋" w:eastAsia="仿宋"/>
          <w:color w:val="000000"/>
          <w:sz w:val="32"/>
          <w:szCs w:val="32"/>
        </w:rPr>
        <w:t>“三公”经费财政拨款支出决算中，因公出国（境）费支出决算0万元；公务用车购置及运行维护费支出决算3.2万元，占95.8</w:t>
      </w:r>
      <w:r>
        <w:rPr>
          <w:rFonts w:ascii="仿宋" w:eastAsia="仿宋"/>
          <w:color w:val="000000"/>
          <w:sz w:val="32"/>
          <w:szCs w:val="32"/>
        </w:rPr>
        <w:t>%</w:t>
      </w:r>
      <w:r>
        <w:rPr>
          <w:rFonts w:hint="eastAsia" w:ascii="仿宋" w:eastAsia="仿宋"/>
          <w:color w:val="000000"/>
          <w:sz w:val="32"/>
          <w:szCs w:val="32"/>
        </w:rPr>
        <w:t>（其中公务用车购置费0万元，公务用车运行费3.2万元）；公务接待费支出决算0.14万元，占4.2</w:t>
      </w:r>
      <w:r>
        <w:rPr>
          <w:rFonts w:ascii="仿宋" w:eastAsia="仿宋"/>
          <w:color w:val="000000"/>
          <w:sz w:val="32"/>
          <w:szCs w:val="32"/>
        </w:rPr>
        <w:t>%</w:t>
      </w:r>
      <w:r>
        <w:rPr>
          <w:rFonts w:hint="eastAsia" w:ascii="仿宋" w:eastAsia="仿宋"/>
          <w:color w:val="000000"/>
          <w:sz w:val="32"/>
          <w:szCs w:val="32"/>
        </w:rPr>
        <w:t>。具体情况如下：</w:t>
      </w:r>
    </w:p>
    <w:p>
      <w:pPr>
        <w:spacing w:line="576" w:lineRule="exact"/>
        <w:ind w:firstLine="641"/>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：“三公”经费财政拨款支出结构（单位：万元）</w:t>
      </w:r>
    </w:p>
    <w:p>
      <w:pPr>
        <w:ind w:firstLine="641"/>
        <w:rPr>
          <w:rFonts w:ascii="仿宋" w:eastAsia="仿宋"/>
          <w:color w:val="000000"/>
          <w:sz w:val="32"/>
          <w:szCs w:val="32"/>
        </w:rPr>
      </w:pPr>
      <w:r>
        <w:rPr>
          <w:rFonts w:ascii="仿宋" w:eastAsia="仿宋"/>
          <w:color w:val="000000"/>
          <w:sz w:val="32"/>
          <w:szCs w:val="32"/>
        </w:rPr>
        <w:drawing>
          <wp:inline distT="0" distB="0" distL="0" distR="0">
            <wp:extent cx="2807970" cy="1562100"/>
            <wp:effectExtent l="0" t="0" r="0" b="0"/>
            <wp:docPr id="7"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3.2万元</w:t>
      </w:r>
      <w:r>
        <w:rPr>
          <w:rFonts w:ascii="仿宋_GB2312" w:eastAsia="仿宋_GB2312"/>
          <w:color w:val="000000"/>
          <w:sz w:val="32"/>
          <w:szCs w:val="32"/>
        </w:rPr>
        <w:t>,</w:t>
      </w:r>
      <w:r>
        <w:rPr>
          <w:rStyle w:val="23"/>
          <w:rFonts w:hint="eastAsia" w:ascii="仿宋" w:eastAsia="仿宋"/>
          <w:b w:val="0"/>
          <w:bCs/>
          <w:color w:val="000000"/>
          <w:sz w:val="32"/>
          <w:szCs w:val="32"/>
        </w:rPr>
        <w:t>完成预算100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w:t>
      </w:r>
      <w:r>
        <w:rPr>
          <w:rFonts w:hint="eastAsia" w:ascii="仿宋_GB2312" w:eastAsia="仿宋_GB2312"/>
          <w:color w:val="000000"/>
          <w:sz w:val="32"/>
          <w:szCs w:val="32"/>
        </w:rPr>
        <w:t>2</w:t>
      </w:r>
      <w:r>
        <w:rPr>
          <w:rFonts w:ascii="仿宋_GB2312" w:eastAsia="仿宋_GB2312"/>
          <w:color w:val="000000"/>
          <w:sz w:val="32"/>
          <w:szCs w:val="32"/>
        </w:rPr>
        <w:t>年</w:t>
      </w:r>
      <w:r>
        <w:rPr>
          <w:rFonts w:hint="eastAsia" w:ascii="仿宋_GB2312" w:eastAsia="仿宋_GB2312"/>
          <w:color w:val="000000"/>
          <w:sz w:val="32"/>
          <w:szCs w:val="32"/>
        </w:rPr>
        <w:t>减少0.73万元，减少18.58</w:t>
      </w:r>
      <w:r>
        <w:rPr>
          <w:rFonts w:ascii="仿宋_GB2312" w:eastAsia="仿宋_GB2312"/>
          <w:color w:val="000000"/>
          <w:sz w:val="32"/>
          <w:szCs w:val="32"/>
        </w:rPr>
        <w:t>%</w:t>
      </w:r>
      <w:r>
        <w:rPr>
          <w:rFonts w:hint="eastAsia" w:ascii="仿宋_GB2312" w:eastAsia="仿宋_GB2312"/>
          <w:color w:val="000000"/>
          <w:sz w:val="32"/>
          <w:szCs w:val="32"/>
        </w:rPr>
        <w:t>。主要原因是档案工作指导、下乡减少。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0万元。截至2023年12月底，单位有公务用车1辆，其中越野车1辆。</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3.2万元。主要用于档案工作指导、下乡等所需的公务用车燃料费、维修费、过路过桥费、保险费等支出。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0.14万元，</w:t>
      </w:r>
      <w:r>
        <w:rPr>
          <w:rStyle w:val="23"/>
          <w:rFonts w:hint="eastAsia" w:ascii="仿宋" w:eastAsia="仿宋"/>
          <w:b w:val="0"/>
          <w:bCs/>
          <w:color w:val="000000"/>
          <w:sz w:val="32"/>
          <w:szCs w:val="32"/>
        </w:rPr>
        <w:t>完成预算100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w:t>
      </w:r>
      <w:r>
        <w:rPr>
          <w:rFonts w:hint="eastAsia" w:ascii="仿宋_GB2312" w:eastAsia="仿宋_GB2312"/>
          <w:color w:val="000000"/>
          <w:sz w:val="32"/>
          <w:szCs w:val="32"/>
        </w:rPr>
        <w:t>2</w:t>
      </w:r>
      <w:r>
        <w:rPr>
          <w:rFonts w:ascii="仿宋_GB2312" w:eastAsia="仿宋_GB2312"/>
          <w:color w:val="000000"/>
          <w:sz w:val="32"/>
          <w:szCs w:val="32"/>
        </w:rPr>
        <w:t>年</w:t>
      </w:r>
      <w:r>
        <w:rPr>
          <w:rFonts w:hint="eastAsia" w:ascii="仿宋_GB2312" w:eastAsia="仿宋_GB2312"/>
          <w:color w:val="000000"/>
          <w:sz w:val="32"/>
          <w:szCs w:val="32"/>
        </w:rPr>
        <w:t>减少0.03万元，减少17.64</w:t>
      </w:r>
      <w:r>
        <w:rPr>
          <w:rFonts w:ascii="仿宋_GB2312" w:eastAsia="仿宋_GB2312"/>
          <w:color w:val="000000"/>
          <w:sz w:val="32"/>
          <w:szCs w:val="32"/>
        </w:rPr>
        <w:t>%</w:t>
      </w:r>
      <w:r>
        <w:rPr>
          <w:rFonts w:hint="eastAsia" w:ascii="仿宋_GB2312" w:eastAsia="仿宋_GB2312"/>
          <w:color w:val="000000"/>
          <w:sz w:val="32"/>
          <w:szCs w:val="32"/>
        </w:rPr>
        <w:t>。其中：</w:t>
      </w:r>
      <w:r>
        <w:rPr>
          <w:rFonts w:hint="eastAsia" w:ascii="仿宋" w:eastAsia="仿宋"/>
          <w:b/>
          <w:color w:val="000000"/>
          <w:sz w:val="32"/>
          <w:szCs w:val="32"/>
        </w:rPr>
        <w:t>国内公务接待支出</w:t>
      </w:r>
      <w:r>
        <w:rPr>
          <w:rFonts w:hint="eastAsia" w:ascii="仿宋" w:eastAsia="仿宋"/>
          <w:color w:val="000000"/>
          <w:sz w:val="32"/>
          <w:szCs w:val="32"/>
        </w:rPr>
        <w:t>0.14</w:t>
      </w:r>
      <w:r>
        <w:rPr>
          <w:rFonts w:hint="eastAsia" w:ascii="仿宋_GB2312" w:eastAsia="仿宋_GB2312"/>
          <w:color w:val="000000"/>
          <w:sz w:val="32"/>
          <w:szCs w:val="32"/>
        </w:rPr>
        <w:t>万元，主要用于馆际交流开支用餐费。国内公务接待2批次，16人次（不包括陪同人员），共计支出0.14万元。</w:t>
      </w:r>
    </w:p>
    <w:p>
      <w:pPr>
        <w:spacing w:line="600" w:lineRule="exact"/>
        <w:ind w:firstLine="640"/>
        <w:outlineLvl w:val="1"/>
        <w:rPr>
          <w:rStyle w:val="26"/>
          <w:rFonts w:ascii="黑体" w:eastAsia="黑体"/>
        </w:rPr>
      </w:pPr>
      <w:bookmarkStart w:id="62" w:name="_Toc178176235"/>
      <w:bookmarkStart w:id="63" w:name="_Toc15377218"/>
      <w:bookmarkStart w:id="64" w:name="_Toc115101721"/>
      <w:bookmarkStart w:id="65" w:name="_Toc15396610"/>
      <w:bookmarkStart w:id="66" w:name="_Toc79163622"/>
      <w:r>
        <w:rPr>
          <w:rFonts w:hint="eastAsia" w:ascii="黑体" w:eastAsia="黑体"/>
          <w:color w:val="000000"/>
          <w:sz w:val="32"/>
          <w:szCs w:val="32"/>
        </w:rPr>
        <w:t>八、</w:t>
      </w:r>
      <w:r>
        <w:rPr>
          <w:rStyle w:val="26"/>
          <w:rFonts w:hint="eastAsia" w:ascii="黑体" w:eastAsia="黑体"/>
          <w:b w:val="0"/>
        </w:rPr>
        <w:t>政府性基金预算支出决算情况说明</w:t>
      </w:r>
      <w:bookmarkEnd w:id="62"/>
      <w:bookmarkEnd w:id="63"/>
      <w:bookmarkEnd w:id="64"/>
      <w:bookmarkEnd w:id="65"/>
      <w:bookmarkEnd w:id="6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w:t>
      </w:r>
      <w:r>
        <w:rPr>
          <w:rFonts w:ascii="仿宋_GB2312" w:eastAsia="仿宋_GB2312"/>
          <w:color w:val="000000"/>
          <w:sz w:val="32"/>
          <w:szCs w:val="32"/>
        </w:rPr>
        <w:t>年</w:t>
      </w:r>
      <w:r>
        <w:rPr>
          <w:rFonts w:hint="eastAsia" w:ascii="仿宋_GB2312" w:eastAsia="仿宋_GB2312"/>
          <w:color w:val="000000"/>
          <w:sz w:val="32"/>
          <w:szCs w:val="32"/>
        </w:rPr>
        <w:t>政府性基金预算拨款支出0万元。</w:t>
      </w:r>
    </w:p>
    <w:p>
      <w:pPr>
        <w:numPr>
          <w:ilvl w:val="0"/>
          <w:numId w:val="2"/>
        </w:numPr>
        <w:spacing w:line="600" w:lineRule="exact"/>
        <w:ind w:firstLine="640"/>
        <w:outlineLvl w:val="1"/>
        <w:rPr>
          <w:rStyle w:val="26"/>
          <w:rFonts w:ascii="黑体" w:eastAsia="黑体"/>
          <w:b w:val="0"/>
        </w:rPr>
      </w:pPr>
      <w:bookmarkStart w:id="67" w:name="_Toc115101722"/>
      <w:bookmarkStart w:id="68" w:name="_Toc79163623"/>
      <w:bookmarkStart w:id="69" w:name="_Toc15396611"/>
      <w:bookmarkStart w:id="70" w:name="_Toc178176236"/>
      <w:bookmarkStart w:id="71" w:name="_Toc15377219"/>
      <w:r>
        <w:rPr>
          <w:rStyle w:val="26"/>
          <w:rFonts w:hint="eastAsia" w:ascii="黑体" w:eastAsia="黑体"/>
          <w:b w:val="0"/>
        </w:rPr>
        <w:t>国有资本经营预算支出决算情况说明</w:t>
      </w:r>
      <w:bookmarkEnd w:id="67"/>
      <w:bookmarkEnd w:id="68"/>
      <w:bookmarkEnd w:id="69"/>
      <w:bookmarkEnd w:id="70"/>
      <w:bookmarkEnd w:id="7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w:t>
      </w:r>
      <w:r>
        <w:rPr>
          <w:rFonts w:ascii="仿宋_GB2312" w:eastAsia="仿宋_GB2312"/>
          <w:color w:val="000000"/>
          <w:sz w:val="32"/>
          <w:szCs w:val="32"/>
        </w:rPr>
        <w:t>年</w:t>
      </w:r>
      <w:r>
        <w:rPr>
          <w:rFonts w:hint="eastAsia" w:ascii="仿宋_GB2312" w:eastAsia="仿宋_GB2312"/>
          <w:color w:val="000000"/>
          <w:sz w:val="32"/>
          <w:szCs w:val="32"/>
        </w:rPr>
        <w:t>国有资本经营预算拨款支出0万元。</w:t>
      </w:r>
    </w:p>
    <w:p>
      <w:pPr>
        <w:spacing w:line="600" w:lineRule="exact"/>
        <w:ind w:firstLine="800" w:firstLineChars="250"/>
        <w:outlineLvl w:val="1"/>
        <w:rPr>
          <w:rStyle w:val="26"/>
          <w:rFonts w:ascii="黑体" w:eastAsia="黑体"/>
        </w:rPr>
      </w:pPr>
      <w:bookmarkStart w:id="72" w:name="_Toc115101723"/>
      <w:bookmarkStart w:id="73" w:name="_Toc79163624"/>
      <w:bookmarkStart w:id="74" w:name="_Toc15396612"/>
      <w:bookmarkStart w:id="75" w:name="_Toc15377221"/>
      <w:bookmarkStart w:id="76" w:name="_Toc178176237"/>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72"/>
      <w:bookmarkEnd w:id="73"/>
      <w:bookmarkEnd w:id="74"/>
      <w:bookmarkEnd w:id="75"/>
      <w:bookmarkEnd w:id="76"/>
    </w:p>
    <w:p>
      <w:pPr>
        <w:spacing w:line="600" w:lineRule="exact"/>
        <w:ind w:firstLine="642" w:firstLineChars="200"/>
        <w:outlineLvl w:val="2"/>
        <w:rPr>
          <w:rFonts w:ascii="仿宋" w:eastAsia="仿宋"/>
          <w:color w:val="000000"/>
          <w:sz w:val="32"/>
          <w:szCs w:val="32"/>
        </w:rPr>
      </w:pPr>
      <w:bookmarkStart w:id="77" w:name="_Toc15377222"/>
      <w:bookmarkStart w:id="78" w:name="_Toc79163625"/>
      <w:bookmarkStart w:id="79" w:name="_Toc115101724"/>
      <w:bookmarkStart w:id="80" w:name="_Toc178176238"/>
      <w:r>
        <w:rPr>
          <w:rFonts w:hint="eastAsia" w:ascii="仿宋" w:eastAsia="仿宋"/>
          <w:b/>
          <w:color w:val="000000"/>
          <w:sz w:val="32"/>
          <w:szCs w:val="32"/>
        </w:rPr>
        <w:t>（一）机关运行经费支出情况</w:t>
      </w:r>
      <w:bookmarkEnd w:id="77"/>
      <w:bookmarkEnd w:id="78"/>
      <w:bookmarkEnd w:id="79"/>
      <w:bookmarkEnd w:id="8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w:t>
      </w:r>
      <w:r>
        <w:rPr>
          <w:rFonts w:ascii="仿宋_GB2312" w:eastAsia="仿宋_GB2312"/>
          <w:color w:val="000000"/>
          <w:sz w:val="32"/>
          <w:szCs w:val="32"/>
        </w:rPr>
        <w:t>年</w:t>
      </w:r>
      <w:r>
        <w:rPr>
          <w:rFonts w:hint="eastAsia" w:ascii="仿宋_GB2312" w:eastAsia="仿宋_GB2312"/>
          <w:color w:val="000000"/>
          <w:sz w:val="32"/>
          <w:szCs w:val="32"/>
        </w:rPr>
        <w:t>，</w:t>
      </w:r>
      <w:r>
        <w:rPr>
          <w:rFonts w:ascii="仿宋_GB2312" w:eastAsia="仿宋_GB2312"/>
          <w:color w:val="000000"/>
          <w:sz w:val="32"/>
          <w:szCs w:val="32"/>
        </w:rPr>
        <w:t>四川省阿坝州茂县</w:t>
      </w:r>
      <w:r>
        <w:rPr>
          <w:rFonts w:hint="eastAsia" w:ascii="仿宋_GB2312" w:eastAsia="仿宋_GB2312"/>
          <w:color w:val="000000"/>
          <w:sz w:val="32"/>
          <w:szCs w:val="32"/>
        </w:rPr>
        <w:t>档案馆</w:t>
      </w:r>
      <w:r>
        <w:rPr>
          <w:rFonts w:ascii="仿宋_GB2312" w:eastAsia="仿宋_GB2312"/>
          <w:color w:val="000000"/>
          <w:sz w:val="32"/>
          <w:szCs w:val="32"/>
        </w:rPr>
        <w:t>202</w:t>
      </w:r>
      <w:r>
        <w:rPr>
          <w:rFonts w:hint="eastAsia" w:ascii="仿宋_GB2312" w:eastAsia="仿宋_GB2312"/>
          <w:color w:val="000000"/>
          <w:sz w:val="32"/>
          <w:szCs w:val="32"/>
        </w:rPr>
        <w:t>3</w:t>
      </w:r>
      <w:r>
        <w:rPr>
          <w:rFonts w:ascii="仿宋_GB2312" w:eastAsia="仿宋_GB2312"/>
          <w:color w:val="000000"/>
          <w:sz w:val="32"/>
          <w:szCs w:val="32"/>
        </w:rPr>
        <w:t>年度部门决算</w:t>
      </w:r>
      <w:r>
        <w:rPr>
          <w:rFonts w:hint="eastAsia" w:ascii="仿宋_GB2312" w:eastAsia="仿宋_GB2312"/>
          <w:color w:val="000000"/>
          <w:sz w:val="32"/>
          <w:szCs w:val="32"/>
        </w:rPr>
        <w:t>机关运行经费支出11.02万元，比</w:t>
      </w:r>
      <w:r>
        <w:rPr>
          <w:rFonts w:ascii="仿宋_GB2312" w:eastAsia="仿宋_GB2312"/>
          <w:color w:val="000000"/>
          <w:sz w:val="32"/>
          <w:szCs w:val="32"/>
        </w:rPr>
        <w:t>202</w:t>
      </w:r>
      <w:r>
        <w:rPr>
          <w:rFonts w:hint="eastAsia" w:ascii="仿宋_GB2312" w:eastAsia="仿宋_GB2312"/>
          <w:color w:val="000000"/>
          <w:sz w:val="32"/>
          <w:szCs w:val="32"/>
        </w:rPr>
        <w:t>2</w:t>
      </w:r>
      <w:r>
        <w:rPr>
          <w:rFonts w:ascii="仿宋_GB2312" w:eastAsia="仿宋_GB2312"/>
          <w:color w:val="000000"/>
          <w:sz w:val="32"/>
          <w:szCs w:val="32"/>
        </w:rPr>
        <w:t>年</w:t>
      </w:r>
      <w:r>
        <w:rPr>
          <w:rFonts w:hint="eastAsia" w:ascii="仿宋_GB2312" w:eastAsia="仿宋_GB2312"/>
          <w:color w:val="000000"/>
          <w:sz w:val="32"/>
          <w:szCs w:val="32"/>
        </w:rPr>
        <w:t>增加0.46万元，增加4.17</w:t>
      </w:r>
      <w:r>
        <w:rPr>
          <w:rFonts w:ascii="仿宋_GB2312" w:eastAsia="仿宋_GB2312"/>
          <w:color w:val="000000"/>
          <w:sz w:val="32"/>
          <w:szCs w:val="32"/>
        </w:rPr>
        <w:t>%</w:t>
      </w:r>
      <w:r>
        <w:rPr>
          <w:rFonts w:hint="eastAsia" w:ascii="仿宋_GB2312" w:eastAsia="仿宋_GB2312"/>
          <w:color w:val="000000"/>
          <w:sz w:val="32"/>
          <w:szCs w:val="32"/>
        </w:rPr>
        <w:t>。主要原因是2023年办公费用增加。</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81" w:name="_Toc178176239"/>
      <w:bookmarkStart w:id="82" w:name="_Toc79163626"/>
      <w:bookmarkStart w:id="83" w:name="_Toc15377223"/>
      <w:bookmarkStart w:id="84" w:name="_Toc115101725"/>
      <w:r>
        <w:rPr>
          <w:rFonts w:hint="eastAsia" w:ascii="仿宋" w:eastAsia="仿宋"/>
          <w:b/>
          <w:color w:val="000000"/>
          <w:sz w:val="32"/>
          <w:szCs w:val="32"/>
        </w:rPr>
        <w:t>（二）政府采购支出情况</w:t>
      </w:r>
      <w:bookmarkEnd w:id="81"/>
      <w:bookmarkEnd w:id="82"/>
      <w:bookmarkEnd w:id="83"/>
      <w:bookmarkEnd w:id="8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w:t>
      </w:r>
      <w:r>
        <w:rPr>
          <w:rFonts w:ascii="仿宋_GB2312" w:eastAsia="仿宋_GB2312"/>
          <w:color w:val="000000"/>
          <w:sz w:val="32"/>
          <w:szCs w:val="32"/>
        </w:rPr>
        <w:t>年</w:t>
      </w:r>
      <w:r>
        <w:rPr>
          <w:rFonts w:hint="eastAsia" w:ascii="仿宋_GB2312" w:eastAsia="仿宋_GB2312"/>
          <w:color w:val="000000"/>
          <w:sz w:val="32"/>
          <w:szCs w:val="32"/>
        </w:rPr>
        <w:t>，档案馆政府采购支出总额0万元。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85" w:name="_Toc178176240"/>
      <w:bookmarkStart w:id="86" w:name="_Toc79163627"/>
      <w:bookmarkStart w:id="87" w:name="_Toc15377224"/>
      <w:bookmarkStart w:id="88" w:name="_Toc115101726"/>
      <w:r>
        <w:rPr>
          <w:rFonts w:hint="eastAsia" w:ascii="仿宋" w:eastAsia="仿宋"/>
          <w:b/>
          <w:color w:val="000000"/>
          <w:sz w:val="32"/>
          <w:szCs w:val="32"/>
        </w:rPr>
        <w:t>（三）国有资产占有使用情况</w:t>
      </w:r>
      <w:bookmarkEnd w:id="85"/>
      <w:bookmarkEnd w:id="86"/>
      <w:bookmarkEnd w:id="87"/>
      <w:bookmarkEnd w:id="88"/>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3</w:t>
      </w:r>
      <w:r>
        <w:rPr>
          <w:rFonts w:ascii="仿宋_GB2312" w:eastAsia="仿宋_GB2312"/>
          <w:color w:val="000000"/>
          <w:sz w:val="32"/>
          <w:szCs w:val="32"/>
        </w:rPr>
        <w:t>年12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日，档案馆共有车辆1辆，其中：其他用车1辆，其他用车主要是用于档案业务指导及下乡等工作 。</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89" w:name="_Toc115101727"/>
      <w:bookmarkStart w:id="90" w:name="_Toc79163628"/>
      <w:bookmarkStart w:id="91" w:name="_Toc178176241"/>
      <w:r>
        <w:rPr>
          <w:rFonts w:hint="eastAsia" w:ascii="仿宋" w:eastAsia="仿宋"/>
          <w:b/>
          <w:color w:val="000000"/>
          <w:sz w:val="32"/>
          <w:szCs w:val="32"/>
        </w:rPr>
        <w:t>（四）预算绩效管理情况</w:t>
      </w:r>
      <w:bookmarkEnd w:id="89"/>
      <w:bookmarkEnd w:id="90"/>
      <w:bookmarkEnd w:id="91"/>
    </w:p>
    <w:p>
      <w:pPr>
        <w:spacing w:line="580" w:lineRule="exact"/>
        <w:ind w:left="630"/>
        <w:rPr>
          <w:rFonts w:ascii="仿宋_GB2312" w:eastAsia="仿宋_GB2312" w:cs="仿宋_GB2312"/>
          <w:sz w:val="32"/>
          <w:szCs w:val="32"/>
        </w:rPr>
      </w:pPr>
      <w:r>
        <w:rPr>
          <w:rFonts w:hint="eastAsia" w:ascii="楷体_GB2312" w:eastAsia="楷体_GB2312" w:cs="楷体_GB2312"/>
          <w:sz w:val="32"/>
          <w:szCs w:val="32"/>
        </w:rPr>
        <w:t>部门绩效评价结果</w:t>
      </w:r>
    </w:p>
    <w:p>
      <w:pPr>
        <w:widowControl/>
        <w:snapToGrid w:val="0"/>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w:t>
      </w:r>
      <w:r>
        <w:rPr>
          <w:rFonts w:hint="eastAsia" w:ascii="仿宋_GB2312" w:eastAsia="仿宋_GB2312" w:cs="仿宋_GB2312"/>
          <w:sz w:val="32"/>
          <w:szCs w:val="32"/>
        </w:rPr>
        <w:t>3</w:t>
      </w:r>
      <w:r>
        <w:rPr>
          <w:rFonts w:ascii="仿宋_GB2312" w:eastAsia="仿宋_GB2312" w:cs="仿宋_GB2312"/>
          <w:sz w:val="32"/>
          <w:szCs w:val="32"/>
        </w:rPr>
        <w:t>年</w:t>
      </w:r>
      <w:r>
        <w:rPr>
          <w:rFonts w:hint="eastAsia" w:ascii="仿宋_GB2312" w:eastAsia="仿宋_GB2312" w:cs="仿宋_GB2312"/>
          <w:sz w:val="32"/>
          <w:szCs w:val="32"/>
        </w:rPr>
        <w:t>部门整体支出绩效评价和</w:t>
      </w:r>
      <w:r>
        <w:rPr>
          <w:rFonts w:hint="eastAsia" w:ascii="仿宋_GB2312" w:eastAsia="仿宋_GB2312" w:cs="黑体"/>
          <w:sz w:val="32"/>
          <w:szCs w:val="32"/>
        </w:rPr>
        <w:t>2023年专项预算项目支出绩效自评</w:t>
      </w:r>
      <w:r>
        <w:rPr>
          <w:rFonts w:hint="eastAsia" w:ascii="仿宋_GB2312" w:eastAsia="仿宋_GB2312" w:cs="仿宋_GB2312"/>
          <w:sz w:val="32"/>
          <w:szCs w:val="32"/>
        </w:rPr>
        <w:t>情况开展自评。</w:t>
      </w:r>
    </w:p>
    <w:p>
      <w:pPr>
        <w:widowControl/>
        <w:snapToGrid w:val="0"/>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《档案馆部门整体支出绩效报告》见附件（附件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widowControl/>
        <w:snapToGrid w:val="0"/>
        <w:spacing w:line="576" w:lineRule="exact"/>
        <w:ind w:firstLine="640" w:firstLineChars="200"/>
        <w:jc w:val="left"/>
        <w:rPr>
          <w:rFonts w:ascii="仿宋_GB2312" w:eastAsia="仿宋_GB2312"/>
          <w:sz w:val="32"/>
          <w:szCs w:val="32"/>
        </w:rPr>
      </w:pPr>
      <w:r>
        <w:rPr>
          <w:rFonts w:hint="eastAsia" w:ascii="仿宋_GB2312" w:eastAsia="仿宋_GB2312" w:cs="仿宋_GB2312"/>
          <w:sz w:val="32"/>
          <w:szCs w:val="32"/>
        </w:rPr>
        <w:t>《</w:t>
      </w:r>
      <w:r>
        <w:rPr>
          <w:rFonts w:hint="eastAsia" w:ascii="仿宋_GB2312" w:eastAsia="仿宋_GB2312"/>
          <w:sz w:val="32"/>
          <w:szCs w:val="32"/>
        </w:rPr>
        <w:t>数字档案馆建设项目专项预算项目绩效评价报告》见附件（附件2）</w:t>
      </w:r>
    </w:p>
    <w:p>
      <w:pPr>
        <w:widowControl/>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《2023年档案抢救和保护经费专项预算项目绩效评价报告》（附件3）</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eastAsia="黑体"/>
          <w:b w:val="0"/>
        </w:rPr>
      </w:pPr>
      <w:bookmarkStart w:id="92" w:name="_Toc15396613"/>
      <w:bookmarkStart w:id="93" w:name="_Toc115101728"/>
      <w:bookmarkStart w:id="94" w:name="_Toc79163629"/>
      <w:bookmarkStart w:id="95" w:name="_Toc15377225"/>
      <w:bookmarkStart w:id="96" w:name="_Toc178176242"/>
      <w:r>
        <w:rPr>
          <w:rFonts w:hint="eastAsia" w:ascii="黑体" w:eastAsia="黑体"/>
          <w:color w:val="000000"/>
          <w:sz w:val="44"/>
          <w:szCs w:val="44"/>
        </w:rPr>
        <w:t>名</w:t>
      </w:r>
      <w:r>
        <w:rPr>
          <w:rStyle w:val="25"/>
          <w:rFonts w:hint="eastAsia" w:ascii="黑体" w:eastAsia="黑体"/>
          <w:b w:val="0"/>
        </w:rPr>
        <w:t>词解释</w:t>
      </w:r>
      <w:bookmarkEnd w:id="92"/>
      <w:bookmarkEnd w:id="93"/>
      <w:bookmarkEnd w:id="94"/>
      <w:bookmarkEnd w:id="95"/>
      <w:bookmarkEnd w:id="96"/>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 w:eastAsia="仿宋"/>
          <w:color w:val="000000"/>
          <w:sz w:val="32"/>
          <w:szCs w:val="32"/>
        </w:rPr>
      </w:pPr>
      <w:bookmarkStart w:id="97" w:name="_Toc79163630"/>
      <w:bookmarkStart w:id="98" w:name="_Toc15396614"/>
      <w:bookmarkStart w:id="99" w:name="_Toc15377226"/>
      <w:r>
        <w:rPr>
          <w:rFonts w:hint="eastAsia" w:ascii="仿宋" w:eastAsia="仿宋"/>
          <w:color w:val="000000"/>
          <w:sz w:val="32"/>
          <w:szCs w:val="32"/>
        </w:rPr>
        <w:t>9.一般公共服务（类）档案事务（款）行政运行（项）：</w:t>
      </w:r>
      <w:r>
        <w:rPr>
          <w:rFonts w:hint="eastAsia" w:ascii="仿宋" w:eastAsia="仿宋"/>
          <w:sz w:val="32"/>
          <w:szCs w:val="32"/>
        </w:rPr>
        <w:t>指档案馆工作人员工资和公务开支。</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10.社会保障和就业（类）行政事业单位离退休（款） 机关事业单位基本养老保险缴费支出（项）：指养老保险。</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11.社会保障和就业（类）行政事业单位离退休（款）机关事业单位职业年金缴费支出（项）：职业年金。</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12.卫生健康支出（类）行政事业单位医疗（款）行政单位医疗（项）：指行政单位医疗。</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13.住房保障支出（类）住房改革支出（款）住房公积金（项）：指住房公积金。</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14.基本支出：指为保障机构正常运转、完成日常工作任务而发生的人员支出和公用支出。</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15.项目支出：指在基本支出之外为完成特定行政任务和事业发展目标所发生的支出。</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16.经营支出：指事业单位在专业业务活动及其辅助活动之外开展非独立核算经营活动发生的支出。</w:t>
      </w:r>
    </w:p>
    <w:p>
      <w:pPr>
        <w:pStyle w:val="30"/>
        <w:spacing w:line="576" w:lineRule="exact"/>
        <w:ind w:firstLine="640" w:firstLineChars="200"/>
        <w:rPr>
          <w:sz w:val="32"/>
          <w:szCs w:val="32"/>
        </w:rPr>
      </w:pPr>
      <w:r>
        <w:rPr>
          <w:rFonts w:hint="eastAsia"/>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76" w:lineRule="exact"/>
        <w:ind w:firstLine="640" w:firstLineChars="200"/>
        <w:rPr>
          <w:sz w:val="32"/>
          <w:szCs w:val="32"/>
        </w:rPr>
      </w:pPr>
      <w:r>
        <w:rPr>
          <w:rFonts w:hint="eastAsia"/>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25"/>
          <w:rFonts w:ascii="黑体" w:eastAsia="黑体"/>
          <w:b w:val="0"/>
        </w:rPr>
      </w:pPr>
      <w:bookmarkStart w:id="100" w:name="_Toc115101729"/>
      <w:bookmarkStart w:id="101" w:name="_Toc178176243"/>
      <w:r>
        <w:rPr>
          <w:rFonts w:hint="eastAsia" w:ascii="黑体" w:eastAsia="黑体"/>
          <w:color w:val="000000"/>
          <w:sz w:val="44"/>
          <w:szCs w:val="44"/>
        </w:rPr>
        <w:t>第</w:t>
      </w:r>
      <w:r>
        <w:rPr>
          <w:rStyle w:val="25"/>
          <w:rFonts w:hint="eastAsia" w:ascii="黑体" w:eastAsia="黑体"/>
          <w:b w:val="0"/>
        </w:rPr>
        <w:t>四部分</w:t>
      </w:r>
      <w:r>
        <w:rPr>
          <w:rStyle w:val="25"/>
          <w:rFonts w:ascii="黑体" w:eastAsia="黑体"/>
          <w:b w:val="0"/>
        </w:rPr>
        <w:t xml:space="preserve"> </w:t>
      </w:r>
      <w:r>
        <w:rPr>
          <w:rStyle w:val="25"/>
          <w:rFonts w:hint="eastAsia" w:ascii="黑体" w:eastAsia="黑体"/>
          <w:b w:val="0"/>
        </w:rPr>
        <w:t>附件</w:t>
      </w:r>
      <w:bookmarkEnd w:id="97"/>
      <w:bookmarkEnd w:id="98"/>
      <w:bookmarkEnd w:id="100"/>
      <w:bookmarkEnd w:id="101"/>
    </w:p>
    <w:p>
      <w:pPr>
        <w:spacing w:line="600" w:lineRule="exact"/>
        <w:jc w:val="left"/>
        <w:outlineLvl w:val="0"/>
        <w:rPr>
          <w:rFonts w:ascii="方正小标宋简体" w:eastAsia="方正小标宋简体" w:cs="方正小标宋简体"/>
          <w:sz w:val="32"/>
          <w:szCs w:val="32"/>
        </w:rPr>
      </w:pPr>
      <w:bookmarkStart w:id="102" w:name="_Toc115101730"/>
      <w:bookmarkStart w:id="103" w:name="_Toc79163631"/>
      <w:bookmarkStart w:id="104" w:name="_Toc178176244"/>
      <w:r>
        <w:rPr>
          <w:rFonts w:hint="eastAsia" w:ascii="黑体" w:eastAsia="黑体" w:cs="黑体"/>
          <w:sz w:val="32"/>
          <w:szCs w:val="32"/>
        </w:rPr>
        <w:t>附件</w:t>
      </w:r>
      <w:r>
        <w:rPr>
          <w:rFonts w:ascii="黑体" w:eastAsia="黑体" w:cs="黑体"/>
          <w:sz w:val="32"/>
          <w:szCs w:val="32"/>
        </w:rPr>
        <w:t>1</w:t>
      </w:r>
      <w:bookmarkEnd w:id="102"/>
      <w:bookmarkEnd w:id="103"/>
      <w:bookmarkEnd w:id="104"/>
    </w:p>
    <w:p>
      <w:pPr>
        <w:spacing w:line="580" w:lineRule="exact"/>
        <w:jc w:val="center"/>
        <w:rPr>
          <w:rFonts w:ascii="方正小标宋简体" w:eastAsia="方正小标宋简体" w:cs="方正小标宋简体"/>
          <w:sz w:val="44"/>
          <w:szCs w:val="44"/>
        </w:rPr>
      </w:pPr>
    </w:p>
    <w:p>
      <w:pPr>
        <w:widowControl/>
        <w:spacing w:line="578" w:lineRule="exact"/>
        <w:contextualSpacing/>
        <w:jc w:val="center"/>
        <w:rPr>
          <w:szCs w:val="32"/>
          <w:shd w:val="clear" w:color="auto" w:fill="FFFFFF"/>
        </w:rPr>
      </w:pPr>
      <w:r>
        <w:rPr>
          <w:rFonts w:hint="eastAsia" w:eastAsia="方正小标宋简体"/>
          <w:bCs/>
          <w:sz w:val="44"/>
          <w:szCs w:val="44"/>
          <w:shd w:val="clear" w:color="auto" w:fill="FFFFFF"/>
        </w:rPr>
        <w:t>档案馆</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ascii="仿宋" w:hAnsi="仿宋" w:eastAsia="仿宋"/>
          <w:sz w:val="32"/>
          <w:szCs w:val="32"/>
        </w:rPr>
      </w:pPr>
      <w:r>
        <w:rPr>
          <w:rFonts w:hint="eastAsia" w:ascii="仿宋" w:hAnsi="仿宋" w:eastAsia="仿宋"/>
          <w:color w:val="000000"/>
          <w:kern w:val="0"/>
          <w:sz w:val="32"/>
          <w:szCs w:val="32"/>
          <w:shd w:val="clear" w:color="auto" w:fill="FFFFFF"/>
          <w:lang w:val="zh-CN"/>
        </w:rPr>
        <w:t>一、档案馆基本情况</w:t>
      </w:r>
    </w:p>
    <w:p>
      <w:pPr>
        <w:widowControl/>
        <w:adjustRightInd w:val="0"/>
        <w:snapToGrid w:val="0"/>
        <w:spacing w:line="576" w:lineRule="exact"/>
        <w:ind w:firstLine="720"/>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（一）机构组成。</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ascii="仿宋" w:eastAsia="仿宋"/>
          <w:sz w:val="32"/>
          <w:szCs w:val="32"/>
        </w:rPr>
        <w:t>四川省阿坝州茂县</w:t>
      </w:r>
      <w:r>
        <w:rPr>
          <w:rFonts w:hint="eastAsia" w:ascii="仿宋" w:eastAsia="仿宋"/>
          <w:sz w:val="32"/>
          <w:szCs w:val="32"/>
        </w:rPr>
        <w:t>档案馆是一级预算单位，参照公务员法管理的事业单位1个，无下属二级单位。</w:t>
      </w:r>
      <w:r>
        <w:rPr>
          <w:rFonts w:hint="eastAsia" w:ascii="仿宋" w:hAnsi="仿宋" w:eastAsia="仿宋" w:cs="宋体"/>
          <w:color w:val="000000"/>
          <w:kern w:val="0"/>
          <w:sz w:val="32"/>
          <w:szCs w:val="32"/>
          <w:shd w:val="clear" w:color="auto" w:fill="FFFFFF"/>
          <w:lang w:val="zh-CN"/>
        </w:rPr>
        <w:t>我馆内设业务指导股、馆务股和办公室。2019年3月机构改革，档案局（馆）分开设立，档案局同县委办合并挂牌，档案馆沿用以前的编制和人员，馆内仍然设立业务指导股、馆务股和办公室。</w:t>
      </w:r>
    </w:p>
    <w:p>
      <w:pPr>
        <w:widowControl/>
        <w:adjustRightInd w:val="0"/>
        <w:snapToGrid w:val="0"/>
        <w:spacing w:line="578" w:lineRule="exact"/>
        <w:ind w:firstLine="642" w:firstLineChars="200"/>
        <w:contextualSpacing/>
        <w:jc w:val="left"/>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（二）机构职能。</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pPr>
        <w:numPr>
          <w:ilvl w:val="0"/>
          <w:numId w:val="4"/>
        </w:numPr>
        <w:spacing w:line="600" w:lineRule="exact"/>
        <w:ind w:firstLine="642" w:firstLineChars="200"/>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人员概况。</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sz w:val="32"/>
          <w:szCs w:val="32"/>
        </w:rPr>
        <w:t>截至2023年末，</w:t>
      </w:r>
      <w:r>
        <w:rPr>
          <w:rFonts w:hint="eastAsia" w:ascii="仿宋" w:hAnsi="仿宋" w:eastAsia="仿宋" w:cs="宋体"/>
          <w:color w:val="000000"/>
          <w:kern w:val="0"/>
          <w:sz w:val="32"/>
          <w:szCs w:val="32"/>
          <w:shd w:val="clear" w:color="auto" w:fill="FFFFFF"/>
          <w:lang w:val="zh-CN"/>
        </w:rPr>
        <w:t>茂县档案馆参照公务员编制</w:t>
      </w:r>
      <w:r>
        <w:rPr>
          <w:rFonts w:hint="eastAsia" w:ascii="仿宋" w:hAnsi="仿宋" w:eastAsia="仿宋" w:cs="宋体"/>
          <w:color w:val="000000"/>
          <w:kern w:val="0"/>
          <w:sz w:val="32"/>
          <w:szCs w:val="32"/>
          <w:shd w:val="clear" w:color="auto" w:fill="FFFFFF"/>
        </w:rPr>
        <w:t>11人，年末实有人数10人，其中馆长1名，副馆长1名，三级调研员1名，正科级1名，二级主任科员2名，三级主任科员4名，一级科员1名，驾驶员1名。</w:t>
      </w:r>
    </w:p>
    <w:p>
      <w:pPr>
        <w:widowControl/>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二、部门资金收支情况</w:t>
      </w:r>
    </w:p>
    <w:p>
      <w:pPr>
        <w:widowControl/>
        <w:adjustRightInd w:val="0"/>
        <w:snapToGrid w:val="0"/>
        <w:spacing w:line="576" w:lineRule="exact"/>
        <w:ind w:firstLine="720"/>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（一）收入情况。</w:t>
      </w:r>
    </w:p>
    <w:p>
      <w:pPr>
        <w:widowControl/>
        <w:adjustRightInd w:val="0"/>
        <w:snapToGrid w:val="0"/>
        <w:spacing w:line="576" w:lineRule="exact"/>
        <w:ind w:firstLine="72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2023年本部门财政拨款收入决算总额为228.59万元，其中：当年财政拨款收入228.59万元,均为一般公共预算财政拨款。</w:t>
      </w:r>
    </w:p>
    <w:p>
      <w:pPr>
        <w:widowControl/>
        <w:numPr>
          <w:ilvl w:val="0"/>
          <w:numId w:val="5"/>
        </w:numPr>
        <w:adjustRightInd w:val="0"/>
        <w:snapToGrid w:val="0"/>
        <w:spacing w:line="576" w:lineRule="exact"/>
        <w:ind w:firstLine="720"/>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支出情况。</w:t>
      </w:r>
    </w:p>
    <w:p>
      <w:pPr>
        <w:widowControl/>
        <w:adjustRightInd w:val="0"/>
        <w:snapToGrid w:val="0"/>
        <w:spacing w:line="576" w:lineRule="exact"/>
        <w:ind w:firstLine="640" w:firstLineChars="200"/>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2023年本部门财政拨款支出决算总额228.59万元。其中按功能分类，一般公共服务支出168.66万元、社会保障和就业支出30.97万元、卫生健康支出12.28万元、住房保障支出16.68万元；按支出性质分类，基本支出228.59万元；按经济分类，工资福利支出214.31万元，商品服务支出11.02万元，个人及家庭补助支出3.26万元。</w:t>
      </w:r>
    </w:p>
    <w:p>
      <w:pPr>
        <w:widowControl/>
        <w:numPr>
          <w:ilvl w:val="0"/>
          <w:numId w:val="5"/>
        </w:numPr>
        <w:adjustRightInd w:val="0"/>
        <w:snapToGrid w:val="0"/>
        <w:spacing w:line="578" w:lineRule="exact"/>
        <w:ind w:firstLine="720"/>
        <w:contextualSpacing/>
        <w:jc w:val="left"/>
        <w:rPr>
          <w:rFonts w:ascii="仿宋" w:hAnsi="仿宋" w:eastAsia="仿宋"/>
          <w:b/>
          <w:sz w:val="32"/>
          <w:szCs w:val="32"/>
        </w:rPr>
      </w:pPr>
      <w:r>
        <w:rPr>
          <w:rFonts w:hint="eastAsia" w:ascii="仿宋" w:hAnsi="仿宋" w:eastAsia="仿宋"/>
          <w:b/>
          <w:sz w:val="32"/>
          <w:szCs w:val="32"/>
        </w:rPr>
        <w:t>结余分配和结转结余情况。</w:t>
      </w:r>
    </w:p>
    <w:p>
      <w:pPr>
        <w:widowControl/>
        <w:adjustRightInd w:val="0"/>
        <w:snapToGrid w:val="0"/>
        <w:spacing w:line="578" w:lineRule="exact"/>
        <w:ind w:left="720"/>
        <w:contextualSpacing/>
        <w:jc w:val="left"/>
        <w:rPr>
          <w:rFonts w:ascii="仿宋" w:hAnsi="仿宋" w:eastAsia="仿宋"/>
          <w:color w:val="000000"/>
          <w:kern w:val="0"/>
          <w:sz w:val="32"/>
          <w:szCs w:val="32"/>
          <w:shd w:val="clear" w:color="auto" w:fill="FFFFFF"/>
          <w:lang w:val="zh-CN"/>
        </w:rPr>
      </w:pPr>
      <w:r>
        <w:rPr>
          <w:rFonts w:hint="eastAsia" w:ascii="仿宋" w:hAnsi="仿宋" w:eastAsia="仿宋"/>
          <w:color w:val="000000"/>
          <w:kern w:val="0"/>
          <w:sz w:val="32"/>
          <w:szCs w:val="32"/>
          <w:shd w:val="clear" w:color="auto" w:fill="FFFFFF"/>
        </w:rPr>
        <w:t>无。</w:t>
      </w:r>
    </w:p>
    <w:p>
      <w:pPr>
        <w:widowControl/>
        <w:adjustRightInd w:val="0"/>
        <w:snapToGrid w:val="0"/>
        <w:spacing w:line="578" w:lineRule="exact"/>
        <w:ind w:firstLine="640" w:firstLineChars="200"/>
        <w:contextualSpacing/>
        <w:jc w:val="left"/>
        <w:rPr>
          <w:rFonts w:ascii="仿宋" w:hAnsi="仿宋" w:eastAsia="仿宋"/>
          <w:color w:val="000000" w:themeColor="text1"/>
          <w:kern w:val="0"/>
          <w:sz w:val="32"/>
          <w:szCs w:val="32"/>
          <w:shd w:val="clear" w:color="auto" w:fill="FFFFFF"/>
        </w:rPr>
      </w:pPr>
      <w:r>
        <w:rPr>
          <w:rFonts w:hint="eastAsia" w:ascii="仿宋" w:hAnsi="仿宋" w:eastAsia="仿宋"/>
          <w:color w:val="000000"/>
          <w:kern w:val="0"/>
          <w:sz w:val="32"/>
          <w:szCs w:val="32"/>
          <w:shd w:val="clear" w:color="auto" w:fill="FFFFFF"/>
        </w:rPr>
        <w:t>三、部门预算绩效分析</w:t>
      </w:r>
    </w:p>
    <w:p>
      <w:pPr>
        <w:adjustRightInd w:val="0"/>
        <w:snapToGrid w:val="0"/>
        <w:spacing w:line="578" w:lineRule="exact"/>
        <w:ind w:firstLine="642" w:firstLineChars="200"/>
        <w:contextualSpacing/>
        <w:jc w:val="left"/>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（一）部门预算总体绩效分析。</w:t>
      </w:r>
    </w:p>
    <w:p>
      <w:pPr>
        <w:widowControl/>
        <w:adjustRightInd w:val="0"/>
        <w:snapToGrid w:val="0"/>
        <w:spacing w:line="578"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严格按照相关财务规定要求，加强财务管理。</w:t>
      </w:r>
      <w:r>
        <w:rPr>
          <w:rFonts w:hint="eastAsia" w:ascii="仿宋" w:hAnsi="仿宋" w:eastAsia="仿宋" w:cs="仿宋_GB2312"/>
          <w:b/>
          <w:bCs/>
          <w:sz w:val="32"/>
          <w:szCs w:val="32"/>
        </w:rPr>
        <w:t>一是</w:t>
      </w:r>
      <w:r>
        <w:rPr>
          <w:rFonts w:hint="eastAsia" w:ascii="仿宋" w:hAnsi="仿宋" w:eastAsia="仿宋" w:cs="仿宋_GB2312"/>
          <w:sz w:val="32"/>
          <w:szCs w:val="32"/>
        </w:rPr>
        <w:t>在规定的时间之内报送绩效管理相关工作，报送资料齐全。</w:t>
      </w:r>
      <w:r>
        <w:rPr>
          <w:rFonts w:hint="eastAsia" w:ascii="仿宋" w:hAnsi="仿宋" w:eastAsia="仿宋" w:cs="仿宋_GB2312"/>
          <w:b/>
          <w:bCs/>
          <w:sz w:val="32"/>
          <w:szCs w:val="32"/>
        </w:rPr>
        <w:t>二是</w:t>
      </w:r>
      <w:r>
        <w:rPr>
          <w:rFonts w:hint="eastAsia" w:ascii="仿宋" w:hAnsi="仿宋" w:eastAsia="仿宋" w:cs="仿宋_GB2312"/>
          <w:sz w:val="32"/>
          <w:szCs w:val="32"/>
        </w:rPr>
        <w:t>在编制预算时，按时填报部门整体支出、项目支出绩效目标申报表。绩效目标申报表目标设置要合理，要符合项目特点，描述清晰明确，要填报新增重大政策、重大项目目标申报表。</w:t>
      </w:r>
      <w:r>
        <w:rPr>
          <w:rFonts w:hint="eastAsia" w:ascii="仿宋" w:hAnsi="仿宋" w:eastAsia="仿宋" w:cs="仿宋_GB2312"/>
          <w:b/>
          <w:bCs/>
          <w:sz w:val="32"/>
          <w:szCs w:val="32"/>
        </w:rPr>
        <w:t>三是</w:t>
      </w:r>
      <w:r>
        <w:rPr>
          <w:rFonts w:hint="eastAsia" w:ascii="仿宋" w:hAnsi="仿宋" w:eastAsia="仿宋" w:cs="仿宋_GB2312"/>
          <w:sz w:val="32"/>
          <w:szCs w:val="32"/>
        </w:rPr>
        <w:t>对预算执行中进行有效绩效跟踪监控的。</w:t>
      </w:r>
      <w:r>
        <w:rPr>
          <w:rFonts w:hint="eastAsia" w:ascii="仿宋" w:hAnsi="仿宋" w:eastAsia="仿宋" w:cs="仿宋_GB2312"/>
          <w:b/>
          <w:bCs/>
          <w:sz w:val="32"/>
          <w:szCs w:val="32"/>
        </w:rPr>
        <w:t>四是</w:t>
      </w:r>
      <w:r>
        <w:rPr>
          <w:rFonts w:hint="eastAsia" w:ascii="仿宋" w:hAnsi="仿宋" w:eastAsia="仿宋" w:cs="仿宋_GB2312"/>
          <w:sz w:val="32"/>
          <w:szCs w:val="32"/>
        </w:rPr>
        <w:t>认真开展项目支出、财政政策、部门整体支出事后绩效自评工作。</w:t>
      </w:r>
      <w:r>
        <w:rPr>
          <w:rFonts w:hint="eastAsia" w:ascii="仿宋" w:hAnsi="仿宋" w:eastAsia="仿宋" w:cs="仿宋_GB2312"/>
          <w:b/>
          <w:bCs/>
          <w:sz w:val="32"/>
          <w:szCs w:val="32"/>
        </w:rPr>
        <w:t>五是</w:t>
      </w:r>
      <w:r>
        <w:rPr>
          <w:rFonts w:hint="eastAsia" w:ascii="仿宋" w:hAnsi="仿宋" w:eastAsia="仿宋" w:cs="仿宋_GB2312"/>
          <w:sz w:val="32"/>
          <w:szCs w:val="32"/>
        </w:rPr>
        <w:t>及时整改绩效评价存在的问题，并及时报送整改报告。</w:t>
      </w:r>
    </w:p>
    <w:p>
      <w:pPr>
        <w:widowControl/>
        <w:adjustRightInd w:val="0"/>
        <w:snapToGrid w:val="0"/>
        <w:spacing w:line="578"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zh-CN"/>
        </w:rPr>
        <w:t>履职效能。针对部门整体绩效目标中选定3-5个核心职能目标，我们进行了全面的绩效分析。通过对比实际完成情况与预设目标，整体目标完成率达到</w:t>
      </w:r>
      <w:r>
        <w:rPr>
          <w:rFonts w:hint="eastAsia" w:ascii="仿宋" w:hAnsi="仿宋" w:eastAsia="仿宋" w:cs="仿宋_GB2312"/>
          <w:sz w:val="32"/>
          <w:szCs w:val="32"/>
        </w:rPr>
        <w:t>100%，超过预期目标。</w:t>
      </w:r>
    </w:p>
    <w:p>
      <w:pPr>
        <w:widowControl/>
        <w:adjustRightInd w:val="0"/>
        <w:snapToGrid w:val="0"/>
        <w:spacing w:line="578" w:lineRule="exact"/>
        <w:ind w:firstLine="640" w:firstLineChars="200"/>
        <w:contextualSpacing/>
        <w:jc w:val="left"/>
        <w:rPr>
          <w:rFonts w:ascii="仿宋" w:hAnsi="仿宋" w:eastAsia="仿宋" w:cs="楷体_GB2312"/>
          <w:color w:val="000000"/>
          <w:kern w:val="0"/>
          <w:sz w:val="32"/>
          <w:szCs w:val="32"/>
          <w:shd w:val="clear" w:color="auto" w:fill="FFFFFF"/>
          <w:lang w:val="zh-CN"/>
        </w:rPr>
      </w:pPr>
      <w:r>
        <w:rPr>
          <w:rFonts w:hint="eastAsia" w:ascii="仿宋" w:hAnsi="仿宋" w:eastAsia="仿宋" w:cs="仿宋_GB2312"/>
          <w:sz w:val="32"/>
          <w:szCs w:val="32"/>
        </w:rPr>
        <w:t>2.</w:t>
      </w:r>
      <w:r>
        <w:rPr>
          <w:rFonts w:hint="eastAsia" w:ascii="仿宋" w:hAnsi="仿宋" w:eastAsia="仿宋" w:cs="仿宋_GB2312"/>
          <w:sz w:val="32"/>
          <w:szCs w:val="32"/>
          <w:lang w:val="zh-CN"/>
        </w:rPr>
        <w:t>预算管理。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r>
        <w:rPr>
          <w:rFonts w:hint="eastAsia" w:ascii="仿宋" w:hAnsi="仿宋" w:eastAsia="仿宋"/>
          <w:color w:val="000000"/>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ascii="仿宋" w:hAnsi="仿宋" w:eastAsia="仿宋" w:cs="仿宋_GB2312"/>
          <w:sz w:val="32"/>
          <w:szCs w:val="32"/>
          <w:lang w:val="zh-CN"/>
        </w:rPr>
      </w:pPr>
      <w:r>
        <w:rPr>
          <w:rFonts w:hint="eastAsia" w:ascii="仿宋" w:hAnsi="仿宋" w:eastAsia="仿宋" w:cs="仿宋_GB2312"/>
          <w:sz w:val="32"/>
          <w:szCs w:val="32"/>
        </w:rPr>
        <w:t>3.</w:t>
      </w:r>
      <w:r>
        <w:rPr>
          <w:rFonts w:hint="eastAsia" w:ascii="仿宋" w:hAnsi="仿宋" w:eastAsia="仿宋" w:cs="仿宋_GB2312"/>
          <w:sz w:val="32"/>
          <w:szCs w:val="32"/>
          <w:lang w:val="zh-CN"/>
        </w:rPr>
        <w:t>财务管理。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pPr>
        <w:widowControl/>
        <w:adjustRightInd w:val="0"/>
        <w:snapToGrid w:val="0"/>
        <w:spacing w:line="578" w:lineRule="exact"/>
        <w:ind w:firstLine="640" w:firstLineChars="200"/>
        <w:contextualSpacing/>
        <w:jc w:val="left"/>
        <w:rPr>
          <w:rFonts w:ascii="仿宋" w:hAnsi="仿宋" w:eastAsia="仿宋" w:cs="仿宋_GB2312"/>
          <w:sz w:val="32"/>
          <w:szCs w:val="32"/>
          <w:lang w:val="zh-CN"/>
        </w:rPr>
      </w:pPr>
      <w:r>
        <w:rPr>
          <w:rFonts w:hint="eastAsia" w:ascii="仿宋" w:hAnsi="仿宋" w:eastAsia="仿宋" w:cs="仿宋_GB2312"/>
          <w:sz w:val="32"/>
          <w:szCs w:val="32"/>
        </w:rPr>
        <w:t>4.</w:t>
      </w:r>
      <w:r>
        <w:rPr>
          <w:rFonts w:hint="eastAsia" w:ascii="仿宋" w:hAnsi="仿宋" w:eastAsia="仿宋" w:cs="仿宋_GB2312"/>
          <w:sz w:val="32"/>
          <w:szCs w:val="32"/>
          <w:lang w:val="zh-CN"/>
        </w:rPr>
        <w:t>资产管理。围绕资产变化率、资产利用率和资产盘活率进行了绩效分析。这些指标直接关联到资产的运营效率和价值实现。通过绩效分析，能够及时了解资产的使用情况和价值变化，从而采取相应措施提高资产利用率和盘活率。这有助于优化资产配置，提升整体资产价值。</w:t>
      </w:r>
    </w:p>
    <w:p>
      <w:pPr>
        <w:widowControl/>
        <w:adjustRightInd w:val="0"/>
        <w:snapToGrid w:val="0"/>
        <w:spacing w:line="578" w:lineRule="exact"/>
        <w:ind w:firstLine="640" w:firstLineChars="200"/>
        <w:contextualSpacing/>
        <w:jc w:val="left"/>
        <w:rPr>
          <w:rFonts w:ascii="仿宋" w:hAnsi="仿宋" w:eastAsia="仿宋"/>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zh-CN"/>
        </w:rPr>
        <w:t>采购管理。提高效率和节约资金，通过整合采购项目线上、线下流转审核程序，优化采购流程，实现全流程电子化，加强采购预算编制、采购活动组织、政策功能落实等内容的审核，严格防范采购项目增加隐形债务风险。此外，通过开展专项整治，全面提升采购治理水平，规范采购代理机构行为，强化采购监督管理水平，确保采购活动的透明度和效率。</w:t>
      </w:r>
    </w:p>
    <w:p>
      <w:pPr>
        <w:adjustRightInd w:val="0"/>
        <w:snapToGrid w:val="0"/>
        <w:spacing w:line="578" w:lineRule="exact"/>
        <w:ind w:firstLine="642" w:firstLineChars="200"/>
        <w:contextualSpacing/>
        <w:jc w:val="left"/>
        <w:rPr>
          <w:rFonts w:ascii="仿宋" w:hAnsi="仿宋" w:eastAsia="仿宋" w:cs="仿宋_GB2312"/>
          <w:sz w:val="32"/>
          <w:szCs w:val="32"/>
        </w:rPr>
      </w:pPr>
      <w:r>
        <w:rPr>
          <w:rFonts w:hint="eastAsia" w:ascii="仿宋" w:hAnsi="仿宋" w:eastAsia="仿宋"/>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本单位认真对部门预算项目绩效简要做了以下分析，情况如下：</w:t>
      </w:r>
    </w:p>
    <w:p>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lang w:val="zh-CN"/>
        </w:rPr>
      </w:pPr>
      <w:r>
        <w:rPr>
          <w:rFonts w:hint="eastAsia" w:ascii="仿宋" w:hAnsi="仿宋" w:eastAsia="仿宋"/>
          <w:color w:val="000000"/>
          <w:kern w:val="0"/>
          <w:sz w:val="32"/>
          <w:szCs w:val="32"/>
          <w:shd w:val="clear" w:color="auto" w:fill="FFFFFF"/>
        </w:rPr>
        <w:t>常年项目绩效分析。</w:t>
      </w:r>
      <w:r>
        <w:rPr>
          <w:rFonts w:hint="eastAsia" w:ascii="仿宋" w:hAnsi="仿宋" w:eastAsia="仿宋"/>
          <w:color w:val="000000"/>
          <w:kern w:val="0"/>
          <w:sz w:val="32"/>
          <w:szCs w:val="32"/>
          <w:shd w:val="clear" w:color="auto" w:fill="FFFFFF"/>
          <w:lang w:val="zh-CN"/>
        </w:rPr>
        <w:t>该类项目总数</w:t>
      </w:r>
      <w:r>
        <w:rPr>
          <w:rFonts w:hint="eastAsia" w:ascii="仿宋" w:hAnsi="仿宋" w:eastAsia="仿宋"/>
          <w:color w:val="000000"/>
          <w:kern w:val="0"/>
          <w:sz w:val="32"/>
          <w:szCs w:val="32"/>
          <w:shd w:val="clear" w:color="auto" w:fill="FFFFFF"/>
        </w:rPr>
        <w:t>0</w:t>
      </w:r>
      <w:r>
        <w:rPr>
          <w:rFonts w:hint="eastAsia" w:ascii="仿宋" w:hAnsi="仿宋" w:eastAsia="仿宋"/>
          <w:color w:val="000000"/>
          <w:kern w:val="0"/>
          <w:sz w:val="32"/>
          <w:szCs w:val="32"/>
          <w:shd w:val="clear" w:color="auto" w:fill="FFFFFF"/>
          <w:lang w:val="zh-CN"/>
        </w:rPr>
        <w:t>个，涉及预算总金额</w:t>
      </w:r>
      <w:r>
        <w:rPr>
          <w:rFonts w:hint="eastAsia" w:ascii="仿宋" w:hAnsi="仿宋" w:eastAsia="仿宋"/>
          <w:color w:val="000000"/>
          <w:kern w:val="0"/>
          <w:sz w:val="32"/>
          <w:szCs w:val="32"/>
          <w:shd w:val="clear" w:color="auto" w:fill="FFFFFF"/>
        </w:rPr>
        <w:t xml:space="preserve">   0</w:t>
      </w:r>
      <w:r>
        <w:rPr>
          <w:rFonts w:hint="eastAsia" w:ascii="仿宋" w:hAnsi="仿宋" w:eastAsia="仿宋"/>
          <w:color w:val="000000"/>
          <w:kern w:val="0"/>
          <w:sz w:val="32"/>
          <w:szCs w:val="32"/>
          <w:shd w:val="clear" w:color="auto" w:fill="FFFFFF"/>
          <w:lang w:val="zh-CN"/>
        </w:rPr>
        <w:t>万元，其中：预算结余率大于</w:t>
      </w:r>
      <w:r>
        <w:rPr>
          <w:rFonts w:hint="eastAsia" w:ascii="仿宋" w:hAnsi="仿宋" w:eastAsia="仿宋"/>
          <w:color w:val="000000"/>
          <w:kern w:val="0"/>
          <w:sz w:val="32"/>
          <w:szCs w:val="32"/>
          <w:shd w:val="clear" w:color="auto" w:fill="FFFFFF"/>
        </w:rPr>
        <w:t>10%</w:t>
      </w:r>
      <w:r>
        <w:rPr>
          <w:rFonts w:hint="eastAsia" w:ascii="仿宋" w:hAnsi="仿宋" w:eastAsia="仿宋"/>
          <w:color w:val="000000"/>
          <w:kern w:val="0"/>
          <w:sz w:val="32"/>
          <w:szCs w:val="32"/>
          <w:shd w:val="clear" w:color="auto" w:fill="FFFFFF"/>
          <w:lang w:val="zh-CN"/>
        </w:rPr>
        <w:t>的项目共计</w:t>
      </w:r>
      <w:r>
        <w:rPr>
          <w:rFonts w:hint="eastAsia" w:ascii="仿宋" w:hAnsi="仿宋" w:eastAsia="仿宋"/>
          <w:color w:val="000000"/>
          <w:kern w:val="0"/>
          <w:sz w:val="32"/>
          <w:szCs w:val="32"/>
          <w:shd w:val="clear" w:color="auto" w:fill="FFFFFF"/>
        </w:rPr>
        <w:t>0</w:t>
      </w:r>
      <w:r>
        <w:rPr>
          <w:rFonts w:hint="eastAsia" w:ascii="仿宋" w:hAnsi="仿宋" w:eastAsia="仿宋"/>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阶段（一次性）项目绩效分析。</w:t>
      </w:r>
      <w:r>
        <w:rPr>
          <w:rFonts w:hint="eastAsia" w:ascii="仿宋" w:hAnsi="仿宋" w:eastAsia="仿宋"/>
          <w:color w:val="000000"/>
          <w:kern w:val="0"/>
          <w:sz w:val="32"/>
          <w:szCs w:val="32"/>
          <w:shd w:val="clear" w:color="auto" w:fill="FFFFFF"/>
          <w:lang w:val="zh-CN"/>
        </w:rPr>
        <w:t>该类项目总数</w:t>
      </w:r>
      <w:r>
        <w:rPr>
          <w:rFonts w:hint="eastAsia" w:ascii="仿宋" w:hAnsi="仿宋" w:eastAsia="仿宋"/>
          <w:color w:val="000000"/>
          <w:kern w:val="0"/>
          <w:sz w:val="32"/>
          <w:szCs w:val="32"/>
          <w:shd w:val="clear" w:color="auto" w:fill="FFFFFF"/>
        </w:rPr>
        <w:t>2</w:t>
      </w:r>
      <w:r>
        <w:rPr>
          <w:rFonts w:hint="eastAsia" w:ascii="仿宋" w:hAnsi="仿宋" w:eastAsia="仿宋"/>
          <w:color w:val="000000"/>
          <w:kern w:val="0"/>
          <w:sz w:val="32"/>
          <w:szCs w:val="32"/>
          <w:shd w:val="clear" w:color="auto" w:fill="FFFFFF"/>
          <w:lang w:val="zh-CN"/>
        </w:rPr>
        <w:t>个，涉及预算总金额</w:t>
      </w:r>
      <w:r>
        <w:rPr>
          <w:rFonts w:hint="eastAsia" w:ascii="仿宋" w:hAnsi="仿宋" w:eastAsia="仿宋"/>
          <w:color w:val="000000"/>
          <w:kern w:val="0"/>
          <w:sz w:val="32"/>
          <w:szCs w:val="32"/>
          <w:shd w:val="clear" w:color="auto" w:fill="FFFFFF"/>
        </w:rPr>
        <w:t>6.02</w:t>
      </w:r>
      <w:r>
        <w:rPr>
          <w:rFonts w:hint="eastAsia" w:ascii="仿宋" w:hAnsi="仿宋" w:eastAsia="仿宋"/>
          <w:color w:val="000000"/>
          <w:kern w:val="0"/>
          <w:sz w:val="32"/>
          <w:szCs w:val="32"/>
          <w:shd w:val="clear" w:color="auto" w:fill="FFFFFF"/>
          <w:lang w:val="zh-CN"/>
        </w:rPr>
        <w:t>万元，1—1</w:t>
      </w:r>
      <w:r>
        <w:rPr>
          <w:rFonts w:hint="eastAsia" w:ascii="仿宋" w:hAnsi="仿宋" w:eastAsia="仿宋"/>
          <w:color w:val="000000"/>
          <w:kern w:val="0"/>
          <w:sz w:val="32"/>
          <w:szCs w:val="32"/>
          <w:shd w:val="clear" w:color="auto" w:fill="FFFFFF"/>
        </w:rPr>
        <w:t>2</w:t>
      </w:r>
      <w:r>
        <w:rPr>
          <w:rFonts w:hint="eastAsia" w:ascii="仿宋" w:hAnsi="仿宋" w:eastAsia="仿宋"/>
          <w:color w:val="000000"/>
          <w:kern w:val="0"/>
          <w:sz w:val="32"/>
          <w:szCs w:val="32"/>
          <w:shd w:val="clear" w:color="auto" w:fill="FFFFFF"/>
          <w:lang w:val="zh-CN"/>
        </w:rPr>
        <w:t>月预算执行总体进度为</w:t>
      </w:r>
      <w:r>
        <w:rPr>
          <w:rFonts w:hint="eastAsia" w:ascii="仿宋" w:hAnsi="仿宋" w:eastAsia="仿宋"/>
          <w:color w:val="000000"/>
          <w:kern w:val="0"/>
          <w:sz w:val="32"/>
          <w:szCs w:val="32"/>
          <w:shd w:val="clear" w:color="auto" w:fill="FFFFFF"/>
        </w:rPr>
        <w:t xml:space="preserve">100 </w:t>
      </w:r>
      <w:r>
        <w:rPr>
          <w:rFonts w:hint="eastAsia" w:ascii="仿宋" w:hAnsi="仿宋" w:eastAsia="仿宋"/>
          <w:color w:val="000000"/>
          <w:kern w:val="0"/>
          <w:sz w:val="32"/>
          <w:szCs w:val="32"/>
          <w:shd w:val="clear" w:color="auto" w:fill="FFFFFF"/>
          <w:lang w:val="zh-CN"/>
        </w:rPr>
        <w:t>%，其中：预算结余率大于</w:t>
      </w:r>
      <w:r>
        <w:rPr>
          <w:rFonts w:hint="eastAsia" w:ascii="仿宋" w:hAnsi="仿宋" w:eastAsia="仿宋"/>
          <w:color w:val="000000"/>
          <w:kern w:val="0"/>
          <w:sz w:val="32"/>
          <w:szCs w:val="32"/>
          <w:shd w:val="clear" w:color="auto" w:fill="FFFFFF"/>
        </w:rPr>
        <w:t>10%</w:t>
      </w:r>
      <w:r>
        <w:rPr>
          <w:rFonts w:hint="eastAsia" w:ascii="仿宋" w:hAnsi="仿宋" w:eastAsia="仿宋"/>
          <w:color w:val="000000"/>
          <w:kern w:val="0"/>
          <w:sz w:val="32"/>
          <w:szCs w:val="32"/>
          <w:shd w:val="clear" w:color="auto" w:fill="FFFFFF"/>
          <w:lang w:val="zh-CN"/>
        </w:rPr>
        <w:t>的项目共计</w:t>
      </w:r>
      <w:r>
        <w:rPr>
          <w:rFonts w:hint="eastAsia" w:ascii="仿宋" w:hAnsi="仿宋" w:eastAsia="仿宋"/>
          <w:color w:val="000000"/>
          <w:kern w:val="0"/>
          <w:sz w:val="32"/>
          <w:szCs w:val="32"/>
          <w:shd w:val="clear" w:color="auto" w:fill="FFFFFF"/>
        </w:rPr>
        <w:t>0</w:t>
      </w:r>
      <w:r>
        <w:rPr>
          <w:rFonts w:hint="eastAsia" w:ascii="仿宋" w:hAnsi="仿宋" w:eastAsia="仿宋"/>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ascii="仿宋" w:hAnsi="仿宋" w:eastAsia="仿宋" w:cs="仿宋_GB2312"/>
          <w:sz w:val="32"/>
          <w:szCs w:val="32"/>
          <w:lang w:val="zh-CN"/>
        </w:rPr>
      </w:pPr>
      <w:r>
        <w:rPr>
          <w:rFonts w:hint="eastAsia" w:ascii="仿宋" w:hAnsi="仿宋" w:eastAsia="仿宋" w:cs="仿宋_GB2312"/>
          <w:sz w:val="32"/>
          <w:szCs w:val="32"/>
        </w:rPr>
        <w:t>1.</w:t>
      </w:r>
      <w:r>
        <w:rPr>
          <w:rFonts w:hint="eastAsia" w:ascii="仿宋" w:hAnsi="仿宋" w:eastAsia="仿宋" w:cs="仿宋_GB2312"/>
          <w:sz w:val="32"/>
          <w:szCs w:val="32"/>
          <w:lang w:val="zh-CN"/>
        </w:rPr>
        <w:t>项目决策。在项目启动之前，通过一系列科学、合理的规划来确定项目的可行性和必要性。决策程序需市场调研、风险评估、资源评估、技术可行性分析等，目标设置要具体、可衡量、可达成、相关性强、时限明确等原则。这些目标将成为项目执行过程中的指导方向，也是后续绩效评估的基准。一旦项目决策通过，项目将被正式纳入管理系统中。此时，需要进行初步的绩效分析，以评估项目预期成果与资源投入之间的匹配度，以及项目可能带来的长期效益。有助于进一步细化项目计划，确保项目资源得到合理分配，并为后续的项目执行和监控奠定基础。</w:t>
      </w:r>
    </w:p>
    <w:p>
      <w:pPr>
        <w:adjustRightInd w:val="0"/>
        <w:snapToGrid w:val="0"/>
        <w:spacing w:line="578" w:lineRule="exact"/>
        <w:ind w:firstLine="640" w:firstLineChars="200"/>
        <w:contextualSpacing/>
        <w:jc w:val="left"/>
        <w:rPr>
          <w:rFonts w:ascii="仿宋" w:hAnsi="仿宋" w:eastAsia="仿宋" w:cs="仿宋_GB2312"/>
          <w:sz w:val="32"/>
          <w:szCs w:val="32"/>
          <w:lang w:val="zh-CN"/>
        </w:rPr>
      </w:pPr>
      <w:r>
        <w:rPr>
          <w:rFonts w:hint="eastAsia" w:ascii="仿宋" w:hAnsi="仿宋" w:eastAsia="仿宋" w:cs="仿宋_GB2312"/>
          <w:sz w:val="32"/>
          <w:szCs w:val="32"/>
        </w:rPr>
        <w:t>2.项目执行</w:t>
      </w:r>
      <w:r>
        <w:rPr>
          <w:rFonts w:hint="eastAsia" w:ascii="仿宋" w:hAnsi="仿宋" w:eastAsia="仿宋" w:cs="仿宋_GB2312"/>
          <w:sz w:val="32"/>
          <w:szCs w:val="32"/>
          <w:lang w:val="zh-CN"/>
        </w:rPr>
        <w:t>。</w:t>
      </w:r>
      <w:r>
        <w:rPr>
          <w:rFonts w:hint="eastAsia" w:ascii="仿宋" w:hAnsi="仿宋" w:eastAsia="仿宋" w:cs="仿宋_GB2312"/>
          <w:b/>
          <w:bCs/>
          <w:sz w:val="32"/>
          <w:szCs w:val="32"/>
          <w:lang w:val="zh-CN"/>
        </w:rPr>
        <w:t>一是</w:t>
      </w:r>
      <w:r>
        <w:rPr>
          <w:rFonts w:hint="eastAsia" w:ascii="仿宋" w:hAnsi="仿宋" w:eastAsia="仿宋" w:cs="仿宋_GB2312"/>
          <w:sz w:val="32"/>
          <w:szCs w:val="32"/>
          <w:lang w:val="zh-CN"/>
        </w:rPr>
        <w:t>项目启动之初，需基于详细的项目计划制定科学合理的资金预算，明确各项开支的预期额度及时间安排。预算编制完成后，需经过严格的审批流程，确保预算的合理性和可行性。</w:t>
      </w:r>
      <w:r>
        <w:rPr>
          <w:rFonts w:hint="eastAsia" w:ascii="仿宋" w:hAnsi="仿宋" w:eastAsia="仿宋" w:cs="仿宋_GB2312"/>
          <w:b/>
          <w:bCs/>
          <w:sz w:val="32"/>
          <w:szCs w:val="32"/>
          <w:lang w:val="zh-CN"/>
        </w:rPr>
        <w:t>二是</w:t>
      </w:r>
      <w:r>
        <w:rPr>
          <w:rFonts w:hint="eastAsia" w:ascii="仿宋" w:hAnsi="仿宋" w:eastAsia="仿宋" w:cs="仿宋_GB2312"/>
          <w:sz w:val="32"/>
          <w:szCs w:val="32"/>
          <w:lang w:val="zh-CN"/>
        </w:rPr>
        <w:t>项目实施过程中，需建立有效的资金监控系统，实时跟踪资金使用情况，确保资金流与项目进度相匹配。通过精细化的成本管理和资源优化配置，减少不必要的开支，提高资金使用效率。同时，鼓励采用创新的成本控制方法，以最小的成本实现最大的项目价值。</w:t>
      </w:r>
      <w:r>
        <w:rPr>
          <w:rFonts w:hint="eastAsia" w:ascii="仿宋" w:hAnsi="仿宋" w:eastAsia="仿宋" w:cs="仿宋_GB2312"/>
          <w:b/>
          <w:bCs/>
          <w:sz w:val="32"/>
          <w:szCs w:val="32"/>
          <w:lang w:val="zh-CN"/>
        </w:rPr>
        <w:t>三是</w:t>
      </w:r>
      <w:r>
        <w:rPr>
          <w:rFonts w:hint="eastAsia" w:ascii="仿宋" w:hAnsi="仿宋" w:eastAsia="仿宋" w:cs="仿宋_GB2312"/>
          <w:sz w:val="32"/>
          <w:szCs w:val="32"/>
          <w:lang w:val="zh-CN"/>
        </w:rPr>
        <w:t>项目执行过程中难免会遇到各种变更需求，包括需求变更、范围变更、进度变更等。需建立完善的变更管理机制，明确变更申请、评估、审批及实施的流程确保项目有序进行。</w:t>
      </w:r>
    </w:p>
    <w:p>
      <w:pPr>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s="仿宋_GB2312"/>
          <w:sz w:val="32"/>
          <w:szCs w:val="32"/>
        </w:rPr>
        <w:t>3.</w:t>
      </w:r>
      <w:r>
        <w:rPr>
          <w:rFonts w:hint="eastAsia" w:ascii="仿宋" w:hAnsi="仿宋" w:eastAsia="仿宋" w:cs="仿宋_GB2312"/>
          <w:sz w:val="32"/>
          <w:szCs w:val="32"/>
          <w:lang w:val="zh-CN"/>
        </w:rPr>
        <w:t>目标实现。目标设定与明确项目启动之初，需明确项目的总体目标及具体可量化的子目标。目标应清晰、具体、可衡量并与项目愿景和组织战略紧密相连。明确的目标为项目执行提供方向，也为后续的绩效分析奠定了基础。在项目执行过程中，需定期跟踪各项目标的完成情况。通过收集项目数据、进度报告，对比分析实际完成情况与计划目标的差距。这一过程有助于及时发现潜在问题，为采取必要的调整措施提供依据。当发现实际完成情况与计划目标存在偏差时，需进行深入的目标偏离分析。</w:t>
      </w:r>
    </w:p>
    <w:p>
      <w:pPr>
        <w:widowControl/>
        <w:adjustRightInd w:val="0"/>
        <w:snapToGrid w:val="0"/>
        <w:spacing w:line="578" w:lineRule="exact"/>
        <w:ind w:firstLine="642" w:firstLineChars="200"/>
        <w:contextualSpacing/>
        <w:jc w:val="left"/>
        <w:rPr>
          <w:rFonts w:ascii="仿宋" w:hAnsi="仿宋" w:eastAsia="仿宋"/>
          <w:b/>
          <w:bCs/>
          <w:color w:val="000000"/>
          <w:kern w:val="0"/>
          <w:sz w:val="32"/>
          <w:szCs w:val="32"/>
          <w:shd w:val="clear" w:color="auto" w:fill="FFFFFF"/>
          <w:lang w:val="zh-CN"/>
        </w:rPr>
      </w:pPr>
      <w:r>
        <w:rPr>
          <w:rFonts w:hint="eastAsia" w:ascii="仿宋" w:hAnsi="仿宋" w:eastAsia="仿宋"/>
          <w:b/>
          <w:bCs/>
          <w:color w:val="000000"/>
          <w:kern w:val="0"/>
          <w:sz w:val="32"/>
          <w:szCs w:val="32"/>
          <w:shd w:val="clear" w:color="auto" w:fill="FFFFFF"/>
          <w:lang w:val="zh-CN"/>
        </w:rPr>
        <w:t>（三）重点领域绩效分析。</w:t>
      </w:r>
    </w:p>
    <w:p>
      <w:pPr>
        <w:widowControl/>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sz w:val="32"/>
          <w:szCs w:val="32"/>
        </w:rPr>
        <w:t>无</w:t>
      </w:r>
    </w:p>
    <w:p>
      <w:pPr>
        <w:numPr>
          <w:ilvl w:val="0"/>
          <w:numId w:val="5"/>
        </w:numPr>
        <w:snapToGrid w:val="0"/>
        <w:spacing w:line="600" w:lineRule="exact"/>
        <w:ind w:firstLine="720"/>
        <w:rPr>
          <w:rFonts w:ascii="仿宋" w:hAnsi="仿宋" w:eastAsia="仿宋"/>
          <w:b/>
          <w:bCs/>
          <w:sz w:val="32"/>
          <w:szCs w:val="32"/>
          <w:lang w:val="zh-CN"/>
        </w:rPr>
      </w:pPr>
      <w:r>
        <w:rPr>
          <w:rFonts w:hint="eastAsia" w:ascii="仿宋" w:hAnsi="仿宋" w:eastAsia="仿宋"/>
          <w:b/>
          <w:bCs/>
          <w:sz w:val="32"/>
          <w:szCs w:val="32"/>
          <w:lang w:val="zh-CN"/>
        </w:rPr>
        <w:t>绩效结果应用情况。</w:t>
      </w:r>
    </w:p>
    <w:p>
      <w:pPr>
        <w:snapToGrid w:val="0"/>
        <w:spacing w:line="600" w:lineRule="exact"/>
        <w:ind w:firstLine="642" w:firstLineChars="200"/>
        <w:rPr>
          <w:rFonts w:ascii="仿宋" w:hAnsi="仿宋" w:eastAsia="仿宋" w:cs="仿宋_GB2312"/>
          <w:b/>
          <w:sz w:val="32"/>
          <w:szCs w:val="32"/>
        </w:rPr>
      </w:pPr>
      <w:r>
        <w:rPr>
          <w:rFonts w:hint="eastAsia" w:ascii="仿宋" w:hAnsi="仿宋" w:eastAsia="仿宋" w:cs="仿宋_GB2312"/>
          <w:b/>
          <w:bCs/>
          <w:sz w:val="32"/>
          <w:szCs w:val="32"/>
        </w:rPr>
        <w:t>一是</w:t>
      </w:r>
      <w:r>
        <w:rPr>
          <w:rFonts w:hint="eastAsia" w:ascii="仿宋" w:hAnsi="仿宋" w:eastAsia="仿宋" w:cs="仿宋_GB2312"/>
          <w:sz w:val="32"/>
          <w:szCs w:val="32"/>
        </w:rPr>
        <w:t>绩效自评结果将作为以后年度项目立项和经费支持的重要依据，也作为财政部门对单位项目预算的重要参考。</w:t>
      </w:r>
      <w:r>
        <w:rPr>
          <w:rFonts w:hint="eastAsia" w:ascii="仿宋" w:hAnsi="仿宋" w:eastAsia="仿宋" w:cs="仿宋_GB2312"/>
          <w:b/>
          <w:bCs/>
          <w:sz w:val="32"/>
          <w:szCs w:val="32"/>
        </w:rPr>
        <w:t>二是</w:t>
      </w:r>
      <w:r>
        <w:rPr>
          <w:rFonts w:hint="eastAsia" w:ascii="仿宋" w:hAnsi="仿宋" w:eastAsia="仿宋" w:cs="仿宋_GB2312"/>
          <w:sz w:val="32"/>
          <w:szCs w:val="32"/>
        </w:rPr>
        <w:t>绩效自评结果公开将按照财政部门的统一要求，对绩效评价情况予以公开。</w:t>
      </w:r>
    </w:p>
    <w:p>
      <w:pPr>
        <w:widowControl/>
        <w:adjustRightInd w:val="0"/>
        <w:snapToGrid w:val="0"/>
        <w:spacing w:line="578" w:lineRule="exact"/>
        <w:ind w:firstLine="640" w:firstLineChars="200"/>
        <w:contextualSpacing/>
        <w:jc w:val="left"/>
        <w:rPr>
          <w:rFonts w:ascii="仿宋" w:hAnsi="仿宋" w:eastAsia="仿宋"/>
          <w:color w:val="000000"/>
          <w:kern w:val="0"/>
          <w:sz w:val="32"/>
          <w:szCs w:val="32"/>
          <w:shd w:val="clear" w:color="auto" w:fill="FFFFFF"/>
        </w:rPr>
      </w:pPr>
      <w:r>
        <w:rPr>
          <w:rFonts w:hint="eastAsia" w:ascii="仿宋" w:hAnsi="仿宋" w:eastAsia="仿宋"/>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rPr>
          <w:rFonts w:ascii="仿宋" w:hAnsi="仿宋" w:eastAsia="仿宋" w:cs="宋体"/>
          <w:color w:val="000000"/>
          <w:kern w:val="0"/>
          <w:sz w:val="32"/>
          <w:szCs w:val="32"/>
          <w:shd w:val="clear" w:color="auto" w:fill="FFFFFF"/>
        </w:rPr>
      </w:pPr>
      <w:r>
        <w:rPr>
          <w:rFonts w:hint="eastAsia" w:ascii="仿宋" w:hAnsi="仿宋" w:eastAsia="仿宋"/>
          <w:b/>
          <w:bCs/>
          <w:color w:val="000000"/>
          <w:kern w:val="0"/>
          <w:sz w:val="32"/>
          <w:szCs w:val="32"/>
          <w:shd w:val="clear" w:color="auto" w:fill="FFFFFF"/>
          <w:lang w:val="zh-CN"/>
        </w:rPr>
        <w:t>（一）评价结论。</w:t>
      </w:r>
      <w:r>
        <w:rPr>
          <w:rFonts w:hint="eastAsia" w:ascii="仿宋" w:hAnsi="仿宋" w:eastAsia="仿宋" w:cs="仿宋_GB2312"/>
          <w:sz w:val="32"/>
          <w:szCs w:val="32"/>
          <w:lang w:val="zh-CN"/>
        </w:rPr>
        <w:t>档案馆</w:t>
      </w:r>
      <w:r>
        <w:rPr>
          <w:rFonts w:hint="eastAsia" w:ascii="仿宋" w:hAnsi="仿宋" w:eastAsia="仿宋" w:cs="仿宋_GB2312"/>
          <w:sz w:val="32"/>
          <w:szCs w:val="32"/>
        </w:rPr>
        <w:t>认真做好年度财政资金的预算编制工作，在资金使用和管理方面，进一步强化资金统筹，优化结构，明确开支范围，细化资金用途，</w:t>
      </w:r>
      <w:r>
        <w:rPr>
          <w:rFonts w:hint="eastAsia" w:ascii="仿宋" w:hAnsi="仿宋" w:eastAsia="仿宋" w:cs="宋体"/>
          <w:color w:val="000000"/>
          <w:kern w:val="0"/>
          <w:sz w:val="32"/>
          <w:szCs w:val="32"/>
          <w:shd w:val="clear" w:color="auto" w:fill="FFFFFF"/>
          <w:lang w:val="zh-CN"/>
        </w:rPr>
        <w:t>坚持为人民服务宗旨，提升档案服务功能；坚持以市场经济为导向，提升企业市场竞争力；坚持稳中求进的工作基调，推进档案馆综合改革发展，取得了较好的成效。</w:t>
      </w:r>
      <w:r>
        <w:rPr>
          <w:rFonts w:hint="eastAsia" w:ascii="仿宋" w:hAnsi="仿宋" w:eastAsia="仿宋" w:cs="宋体"/>
          <w:color w:val="000000"/>
          <w:kern w:val="0"/>
          <w:sz w:val="32"/>
          <w:szCs w:val="32"/>
          <w:shd w:val="clear" w:color="auto" w:fill="FFFFFF"/>
        </w:rPr>
        <w:t>2023</w:t>
      </w:r>
      <w:r>
        <w:rPr>
          <w:rFonts w:hint="eastAsia" w:ascii="仿宋" w:hAnsi="仿宋" w:eastAsia="仿宋" w:cs="宋体"/>
          <w:color w:val="000000"/>
          <w:kern w:val="0"/>
          <w:sz w:val="32"/>
          <w:szCs w:val="32"/>
          <w:shd w:val="clear" w:color="auto" w:fill="FFFFFF"/>
          <w:lang w:val="zh-CN"/>
        </w:rPr>
        <w:t>年茂县档案馆整体支出绩效评价自查自评结果良好</w:t>
      </w:r>
      <w:r>
        <w:rPr>
          <w:rFonts w:hint="eastAsia" w:ascii="仿宋" w:hAnsi="仿宋" w:eastAsia="仿宋" w:cs="宋体"/>
          <w:color w:val="000000"/>
          <w:kern w:val="0"/>
          <w:sz w:val="32"/>
          <w:szCs w:val="32"/>
          <w:shd w:val="clear" w:color="auto" w:fill="FFFFFF"/>
        </w:rPr>
        <w:t>。</w:t>
      </w:r>
      <w:r>
        <w:rPr>
          <w:rFonts w:hint="eastAsia" w:ascii="仿宋" w:hAnsi="仿宋" w:eastAsia="仿宋" w:cs="仿宋_GB2312"/>
          <w:sz w:val="32"/>
          <w:szCs w:val="32"/>
        </w:rPr>
        <w:t>整体上完成了年初设定的绩效目标，保障了单位的正常运转，降低了运行成本，促进了社会和谐稳定，充分发挥了财政资金的经济效益、社会效益。</w:t>
      </w:r>
    </w:p>
    <w:p>
      <w:pPr>
        <w:widowControl/>
        <w:adjustRightInd w:val="0"/>
        <w:snapToGrid w:val="0"/>
        <w:spacing w:line="578" w:lineRule="exact"/>
        <w:ind w:firstLine="642" w:firstLineChars="200"/>
        <w:contextualSpacing/>
        <w:jc w:val="left"/>
        <w:rPr>
          <w:rFonts w:ascii="仿宋" w:hAnsi="仿宋" w:eastAsia="仿宋" w:cs="仿宋_GB2312"/>
          <w:w w:val="95"/>
          <w:kern w:val="0"/>
          <w:sz w:val="32"/>
          <w:szCs w:val="32"/>
        </w:rPr>
      </w:pPr>
      <w:r>
        <w:rPr>
          <w:rFonts w:hint="eastAsia" w:ascii="仿宋" w:hAnsi="仿宋" w:eastAsia="仿宋"/>
          <w:b/>
          <w:bCs/>
          <w:color w:val="000000"/>
          <w:kern w:val="0"/>
          <w:sz w:val="32"/>
          <w:szCs w:val="32"/>
          <w:shd w:val="clear" w:color="auto" w:fill="FFFFFF"/>
          <w:lang w:val="zh-CN"/>
        </w:rPr>
        <w:t>（二）存在问题。</w:t>
      </w:r>
      <w:r>
        <w:rPr>
          <w:rFonts w:hint="eastAsia" w:ascii="仿宋" w:hAnsi="仿宋" w:eastAsia="仿宋" w:cs="仿宋_GB2312"/>
          <w:w w:val="95"/>
          <w:kern w:val="0"/>
          <w:sz w:val="32"/>
          <w:szCs w:val="32"/>
        </w:rPr>
        <w:t>预算绩效观念不深入，思想认识有误区。对预算绩效管理的认知不到位，存在“两轻两重”的惯性思维，重视资金分配而忽视资金使用效率。专业人员匮乏，规范管理有盲点。预算绩效管理工作需要具备专业素养和实战经验的人力资源，但我馆专业人员的缺乏导致管理存在盲点。</w:t>
      </w:r>
    </w:p>
    <w:p>
      <w:pPr>
        <w:spacing w:line="578" w:lineRule="exact"/>
        <w:ind w:firstLine="642" w:firstLineChars="200"/>
        <w:contextualSpacing/>
        <w:rPr>
          <w:rFonts w:ascii="仿宋" w:hAnsi="仿宋" w:eastAsia="仿宋" w:cs="仿宋_GB2312"/>
          <w:w w:val="95"/>
          <w:kern w:val="0"/>
          <w:sz w:val="32"/>
          <w:szCs w:val="32"/>
        </w:rPr>
      </w:pPr>
      <w:r>
        <w:rPr>
          <w:rFonts w:hint="eastAsia" w:ascii="仿宋" w:hAnsi="仿宋" w:eastAsia="仿宋"/>
          <w:b/>
          <w:bCs/>
          <w:color w:val="000000"/>
          <w:kern w:val="0"/>
          <w:sz w:val="32"/>
          <w:szCs w:val="32"/>
          <w:shd w:val="clear" w:color="auto" w:fill="FFFFFF"/>
          <w:lang w:val="zh-CN"/>
        </w:rPr>
        <w:t>（三）改进建议。</w:t>
      </w:r>
      <w:r>
        <w:rPr>
          <w:rFonts w:hint="eastAsia" w:ascii="仿宋" w:hAnsi="仿宋" w:eastAsia="仿宋" w:cs="仿宋_GB2312"/>
          <w:w w:val="95"/>
          <w:kern w:val="0"/>
          <w:sz w:val="32"/>
          <w:szCs w:val="32"/>
        </w:rPr>
        <w:t>加强宣传教育，通过召开会议、举办业务讲座等多种形式，提高我馆领导和财务人员、项目人员的预算绩效管理意识，确保绩效理念深入人心。提升专业能力，通过培训和教育，提高预算单位财务人员和项目人员的专业素养，确保管理工作的高效执行。</w:t>
      </w: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bookmarkStart w:id="123" w:name="_GoBack"/>
      <w:bookmarkEnd w:id="123"/>
    </w:p>
    <w:p>
      <w:pPr>
        <w:spacing w:line="576" w:lineRule="exact"/>
        <w:jc w:val="left"/>
        <w:outlineLvl w:val="0"/>
        <w:rPr>
          <w:rFonts w:ascii="黑体" w:eastAsia="黑体" w:cs="黑体"/>
          <w:sz w:val="32"/>
          <w:szCs w:val="32"/>
        </w:rPr>
      </w:pPr>
      <w:bookmarkStart w:id="105" w:name="_Toc178176245"/>
      <w:r>
        <w:rPr>
          <w:rFonts w:hint="eastAsia" w:ascii="黑体" w:eastAsia="黑体" w:cs="黑体"/>
          <w:sz w:val="32"/>
          <w:szCs w:val="32"/>
        </w:rPr>
        <w:t>附件2</w:t>
      </w:r>
      <w:bookmarkEnd w:id="105"/>
    </w:p>
    <w:p>
      <w:pPr>
        <w:widowControl/>
        <w:snapToGrid w:val="0"/>
        <w:spacing w:line="576" w:lineRule="exact"/>
        <w:jc w:val="center"/>
        <w:rPr>
          <w:rFonts w:ascii="仿宋_GB2312" w:eastAsia="仿宋_GB2312"/>
          <w:sz w:val="44"/>
          <w:szCs w:val="44"/>
        </w:rPr>
      </w:pPr>
    </w:p>
    <w:p>
      <w:pPr>
        <w:pStyle w:val="39"/>
        <w:spacing w:line="578" w:lineRule="exact"/>
        <w:jc w:val="center"/>
        <w:rPr>
          <w:rFonts w:ascii="方正小标宋简体" w:hAnsi="方正小标宋简体" w:eastAsia="方正小标宋简体" w:cs="方正小标宋简体"/>
          <w:color w:val="auto"/>
          <w:kern w:val="2"/>
          <w:sz w:val="44"/>
          <w:szCs w:val="44"/>
          <w:lang w:val="en-US"/>
        </w:rPr>
      </w:pPr>
      <w:bookmarkStart w:id="106" w:name="_Toc15396618"/>
      <w:bookmarkStart w:id="107" w:name="_Toc115101732"/>
      <w:bookmarkStart w:id="108" w:name="_Toc79163635"/>
      <w:r>
        <w:rPr>
          <w:rFonts w:hint="eastAsia" w:ascii="方正小标宋简体" w:hAnsi="方正小标宋简体" w:eastAsia="方正小标宋简体" w:cs="方正小标宋简体"/>
          <w:color w:val="auto"/>
          <w:kern w:val="2"/>
          <w:sz w:val="44"/>
          <w:szCs w:val="44"/>
          <w:lang w:val="en-US"/>
        </w:rPr>
        <w:t>数字档案馆建设项目</w:t>
      </w:r>
    </w:p>
    <w:p>
      <w:pPr>
        <w:pStyle w:val="39"/>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9"/>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项目概况</w:t>
      </w:r>
    </w:p>
    <w:p>
      <w:pPr>
        <w:adjustRightInd w:val="0"/>
        <w:snapToGrid w:val="0"/>
        <w:spacing w:line="560" w:lineRule="exact"/>
        <w:ind w:firstLine="720"/>
        <w:rPr>
          <w:rFonts w:ascii="仿宋" w:hAnsi="仿宋" w:eastAsia="仿宋"/>
          <w:color w:val="000000"/>
          <w:sz w:val="32"/>
          <w:szCs w:val="32"/>
          <w:shd w:val="clear" w:color="auto" w:fill="FFFFFF"/>
        </w:rPr>
      </w:pPr>
      <w:r>
        <w:rPr>
          <w:rFonts w:hint="eastAsia" w:ascii="仿宋" w:hAnsi="仿宋" w:eastAsia="仿宋"/>
          <w:b/>
          <w:sz w:val="32"/>
          <w:szCs w:val="32"/>
          <w:lang w:val="zh-CN"/>
        </w:rPr>
        <w:t>（一）设立背景及基本情况。</w:t>
      </w:r>
      <w:r>
        <w:rPr>
          <w:rFonts w:hint="eastAsia" w:ascii="仿宋" w:hAnsi="仿宋" w:eastAsia="仿宋"/>
          <w:color w:val="000000"/>
          <w:sz w:val="32"/>
          <w:szCs w:val="32"/>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信息资源，为全县经济建设服务。</w:t>
      </w:r>
      <w:r>
        <w:rPr>
          <w:rFonts w:hint="eastAsia" w:ascii="仿宋" w:hAnsi="仿宋" w:eastAsia="仿宋" w:cs="仿宋_GB2312"/>
          <w:bCs/>
          <w:sz w:val="32"/>
          <w:szCs w:val="32"/>
          <w:lang w:val="zh-CN"/>
        </w:rPr>
        <w:t>在项目实施过程中严格按照管理办法使用资金，做到专款专用，严禁虚报、挤占、挪用，无违反规定的行为发生。</w:t>
      </w:r>
    </w:p>
    <w:p>
      <w:pPr>
        <w:adjustRightInd w:val="0"/>
        <w:snapToGrid w:val="0"/>
        <w:spacing w:line="578" w:lineRule="exact"/>
        <w:ind w:firstLine="642" w:firstLineChars="200"/>
        <w:rPr>
          <w:rFonts w:ascii="仿宋" w:hAnsi="仿宋" w:eastAsia="仿宋"/>
          <w:b/>
          <w:sz w:val="32"/>
          <w:szCs w:val="32"/>
          <w:lang w:val="zh-CN"/>
        </w:rPr>
      </w:pPr>
      <w:r>
        <w:rPr>
          <w:rFonts w:hint="eastAsia" w:ascii="仿宋" w:hAnsi="仿宋" w:eastAsia="仿宋"/>
          <w:b/>
          <w:sz w:val="32"/>
          <w:szCs w:val="32"/>
          <w:lang w:val="zh-CN"/>
        </w:rPr>
        <w:t>（二）</w:t>
      </w:r>
      <w:r>
        <w:rPr>
          <w:rFonts w:ascii="仿宋" w:hAnsi="仿宋" w:eastAsia="仿宋"/>
          <w:b/>
          <w:sz w:val="32"/>
          <w:szCs w:val="32"/>
        </w:rPr>
        <w:t>实施目的及支持方向</w:t>
      </w:r>
      <w:r>
        <w:rPr>
          <w:rFonts w:hint="eastAsia" w:ascii="仿宋" w:hAnsi="仿宋" w:eastAsia="仿宋"/>
          <w:b/>
          <w:sz w:val="32"/>
          <w:szCs w:val="32"/>
        </w:rPr>
        <w:t>。</w:t>
      </w:r>
      <w:r>
        <w:rPr>
          <w:rFonts w:hint="eastAsia" w:ascii="仿宋" w:hAnsi="仿宋" w:eastAsia="仿宋" w:cs="仿宋_GB2312"/>
          <w:bCs/>
          <w:sz w:val="32"/>
          <w:szCs w:val="32"/>
        </w:rPr>
        <w:t xml:space="preserve">档案数字化建设是使档案得到更好的保护，并在查阅利用中更方便、快捷。专项资金按照“谁使用、谁负责”的原则，承担资金使用和管理责任。      </w:t>
      </w:r>
    </w:p>
    <w:p>
      <w:pPr>
        <w:widowControl/>
        <w:adjustRightInd w:val="0"/>
        <w:snapToGrid w:val="0"/>
        <w:spacing w:line="578" w:lineRule="exact"/>
        <w:ind w:firstLine="642"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b/>
          <w:sz w:val="32"/>
          <w:szCs w:val="32"/>
          <w:lang w:val="zh-CN"/>
        </w:rPr>
        <w:t>（三）</w:t>
      </w:r>
      <w:r>
        <w:rPr>
          <w:rFonts w:ascii="仿宋" w:hAnsi="仿宋" w:eastAsia="仿宋"/>
          <w:b/>
          <w:sz w:val="32"/>
          <w:szCs w:val="32"/>
        </w:rPr>
        <w:t>预算安排及分配管理</w:t>
      </w:r>
      <w:r>
        <w:rPr>
          <w:rFonts w:hint="eastAsia" w:ascii="仿宋" w:hAnsi="仿宋" w:eastAsia="仿宋"/>
          <w:b/>
          <w:sz w:val="32"/>
          <w:szCs w:val="32"/>
          <w:lang w:val="zh-CN"/>
        </w:rPr>
        <w:t>。</w:t>
      </w:r>
      <w:r>
        <w:rPr>
          <w:rFonts w:hint="eastAsia" w:ascii="仿宋" w:hAnsi="仿宋" w:eastAsia="仿宋" w:cs="仿宋_GB2312"/>
          <w:bCs/>
          <w:sz w:val="32"/>
          <w:szCs w:val="32"/>
          <w:lang w:val="zh-CN"/>
        </w:rPr>
        <w:t>根据省、州专项资金预算文件通知，</w:t>
      </w:r>
      <w:r>
        <w:rPr>
          <w:rFonts w:hint="eastAsia" w:ascii="仿宋" w:hAnsi="仿宋" w:eastAsia="仿宋" w:cs="仿宋_GB2312"/>
          <w:bCs/>
          <w:sz w:val="32"/>
          <w:szCs w:val="32"/>
        </w:rPr>
        <w:t>1.74万元全部用于档案馆机房维护和库房倒柜等。</w:t>
      </w:r>
    </w:p>
    <w:p>
      <w:pPr>
        <w:adjustRightInd w:val="0"/>
        <w:snapToGrid w:val="0"/>
        <w:spacing w:line="578" w:lineRule="exact"/>
        <w:ind w:firstLine="642" w:firstLineChars="200"/>
        <w:rPr>
          <w:rFonts w:ascii="仿宋" w:hAnsi="仿宋" w:eastAsia="仿宋" w:cs="仿宋_GB2312"/>
          <w:kern w:val="0"/>
          <w:sz w:val="32"/>
          <w:szCs w:val="32"/>
          <w:shd w:val="clear" w:color="auto" w:fill="FFFFFF"/>
          <w:lang w:val="zh-CN"/>
        </w:rPr>
      </w:pPr>
      <w:r>
        <w:rPr>
          <w:rFonts w:hint="eastAsia" w:ascii="仿宋" w:hAnsi="仿宋" w:eastAsia="仿宋"/>
          <w:b/>
          <w:sz w:val="32"/>
          <w:szCs w:val="32"/>
          <w:lang w:val="zh-CN"/>
        </w:rPr>
        <w:t>（四）项目绩效目标设置。</w:t>
      </w:r>
      <w:r>
        <w:rPr>
          <w:rFonts w:hint="eastAsia" w:ascii="仿宋" w:hAnsi="仿宋" w:eastAsia="仿宋" w:cs="仿宋_GB2312"/>
          <w:kern w:val="0"/>
          <w:sz w:val="32"/>
          <w:szCs w:val="32"/>
          <w:shd w:val="clear" w:color="auto" w:fill="FFFFFF"/>
          <w:lang w:val="zh-CN"/>
        </w:rPr>
        <w:t>按照项目执行进度的要求，已执行并完成档案数字化工作项目支付。</w:t>
      </w:r>
    </w:p>
    <w:p>
      <w:pPr>
        <w:adjustRightInd w:val="0"/>
        <w:snapToGrid w:val="0"/>
        <w:spacing w:line="578" w:lineRule="exact"/>
        <w:ind w:firstLine="640" w:firstLineChars="200"/>
        <w:rPr>
          <w:rFonts w:ascii="仿宋" w:hAnsi="仿宋" w:eastAsia="仿宋"/>
          <w:sz w:val="32"/>
          <w:szCs w:val="32"/>
        </w:rPr>
      </w:pPr>
      <w:r>
        <w:rPr>
          <w:rFonts w:hint="eastAsia" w:ascii="仿宋" w:hAnsi="仿宋" w:eastAsia="仿宋"/>
          <w:sz w:val="32"/>
          <w:szCs w:val="32"/>
        </w:rPr>
        <w:t>二、评价实施</w:t>
      </w:r>
    </w:p>
    <w:p>
      <w:pPr>
        <w:spacing w:line="578" w:lineRule="exact"/>
        <w:ind w:firstLine="640"/>
        <w:rPr>
          <w:rFonts w:ascii="仿宋" w:hAnsi="仿宋" w:eastAsia="仿宋"/>
          <w:sz w:val="32"/>
          <w:szCs w:val="32"/>
        </w:rPr>
      </w:pPr>
      <w:r>
        <w:rPr>
          <w:rFonts w:hint="eastAsia" w:ascii="仿宋" w:hAnsi="仿宋" w:eastAsia="仿宋"/>
          <w:b/>
          <w:sz w:val="32"/>
          <w:szCs w:val="32"/>
          <w:lang w:val="zh-CN"/>
        </w:rPr>
        <w:t>（一）评价目的。</w:t>
      </w:r>
      <w:r>
        <w:rPr>
          <w:rFonts w:hint="eastAsia" w:ascii="仿宋" w:hAnsi="仿宋" w:eastAsia="仿宋"/>
          <w:sz w:val="32"/>
          <w:szCs w:val="32"/>
        </w:rPr>
        <w:t>本次对项目投入经济性的评估是在项目预算测算的基础上，按照厉行节约的要求，结合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spacing w:line="360" w:lineRule="auto"/>
        <w:ind w:firstLine="642" w:firstLineChars="200"/>
        <w:rPr>
          <w:rFonts w:ascii="仿宋" w:hAnsi="仿宋" w:eastAsia="仿宋" w:cs="仿宋_GB2312"/>
          <w:sz w:val="32"/>
          <w:szCs w:val="32"/>
        </w:rPr>
      </w:pPr>
      <w:r>
        <w:rPr>
          <w:rFonts w:hint="eastAsia" w:ascii="仿宋" w:hAnsi="仿宋" w:eastAsia="仿宋"/>
          <w:b/>
          <w:sz w:val="32"/>
          <w:szCs w:val="32"/>
          <w:lang w:val="zh-CN"/>
        </w:rPr>
        <w:t>（二）预设问题及评价重点。</w:t>
      </w:r>
      <w:r>
        <w:rPr>
          <w:rFonts w:hint="eastAsia" w:ascii="仿宋" w:hAnsi="仿宋" w:eastAsia="仿宋" w:cs="仿宋_GB2312"/>
          <w:bCs/>
          <w:sz w:val="32"/>
          <w:szCs w:val="32"/>
          <w:lang w:val="zh-CN"/>
        </w:rPr>
        <w:t>对如何</w:t>
      </w:r>
      <w:r>
        <w:rPr>
          <w:rFonts w:hint="eastAsia" w:ascii="仿宋" w:hAnsi="仿宋" w:eastAsia="仿宋" w:cs="仿宋_GB2312"/>
          <w:bCs/>
          <w:sz w:val="32"/>
          <w:szCs w:val="32"/>
        </w:rPr>
        <w:t>提</w:t>
      </w:r>
      <w:r>
        <w:rPr>
          <w:rFonts w:hint="eastAsia" w:ascii="仿宋" w:hAnsi="仿宋" w:eastAsia="仿宋" w:cs="仿宋_GB2312"/>
          <w:sz w:val="32"/>
          <w:szCs w:val="32"/>
        </w:rPr>
        <w:t>高预算编制科学性、合理性，优化财政支出结构入手，从源头上防控财政资源配置的低效无效，提高财政资源配置效率和财政资金使用效益。</w:t>
      </w:r>
    </w:p>
    <w:p>
      <w:pPr>
        <w:adjustRightInd w:val="0"/>
        <w:snapToGrid w:val="0"/>
        <w:spacing w:line="578" w:lineRule="exact"/>
        <w:ind w:firstLine="642" w:firstLineChars="200"/>
        <w:rPr>
          <w:rFonts w:ascii="仿宋" w:hAnsi="仿宋" w:eastAsia="仿宋"/>
          <w:sz w:val="32"/>
          <w:szCs w:val="32"/>
          <w:lang w:val="zh-CN"/>
        </w:rPr>
      </w:pPr>
      <w:r>
        <w:rPr>
          <w:rFonts w:hint="eastAsia" w:ascii="仿宋" w:hAnsi="仿宋" w:eastAsia="仿宋"/>
          <w:b/>
          <w:sz w:val="32"/>
          <w:szCs w:val="32"/>
          <w:lang w:val="zh-CN"/>
        </w:rPr>
        <w:t>（三）评价选点。</w:t>
      </w:r>
      <w:r>
        <w:rPr>
          <w:rFonts w:hint="eastAsia" w:ascii="仿宋" w:hAnsi="仿宋" w:eastAsia="仿宋" w:cs="仿宋_GB2312"/>
          <w:sz w:val="32"/>
          <w:szCs w:val="32"/>
        </w:rPr>
        <w:t>按照有关规定和工作安排，我单位开展自行评估，收集被评估项目相关基础资料，并查阅资料、收集数据信息等，</w:t>
      </w:r>
      <w:r>
        <w:rPr>
          <w:rFonts w:hint="eastAsia" w:ascii="仿宋" w:hAnsi="仿宋" w:eastAsia="仿宋" w:cs="仿宋_GB2312"/>
          <w:sz w:val="32"/>
          <w:szCs w:val="32"/>
          <w:lang w:val="zh-CN"/>
        </w:rPr>
        <w:t>查看档案馆机房维护等</w:t>
      </w:r>
      <w:r>
        <w:rPr>
          <w:rFonts w:hint="eastAsia" w:ascii="仿宋" w:hAnsi="仿宋" w:eastAsia="仿宋" w:cs="仿宋_GB2312"/>
          <w:sz w:val="32"/>
          <w:szCs w:val="32"/>
        </w:rPr>
        <w:t>工作完成情况、完成时效、完成质量等。</w:t>
      </w:r>
    </w:p>
    <w:p>
      <w:pPr>
        <w:spacing w:line="578" w:lineRule="exact"/>
        <w:ind w:firstLine="640"/>
        <w:rPr>
          <w:rFonts w:ascii="仿宋" w:hAnsi="仿宋" w:eastAsia="仿宋" w:cs="仿宋_GB2312"/>
          <w:bCs/>
          <w:sz w:val="32"/>
          <w:szCs w:val="32"/>
          <w:lang w:val="zh-CN"/>
        </w:rPr>
      </w:pPr>
      <w:r>
        <w:rPr>
          <w:rFonts w:hint="eastAsia" w:ascii="仿宋" w:hAnsi="仿宋" w:eastAsia="仿宋"/>
          <w:b/>
          <w:sz w:val="32"/>
          <w:szCs w:val="32"/>
          <w:lang w:val="zh-CN"/>
        </w:rPr>
        <w:t>（四）评价方法。</w:t>
      </w:r>
      <w:r>
        <w:rPr>
          <w:rFonts w:hint="eastAsia" w:ascii="仿宋" w:hAnsi="仿宋" w:eastAsia="仿宋" w:cs="仿宋_GB2312"/>
          <w:bCs/>
          <w:sz w:val="32"/>
          <w:szCs w:val="32"/>
          <w:lang w:val="zh-CN"/>
        </w:rPr>
        <w:t>根据项目情况和评价重点，主要采用单位自评法，结合评价内容，做到有计划、有安排。按照上级下达的项目支出绩效评价指标体系，针对建设内容、实施情况、资金兑现、财务管理、社会效益等做出自评。</w:t>
      </w:r>
    </w:p>
    <w:p>
      <w:pPr>
        <w:adjustRightInd w:val="0"/>
        <w:snapToGrid w:val="0"/>
        <w:spacing w:line="578" w:lineRule="exact"/>
        <w:ind w:firstLine="642" w:firstLineChars="200"/>
        <w:rPr>
          <w:rFonts w:ascii="仿宋" w:hAnsi="仿宋" w:eastAsia="仿宋" w:cs="仿宋_GB2312"/>
          <w:bCs/>
          <w:sz w:val="32"/>
          <w:szCs w:val="32"/>
          <w:lang w:val="zh-CN"/>
        </w:rPr>
      </w:pPr>
      <w:r>
        <w:rPr>
          <w:rFonts w:hint="eastAsia" w:ascii="仿宋" w:hAnsi="仿宋" w:eastAsia="仿宋"/>
          <w:b/>
          <w:sz w:val="32"/>
          <w:szCs w:val="32"/>
          <w:lang w:val="zh-CN"/>
        </w:rPr>
        <w:t>（五）评价组织。</w:t>
      </w:r>
      <w:r>
        <w:rPr>
          <w:rFonts w:hint="eastAsia" w:ascii="仿宋" w:hAnsi="仿宋" w:eastAsia="仿宋" w:cs="仿宋_GB2312"/>
          <w:bCs/>
          <w:sz w:val="32"/>
          <w:szCs w:val="32"/>
          <w:lang w:val="zh-CN"/>
        </w:rPr>
        <w:t>评价组人员由单位负责人、分管领导及业务股室负责人组成；单位负责人牵头负责，分管领导组织业务股室自行评价。</w:t>
      </w:r>
    </w:p>
    <w:p>
      <w:pPr>
        <w:adjustRightInd w:val="0"/>
        <w:snapToGrid w:val="0"/>
        <w:spacing w:line="578" w:lineRule="exact"/>
        <w:ind w:firstLine="640" w:firstLineChars="200"/>
        <w:rPr>
          <w:rFonts w:ascii="仿宋" w:hAnsi="仿宋" w:eastAsia="仿宋"/>
          <w:sz w:val="32"/>
          <w:szCs w:val="32"/>
          <w:lang w:val="zh-CN"/>
        </w:rPr>
      </w:pPr>
      <w:r>
        <w:rPr>
          <w:rFonts w:hint="eastAsia" w:ascii="仿宋" w:hAnsi="仿宋" w:eastAsia="仿宋"/>
          <w:sz w:val="32"/>
          <w:szCs w:val="32"/>
        </w:rPr>
        <w:t>三、绩效分析</w:t>
      </w:r>
      <w:r>
        <w:rPr>
          <w:rFonts w:hint="eastAsia" w:ascii="仿宋" w:hAnsi="仿宋" w:eastAsia="仿宋"/>
          <w:sz w:val="32"/>
          <w:szCs w:val="32"/>
          <w:lang w:val="zh-CN"/>
        </w:rPr>
        <w:tab/>
      </w:r>
    </w:p>
    <w:p>
      <w:pPr>
        <w:spacing w:line="578" w:lineRule="exact"/>
        <w:ind w:firstLine="640"/>
        <w:rPr>
          <w:rFonts w:ascii="仿宋" w:hAnsi="仿宋" w:eastAsia="仿宋" w:cs="仿宋_GB2312"/>
          <w:sz w:val="32"/>
          <w:szCs w:val="32"/>
        </w:rPr>
      </w:pPr>
      <w:r>
        <w:rPr>
          <w:rFonts w:hint="eastAsia" w:ascii="仿宋" w:hAnsi="仿宋" w:eastAsia="仿宋" w:cs="仿宋_GB2312"/>
          <w:sz w:val="32"/>
          <w:szCs w:val="32"/>
          <w:lang w:val="zh-CN"/>
        </w:rPr>
        <w:t>根据项目预算绩效评价指标体系“通用指标”“专用指标”“个性指标”涉及二、三级指标进行逐项绩效分析并评分</w:t>
      </w:r>
      <w:r>
        <w:rPr>
          <w:rFonts w:hint="eastAsia" w:ascii="仿宋" w:hAnsi="仿宋" w:eastAsia="仿宋" w:cs="仿宋_GB2312"/>
          <w:sz w:val="32"/>
          <w:szCs w:val="32"/>
        </w:rPr>
        <w:t>。</w:t>
      </w:r>
    </w:p>
    <w:p>
      <w:pPr>
        <w:spacing w:line="578" w:lineRule="exact"/>
        <w:ind w:firstLine="640"/>
        <w:rPr>
          <w:rFonts w:ascii="仿宋" w:hAnsi="仿宋" w:eastAsia="仿宋"/>
          <w:b/>
          <w:sz w:val="32"/>
          <w:szCs w:val="32"/>
        </w:rPr>
      </w:pPr>
      <w:r>
        <w:rPr>
          <w:rFonts w:hint="eastAsia" w:ascii="仿宋" w:hAnsi="仿宋" w:eastAsia="仿宋"/>
          <w:b/>
          <w:sz w:val="32"/>
          <w:szCs w:val="32"/>
          <w:lang w:val="zh-CN"/>
        </w:rPr>
        <w:t>（一）</w:t>
      </w:r>
      <w:r>
        <w:rPr>
          <w:rFonts w:hint="eastAsia" w:ascii="仿宋" w:hAnsi="仿宋" w:eastAsia="仿宋"/>
          <w:b/>
          <w:sz w:val="32"/>
          <w:szCs w:val="32"/>
        </w:rPr>
        <w:t>通用指标</w:t>
      </w:r>
      <w:r>
        <w:rPr>
          <w:rFonts w:ascii="仿宋" w:hAnsi="仿宋" w:eastAsia="仿宋"/>
          <w:b/>
          <w:bCs/>
          <w:color w:val="000000"/>
          <w:kern w:val="0"/>
          <w:sz w:val="32"/>
          <w:szCs w:val="32"/>
          <w:shd w:val="clear" w:color="auto" w:fill="FFFFFF"/>
          <w:lang w:val="zh-CN"/>
        </w:rPr>
        <w:t>绩效分析。</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r>
        <w:rPr>
          <w:rFonts w:hint="eastAsia" w:ascii="仿宋" w:hAnsi="仿宋" w:eastAsia="仿宋" w:cs="仿宋_GB2312"/>
          <w:sz w:val="32"/>
          <w:szCs w:val="32"/>
          <w:lang w:val="zh-CN"/>
        </w:rPr>
        <w:t>按照省、州档案馆要求，实施项目申报、组织评审、提出方案、审批备案等程序确定。制定项目验收实施细则，组织开展验收工作，专项资金按照“谁使用、谁负责”的原则。</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2.项目管理。该项目已制定实施方案，组织机构健全，职责分工明确，有明确的工作程序，基础设施条件能够有效保障，资金能足额保证，具有相应的质量检查、验收等必要的控制措施或手段。</w:t>
      </w:r>
    </w:p>
    <w:p>
      <w:pPr>
        <w:ind w:firstLine="640" w:firstLineChars="200"/>
        <w:rPr>
          <w:rFonts w:ascii="仿宋" w:hAnsi="仿宋" w:eastAsia="仿宋"/>
          <w:sz w:val="32"/>
          <w:szCs w:val="32"/>
        </w:rPr>
      </w:pPr>
      <w:r>
        <w:rPr>
          <w:rFonts w:hint="eastAsia" w:ascii="仿宋" w:hAnsi="仿宋" w:eastAsia="仿宋" w:cs="楷体_GB2312"/>
          <w:sz w:val="32"/>
          <w:szCs w:val="32"/>
        </w:rPr>
        <w:t>3.项目实施。</w:t>
      </w:r>
      <w:r>
        <w:rPr>
          <w:rFonts w:hint="eastAsia" w:ascii="仿宋" w:hAnsi="仿宋" w:eastAsia="仿宋"/>
          <w:sz w:val="32"/>
          <w:szCs w:val="32"/>
        </w:rPr>
        <w:t>（1）根据省州档案馆要求进行询价中标。（2）根据茂县档案馆档案信息采集项目合同内容组织实施。（3）组织现场验收。（4）拨付资金。（5）绩效评估，共计执行预算拨付资金1.74万元，占预算支出的100%。</w:t>
      </w:r>
    </w:p>
    <w:p>
      <w:pPr>
        <w:ind w:firstLine="640" w:firstLineChars="200"/>
        <w:rPr>
          <w:rFonts w:ascii="仿宋" w:hAnsi="仿宋" w:eastAsia="仿宋" w:cs="仿宋_GB2312"/>
          <w:sz w:val="32"/>
          <w:szCs w:val="32"/>
        </w:rPr>
      </w:pPr>
      <w:r>
        <w:rPr>
          <w:rFonts w:hint="eastAsia" w:ascii="仿宋" w:hAnsi="仿宋" w:eastAsia="仿宋" w:cs="楷体_GB2312"/>
          <w:sz w:val="32"/>
          <w:szCs w:val="32"/>
        </w:rPr>
        <w:t>4.项目结果。</w:t>
      </w:r>
      <w:r>
        <w:rPr>
          <w:rFonts w:hint="eastAsia" w:ascii="仿宋" w:hAnsi="仿宋" w:eastAsia="仿宋" w:cs="仿宋_GB2312"/>
          <w:bCs/>
          <w:color w:val="000000"/>
          <w:kern w:val="0"/>
          <w:sz w:val="32"/>
          <w:szCs w:val="32"/>
        </w:rPr>
        <w:t>保证了部门的正常运行和业务工作的正常开展，项目支出保障了重点工作的开展，绩效目标得到较好实现，绩效管理水平不断提高，绩效指标体系逐渐丰富和完善。</w:t>
      </w:r>
    </w:p>
    <w:p>
      <w:pPr>
        <w:spacing w:line="578" w:lineRule="exact"/>
        <w:ind w:firstLine="642" w:firstLineChars="200"/>
        <w:rPr>
          <w:rFonts w:ascii="仿宋" w:hAnsi="仿宋" w:eastAsia="仿宋" w:cs="楷体_GB2312"/>
          <w:sz w:val="32"/>
          <w:szCs w:val="32"/>
          <w:lang w:val="zh-CN"/>
        </w:rPr>
      </w:pPr>
      <w:r>
        <w:rPr>
          <w:rFonts w:hint="eastAsia" w:ascii="仿宋" w:hAnsi="仿宋" w:eastAsia="仿宋"/>
          <w:b/>
          <w:sz w:val="32"/>
          <w:szCs w:val="32"/>
          <w:lang w:val="zh-CN"/>
        </w:rPr>
        <w:t>（二）</w:t>
      </w:r>
      <w:r>
        <w:rPr>
          <w:rFonts w:hint="eastAsia" w:ascii="仿宋" w:hAnsi="仿宋" w:eastAsia="仿宋"/>
          <w:b/>
          <w:sz w:val="32"/>
          <w:szCs w:val="32"/>
        </w:rPr>
        <w:t>专用指标</w:t>
      </w:r>
      <w:r>
        <w:rPr>
          <w:rFonts w:ascii="仿宋" w:hAnsi="仿宋" w:eastAsia="仿宋"/>
          <w:b/>
          <w:bCs/>
          <w:color w:val="000000"/>
          <w:kern w:val="0"/>
          <w:sz w:val="32"/>
          <w:szCs w:val="32"/>
          <w:shd w:val="clear" w:color="auto" w:fill="FFFFFF"/>
          <w:lang w:val="zh-CN"/>
        </w:rPr>
        <w:t>绩效分析。</w:t>
      </w:r>
      <w:r>
        <w:rPr>
          <w:rFonts w:hint="eastAsia" w:ascii="仿宋" w:hAnsi="仿宋" w:eastAsia="仿宋"/>
          <w:sz w:val="32"/>
          <w:szCs w:val="32"/>
          <w:lang w:val="zh-CN"/>
        </w:rPr>
        <w:t>根据</w:t>
      </w:r>
      <w:r>
        <w:rPr>
          <w:rFonts w:hint="eastAsia" w:ascii="仿宋" w:hAnsi="仿宋" w:eastAsia="仿宋"/>
          <w:sz w:val="32"/>
          <w:szCs w:val="32"/>
        </w:rPr>
        <w:t>专项预算项目资金支持对象选择所属指标进行绩效分析。支持对象</w:t>
      </w:r>
      <w:r>
        <w:rPr>
          <w:rFonts w:hint="eastAsia" w:ascii="仿宋" w:hAnsi="仿宋" w:eastAsia="仿宋"/>
          <w:sz w:val="32"/>
          <w:szCs w:val="32"/>
          <w:lang w:val="zh-CN"/>
        </w:rPr>
        <w:t>包括产业发展、民生保障、基础设施、行政运转等方面。</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1.产业发展。无</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2.民生保障。维护档案馆机房，使档案馆数字化查阅、利用方便、快捷，查阅利用人员满意。</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3.基础设施。无</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4.行政运转。无</w:t>
      </w:r>
    </w:p>
    <w:p>
      <w:pPr>
        <w:spacing w:line="578" w:lineRule="exact"/>
        <w:ind w:firstLine="640"/>
        <w:rPr>
          <w:rFonts w:ascii="仿宋" w:hAnsi="仿宋" w:eastAsia="仿宋"/>
          <w:sz w:val="32"/>
          <w:szCs w:val="32"/>
        </w:rPr>
      </w:pPr>
      <w:r>
        <w:rPr>
          <w:rFonts w:hint="eastAsia" w:ascii="仿宋" w:hAnsi="仿宋" w:eastAsia="仿宋"/>
          <w:b/>
          <w:sz w:val="32"/>
          <w:szCs w:val="32"/>
          <w:lang w:val="zh-CN"/>
        </w:rPr>
        <w:t>（三）</w:t>
      </w:r>
      <w:r>
        <w:rPr>
          <w:rFonts w:hint="eastAsia" w:ascii="仿宋" w:hAnsi="仿宋" w:eastAsia="仿宋"/>
          <w:b/>
          <w:sz w:val="32"/>
          <w:szCs w:val="32"/>
        </w:rPr>
        <w:t>个性指标</w:t>
      </w:r>
      <w:r>
        <w:rPr>
          <w:rFonts w:ascii="仿宋" w:hAnsi="仿宋" w:eastAsia="仿宋"/>
          <w:b/>
          <w:bCs/>
          <w:color w:val="000000"/>
          <w:kern w:val="0"/>
          <w:sz w:val="32"/>
          <w:szCs w:val="32"/>
          <w:shd w:val="clear" w:color="auto" w:fill="FFFFFF"/>
          <w:lang w:val="zh-CN"/>
        </w:rPr>
        <w:t>绩效分析。</w:t>
      </w:r>
      <w:r>
        <w:rPr>
          <w:rFonts w:hint="eastAsia" w:ascii="仿宋" w:hAnsi="仿宋" w:eastAsia="仿宋"/>
          <w:sz w:val="32"/>
          <w:szCs w:val="32"/>
          <w:lang w:val="zh-CN"/>
        </w:rPr>
        <w:t>档案数字化建设达到档案查阅利用方便、快捷，查阅利用档案人员满意度高的原则。</w:t>
      </w:r>
    </w:p>
    <w:p>
      <w:pPr>
        <w:pStyle w:val="6"/>
        <w:spacing w:before="93" w:line="600" w:lineRule="exact"/>
        <w:ind w:firstLine="640" w:firstLineChars="200"/>
        <w:rPr>
          <w:rFonts w:ascii="仿宋" w:hAnsi="仿宋" w:eastAsia="仿宋"/>
          <w:sz w:val="32"/>
          <w:szCs w:val="32"/>
        </w:rPr>
      </w:pPr>
      <w:r>
        <w:rPr>
          <w:rFonts w:hint="eastAsia" w:ascii="仿宋" w:hAnsi="仿宋" w:eastAsia="仿宋"/>
          <w:sz w:val="32"/>
          <w:szCs w:val="32"/>
        </w:rPr>
        <w:t>四、评价结论</w:t>
      </w:r>
    </w:p>
    <w:p>
      <w:pPr>
        <w:pStyle w:val="6"/>
        <w:spacing w:before="93" w:line="600" w:lineRule="exact"/>
        <w:ind w:firstLine="640" w:firstLineChars="200"/>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档案数字化建设及档案馆机房维护</w:t>
      </w:r>
      <w:r>
        <w:rPr>
          <w:rFonts w:ascii="仿宋" w:hAnsi="仿宋" w:eastAsia="仿宋" w:cs="仿宋_GB2312"/>
          <w:color w:val="000000"/>
          <w:sz w:val="32"/>
          <w:szCs w:val="32"/>
          <w:shd w:val="clear" w:color="auto" w:fill="FFFFFF"/>
        </w:rPr>
        <w:t>，预算执行率达到100%，全面完成年度绩效总体目标和各项绩效指标，有效发挥了财政资金的使用效率。</w:t>
      </w:r>
    </w:p>
    <w:p>
      <w:pPr>
        <w:pStyle w:val="6"/>
        <w:spacing w:before="93" w:line="600" w:lineRule="exact"/>
        <w:ind w:firstLine="640" w:firstLineChars="200"/>
        <w:rPr>
          <w:rFonts w:ascii="仿宋" w:hAnsi="仿宋" w:eastAsia="仿宋"/>
          <w:sz w:val="32"/>
          <w:szCs w:val="32"/>
        </w:rPr>
      </w:pPr>
      <w:r>
        <w:rPr>
          <w:rFonts w:hint="eastAsia" w:ascii="仿宋" w:hAnsi="仿宋" w:eastAsia="仿宋"/>
          <w:sz w:val="32"/>
          <w:szCs w:val="32"/>
        </w:rPr>
        <w:t>五、存在主要问题</w:t>
      </w:r>
    </w:p>
    <w:p>
      <w:pPr>
        <w:pStyle w:val="6"/>
        <w:spacing w:before="93" w:line="600" w:lineRule="exact"/>
        <w:ind w:firstLine="640" w:firstLineChars="200"/>
        <w:rPr>
          <w:rFonts w:ascii="仿宋" w:hAnsi="仿宋" w:eastAsia="仿宋" w:cs="黑体"/>
          <w:kern w:val="2"/>
          <w:sz w:val="32"/>
          <w:szCs w:val="32"/>
        </w:rPr>
      </w:pPr>
      <w:r>
        <w:rPr>
          <w:rFonts w:hint="eastAsia" w:ascii="仿宋" w:hAnsi="仿宋" w:eastAsia="仿宋" w:cs="仿宋_GB2312"/>
          <w:sz w:val="32"/>
          <w:szCs w:val="32"/>
        </w:rPr>
        <w:t>无。</w:t>
      </w:r>
    </w:p>
    <w:p>
      <w:pPr>
        <w:pStyle w:val="6"/>
        <w:spacing w:before="93"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六、改进建议</w:t>
      </w:r>
    </w:p>
    <w:p>
      <w:pPr>
        <w:tabs>
          <w:tab w:val="left" w:pos="1911"/>
        </w:tabs>
        <w:jc w:val="left"/>
        <w:rPr>
          <w:rFonts w:ascii="仿宋" w:hAnsi="仿宋" w:eastAsia="仿宋" w:cs="仿宋_GB2312"/>
          <w:kern w:val="0"/>
          <w:sz w:val="32"/>
          <w:szCs w:val="32"/>
        </w:rPr>
      </w:pPr>
      <w:r>
        <w:rPr>
          <w:rFonts w:hint="eastAsia" w:ascii="仿宋" w:hAnsi="仿宋" w:eastAsia="仿宋" w:cs="仿宋_GB2312"/>
          <w:kern w:val="0"/>
          <w:sz w:val="32"/>
          <w:szCs w:val="32"/>
          <w:shd w:val="clear" w:color="auto" w:fill="FFFFFF"/>
          <w:lang w:val="zh-CN"/>
        </w:rPr>
        <w:t xml:space="preserve"> </w:t>
      </w:r>
      <w:r>
        <w:rPr>
          <w:rFonts w:hint="eastAsia" w:ascii="仿宋" w:hAnsi="仿宋" w:eastAsia="仿宋" w:cs="仿宋_GB2312"/>
          <w:kern w:val="0"/>
          <w:sz w:val="32"/>
          <w:szCs w:val="32"/>
        </w:rPr>
        <w:t xml:space="preserve">   </w:t>
      </w:r>
      <w:bookmarkStart w:id="109" w:name="_Hlk110546638"/>
      <w:r>
        <w:rPr>
          <w:rFonts w:hint="eastAsia" w:ascii="仿宋" w:hAnsi="仿宋" w:eastAsia="仿宋" w:cs="仿宋_GB2312"/>
          <w:kern w:val="0"/>
          <w:sz w:val="32"/>
          <w:szCs w:val="32"/>
        </w:rPr>
        <w:t>无。</w:t>
      </w:r>
    </w:p>
    <w:bookmarkEnd w:id="109"/>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pStyle w:val="39"/>
        <w:spacing w:line="578" w:lineRule="exact"/>
        <w:jc w:val="left"/>
        <w:rPr>
          <w:rFonts w:ascii="黑体" w:eastAsia="黑体" w:cs="黑体"/>
          <w:sz w:val="32"/>
          <w:szCs w:val="32"/>
        </w:rPr>
      </w:pPr>
      <w:r>
        <w:rPr>
          <w:rFonts w:hint="eastAsia" w:ascii="黑体" w:eastAsia="黑体" w:cs="黑体"/>
          <w:sz w:val="32"/>
          <w:szCs w:val="32"/>
        </w:rPr>
        <w:t>附件3</w:t>
      </w:r>
    </w:p>
    <w:p>
      <w:pPr>
        <w:pStyle w:val="39"/>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2023年档案抢救和保护经费</w:t>
      </w:r>
    </w:p>
    <w:p>
      <w:pPr>
        <w:pStyle w:val="39"/>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9"/>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项目概况</w:t>
      </w:r>
    </w:p>
    <w:p>
      <w:pPr>
        <w:adjustRightInd w:val="0"/>
        <w:snapToGrid w:val="0"/>
        <w:spacing w:line="560" w:lineRule="exact"/>
        <w:ind w:firstLine="720"/>
        <w:rPr>
          <w:rFonts w:ascii="仿宋" w:hAnsi="仿宋" w:eastAsia="仿宋"/>
          <w:color w:val="000000"/>
          <w:sz w:val="32"/>
          <w:szCs w:val="32"/>
          <w:shd w:val="clear" w:color="auto" w:fill="FFFFFF"/>
        </w:rPr>
      </w:pPr>
      <w:r>
        <w:rPr>
          <w:rFonts w:hint="eastAsia" w:ascii="仿宋" w:hAnsi="仿宋" w:eastAsia="仿宋"/>
          <w:b/>
          <w:sz w:val="32"/>
          <w:szCs w:val="32"/>
          <w:lang w:val="zh-CN"/>
        </w:rPr>
        <w:t>（一）设立背景及基本情况。</w:t>
      </w:r>
      <w:r>
        <w:rPr>
          <w:rFonts w:hint="eastAsia" w:ascii="仿宋" w:hAnsi="仿宋" w:eastAsia="仿宋"/>
          <w:color w:val="000000"/>
          <w:sz w:val="32"/>
          <w:szCs w:val="32"/>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信息资源，为全县经济建设服务。</w:t>
      </w:r>
      <w:r>
        <w:rPr>
          <w:rFonts w:hint="eastAsia" w:ascii="仿宋" w:hAnsi="仿宋" w:eastAsia="仿宋" w:cs="仿宋_GB2312"/>
          <w:bCs/>
          <w:sz w:val="32"/>
          <w:szCs w:val="32"/>
          <w:lang w:val="zh-CN"/>
        </w:rPr>
        <w:t>在项目实施过程中严格按照管理办法使用资金，做到专款专用，严禁虚报、挤占、挪用，无违反规定的行为发生。</w:t>
      </w:r>
    </w:p>
    <w:p>
      <w:pPr>
        <w:adjustRightInd w:val="0"/>
        <w:snapToGrid w:val="0"/>
        <w:spacing w:line="578" w:lineRule="exact"/>
        <w:ind w:firstLine="642" w:firstLineChars="200"/>
        <w:rPr>
          <w:rFonts w:ascii="仿宋" w:hAnsi="仿宋" w:eastAsia="仿宋"/>
          <w:b/>
          <w:sz w:val="32"/>
          <w:szCs w:val="32"/>
          <w:lang w:val="zh-CN"/>
        </w:rPr>
      </w:pPr>
      <w:r>
        <w:rPr>
          <w:rFonts w:hint="eastAsia" w:ascii="仿宋" w:hAnsi="仿宋" w:eastAsia="仿宋"/>
          <w:b/>
          <w:sz w:val="32"/>
          <w:szCs w:val="32"/>
          <w:lang w:val="zh-CN"/>
        </w:rPr>
        <w:t>（二）</w:t>
      </w:r>
      <w:r>
        <w:rPr>
          <w:rFonts w:ascii="仿宋" w:hAnsi="仿宋" w:eastAsia="仿宋"/>
          <w:b/>
          <w:sz w:val="32"/>
          <w:szCs w:val="32"/>
        </w:rPr>
        <w:t>实施目的及支持方向</w:t>
      </w:r>
      <w:r>
        <w:rPr>
          <w:rFonts w:hint="eastAsia" w:ascii="仿宋" w:hAnsi="仿宋" w:eastAsia="仿宋"/>
          <w:b/>
          <w:sz w:val="32"/>
          <w:szCs w:val="32"/>
        </w:rPr>
        <w:t>。</w:t>
      </w:r>
      <w:r>
        <w:rPr>
          <w:rFonts w:hint="eastAsia" w:ascii="仿宋" w:hAnsi="仿宋" w:eastAsia="仿宋" w:cs="仿宋_GB2312"/>
          <w:bCs/>
          <w:sz w:val="32"/>
          <w:szCs w:val="32"/>
        </w:rPr>
        <w:t xml:space="preserve">档案数字化建设是使档案得到更好的保护，并在查阅利用中更方便、快捷。专项资金按照“谁使用、谁负责”的原则，承担资金使用和管理责任。      </w:t>
      </w:r>
    </w:p>
    <w:p>
      <w:pPr>
        <w:widowControl/>
        <w:adjustRightInd w:val="0"/>
        <w:snapToGrid w:val="0"/>
        <w:spacing w:line="578" w:lineRule="exact"/>
        <w:ind w:firstLine="642" w:firstLineChars="200"/>
        <w:contextualSpacing/>
        <w:jc w:val="left"/>
        <w:rPr>
          <w:rFonts w:ascii="仿宋" w:hAnsi="仿宋" w:eastAsia="仿宋" w:cs="仿宋_GB2312"/>
          <w:kern w:val="0"/>
          <w:sz w:val="32"/>
          <w:szCs w:val="32"/>
          <w:shd w:val="clear" w:color="auto" w:fill="FFFFFF"/>
        </w:rPr>
      </w:pPr>
      <w:r>
        <w:rPr>
          <w:rFonts w:hint="eastAsia" w:ascii="仿宋" w:hAnsi="仿宋" w:eastAsia="仿宋"/>
          <w:b/>
          <w:sz w:val="32"/>
          <w:szCs w:val="32"/>
          <w:lang w:val="zh-CN"/>
        </w:rPr>
        <w:t>（三）</w:t>
      </w:r>
      <w:r>
        <w:rPr>
          <w:rFonts w:ascii="仿宋" w:hAnsi="仿宋" w:eastAsia="仿宋"/>
          <w:b/>
          <w:sz w:val="32"/>
          <w:szCs w:val="32"/>
        </w:rPr>
        <w:t>预算安排及分配管理</w:t>
      </w:r>
      <w:r>
        <w:rPr>
          <w:rFonts w:hint="eastAsia" w:ascii="仿宋" w:hAnsi="仿宋" w:eastAsia="仿宋"/>
          <w:b/>
          <w:sz w:val="32"/>
          <w:szCs w:val="32"/>
          <w:lang w:val="zh-CN"/>
        </w:rPr>
        <w:t>。</w:t>
      </w:r>
      <w:r>
        <w:rPr>
          <w:rFonts w:hint="eastAsia" w:ascii="仿宋" w:hAnsi="仿宋" w:eastAsia="仿宋" w:cs="仿宋_GB2312"/>
          <w:bCs/>
          <w:sz w:val="32"/>
          <w:szCs w:val="32"/>
          <w:lang w:val="zh-CN"/>
        </w:rPr>
        <w:t>根据省、州专项资金预算文件通知，</w:t>
      </w:r>
      <w:r>
        <w:rPr>
          <w:rFonts w:hint="eastAsia" w:ascii="仿宋" w:hAnsi="仿宋" w:eastAsia="仿宋" w:cs="仿宋_GB2312"/>
          <w:bCs/>
          <w:sz w:val="32"/>
          <w:szCs w:val="32"/>
        </w:rPr>
        <w:t>4.28万元全部用于馆藏档案数字化建设及档案馆机房维护。</w:t>
      </w:r>
    </w:p>
    <w:p>
      <w:pPr>
        <w:adjustRightInd w:val="0"/>
        <w:snapToGrid w:val="0"/>
        <w:spacing w:line="578" w:lineRule="exact"/>
        <w:ind w:firstLine="642" w:firstLineChars="200"/>
        <w:rPr>
          <w:rFonts w:ascii="仿宋" w:hAnsi="仿宋" w:eastAsia="仿宋" w:cs="仿宋_GB2312"/>
          <w:kern w:val="0"/>
          <w:sz w:val="32"/>
          <w:szCs w:val="32"/>
          <w:shd w:val="clear" w:color="auto" w:fill="FFFFFF"/>
          <w:lang w:val="zh-CN"/>
        </w:rPr>
      </w:pPr>
      <w:r>
        <w:rPr>
          <w:rFonts w:hint="eastAsia" w:ascii="仿宋" w:hAnsi="仿宋" w:eastAsia="仿宋"/>
          <w:b/>
          <w:sz w:val="32"/>
          <w:szCs w:val="32"/>
          <w:lang w:val="zh-CN"/>
        </w:rPr>
        <w:t>（四）项目绩效目标设置。</w:t>
      </w:r>
      <w:r>
        <w:rPr>
          <w:rFonts w:hint="eastAsia" w:ascii="仿宋" w:hAnsi="仿宋" w:eastAsia="仿宋" w:cs="仿宋_GB2312"/>
          <w:kern w:val="0"/>
          <w:sz w:val="32"/>
          <w:szCs w:val="32"/>
          <w:shd w:val="clear" w:color="auto" w:fill="FFFFFF"/>
          <w:lang w:val="zh-CN"/>
        </w:rPr>
        <w:t>按照项目执行进度的要求，已执行并完成档案数字化工作项目支付。</w:t>
      </w:r>
    </w:p>
    <w:p>
      <w:pPr>
        <w:adjustRightInd w:val="0"/>
        <w:snapToGrid w:val="0"/>
        <w:spacing w:line="578" w:lineRule="exact"/>
        <w:ind w:firstLine="640" w:firstLineChars="200"/>
        <w:rPr>
          <w:rFonts w:ascii="仿宋" w:hAnsi="仿宋" w:eastAsia="仿宋"/>
          <w:sz w:val="32"/>
          <w:szCs w:val="32"/>
        </w:rPr>
      </w:pPr>
      <w:r>
        <w:rPr>
          <w:rFonts w:hint="eastAsia" w:ascii="仿宋" w:hAnsi="仿宋" w:eastAsia="仿宋"/>
          <w:sz w:val="32"/>
          <w:szCs w:val="32"/>
        </w:rPr>
        <w:t>二、评价实施</w:t>
      </w:r>
    </w:p>
    <w:p>
      <w:pPr>
        <w:spacing w:line="578" w:lineRule="exact"/>
        <w:ind w:firstLine="640"/>
        <w:rPr>
          <w:rFonts w:ascii="仿宋" w:hAnsi="仿宋" w:eastAsia="仿宋"/>
          <w:sz w:val="32"/>
          <w:szCs w:val="32"/>
        </w:rPr>
      </w:pPr>
      <w:r>
        <w:rPr>
          <w:rFonts w:hint="eastAsia" w:ascii="仿宋" w:hAnsi="仿宋" w:eastAsia="仿宋"/>
          <w:b/>
          <w:sz w:val="32"/>
          <w:szCs w:val="32"/>
          <w:lang w:val="zh-CN"/>
        </w:rPr>
        <w:t>（一）评价目的。</w:t>
      </w:r>
      <w:r>
        <w:rPr>
          <w:rFonts w:hint="eastAsia" w:ascii="仿宋" w:hAnsi="仿宋" w:eastAsia="仿宋"/>
          <w:sz w:val="32"/>
          <w:szCs w:val="32"/>
        </w:rPr>
        <w:t>本次对项目投入经济性的评估是在项目预算测算的基础上，按照厉行节约的要求，结合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w:t>
      </w:r>
    </w:p>
    <w:p>
      <w:pPr>
        <w:spacing w:line="360" w:lineRule="auto"/>
        <w:ind w:firstLine="642" w:firstLineChars="200"/>
        <w:rPr>
          <w:rFonts w:ascii="仿宋" w:hAnsi="仿宋" w:eastAsia="仿宋" w:cs="仿宋_GB2312"/>
          <w:sz w:val="32"/>
          <w:szCs w:val="32"/>
        </w:rPr>
      </w:pPr>
      <w:r>
        <w:rPr>
          <w:rFonts w:hint="eastAsia" w:ascii="仿宋" w:hAnsi="仿宋" w:eastAsia="仿宋"/>
          <w:b/>
          <w:sz w:val="32"/>
          <w:szCs w:val="32"/>
          <w:lang w:val="zh-CN"/>
        </w:rPr>
        <w:t>（二）预设问题及评价重点。</w:t>
      </w:r>
      <w:r>
        <w:rPr>
          <w:rFonts w:hint="eastAsia" w:ascii="仿宋" w:hAnsi="仿宋" w:eastAsia="仿宋" w:cs="仿宋_GB2312"/>
          <w:bCs/>
          <w:sz w:val="32"/>
          <w:szCs w:val="32"/>
          <w:lang w:val="zh-CN"/>
        </w:rPr>
        <w:t>对如何</w:t>
      </w:r>
      <w:r>
        <w:rPr>
          <w:rFonts w:hint="eastAsia" w:ascii="仿宋" w:hAnsi="仿宋" w:eastAsia="仿宋" w:cs="仿宋_GB2312"/>
          <w:bCs/>
          <w:sz w:val="32"/>
          <w:szCs w:val="32"/>
        </w:rPr>
        <w:t>提</w:t>
      </w:r>
      <w:r>
        <w:rPr>
          <w:rFonts w:hint="eastAsia" w:ascii="仿宋" w:hAnsi="仿宋" w:eastAsia="仿宋" w:cs="仿宋_GB2312"/>
          <w:sz w:val="32"/>
          <w:szCs w:val="32"/>
        </w:rPr>
        <w:t>高预算编制科学性、合理性，优化财政支出结构入手，从源头上防控财政资源配置的低效无效，提高财政资源配置效率和财政资金使用效益。</w:t>
      </w:r>
    </w:p>
    <w:p>
      <w:pPr>
        <w:adjustRightInd w:val="0"/>
        <w:snapToGrid w:val="0"/>
        <w:spacing w:line="578" w:lineRule="exact"/>
        <w:ind w:firstLine="642" w:firstLineChars="200"/>
        <w:rPr>
          <w:rFonts w:ascii="仿宋" w:hAnsi="仿宋" w:eastAsia="仿宋"/>
          <w:sz w:val="32"/>
          <w:szCs w:val="32"/>
          <w:lang w:val="zh-CN"/>
        </w:rPr>
      </w:pPr>
      <w:r>
        <w:rPr>
          <w:rFonts w:hint="eastAsia" w:ascii="仿宋" w:hAnsi="仿宋" w:eastAsia="仿宋"/>
          <w:b/>
          <w:sz w:val="32"/>
          <w:szCs w:val="32"/>
          <w:lang w:val="zh-CN"/>
        </w:rPr>
        <w:t>（三）评价选点。</w:t>
      </w:r>
      <w:r>
        <w:rPr>
          <w:rFonts w:hint="eastAsia" w:ascii="仿宋" w:hAnsi="仿宋" w:eastAsia="仿宋" w:cs="仿宋_GB2312"/>
          <w:sz w:val="32"/>
          <w:szCs w:val="32"/>
        </w:rPr>
        <w:t>按照有关规定和工作安排，我单位开展自行评估，收集被评估项目相关基础资料，并查阅资料、收集数据信息等，</w:t>
      </w:r>
      <w:r>
        <w:rPr>
          <w:rFonts w:hint="eastAsia" w:ascii="仿宋" w:hAnsi="仿宋" w:eastAsia="仿宋" w:cs="仿宋_GB2312"/>
          <w:sz w:val="32"/>
          <w:szCs w:val="32"/>
          <w:lang w:val="zh-CN"/>
        </w:rPr>
        <w:t>查看档案数字化</w:t>
      </w:r>
      <w:r>
        <w:rPr>
          <w:rFonts w:hint="eastAsia" w:ascii="仿宋" w:hAnsi="仿宋" w:eastAsia="仿宋" w:cs="仿宋_GB2312"/>
          <w:sz w:val="32"/>
          <w:szCs w:val="32"/>
        </w:rPr>
        <w:t>工作完成情况、完成时效、完成质量等。</w:t>
      </w:r>
    </w:p>
    <w:p>
      <w:pPr>
        <w:spacing w:line="578" w:lineRule="exact"/>
        <w:ind w:firstLine="640"/>
        <w:rPr>
          <w:rFonts w:ascii="仿宋" w:hAnsi="仿宋" w:eastAsia="仿宋" w:cs="仿宋_GB2312"/>
          <w:bCs/>
          <w:sz w:val="32"/>
          <w:szCs w:val="32"/>
          <w:lang w:val="zh-CN"/>
        </w:rPr>
      </w:pPr>
      <w:r>
        <w:rPr>
          <w:rFonts w:hint="eastAsia" w:ascii="仿宋" w:hAnsi="仿宋" w:eastAsia="仿宋"/>
          <w:b/>
          <w:sz w:val="32"/>
          <w:szCs w:val="32"/>
          <w:lang w:val="zh-CN"/>
        </w:rPr>
        <w:t>（四）评价方法。</w:t>
      </w:r>
      <w:r>
        <w:rPr>
          <w:rFonts w:hint="eastAsia" w:ascii="仿宋" w:hAnsi="仿宋" w:eastAsia="仿宋" w:cs="仿宋_GB2312"/>
          <w:bCs/>
          <w:sz w:val="32"/>
          <w:szCs w:val="32"/>
          <w:lang w:val="zh-CN"/>
        </w:rPr>
        <w:t>根据项目情况和评价重点，主要采用单位自评法，结合评价内容，做到有计划、有安排。按照上级下达的项目支出绩效评价指标体系，针对建设内容、实施情况、资金兑现、财务管理、社会效益等做出自评。</w:t>
      </w:r>
    </w:p>
    <w:p>
      <w:pPr>
        <w:adjustRightInd w:val="0"/>
        <w:snapToGrid w:val="0"/>
        <w:spacing w:line="578" w:lineRule="exact"/>
        <w:ind w:firstLine="642" w:firstLineChars="200"/>
        <w:rPr>
          <w:rFonts w:ascii="仿宋" w:hAnsi="仿宋" w:eastAsia="仿宋" w:cs="仿宋_GB2312"/>
          <w:bCs/>
          <w:sz w:val="32"/>
          <w:szCs w:val="32"/>
          <w:lang w:val="zh-CN"/>
        </w:rPr>
      </w:pPr>
      <w:r>
        <w:rPr>
          <w:rFonts w:hint="eastAsia" w:ascii="仿宋" w:hAnsi="仿宋" w:eastAsia="仿宋"/>
          <w:b/>
          <w:sz w:val="32"/>
          <w:szCs w:val="32"/>
          <w:lang w:val="zh-CN"/>
        </w:rPr>
        <w:t>（五）评价组织。</w:t>
      </w:r>
      <w:r>
        <w:rPr>
          <w:rFonts w:hint="eastAsia" w:ascii="仿宋" w:hAnsi="仿宋" w:eastAsia="仿宋" w:cs="仿宋_GB2312"/>
          <w:bCs/>
          <w:sz w:val="32"/>
          <w:szCs w:val="32"/>
          <w:lang w:val="zh-CN"/>
        </w:rPr>
        <w:t>评价组人员由单位负责人、分管领导及业务股室负责人组成；单位负责人牵头负责，分管领导组织业务股室自行评价。</w:t>
      </w:r>
    </w:p>
    <w:p>
      <w:pPr>
        <w:adjustRightInd w:val="0"/>
        <w:snapToGrid w:val="0"/>
        <w:spacing w:line="578" w:lineRule="exact"/>
        <w:ind w:firstLine="640" w:firstLineChars="200"/>
        <w:rPr>
          <w:rFonts w:ascii="仿宋" w:hAnsi="仿宋" w:eastAsia="仿宋"/>
          <w:sz w:val="32"/>
          <w:szCs w:val="32"/>
          <w:lang w:val="zh-CN"/>
        </w:rPr>
      </w:pPr>
      <w:r>
        <w:rPr>
          <w:rFonts w:hint="eastAsia" w:ascii="仿宋" w:hAnsi="仿宋" w:eastAsia="仿宋"/>
          <w:sz w:val="32"/>
          <w:szCs w:val="32"/>
        </w:rPr>
        <w:t>三、绩效分析</w:t>
      </w:r>
      <w:r>
        <w:rPr>
          <w:rFonts w:hint="eastAsia" w:ascii="仿宋" w:hAnsi="仿宋" w:eastAsia="仿宋"/>
          <w:sz w:val="32"/>
          <w:szCs w:val="32"/>
          <w:lang w:val="zh-CN"/>
        </w:rPr>
        <w:tab/>
      </w:r>
    </w:p>
    <w:p>
      <w:pPr>
        <w:spacing w:line="578" w:lineRule="exact"/>
        <w:ind w:firstLine="640"/>
        <w:rPr>
          <w:rFonts w:ascii="仿宋" w:hAnsi="仿宋" w:eastAsia="仿宋" w:cs="仿宋_GB2312"/>
          <w:sz w:val="32"/>
          <w:szCs w:val="32"/>
        </w:rPr>
      </w:pPr>
      <w:r>
        <w:rPr>
          <w:rFonts w:hint="eastAsia" w:ascii="仿宋" w:hAnsi="仿宋" w:eastAsia="仿宋" w:cs="仿宋_GB2312"/>
          <w:sz w:val="32"/>
          <w:szCs w:val="32"/>
          <w:lang w:val="zh-CN"/>
        </w:rPr>
        <w:t>根据项目预算绩效评价指标体系“通用指标”“专用指标”“个性指标”涉及二、三级指标进行逐项绩效分析并评分</w:t>
      </w:r>
      <w:r>
        <w:rPr>
          <w:rFonts w:hint="eastAsia" w:ascii="仿宋" w:hAnsi="仿宋" w:eastAsia="仿宋" w:cs="仿宋_GB2312"/>
          <w:sz w:val="32"/>
          <w:szCs w:val="32"/>
        </w:rPr>
        <w:t>。</w:t>
      </w:r>
    </w:p>
    <w:p>
      <w:pPr>
        <w:spacing w:line="578" w:lineRule="exact"/>
        <w:ind w:firstLine="640"/>
        <w:rPr>
          <w:rFonts w:ascii="仿宋" w:hAnsi="仿宋" w:eastAsia="仿宋"/>
          <w:b/>
          <w:sz w:val="32"/>
          <w:szCs w:val="32"/>
        </w:rPr>
      </w:pPr>
      <w:r>
        <w:rPr>
          <w:rFonts w:hint="eastAsia" w:ascii="仿宋" w:hAnsi="仿宋" w:eastAsia="仿宋"/>
          <w:b/>
          <w:sz w:val="32"/>
          <w:szCs w:val="32"/>
          <w:lang w:val="zh-CN"/>
        </w:rPr>
        <w:t>（一）</w:t>
      </w:r>
      <w:r>
        <w:rPr>
          <w:rFonts w:hint="eastAsia" w:ascii="仿宋" w:hAnsi="仿宋" w:eastAsia="仿宋"/>
          <w:b/>
          <w:sz w:val="32"/>
          <w:szCs w:val="32"/>
        </w:rPr>
        <w:t>通用指标</w:t>
      </w:r>
      <w:r>
        <w:rPr>
          <w:rFonts w:ascii="仿宋" w:hAnsi="仿宋" w:eastAsia="仿宋"/>
          <w:b/>
          <w:bCs/>
          <w:color w:val="000000"/>
          <w:kern w:val="0"/>
          <w:sz w:val="32"/>
          <w:szCs w:val="32"/>
          <w:shd w:val="clear" w:color="auto" w:fill="FFFFFF"/>
          <w:lang w:val="zh-CN"/>
        </w:rPr>
        <w:t>绩效分析。</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r>
        <w:rPr>
          <w:rFonts w:hint="eastAsia" w:ascii="仿宋" w:hAnsi="仿宋" w:eastAsia="仿宋" w:cs="仿宋_GB2312"/>
          <w:sz w:val="32"/>
          <w:szCs w:val="32"/>
          <w:lang w:val="zh-CN"/>
        </w:rPr>
        <w:t>按照省、州档案馆要求，实施项目申报、组织评审、提出方案、审批备案等程序确定。制定项目验收实施细则，组织开展验收工作，专项资金按照“谁使用、谁负责”的原则。</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2.项目管理。该项目已制定实施方案，组织机构健全，职责分工明确，有明确的工作程序，基础设施条件能够有效保障，资金能足额保证，具有相应的质量检查、验收等必要的控制措施或手段。</w:t>
      </w:r>
    </w:p>
    <w:p>
      <w:pPr>
        <w:ind w:firstLine="640" w:firstLineChars="200"/>
        <w:rPr>
          <w:rFonts w:ascii="仿宋" w:hAnsi="仿宋" w:eastAsia="仿宋"/>
          <w:sz w:val="32"/>
          <w:szCs w:val="32"/>
        </w:rPr>
      </w:pPr>
      <w:r>
        <w:rPr>
          <w:rFonts w:hint="eastAsia" w:ascii="仿宋" w:hAnsi="仿宋" w:eastAsia="仿宋" w:cs="楷体_GB2312"/>
          <w:sz w:val="32"/>
          <w:szCs w:val="32"/>
        </w:rPr>
        <w:t>3.项目实施。</w:t>
      </w:r>
      <w:r>
        <w:rPr>
          <w:rFonts w:hint="eastAsia" w:ascii="仿宋" w:hAnsi="仿宋" w:eastAsia="仿宋"/>
          <w:sz w:val="32"/>
          <w:szCs w:val="32"/>
        </w:rPr>
        <w:t>（1）根据省州档案馆要求进行询价中标。（2）根据茂县档案馆档案信息采集项目合同内容组织实施。（3）组织现场验收。（4）拨付资金。（5）绩效评估，共计执行预算拨付资金4.28万元，占预算支出的100%。</w:t>
      </w:r>
    </w:p>
    <w:p>
      <w:pPr>
        <w:ind w:firstLine="640" w:firstLineChars="200"/>
        <w:rPr>
          <w:rFonts w:ascii="仿宋" w:hAnsi="仿宋" w:eastAsia="仿宋" w:cs="仿宋_GB2312"/>
          <w:sz w:val="32"/>
          <w:szCs w:val="32"/>
        </w:rPr>
      </w:pPr>
      <w:r>
        <w:rPr>
          <w:rFonts w:hint="eastAsia" w:ascii="仿宋" w:hAnsi="仿宋" w:eastAsia="仿宋" w:cs="楷体_GB2312"/>
          <w:sz w:val="32"/>
          <w:szCs w:val="32"/>
        </w:rPr>
        <w:t>4.项目结果。</w:t>
      </w:r>
      <w:r>
        <w:rPr>
          <w:rFonts w:hint="eastAsia" w:ascii="仿宋" w:hAnsi="仿宋" w:eastAsia="仿宋" w:cs="仿宋_GB2312"/>
          <w:bCs/>
          <w:color w:val="000000"/>
          <w:kern w:val="0"/>
          <w:sz w:val="32"/>
          <w:szCs w:val="32"/>
        </w:rPr>
        <w:t>保证了部门的正常运行和业务工作的正常开展，项目支出保障了重点工作的开展，绩效目标得到较好实现，绩效管理水平不断提高，绩效指标体系逐渐丰富和完善。</w:t>
      </w:r>
    </w:p>
    <w:p>
      <w:pPr>
        <w:spacing w:line="578" w:lineRule="exact"/>
        <w:ind w:firstLine="642" w:firstLineChars="200"/>
        <w:rPr>
          <w:rFonts w:ascii="仿宋" w:hAnsi="仿宋" w:eastAsia="仿宋" w:cs="楷体_GB2312"/>
          <w:sz w:val="32"/>
          <w:szCs w:val="32"/>
          <w:lang w:val="zh-CN"/>
        </w:rPr>
      </w:pPr>
      <w:r>
        <w:rPr>
          <w:rFonts w:hint="eastAsia" w:ascii="仿宋" w:hAnsi="仿宋" w:eastAsia="仿宋"/>
          <w:b/>
          <w:sz w:val="32"/>
          <w:szCs w:val="32"/>
          <w:lang w:val="zh-CN"/>
        </w:rPr>
        <w:t>（二）</w:t>
      </w:r>
      <w:r>
        <w:rPr>
          <w:rFonts w:hint="eastAsia" w:ascii="仿宋" w:hAnsi="仿宋" w:eastAsia="仿宋"/>
          <w:b/>
          <w:sz w:val="32"/>
          <w:szCs w:val="32"/>
        </w:rPr>
        <w:t>专用指标</w:t>
      </w:r>
      <w:r>
        <w:rPr>
          <w:rFonts w:ascii="仿宋" w:hAnsi="仿宋" w:eastAsia="仿宋"/>
          <w:b/>
          <w:bCs/>
          <w:color w:val="000000"/>
          <w:kern w:val="0"/>
          <w:sz w:val="32"/>
          <w:szCs w:val="32"/>
          <w:shd w:val="clear" w:color="auto" w:fill="FFFFFF"/>
          <w:lang w:val="zh-CN"/>
        </w:rPr>
        <w:t>绩效分析。</w:t>
      </w:r>
      <w:r>
        <w:rPr>
          <w:rFonts w:hint="eastAsia" w:ascii="仿宋" w:hAnsi="仿宋" w:eastAsia="仿宋"/>
          <w:sz w:val="32"/>
          <w:szCs w:val="32"/>
          <w:lang w:val="zh-CN"/>
        </w:rPr>
        <w:t>根据</w:t>
      </w:r>
      <w:r>
        <w:rPr>
          <w:rFonts w:hint="eastAsia" w:ascii="仿宋" w:hAnsi="仿宋" w:eastAsia="仿宋"/>
          <w:sz w:val="32"/>
          <w:szCs w:val="32"/>
        </w:rPr>
        <w:t>专项预算项目资金支持对象选择所属指标进行绩效分析。支持对象</w:t>
      </w:r>
      <w:r>
        <w:rPr>
          <w:rFonts w:hint="eastAsia" w:ascii="仿宋" w:hAnsi="仿宋" w:eastAsia="仿宋"/>
          <w:sz w:val="32"/>
          <w:szCs w:val="32"/>
          <w:lang w:val="zh-CN"/>
        </w:rPr>
        <w:t>包括产业发展、民生保障、基础设施、行政运转等方面。</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1.产业发展。无</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2.民生保障。档案数字化建设，使档案查阅利用方便、快捷，让查阅利用档案人员满意。</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3.基础设施。无</w:t>
      </w:r>
    </w:p>
    <w:p>
      <w:pPr>
        <w:spacing w:line="578" w:lineRule="exact"/>
        <w:ind w:firstLine="640"/>
        <w:rPr>
          <w:rFonts w:ascii="仿宋" w:hAnsi="仿宋" w:eastAsia="仿宋" w:cs="仿宋_GB2312"/>
          <w:bCs/>
          <w:sz w:val="32"/>
          <w:szCs w:val="32"/>
          <w:lang w:val="zh-CN"/>
        </w:rPr>
      </w:pPr>
      <w:r>
        <w:rPr>
          <w:rFonts w:hint="eastAsia" w:ascii="仿宋" w:hAnsi="仿宋" w:eastAsia="仿宋" w:cs="仿宋_GB2312"/>
          <w:bCs/>
          <w:sz w:val="32"/>
          <w:szCs w:val="32"/>
          <w:lang w:val="zh-CN"/>
        </w:rPr>
        <w:t>4.行政运转。无</w:t>
      </w:r>
    </w:p>
    <w:p>
      <w:pPr>
        <w:spacing w:line="578" w:lineRule="exact"/>
        <w:ind w:firstLine="640"/>
        <w:rPr>
          <w:rFonts w:ascii="仿宋" w:hAnsi="仿宋" w:eastAsia="仿宋"/>
          <w:sz w:val="32"/>
          <w:szCs w:val="32"/>
        </w:rPr>
      </w:pPr>
      <w:r>
        <w:rPr>
          <w:rFonts w:hint="eastAsia" w:ascii="仿宋" w:hAnsi="仿宋" w:eastAsia="仿宋"/>
          <w:b/>
          <w:sz w:val="32"/>
          <w:szCs w:val="32"/>
          <w:lang w:val="zh-CN"/>
        </w:rPr>
        <w:t>（三）</w:t>
      </w:r>
      <w:r>
        <w:rPr>
          <w:rFonts w:hint="eastAsia" w:ascii="仿宋" w:hAnsi="仿宋" w:eastAsia="仿宋"/>
          <w:b/>
          <w:sz w:val="32"/>
          <w:szCs w:val="32"/>
        </w:rPr>
        <w:t>个性指标</w:t>
      </w:r>
      <w:r>
        <w:rPr>
          <w:rFonts w:ascii="仿宋" w:hAnsi="仿宋" w:eastAsia="仿宋"/>
          <w:b/>
          <w:bCs/>
          <w:color w:val="000000"/>
          <w:kern w:val="0"/>
          <w:sz w:val="32"/>
          <w:szCs w:val="32"/>
          <w:shd w:val="clear" w:color="auto" w:fill="FFFFFF"/>
          <w:lang w:val="zh-CN"/>
        </w:rPr>
        <w:t>绩效分析。</w:t>
      </w:r>
      <w:r>
        <w:rPr>
          <w:rFonts w:hint="eastAsia" w:ascii="仿宋" w:hAnsi="仿宋" w:eastAsia="仿宋"/>
          <w:sz w:val="32"/>
          <w:szCs w:val="32"/>
          <w:lang w:val="zh-CN"/>
        </w:rPr>
        <w:t>档案数字化建设达到档案查阅利用方便、快捷，查阅利用档案人员满意度高的原则。</w:t>
      </w:r>
    </w:p>
    <w:p>
      <w:pPr>
        <w:pStyle w:val="6"/>
        <w:spacing w:before="93" w:line="600" w:lineRule="exact"/>
        <w:ind w:firstLine="640" w:firstLineChars="200"/>
        <w:rPr>
          <w:rFonts w:ascii="仿宋" w:hAnsi="仿宋" w:eastAsia="仿宋"/>
          <w:sz w:val="32"/>
          <w:szCs w:val="32"/>
        </w:rPr>
      </w:pPr>
      <w:r>
        <w:rPr>
          <w:rFonts w:hint="eastAsia" w:ascii="仿宋" w:hAnsi="仿宋" w:eastAsia="仿宋"/>
          <w:sz w:val="32"/>
          <w:szCs w:val="32"/>
        </w:rPr>
        <w:t>四、评价结论</w:t>
      </w:r>
    </w:p>
    <w:p>
      <w:pPr>
        <w:pStyle w:val="6"/>
        <w:spacing w:before="93" w:line="600" w:lineRule="exact"/>
        <w:ind w:firstLine="640" w:firstLineChars="200"/>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档案数字化建设及档案馆机房维护</w:t>
      </w:r>
      <w:r>
        <w:rPr>
          <w:rFonts w:ascii="仿宋" w:hAnsi="仿宋" w:eastAsia="仿宋" w:cs="仿宋_GB2312"/>
          <w:color w:val="000000"/>
          <w:sz w:val="32"/>
          <w:szCs w:val="32"/>
          <w:shd w:val="clear" w:color="auto" w:fill="FFFFFF"/>
        </w:rPr>
        <w:t>，预算执行率达到100%，全面完成年度绩效总体目标和各项绩效指标，有效发挥了财政资金的使用效率。</w:t>
      </w:r>
    </w:p>
    <w:p>
      <w:pPr>
        <w:pStyle w:val="6"/>
        <w:spacing w:before="93" w:line="600" w:lineRule="exact"/>
        <w:ind w:firstLine="640" w:firstLineChars="200"/>
        <w:rPr>
          <w:rFonts w:ascii="仿宋" w:hAnsi="仿宋" w:eastAsia="仿宋"/>
          <w:sz w:val="32"/>
          <w:szCs w:val="32"/>
        </w:rPr>
      </w:pPr>
      <w:r>
        <w:rPr>
          <w:rFonts w:hint="eastAsia" w:ascii="仿宋" w:hAnsi="仿宋" w:eastAsia="仿宋"/>
          <w:sz w:val="32"/>
          <w:szCs w:val="32"/>
        </w:rPr>
        <w:t>五、存在主要问题</w:t>
      </w:r>
    </w:p>
    <w:p>
      <w:pPr>
        <w:pStyle w:val="6"/>
        <w:spacing w:before="93" w:line="600" w:lineRule="exact"/>
        <w:ind w:firstLine="640" w:firstLineChars="200"/>
        <w:rPr>
          <w:rFonts w:ascii="仿宋" w:hAnsi="仿宋" w:eastAsia="仿宋" w:cs="黑体"/>
          <w:kern w:val="2"/>
          <w:sz w:val="32"/>
          <w:szCs w:val="32"/>
        </w:rPr>
      </w:pPr>
      <w:r>
        <w:rPr>
          <w:rFonts w:hint="eastAsia" w:ascii="仿宋" w:hAnsi="仿宋" w:eastAsia="仿宋" w:cs="仿宋_GB2312"/>
          <w:sz w:val="32"/>
          <w:szCs w:val="32"/>
        </w:rPr>
        <w:t>无。</w:t>
      </w:r>
    </w:p>
    <w:p>
      <w:pPr>
        <w:pStyle w:val="6"/>
        <w:spacing w:before="93"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六、改进建议</w:t>
      </w:r>
    </w:p>
    <w:p>
      <w:pPr>
        <w:tabs>
          <w:tab w:val="left" w:pos="1911"/>
        </w:tabs>
        <w:jc w:val="left"/>
        <w:rPr>
          <w:rFonts w:ascii="仿宋" w:hAnsi="仿宋" w:eastAsia="仿宋" w:cs="仿宋_GB2312"/>
          <w:kern w:val="0"/>
          <w:sz w:val="32"/>
          <w:szCs w:val="32"/>
        </w:rPr>
      </w:pPr>
      <w:r>
        <w:rPr>
          <w:rFonts w:hint="eastAsia" w:ascii="仿宋" w:hAnsi="仿宋" w:eastAsia="仿宋" w:cs="仿宋_GB2312"/>
          <w:kern w:val="0"/>
          <w:sz w:val="32"/>
          <w:szCs w:val="32"/>
          <w:shd w:val="clear" w:color="auto" w:fill="FFFFFF"/>
          <w:lang w:val="zh-CN"/>
        </w:rPr>
        <w:t xml:space="preserve"> </w:t>
      </w:r>
      <w:r>
        <w:rPr>
          <w:rFonts w:hint="eastAsia" w:ascii="仿宋" w:hAnsi="仿宋" w:eastAsia="仿宋" w:cs="仿宋_GB2312"/>
          <w:kern w:val="0"/>
          <w:sz w:val="32"/>
          <w:szCs w:val="32"/>
        </w:rPr>
        <w:t xml:space="preserve">   无。</w:t>
      </w: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spacing w:line="600" w:lineRule="exact"/>
        <w:jc w:val="center"/>
        <w:outlineLvl w:val="0"/>
        <w:rPr>
          <w:rFonts w:ascii="黑体" w:eastAsia="黑体"/>
          <w:color w:val="000000"/>
          <w:sz w:val="44"/>
          <w:szCs w:val="44"/>
        </w:rPr>
      </w:pPr>
    </w:p>
    <w:bookmarkEnd w:id="99"/>
    <w:bookmarkEnd w:id="106"/>
    <w:bookmarkEnd w:id="107"/>
    <w:bookmarkEnd w:id="108"/>
    <w:p/>
    <w:p>
      <w:pPr>
        <w:widowControl/>
        <w:jc w:val="center"/>
        <w:rPr>
          <w:rFonts w:ascii="仿宋" w:hAnsi="仿宋" w:eastAsia="仿宋"/>
        </w:rPr>
      </w:pPr>
      <w:r>
        <w:rPr>
          <w:rFonts w:hint="eastAsia" w:ascii="黑体" w:hAnsi="黑体" w:eastAsia="黑体"/>
          <w:sz w:val="44"/>
          <w:szCs w:val="44"/>
        </w:rPr>
        <w:t>第</w:t>
      </w:r>
      <w:r>
        <w:rPr>
          <w:rStyle w:val="25"/>
          <w:rFonts w:hint="eastAsia" w:ascii="黑体" w:hAnsi="黑体" w:eastAsia="黑体"/>
        </w:rPr>
        <w:t>五部分 附表</w:t>
      </w:r>
    </w:p>
    <w:p>
      <w:pPr>
        <w:pStyle w:val="3"/>
        <w:rPr>
          <w:rFonts w:ascii="仿宋" w:hAnsi="仿宋" w:eastAsia="仿宋"/>
        </w:rPr>
      </w:pPr>
      <w:bookmarkStart w:id="110" w:name="_Toc178176246"/>
      <w:r>
        <w:rPr>
          <w:rFonts w:hint="eastAsia" w:ascii="仿宋" w:hAnsi="仿宋" w:eastAsia="仿宋"/>
          <w:b w:val="0"/>
        </w:rPr>
        <w:t>一、收</w:t>
      </w:r>
      <w:r>
        <w:rPr>
          <w:rStyle w:val="26"/>
          <w:rFonts w:hint="eastAsia" w:ascii="仿宋" w:hAnsi="仿宋" w:eastAsia="仿宋"/>
          <w:b/>
          <w:bCs/>
        </w:rPr>
        <w:t>入支出决算总表</w:t>
      </w:r>
      <w:bookmarkEnd w:id="110"/>
    </w:p>
    <w:p>
      <w:pPr>
        <w:pStyle w:val="3"/>
        <w:rPr>
          <w:rFonts w:ascii="仿宋" w:hAnsi="仿宋" w:eastAsia="仿宋"/>
        </w:rPr>
      </w:pPr>
      <w:bookmarkStart w:id="111" w:name="_Toc178176247"/>
      <w:r>
        <w:rPr>
          <w:rFonts w:hint="eastAsia" w:ascii="仿宋" w:hAnsi="仿宋" w:eastAsia="仿宋"/>
          <w:b w:val="0"/>
        </w:rPr>
        <w:t>二、收</w:t>
      </w:r>
      <w:r>
        <w:rPr>
          <w:rStyle w:val="26"/>
          <w:rFonts w:hint="eastAsia" w:ascii="仿宋" w:hAnsi="仿宋" w:eastAsia="仿宋"/>
          <w:b/>
          <w:bCs/>
        </w:rPr>
        <w:t>入决算表</w:t>
      </w:r>
      <w:bookmarkEnd w:id="111"/>
    </w:p>
    <w:p>
      <w:pPr>
        <w:pStyle w:val="3"/>
        <w:rPr>
          <w:rFonts w:ascii="仿宋" w:hAnsi="仿宋" w:eastAsia="仿宋"/>
        </w:rPr>
      </w:pPr>
      <w:bookmarkStart w:id="112" w:name="_Toc178176248"/>
      <w:r>
        <w:rPr>
          <w:rStyle w:val="26"/>
          <w:rFonts w:hint="eastAsia" w:ascii="仿宋" w:hAnsi="仿宋" w:eastAsia="仿宋"/>
          <w:b/>
          <w:bCs/>
        </w:rPr>
        <w:t>三、</w:t>
      </w:r>
      <w:r>
        <w:rPr>
          <w:rFonts w:hint="eastAsia" w:ascii="仿宋" w:hAnsi="仿宋" w:eastAsia="仿宋"/>
          <w:b w:val="0"/>
        </w:rPr>
        <w:t>支</w:t>
      </w:r>
      <w:r>
        <w:rPr>
          <w:rStyle w:val="26"/>
          <w:rFonts w:hint="eastAsia" w:ascii="仿宋" w:hAnsi="仿宋" w:eastAsia="仿宋"/>
          <w:b/>
          <w:bCs/>
        </w:rPr>
        <w:t>出决算表</w:t>
      </w:r>
      <w:bookmarkEnd w:id="112"/>
    </w:p>
    <w:p>
      <w:pPr>
        <w:pStyle w:val="3"/>
        <w:rPr>
          <w:rFonts w:ascii="仿宋" w:hAnsi="仿宋" w:eastAsia="仿宋"/>
          <w:b w:val="0"/>
        </w:rPr>
      </w:pPr>
      <w:bookmarkStart w:id="113" w:name="_Toc178176249"/>
      <w:r>
        <w:rPr>
          <w:rStyle w:val="26"/>
          <w:rFonts w:hint="eastAsia" w:ascii="仿宋" w:hAnsi="仿宋" w:eastAsia="仿宋"/>
          <w:b/>
          <w:bCs/>
        </w:rPr>
        <w:t>四、</w:t>
      </w:r>
      <w:r>
        <w:rPr>
          <w:rFonts w:hint="eastAsia" w:ascii="仿宋" w:hAnsi="仿宋" w:eastAsia="仿宋"/>
          <w:b w:val="0"/>
        </w:rPr>
        <w:t>财</w:t>
      </w:r>
      <w:r>
        <w:rPr>
          <w:rStyle w:val="26"/>
          <w:rFonts w:hint="eastAsia" w:ascii="仿宋" w:hAnsi="仿宋" w:eastAsia="仿宋"/>
          <w:b/>
          <w:bCs/>
        </w:rPr>
        <w:t>政拨款收入支出决算总表</w:t>
      </w:r>
      <w:bookmarkEnd w:id="113"/>
    </w:p>
    <w:p>
      <w:pPr>
        <w:pStyle w:val="3"/>
        <w:rPr>
          <w:rStyle w:val="26"/>
          <w:rFonts w:ascii="仿宋" w:hAnsi="仿宋" w:eastAsia="仿宋"/>
          <w:b/>
          <w:bCs/>
        </w:rPr>
      </w:pPr>
      <w:bookmarkStart w:id="114" w:name="_Toc178176250"/>
      <w:r>
        <w:rPr>
          <w:rStyle w:val="26"/>
          <w:rFonts w:hint="eastAsia" w:ascii="仿宋" w:hAnsi="仿宋" w:eastAsia="仿宋"/>
          <w:b/>
          <w:bCs/>
        </w:rPr>
        <w:t>五、</w:t>
      </w:r>
      <w:r>
        <w:rPr>
          <w:rFonts w:hint="eastAsia" w:ascii="仿宋" w:hAnsi="仿宋" w:eastAsia="仿宋"/>
          <w:b w:val="0"/>
        </w:rPr>
        <w:t>财</w:t>
      </w:r>
      <w:r>
        <w:rPr>
          <w:rStyle w:val="26"/>
          <w:rFonts w:hint="eastAsia" w:ascii="仿宋" w:hAnsi="仿宋" w:eastAsia="仿宋"/>
          <w:b/>
          <w:bCs/>
        </w:rPr>
        <w:t>政拨款支出决算明细表</w:t>
      </w:r>
      <w:bookmarkEnd w:id="114"/>
    </w:p>
    <w:p>
      <w:pPr>
        <w:pStyle w:val="3"/>
        <w:rPr>
          <w:rFonts w:ascii="仿宋" w:hAnsi="仿宋" w:eastAsia="仿宋"/>
        </w:rPr>
      </w:pPr>
      <w:bookmarkStart w:id="115" w:name="_Toc178176251"/>
      <w:r>
        <w:rPr>
          <w:rStyle w:val="26"/>
          <w:rFonts w:hint="eastAsia" w:ascii="仿宋" w:hAnsi="仿宋" w:eastAsia="仿宋"/>
          <w:b/>
          <w:bCs/>
        </w:rPr>
        <w:t>六、</w:t>
      </w:r>
      <w:r>
        <w:rPr>
          <w:rFonts w:hint="eastAsia" w:ascii="仿宋" w:hAnsi="仿宋" w:eastAsia="仿宋"/>
          <w:b w:val="0"/>
        </w:rPr>
        <w:t>一</w:t>
      </w:r>
      <w:r>
        <w:rPr>
          <w:rStyle w:val="26"/>
          <w:rFonts w:hint="eastAsia" w:ascii="仿宋" w:hAnsi="仿宋" w:eastAsia="仿宋"/>
          <w:b/>
          <w:bCs/>
        </w:rPr>
        <w:t>般公共预算财政拨款支出决算表</w:t>
      </w:r>
      <w:bookmarkEnd w:id="115"/>
    </w:p>
    <w:p>
      <w:pPr>
        <w:pStyle w:val="3"/>
        <w:rPr>
          <w:rFonts w:ascii="仿宋" w:hAnsi="仿宋" w:eastAsia="仿宋"/>
        </w:rPr>
      </w:pPr>
      <w:bookmarkStart w:id="116" w:name="_Toc178176252"/>
      <w:r>
        <w:rPr>
          <w:rStyle w:val="26"/>
          <w:rFonts w:hint="eastAsia" w:ascii="仿宋" w:hAnsi="仿宋" w:eastAsia="仿宋"/>
          <w:b/>
          <w:bCs/>
        </w:rPr>
        <w:t>七、</w:t>
      </w:r>
      <w:r>
        <w:rPr>
          <w:rFonts w:hint="eastAsia" w:ascii="仿宋" w:hAnsi="仿宋" w:eastAsia="仿宋"/>
          <w:b w:val="0"/>
        </w:rPr>
        <w:t>一</w:t>
      </w:r>
      <w:r>
        <w:rPr>
          <w:rStyle w:val="26"/>
          <w:rFonts w:hint="eastAsia" w:ascii="仿宋" w:hAnsi="仿宋" w:eastAsia="仿宋"/>
          <w:b/>
          <w:bCs/>
        </w:rPr>
        <w:t>般公共预算财政拨款支出决算明细表</w:t>
      </w:r>
      <w:bookmarkEnd w:id="116"/>
    </w:p>
    <w:p>
      <w:pPr>
        <w:pStyle w:val="3"/>
        <w:rPr>
          <w:rFonts w:ascii="仿宋" w:hAnsi="仿宋" w:eastAsia="仿宋"/>
        </w:rPr>
      </w:pPr>
      <w:bookmarkStart w:id="117" w:name="_Toc178176253"/>
      <w:r>
        <w:rPr>
          <w:rStyle w:val="26"/>
          <w:rFonts w:hint="eastAsia" w:ascii="仿宋" w:hAnsi="仿宋" w:eastAsia="仿宋"/>
          <w:b/>
          <w:bCs/>
        </w:rPr>
        <w:t>八、</w:t>
      </w:r>
      <w:r>
        <w:rPr>
          <w:rFonts w:hint="eastAsia" w:ascii="仿宋" w:hAnsi="仿宋" w:eastAsia="仿宋"/>
          <w:b w:val="0"/>
        </w:rPr>
        <w:t>一</w:t>
      </w:r>
      <w:r>
        <w:rPr>
          <w:rStyle w:val="26"/>
          <w:rFonts w:hint="eastAsia" w:ascii="仿宋" w:hAnsi="仿宋" w:eastAsia="仿宋"/>
          <w:b/>
          <w:bCs/>
        </w:rPr>
        <w:t>般公共预算财政拨款基本支出决算表</w:t>
      </w:r>
      <w:bookmarkEnd w:id="117"/>
    </w:p>
    <w:p>
      <w:pPr>
        <w:pStyle w:val="3"/>
        <w:rPr>
          <w:rFonts w:ascii="仿宋" w:hAnsi="仿宋" w:eastAsia="仿宋"/>
        </w:rPr>
      </w:pPr>
      <w:bookmarkStart w:id="118" w:name="_Toc178176254"/>
      <w:r>
        <w:rPr>
          <w:rStyle w:val="26"/>
          <w:rFonts w:hint="eastAsia" w:ascii="仿宋" w:hAnsi="仿宋" w:eastAsia="仿宋"/>
          <w:b/>
          <w:bCs/>
        </w:rPr>
        <w:t>九、</w:t>
      </w:r>
      <w:r>
        <w:rPr>
          <w:rFonts w:hint="eastAsia" w:ascii="仿宋" w:hAnsi="仿宋" w:eastAsia="仿宋"/>
          <w:b w:val="0"/>
        </w:rPr>
        <w:t>一</w:t>
      </w:r>
      <w:r>
        <w:rPr>
          <w:rStyle w:val="26"/>
          <w:rFonts w:hint="eastAsia" w:ascii="仿宋" w:hAnsi="仿宋" w:eastAsia="仿宋"/>
          <w:b/>
          <w:bCs/>
        </w:rPr>
        <w:t>般公共预算财政拨款项目支出决算表</w:t>
      </w:r>
      <w:bookmarkEnd w:id="118"/>
    </w:p>
    <w:p>
      <w:pPr>
        <w:pStyle w:val="3"/>
        <w:rPr>
          <w:rFonts w:ascii="仿宋" w:hAnsi="仿宋" w:eastAsia="仿宋"/>
        </w:rPr>
      </w:pPr>
      <w:bookmarkStart w:id="119" w:name="_Toc178176255"/>
      <w:r>
        <w:rPr>
          <w:rStyle w:val="26"/>
          <w:rFonts w:hint="eastAsia" w:ascii="仿宋" w:hAnsi="仿宋" w:eastAsia="仿宋"/>
          <w:b/>
          <w:bCs/>
        </w:rPr>
        <w:t>十、</w:t>
      </w:r>
      <w:r>
        <w:rPr>
          <w:rFonts w:hint="eastAsia" w:ascii="仿宋" w:hAnsi="仿宋" w:eastAsia="仿宋"/>
          <w:b w:val="0"/>
        </w:rPr>
        <w:t>政</w:t>
      </w:r>
      <w:r>
        <w:rPr>
          <w:rStyle w:val="26"/>
          <w:rFonts w:hint="eastAsia" w:ascii="仿宋" w:hAnsi="仿宋" w:eastAsia="仿宋"/>
          <w:b/>
          <w:bCs/>
        </w:rPr>
        <w:t>府性基金预算财政拨款收入支出决算表</w:t>
      </w:r>
      <w:bookmarkEnd w:id="119"/>
    </w:p>
    <w:p>
      <w:pPr>
        <w:pStyle w:val="3"/>
        <w:rPr>
          <w:rFonts w:ascii="仿宋" w:hAnsi="仿宋" w:eastAsia="仿宋"/>
        </w:rPr>
      </w:pPr>
      <w:bookmarkStart w:id="120" w:name="_Toc178176256"/>
      <w:r>
        <w:rPr>
          <w:rStyle w:val="26"/>
          <w:rFonts w:hint="eastAsia" w:ascii="仿宋" w:hAnsi="仿宋" w:eastAsia="仿宋"/>
          <w:b/>
          <w:bCs/>
        </w:rPr>
        <w:t>十一、</w:t>
      </w:r>
      <w:r>
        <w:rPr>
          <w:rFonts w:hint="eastAsia" w:ascii="仿宋" w:hAnsi="仿宋" w:eastAsia="仿宋"/>
          <w:b w:val="0"/>
        </w:rPr>
        <w:t>国</w:t>
      </w:r>
      <w:r>
        <w:rPr>
          <w:rStyle w:val="26"/>
          <w:rFonts w:hint="eastAsia" w:ascii="仿宋" w:hAnsi="仿宋" w:eastAsia="仿宋"/>
          <w:b/>
          <w:bCs/>
        </w:rPr>
        <w:t>有资本经营预算财政拨款收入支出决算表</w:t>
      </w:r>
      <w:bookmarkEnd w:id="120"/>
    </w:p>
    <w:p>
      <w:pPr>
        <w:pStyle w:val="3"/>
        <w:rPr>
          <w:rFonts w:ascii="仿宋" w:hAnsi="仿宋" w:eastAsia="仿宋"/>
        </w:rPr>
      </w:pPr>
      <w:bookmarkStart w:id="121" w:name="_Toc178176257"/>
      <w:r>
        <w:rPr>
          <w:rStyle w:val="26"/>
          <w:rFonts w:hint="eastAsia" w:ascii="仿宋" w:hAnsi="仿宋" w:eastAsia="仿宋"/>
          <w:b/>
          <w:bCs/>
        </w:rPr>
        <w:t>十二、国有资本经营预算财政拨款支出决算表</w:t>
      </w:r>
      <w:bookmarkEnd w:id="121"/>
    </w:p>
    <w:p>
      <w:pPr>
        <w:pStyle w:val="3"/>
        <w:rPr>
          <w:rStyle w:val="26"/>
          <w:rFonts w:ascii="仿宋" w:hAnsi="仿宋" w:eastAsia="仿宋"/>
          <w:b/>
          <w:bCs/>
        </w:rPr>
      </w:pPr>
      <w:bookmarkStart w:id="122" w:name="_Toc178176258"/>
      <w:r>
        <w:rPr>
          <w:rStyle w:val="26"/>
          <w:rFonts w:hint="eastAsia" w:ascii="仿宋" w:hAnsi="仿宋" w:eastAsia="仿宋"/>
          <w:b/>
          <w:bCs/>
        </w:rPr>
        <w:t>十三、财政拨款“三公”经费支出决算表</w:t>
      </w:r>
      <w:bookmarkEnd w:id="122"/>
    </w:p>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文泉驿微米黑"/>
    <w:panose1 w:val="00000000000000000000"/>
    <w:charset w:val="00"/>
    <w:family w:val="roman"/>
    <w:pitch w:val="default"/>
    <w:sig w:usb0="00000000" w:usb1="00000000" w:usb2="00000000" w:usb3="00000000" w:csb0="00040001" w:csb1="00000000"/>
  </w:font>
  <w:font w:name="方正小标宋简体">
    <w:altName w:val="方正小标宋_GBK"/>
    <w:panose1 w:val="03000509000000000000"/>
    <w:charset w:val="86"/>
    <w:family w:val="script"/>
    <w:pitch w:val="default"/>
    <w:sig w:usb0="00000000" w:usb1="00000000" w:usb2="00000010" w:usb3="00000000" w:csb0="00040000" w:csb1="00000000"/>
  </w:font>
  <w:font w:name="Lucida Sans">
    <w:altName w:val="Noto Music"/>
    <w:panose1 w:val="020B0602030504020204"/>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1429D"/>
    <w:multiLevelType w:val="singleLevel"/>
    <w:tmpl w:val="B9A1429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FE189D6"/>
    <w:multiLevelType w:val="singleLevel"/>
    <w:tmpl w:val="3FE189D6"/>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D05B42"/>
    <w:rsid w:val="000E407A"/>
    <w:rsid w:val="001458F6"/>
    <w:rsid w:val="002B7DC0"/>
    <w:rsid w:val="00465C09"/>
    <w:rsid w:val="004769DD"/>
    <w:rsid w:val="004A5D36"/>
    <w:rsid w:val="005757A1"/>
    <w:rsid w:val="0076281D"/>
    <w:rsid w:val="00775781"/>
    <w:rsid w:val="007E3391"/>
    <w:rsid w:val="00840696"/>
    <w:rsid w:val="00B153E2"/>
    <w:rsid w:val="00B70051"/>
    <w:rsid w:val="00D05B42"/>
    <w:rsid w:val="00D1516A"/>
    <w:rsid w:val="00F33666"/>
    <w:rsid w:val="1AFE6559"/>
    <w:rsid w:val="2E7EA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Lines="30"/>
    </w:pPr>
    <w:rPr>
      <w:rFonts w:ascii="仿宋_GB2312" w:eastAsia="仿宋_GB2312"/>
      <w:kern w:val="0"/>
      <w:sz w:val="24"/>
      <w:szCs w:val="20"/>
    </w:rPr>
  </w:style>
  <w:style w:type="paragraph" w:styleId="7">
    <w:name w:val="Body Text Indent"/>
    <w:basedOn w:val="1"/>
    <w:qFormat/>
    <w:uiPriority w:val="0"/>
    <w:pPr>
      <w:spacing w:after="120"/>
      <w:ind w:left="200" w:leftChars="200"/>
    </w:p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39"/>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39"/>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39"/>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paragraph" w:styleId="19">
    <w:name w:val="Normal (Web)"/>
    <w:basedOn w:val="1"/>
    <w:qFormat/>
    <w:uiPriority w:val="0"/>
    <w:pPr>
      <w:widowControl/>
      <w:spacing w:before="100" w:beforeAutospacing="1" w:after="100" w:afterAutospacing="1"/>
      <w:jc w:val="left"/>
    </w:pPr>
    <w:rPr>
      <w:rFonts w:ascii="宋体" w:cs="宋体"/>
      <w:kern w:val="0"/>
      <w:sz w:val="24"/>
    </w:rPr>
  </w:style>
  <w:style w:type="paragraph" w:styleId="20">
    <w:name w:val="Body Text First Indent 2"/>
    <w:basedOn w:val="7"/>
    <w:qFormat/>
    <w:uiPriority w:val="0"/>
    <w:pPr>
      <w:suppressAutoHyphens/>
      <w:ind w:firstLine="200" w:firstLineChars="200"/>
    </w:pPr>
    <w:rPr>
      <w:rFonts w:ascii="Calibri" w:hAnsi="Calibri"/>
    </w:rPr>
  </w:style>
  <w:style w:type="character" w:styleId="23">
    <w:name w:val="Strong"/>
    <w:basedOn w:val="22"/>
    <w:qFormat/>
    <w:uiPriority w:val="0"/>
    <w:rPr>
      <w:rFonts w:cs="Times New Roman"/>
      <w:b/>
    </w:rPr>
  </w:style>
  <w:style w:type="character" w:styleId="24">
    <w:name w:val="Hyperlink"/>
    <w:basedOn w:val="22"/>
    <w:qFormat/>
    <w:uiPriority w:val="99"/>
    <w:rPr>
      <w:rFonts w:cs="Times New Roman"/>
      <w:color w:val="0000FF"/>
      <w:u w:val="single"/>
    </w:rPr>
  </w:style>
  <w:style w:type="character" w:customStyle="1" w:styleId="25">
    <w:name w:val="标题 1 Char"/>
    <w:basedOn w:val="22"/>
    <w:link w:val="2"/>
    <w:qFormat/>
    <w:uiPriority w:val="9"/>
    <w:rPr>
      <w:rFonts w:ascii="Times New Roman" w:hAnsi="Times New Roman" w:eastAsia="宋体" w:cs="Times New Roman"/>
      <w:b/>
      <w:bCs/>
      <w:kern w:val="44"/>
      <w:sz w:val="44"/>
      <w:szCs w:val="44"/>
      <w:lang w:val="en-US" w:eastAsia="zh-CN" w:bidi="ar-SA"/>
    </w:rPr>
  </w:style>
  <w:style w:type="character" w:customStyle="1" w:styleId="26">
    <w:name w:val="标题 2 Char"/>
    <w:basedOn w:val="22"/>
    <w:link w:val="3"/>
    <w:qFormat/>
    <w:uiPriority w:val="9"/>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4">
    <w:name w:val="TOC 标题2"/>
    <w:basedOn w:val="2"/>
    <w:next w:val="1"/>
    <w:qFormat/>
    <w:uiPriority w:val="0"/>
    <w:pPr>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8">
    <w:name w:val="bjh-p"/>
    <w:qFormat/>
    <w:uiPriority w:val="0"/>
  </w:style>
  <w:style w:type="paragraph" w:customStyle="1" w:styleId="39">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Sheet1!$B$1</c:f>
              <c:strCache>
                <c:ptCount val="1"/>
                <c:pt idx="0">
                  <c:v>列1</c:v>
                </c:pt>
              </c:strCache>
            </c:strRef>
          </c:tx>
          <c:spPr>
            <a:solidFill>
              <a:srgbClr val="4F81BD"/>
            </a:solidFill>
            <a:ln>
              <a:noFill/>
            </a:ln>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numRef>
              <c:f>Sheet1!$A$2:$A$3</c:f>
              <c:numCache>
                <c:formatCode>General</c:formatCode>
                <c:ptCount val="2"/>
                <c:pt idx="0">
                  <c:v>2022</c:v>
                </c:pt>
                <c:pt idx="1">
                  <c:v>2023</c:v>
                </c:pt>
              </c:numCache>
            </c:numRef>
          </c:cat>
          <c:val>
            <c:numRef>
              <c:f>Sheet1!$B$2:$B$3</c:f>
              <c:numCache>
                <c:formatCode>General</c:formatCode>
                <c:ptCount val="2"/>
                <c:pt idx="0">
                  <c:v>226.23</c:v>
                </c:pt>
                <c:pt idx="1">
                  <c:v>228.6</c:v>
                </c:pt>
              </c:numCache>
            </c:numRef>
          </c:val>
        </c:ser>
        <c:dLbls>
          <c:showLegendKey val="false"/>
          <c:showVal val="true"/>
          <c:showCatName val="false"/>
          <c:showSerName val="false"/>
          <c:showPercent val="false"/>
          <c:showBubbleSize val="false"/>
        </c:dLbls>
        <c:gapWidth val="150"/>
        <c:overlap val="100"/>
        <c:axId val="109566976"/>
        <c:axId val="109713664"/>
      </c:barChart>
      <c:catAx>
        <c:axId val="10956697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crossAx val="109713664"/>
        <c:crosses val="autoZero"/>
        <c:auto val="true"/>
        <c:lblAlgn val="ctr"/>
        <c:lblOffset val="100"/>
        <c:noMultiLvlLbl val="false"/>
      </c:catAx>
      <c:valAx>
        <c:axId val="109713664"/>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crossAx val="109566976"/>
        <c:crossesAt val="1"/>
        <c:crossBetween val="between"/>
      </c:valAx>
      <c:spPr>
        <a:solidFill>
          <a:srgbClr val="FFFFFF"/>
        </a:solidFill>
      </c:spPr>
    </c:plotArea>
    <c:plotVisOnly val="true"/>
    <c:dispBlanksAs val="gap"/>
    <c:showDLblsOverMax val="false"/>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 (2)'!$B$1</c:f>
              <c:strCache>
                <c:ptCount val="1"/>
                <c:pt idx="0">
                  <c:v>收入</c:v>
                </c:pt>
              </c:strCache>
            </c:strRef>
          </c:tx>
          <c:spPr>
            <a:ln>
              <a:noFill/>
            </a:ln>
          </c:spPr>
          <c:explosion val="0"/>
          <c:dPt>
            <c:idx val="0"/>
            <c:bubble3D val="false"/>
            <c:spPr>
              <a:solidFill>
                <a:srgbClr val="4F81BD"/>
              </a:solidFill>
            </c:spPr>
          </c:dPt>
          <c:dLbls>
            <c:dLbl>
              <c:idx val="0"/>
              <c:layout>
                <c:manualLayout>
                  <c:x val="0.12604113"/>
                  <c:y val="0.031321943"/>
                </c:manualLayout>
              </c:layout>
              <c:tx>
                <c:rich>
                  <a:bodyPr rot="0" spcFirstLastPara="0" vertOverflow="ellipsis" vert="horz" wrap="square" lIns="38100" tIns="19050" rIns="38100" bIns="19050" anchor="ctr" anchorCtr="true"/>
                  <a:lstStyle/>
                  <a:p>
                    <a:pPr>
                      <a:defRPr lang="zh-CN" sz="800" b="0" i="0" u="none" strike="noStrike" kern="1200" baseline="0">
                        <a:solidFill>
                          <a:srgbClr val="000000"/>
                        </a:solidFill>
                        <a:latin typeface="Times New Roman" panose="02020603050405020304"/>
                        <a:ea typeface="宋体" charset="-122"/>
                        <a:cs typeface="Lucida Sans" panose="020B0602030504020204"/>
                      </a:defRPr>
                    </a:pPr>
                    <a:r>
                      <a:rPr lang="zh-CN"/>
                      <a:t>22</a:t>
                    </a:r>
                    <a:r>
                      <a:rPr lang="en-US" altLang="zh-CN"/>
                      <a:t>8.6</a:t>
                    </a:r>
                    <a:endParaRPr lang="zh-CN"/>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numRef>
              <c:f>'Sheet1 (2)'!$A$2</c:f>
              <c:numCache>
                <c:formatCode>General</c:formatCode>
                <c:ptCount val="1"/>
                <c:pt idx="0">
                  <c:v>2023</c:v>
                </c:pt>
              </c:numCache>
            </c:numRef>
          </c:cat>
          <c:val>
            <c:numRef>
              <c:f>Sheet1 (2)!$B$2</c:f>
              <c:numCache>
                <c:formatCode>General</c:formatCode>
                <c:ptCount val="1"/>
                <c:pt idx="0">
                  <c:v>226.23</c:v>
                </c:pt>
              </c:numCache>
            </c:numRef>
          </c:val>
        </c:ser>
        <c:ser>
          <c:idx val="1"/>
          <c:order val="1"/>
          <c:tx>
            <c:strRef>
              <c:f>'Sheet1 (2)'!$C$1</c:f>
              <c:strCache>
                <c:ptCount val="1"/>
                <c:pt idx="0">
                  <c:v>列1</c:v>
                </c:pt>
              </c:strCache>
            </c:strRef>
          </c:tx>
          <c:spPr>
            <a:ln>
              <a:noFill/>
            </a:ln>
          </c:spPr>
          <c:explosion val="0"/>
          <c:dPt>
            <c:idx val="0"/>
            <c:bubble3D val="false"/>
            <c:spPr>
              <a:ln>
                <a:noFill/>
              </a:ln>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numRef>
              <c:f>'Sheet1 (2)'!$A$2</c:f>
              <c:numCache>
                <c:formatCode>General</c:formatCode>
                <c:ptCount val="1"/>
                <c:pt idx="0">
                  <c:v>2023</c:v>
                </c:pt>
              </c:numCache>
            </c:numRef>
          </c:cat>
          <c:val>
            <c:numRef>
              <c:f>Sheet1 (2)!$C$2</c:f>
              <c:numCache>
                <c:formatCode>General</c:formatCode>
                <c:ptCount val="1"/>
              </c:numCache>
            </c:numRef>
          </c:val>
        </c:ser>
        <c:dLbls>
          <c:showLegendKey val="false"/>
          <c:showVal val="true"/>
          <c:showCatName val="false"/>
          <c:showSerName val="false"/>
          <c:showPercent val="false"/>
          <c:showBubbleSize val="false"/>
          <c:showLeaderLines val="true"/>
        </c:dLbls>
        <c:firstSliceAng val="15"/>
      </c:pieChart>
      <c:spPr>
        <a:noFill/>
        <a:ln>
          <a:noFill/>
        </a:ln>
      </c:spPr>
    </c:plotArea>
    <c:legend>
      <c:legendPos val="r"/>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true"/>
    <c:dispBlanksAs val="zero"/>
    <c:showDLblsOverMax val="false"/>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 (3)'!$B$1</c:f>
              <c:strCache>
                <c:ptCount val="1"/>
                <c:pt idx="0">
                  <c:v>销售额</c:v>
                </c:pt>
              </c:strCache>
            </c:strRef>
          </c:tx>
          <c:spPr>
            <a:ln>
              <a:noFill/>
            </a:ln>
          </c:spPr>
          <c:explosion val="0"/>
          <c:dPt>
            <c:idx val="0"/>
            <c:bubble3D val="false"/>
            <c:spPr>
              <a:solidFill>
                <a:srgbClr val="4F81BD"/>
              </a:solidFill>
            </c:spPr>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(3)'!$A$2</c:f>
              <c:strCache>
                <c:ptCount val="1"/>
                <c:pt idx="0">
                  <c:v>基本支出</c:v>
                </c:pt>
              </c:strCache>
            </c:strRef>
          </c:cat>
          <c:val>
            <c:numRef>
              <c:f>Sheet1 (3)!$B$2</c:f>
              <c:numCache>
                <c:formatCode>0%</c:formatCode>
                <c:ptCount val="1"/>
                <c:pt idx="0">
                  <c:v>1</c:v>
                </c:pt>
              </c:numCache>
            </c:numRef>
          </c:val>
        </c:ser>
        <c:dLbls>
          <c:showLegendKey val="false"/>
          <c:showVal val="false"/>
          <c:showCatName val="false"/>
          <c:showSerName val="false"/>
          <c:showPercent val="false"/>
          <c:showBubbleSize val="false"/>
          <c:showLeaderLines val="true"/>
        </c:dLbls>
        <c:firstSliceAng val="15"/>
      </c:pieChart>
      <c:spPr>
        <a:noFill/>
        <a:ln>
          <a:noFill/>
        </a:ln>
      </c:spPr>
    </c:plotArea>
    <c:legend>
      <c:legendPos val="r"/>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true"/>
    <c:dispBlanksAs val="zero"/>
    <c:showDLblsOverMax val="false"/>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 (4)'!$B$1</c:f>
              <c:strCache>
                <c:ptCount val="1"/>
                <c:pt idx="0">
                  <c:v>2017</c:v>
                </c:pt>
              </c:strCache>
            </c:strRef>
          </c:tx>
          <c:spPr>
            <a:solidFill>
              <a:srgbClr val="4F81BD"/>
            </a:solidFill>
            <a:ln>
              <a:noFill/>
            </a:ln>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numRef>
              <c:f>'Sheet1 (4)'!$A$2:$A$3</c:f>
              <c:numCache>
                <c:formatCode>General</c:formatCode>
                <c:ptCount val="2"/>
                <c:pt idx="0">
                  <c:v>2023</c:v>
                </c:pt>
                <c:pt idx="1">
                  <c:v>2022</c:v>
                </c:pt>
              </c:numCache>
            </c:numRef>
          </c:cat>
          <c:val>
            <c:numRef>
              <c:f>'Sheet1 (4)'!$B$2:$B$3</c:f>
              <c:numCache>
                <c:formatCode>General</c:formatCode>
                <c:ptCount val="2"/>
                <c:pt idx="0">
                  <c:v>228.6</c:v>
                </c:pt>
                <c:pt idx="1">
                  <c:v>226.23</c:v>
                </c:pt>
              </c:numCache>
            </c:numRef>
          </c:val>
        </c:ser>
        <c:dLbls>
          <c:showLegendKey val="false"/>
          <c:showVal val="true"/>
          <c:showCatName val="false"/>
          <c:showSerName val="false"/>
          <c:showPercent val="false"/>
          <c:showBubbleSize val="false"/>
        </c:dLbls>
        <c:gapWidth val="150"/>
        <c:overlap val="100"/>
        <c:axId val="138386816"/>
        <c:axId val="145395712"/>
      </c:barChart>
      <c:catAx>
        <c:axId val="13838681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crossAx val="145395712"/>
        <c:crosses val="autoZero"/>
        <c:auto val="true"/>
        <c:lblAlgn val="ctr"/>
        <c:lblOffset val="100"/>
        <c:noMultiLvlLbl val="false"/>
      </c:catAx>
      <c:valAx>
        <c:axId val="14539571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crossAx val="138386816"/>
        <c:crossesAt val="1"/>
        <c:crossBetween val="between"/>
      </c:valAx>
      <c:spPr>
        <a:solidFill>
          <a:srgbClr val="FFFFFF"/>
        </a:solidFill>
      </c:spPr>
    </c:plotArea>
    <c:plotVisOnly val="true"/>
    <c:dispBlanksAs val="gap"/>
    <c:showDLblsOverMax val="false"/>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'Sheet1 (5)'!$B$1</c:f>
              <c:strCache>
                <c:ptCount val="1"/>
                <c:pt idx="0">
                  <c:v>支出</c:v>
                </c:pt>
              </c:strCache>
            </c:strRef>
          </c:tx>
          <c:spPr>
            <a:solidFill>
              <a:srgbClr val="4F81BD"/>
            </a:solidFill>
            <a:ln>
              <a:noFill/>
            </a:ln>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numRef>
              <c:f>'Sheet1 (5)'!$A$2:$A$3</c:f>
              <c:numCache>
                <c:formatCode>General</c:formatCode>
                <c:ptCount val="2"/>
                <c:pt idx="0">
                  <c:v>2023</c:v>
                </c:pt>
                <c:pt idx="1">
                  <c:v>2022</c:v>
                </c:pt>
              </c:numCache>
            </c:numRef>
          </c:cat>
          <c:val>
            <c:numRef>
              <c:f>'Sheet1 (5)'!$B$2:$B$3</c:f>
              <c:numCache>
                <c:formatCode>General</c:formatCode>
                <c:ptCount val="2"/>
                <c:pt idx="0">
                  <c:v>228.6</c:v>
                </c:pt>
                <c:pt idx="1">
                  <c:v>226.23</c:v>
                </c:pt>
              </c:numCache>
            </c:numRef>
          </c:val>
        </c:ser>
        <c:dLbls>
          <c:showLegendKey val="false"/>
          <c:showVal val="true"/>
          <c:showCatName val="false"/>
          <c:showSerName val="false"/>
          <c:showPercent val="false"/>
          <c:showBubbleSize val="false"/>
        </c:dLbls>
        <c:gapWidth val="150"/>
        <c:overlap val="100"/>
        <c:axId val="200432256"/>
        <c:axId val="200455296"/>
      </c:barChart>
      <c:catAx>
        <c:axId val="20043225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crossAx val="200455296"/>
        <c:crosses val="autoZero"/>
        <c:auto val="true"/>
        <c:lblAlgn val="ctr"/>
        <c:lblOffset val="100"/>
        <c:noMultiLvlLbl val="false"/>
      </c:catAx>
      <c:valAx>
        <c:axId val="20045529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crossAx val="200432256"/>
        <c:crossesAt val="1"/>
        <c:crossBetween val="between"/>
      </c:valAx>
      <c:spPr>
        <a:solidFill>
          <a:srgbClr val="FFFFFF"/>
        </a:solidFill>
      </c:spPr>
    </c:plotArea>
    <c:legend>
      <c:legendPos val="r"/>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true"/>
    <c:dispBlanksAs val="gap"/>
    <c:showDLblsOverMax val="false"/>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 (6)'!$B$1</c:f>
              <c:strCache>
                <c:ptCount val="1"/>
                <c:pt idx="0">
                  <c:v>销售额</c:v>
                </c:pt>
              </c:strCache>
            </c:strRef>
          </c:tx>
          <c:spPr>
            <a:ln>
              <a:noFill/>
            </a:ln>
          </c:spPr>
          <c:explosion val="0"/>
          <c:dPt>
            <c:idx val="0"/>
            <c:bubble3D val="false"/>
            <c:spPr>
              <a:solidFill>
                <a:srgbClr val="4F81BD"/>
              </a:solidFill>
            </c:spPr>
          </c:dPt>
          <c:dPt>
            <c:idx val="1"/>
            <c:bubble3D val="false"/>
            <c:spPr>
              <a:solidFill>
                <a:srgbClr val="C0504D"/>
              </a:solidFill>
            </c:spPr>
          </c:dPt>
          <c:dPt>
            <c:idx val="2"/>
            <c:bubble3D val="false"/>
            <c:spPr>
              <a:solidFill>
                <a:srgbClr val="9BBB59"/>
              </a:solidFill>
            </c:spPr>
          </c:dPt>
          <c:dPt>
            <c:idx val="3"/>
            <c:bubble3D val="false"/>
            <c:spPr>
              <a:solidFill>
                <a:srgbClr val="8064A2"/>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(6)'!$A$2:$A$5</c:f>
              <c:strCache>
                <c:ptCount val="4"/>
                <c:pt idx="0">
                  <c:v>一般公共服务</c:v>
                </c:pt>
                <c:pt idx="1">
                  <c:v>社会保障和就业</c:v>
                </c:pt>
                <c:pt idx="2">
                  <c:v>医疗卫生与计划生育</c:v>
                </c:pt>
                <c:pt idx="3">
                  <c:v>住房保障</c:v>
                </c:pt>
              </c:strCache>
            </c:strRef>
          </c:cat>
          <c:val>
            <c:numRef>
              <c:f>'Sheet1 (6)'!$B$2:$B$5</c:f>
              <c:numCache>
                <c:formatCode>0%</c:formatCode>
                <c:ptCount val="4"/>
                <c:pt idx="0">
                  <c:v>0.7378</c:v>
                </c:pt>
                <c:pt idx="1">
                  <c:v>0.1355</c:v>
                </c:pt>
                <c:pt idx="2">
                  <c:v>0.0537</c:v>
                </c:pt>
                <c:pt idx="3">
                  <c:v>0.073</c:v>
                </c:pt>
              </c:numCache>
            </c:numRef>
          </c:val>
        </c:ser>
        <c:dLbls>
          <c:showLegendKey val="false"/>
          <c:showVal val="true"/>
          <c:showCatName val="false"/>
          <c:showSerName val="false"/>
          <c:showPercent val="false"/>
          <c:showBubbleSize val="false"/>
          <c:showLeaderLines val="true"/>
        </c:dLbls>
        <c:firstSliceAng val="15"/>
      </c:pieChart>
      <c:spPr>
        <a:noFill/>
        <a:ln>
          <a:noFill/>
        </a:ln>
      </c:spPr>
    </c:plotArea>
    <c:legend>
      <c:legendPos val="r"/>
      <c:layout>
        <c:manualLayout>
          <c:xMode val="edge"/>
          <c:yMode val="edge"/>
          <c:x val="0.58720344"/>
          <c:y val="0.056317657"/>
          <c:w val="0.41279656"/>
          <c:h val="0.941418769999999"/>
        </c:manualLayout>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true"/>
    <c:dispBlanksAs val="zero"/>
    <c:showDLblsOverMax val="false"/>
  </c:chart>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 (7)'!$B$1</c:f>
              <c:strCache>
                <c:ptCount val="1"/>
                <c:pt idx="0">
                  <c:v>销售额</c:v>
                </c:pt>
              </c:strCache>
            </c:strRef>
          </c:tx>
          <c:spPr>
            <a:ln>
              <a:noFill/>
            </a:ln>
          </c:spPr>
          <c:explosion val="0"/>
          <c:dPt>
            <c:idx val="0"/>
            <c:bubble3D val="false"/>
            <c:spPr>
              <a:solidFill>
                <a:srgbClr val="4F81BD"/>
              </a:solidFill>
            </c:spPr>
          </c:dPt>
          <c:dPt>
            <c:idx val="1"/>
            <c:bubble3D val="false"/>
            <c:spPr>
              <a:solidFill>
                <a:srgbClr val="C0504D"/>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 (7)'!$A$2:$A$3</c:f>
              <c:strCache>
                <c:ptCount val="2"/>
                <c:pt idx="0">
                  <c:v>公务接待费</c:v>
                </c:pt>
                <c:pt idx="1">
                  <c:v>公务用车</c:v>
                </c:pt>
              </c:strCache>
            </c:strRef>
          </c:cat>
          <c:val>
            <c:numRef>
              <c:f>'Sheet1 (7)'!$B$2:$B$3</c:f>
              <c:numCache>
                <c:formatCode>0%</c:formatCode>
                <c:ptCount val="2"/>
                <c:pt idx="0">
                  <c:v>0.042</c:v>
                </c:pt>
                <c:pt idx="1">
                  <c:v>0.958</c:v>
                </c:pt>
              </c:numCache>
            </c:numRef>
          </c:val>
        </c:ser>
        <c:dLbls>
          <c:showLegendKey val="false"/>
          <c:showVal val="true"/>
          <c:showCatName val="false"/>
          <c:showSerName val="false"/>
          <c:showPercent val="false"/>
          <c:showBubbleSize val="false"/>
          <c:showLeaderLines val="true"/>
        </c:dLbls>
        <c:firstSliceAng val="15"/>
      </c:pieChart>
      <c:spPr>
        <a:noFill/>
        <a:ln>
          <a:noFill/>
        </a:ln>
      </c:spPr>
    </c:plotArea>
    <c:legend>
      <c:legendPos val="r"/>
      <c:layout/>
      <c:overlay val="false"/>
      <c:spPr>
        <a:noFill/>
        <a:ln>
          <a:noFill/>
        </a:ln>
      </c:spPr>
      <c:txPr>
        <a:bodyPr rot="0" spcFirstLastPara="0" vertOverflow="ellipsis" vert="horz" wrap="square" anchor="ctr" anchorCtr="true"/>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true"/>
    <c:dispBlanksAs val="zero"/>
    <c:showDLblsOverMax val="false"/>
  </c:chart>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1977</Words>
  <Characters>11271</Characters>
  <Lines>93</Lines>
  <Paragraphs>26</Paragraphs>
  <TotalTime>1</TotalTime>
  <ScaleCrop>false</ScaleCrop>
  <LinksUpToDate>false</LinksUpToDate>
  <CharactersWithSpaces>13222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军魂不变</cp:lastModifiedBy>
  <cp:lastPrinted>2024-09-27T09:36:00Z</cp:lastPrinted>
  <dcterms:modified xsi:type="dcterms:W3CDTF">2024-09-27T15:34:42Z</dcterms:modified>
  <dc:title>阿坝州部门决算说明</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F9242F61B8ED4CBF8A69A8B016B513D1</vt:lpwstr>
  </property>
</Properties>
</file>