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3E8B5">
      <w:pPr>
        <w:spacing w:line="576" w:lineRule="exact"/>
        <w:jc w:val="center"/>
        <w:rPr>
          <w:rFonts w:ascii="方正小标宋简体" w:eastAsia="方正小标宋简体" w:cs="方正小标宋简体"/>
          <w:sz w:val="48"/>
          <w:szCs w:val="48"/>
        </w:rPr>
      </w:pPr>
    </w:p>
    <w:p w14:paraId="1A8D7D12">
      <w:pPr>
        <w:pStyle w:val="17"/>
      </w:pPr>
    </w:p>
    <w:p w14:paraId="31AA1576">
      <w:pPr>
        <w:spacing w:line="576" w:lineRule="exact"/>
        <w:jc w:val="center"/>
        <w:rPr>
          <w:rFonts w:ascii="方正小标宋简体" w:eastAsia="方正小标宋简体" w:cs="方正小标宋简体"/>
          <w:sz w:val="48"/>
          <w:szCs w:val="48"/>
        </w:rPr>
      </w:pPr>
    </w:p>
    <w:p w14:paraId="1EA336A5">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202</w:t>
      </w:r>
      <w:r>
        <w:rPr>
          <w:rFonts w:hint="eastAsia" w:ascii="方正小标宋简体" w:eastAsia="方正小标宋简体" w:cs="方正小标宋简体"/>
          <w:sz w:val="48"/>
          <w:szCs w:val="48"/>
          <w:lang w:val="en-US" w:eastAsia="zh-CN"/>
        </w:rPr>
        <w:t>4</w:t>
      </w:r>
      <w:r>
        <w:rPr>
          <w:rFonts w:hint="eastAsia" w:ascii="方正小标宋简体" w:eastAsia="方正小标宋简体" w:cs="方正小标宋简体"/>
          <w:sz w:val="48"/>
          <w:szCs w:val="48"/>
        </w:rPr>
        <w:t>年度</w:t>
      </w:r>
    </w:p>
    <w:p w14:paraId="2EF13CED">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四川省阿坝州茂县档案馆</w:t>
      </w:r>
      <w:r>
        <w:rPr>
          <w:rFonts w:hint="eastAsia" w:ascii="方正小标宋简体" w:eastAsia="方正小标宋简体" w:cs="方正小标宋简体"/>
          <w:sz w:val="48"/>
          <w:szCs w:val="48"/>
          <w:lang w:eastAsia="zh-CN"/>
        </w:rPr>
        <w:t>单位</w:t>
      </w:r>
      <w:r>
        <w:rPr>
          <w:rFonts w:hint="eastAsia" w:ascii="方正小标宋简体" w:eastAsia="方正小标宋简体" w:cs="方正小标宋简体"/>
          <w:sz w:val="48"/>
          <w:szCs w:val="48"/>
        </w:rPr>
        <w:t>决算</w:t>
      </w:r>
    </w:p>
    <w:p w14:paraId="05B23BD4">
      <w:pPr>
        <w:spacing w:line="576" w:lineRule="exact"/>
        <w:jc w:val="center"/>
        <w:rPr>
          <w:rFonts w:ascii="黑体" w:eastAsia="黑体"/>
          <w:sz w:val="72"/>
          <w:szCs w:val="72"/>
        </w:rPr>
      </w:pPr>
      <w:r>
        <w:rPr>
          <w:rFonts w:ascii="黑体" w:eastAsia="黑体"/>
          <w:sz w:val="72"/>
          <w:szCs w:val="72"/>
        </w:rPr>
        <w:t> </w:t>
      </w:r>
    </w:p>
    <w:p w14:paraId="4711DD86">
      <w:pPr>
        <w:spacing w:line="576" w:lineRule="exact"/>
        <w:jc w:val="center"/>
        <w:rPr>
          <w:rFonts w:ascii="黑体" w:eastAsia="黑体"/>
          <w:sz w:val="72"/>
          <w:szCs w:val="72"/>
        </w:rPr>
      </w:pPr>
      <w:r>
        <w:rPr>
          <w:rFonts w:ascii="黑体" w:eastAsia="黑体"/>
          <w:sz w:val="72"/>
          <w:szCs w:val="72"/>
        </w:rPr>
        <w:t> </w:t>
      </w:r>
    </w:p>
    <w:p w14:paraId="3DBA7CD8">
      <w:pPr>
        <w:spacing w:line="576" w:lineRule="exact"/>
        <w:jc w:val="center"/>
        <w:rPr>
          <w:rFonts w:ascii="黑体" w:eastAsia="黑体"/>
          <w:sz w:val="72"/>
          <w:szCs w:val="72"/>
        </w:rPr>
      </w:pPr>
      <w:r>
        <w:rPr>
          <w:rFonts w:ascii="黑体" w:eastAsia="黑体"/>
          <w:sz w:val="72"/>
          <w:szCs w:val="72"/>
        </w:rPr>
        <w:t> </w:t>
      </w:r>
    </w:p>
    <w:p w14:paraId="3552AE6E">
      <w:pPr>
        <w:spacing w:line="576" w:lineRule="exact"/>
        <w:jc w:val="center"/>
        <w:rPr>
          <w:rFonts w:ascii="黑体" w:eastAsia="黑体"/>
          <w:sz w:val="72"/>
          <w:szCs w:val="72"/>
        </w:rPr>
      </w:pPr>
      <w:r>
        <w:rPr>
          <w:rFonts w:ascii="黑体" w:eastAsia="黑体"/>
          <w:sz w:val="72"/>
          <w:szCs w:val="72"/>
        </w:rPr>
        <w:t> </w:t>
      </w:r>
    </w:p>
    <w:p w14:paraId="75DF7002">
      <w:pPr>
        <w:spacing w:line="576" w:lineRule="exact"/>
        <w:jc w:val="center"/>
        <w:rPr>
          <w:rFonts w:ascii="黑体" w:eastAsia="黑体"/>
          <w:sz w:val="72"/>
          <w:szCs w:val="72"/>
        </w:rPr>
      </w:pPr>
      <w:r>
        <w:rPr>
          <w:rFonts w:ascii="黑体" w:eastAsia="黑体"/>
          <w:sz w:val="72"/>
          <w:szCs w:val="72"/>
        </w:rPr>
        <w:t> </w:t>
      </w:r>
    </w:p>
    <w:p w14:paraId="1BC3EA80">
      <w:pPr>
        <w:spacing w:line="576" w:lineRule="exact"/>
        <w:jc w:val="center"/>
        <w:rPr>
          <w:rFonts w:ascii="黑体" w:eastAsia="黑体"/>
          <w:sz w:val="72"/>
          <w:szCs w:val="72"/>
        </w:rPr>
      </w:pPr>
      <w:r>
        <w:rPr>
          <w:rFonts w:ascii="黑体" w:eastAsia="黑体"/>
          <w:sz w:val="72"/>
          <w:szCs w:val="72"/>
        </w:rPr>
        <w:t> </w:t>
      </w:r>
    </w:p>
    <w:p w14:paraId="6081891D">
      <w:pPr>
        <w:spacing w:line="576" w:lineRule="exact"/>
        <w:jc w:val="center"/>
        <w:rPr>
          <w:rFonts w:ascii="黑体" w:eastAsia="黑体"/>
          <w:sz w:val="72"/>
          <w:szCs w:val="72"/>
        </w:rPr>
      </w:pPr>
      <w:bookmarkStart w:id="123" w:name="_GoBack"/>
      <w:bookmarkEnd w:id="123"/>
    </w:p>
    <w:p w14:paraId="731EF7D6">
      <w:pPr>
        <w:spacing w:line="576" w:lineRule="exact"/>
        <w:jc w:val="center"/>
        <w:rPr>
          <w:rFonts w:ascii="黑体" w:eastAsia="黑体"/>
          <w:sz w:val="72"/>
          <w:szCs w:val="72"/>
        </w:rPr>
      </w:pPr>
    </w:p>
    <w:p w14:paraId="00C4778C">
      <w:pPr>
        <w:spacing w:line="576" w:lineRule="exact"/>
        <w:jc w:val="center"/>
        <w:rPr>
          <w:rFonts w:ascii="黑体" w:eastAsia="黑体"/>
          <w:sz w:val="72"/>
          <w:szCs w:val="72"/>
        </w:rPr>
      </w:pPr>
    </w:p>
    <w:p w14:paraId="64891160">
      <w:pPr>
        <w:spacing w:line="576" w:lineRule="exact"/>
        <w:jc w:val="center"/>
        <w:rPr>
          <w:rFonts w:ascii="黑体" w:eastAsia="黑体"/>
          <w:sz w:val="72"/>
          <w:szCs w:val="72"/>
        </w:rPr>
      </w:pPr>
    </w:p>
    <w:p w14:paraId="38A41FA4">
      <w:pPr>
        <w:spacing w:line="576" w:lineRule="exact"/>
        <w:jc w:val="center"/>
        <w:rPr>
          <w:rFonts w:ascii="黑体" w:eastAsia="黑体"/>
          <w:sz w:val="72"/>
          <w:szCs w:val="72"/>
        </w:rPr>
      </w:pPr>
    </w:p>
    <w:p w14:paraId="25CA2AA4">
      <w:pPr>
        <w:spacing w:line="576" w:lineRule="exact"/>
        <w:jc w:val="center"/>
        <w:rPr>
          <w:rFonts w:ascii="黑体" w:eastAsia="黑体"/>
          <w:sz w:val="72"/>
          <w:szCs w:val="72"/>
        </w:rPr>
      </w:pPr>
    </w:p>
    <w:p w14:paraId="3728CE71">
      <w:pPr>
        <w:spacing w:line="576" w:lineRule="exact"/>
        <w:jc w:val="center"/>
        <w:rPr>
          <w:rFonts w:ascii="黑体" w:eastAsia="黑体"/>
          <w:sz w:val="72"/>
          <w:szCs w:val="72"/>
        </w:rPr>
      </w:pPr>
    </w:p>
    <w:p w14:paraId="24FB2818">
      <w:pPr>
        <w:spacing w:line="576" w:lineRule="exact"/>
        <w:jc w:val="center"/>
        <w:rPr>
          <w:rFonts w:ascii="黑体" w:eastAsia="黑体"/>
          <w:sz w:val="72"/>
          <w:szCs w:val="72"/>
        </w:rPr>
      </w:pPr>
    </w:p>
    <w:p w14:paraId="16B9C6CE">
      <w:pPr>
        <w:spacing w:line="576" w:lineRule="exact"/>
        <w:jc w:val="center"/>
        <w:rPr>
          <w:rFonts w:ascii="黑体" w:eastAsia="黑体"/>
          <w:sz w:val="72"/>
          <w:szCs w:val="72"/>
        </w:rPr>
      </w:pPr>
    </w:p>
    <w:p w14:paraId="3D3996D7">
      <w:pPr>
        <w:spacing w:line="576" w:lineRule="exact"/>
        <w:jc w:val="center"/>
        <w:rPr>
          <w:rFonts w:ascii="黑体" w:eastAsia="黑体"/>
          <w:sz w:val="72"/>
          <w:szCs w:val="72"/>
        </w:rPr>
      </w:pPr>
    </w:p>
    <w:p w14:paraId="0BF3BAB5">
      <w:pPr>
        <w:spacing w:line="576" w:lineRule="exact"/>
        <w:jc w:val="center"/>
        <w:rPr>
          <w:rFonts w:ascii="黑体" w:eastAsia="黑体"/>
          <w:sz w:val="72"/>
          <w:szCs w:val="72"/>
        </w:rPr>
      </w:pPr>
    </w:p>
    <w:p w14:paraId="025F450D">
      <w:pPr>
        <w:spacing w:line="576" w:lineRule="exact"/>
        <w:rPr>
          <w:rFonts w:ascii="黑体" w:eastAsia="黑体"/>
          <w:sz w:val="72"/>
          <w:szCs w:val="72"/>
        </w:rPr>
      </w:pPr>
    </w:p>
    <w:p w14:paraId="076C8302">
      <w:pPr>
        <w:spacing w:line="576" w:lineRule="exact"/>
        <w:rPr>
          <w:rFonts w:ascii="黑体" w:eastAsia="黑体"/>
          <w:sz w:val="72"/>
          <w:szCs w:val="72"/>
        </w:rPr>
      </w:pPr>
      <w:r>
        <w:rPr>
          <w:rFonts w:ascii="黑体" w:eastAsia="黑体"/>
          <w:sz w:val="72"/>
          <w:szCs w:val="72"/>
        </w:rPr>
        <w:t> </w:t>
      </w:r>
    </w:p>
    <w:p w14:paraId="75A14286">
      <w:pPr>
        <w:pStyle w:val="20"/>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黑体" w:eastAsia="黑体" w:cs="Times New Roman"/>
          <w:color w:val="000000"/>
          <w:sz w:val="48"/>
          <w:szCs w:val="48"/>
        </w:rPr>
      </w:pPr>
      <w:r>
        <w:rPr>
          <w:rFonts w:hint="eastAsia" w:ascii="黑体" w:eastAsia="黑体" w:cs="Times New Roman"/>
          <w:color w:val="000000"/>
          <w:sz w:val="48"/>
          <w:szCs w:val="48"/>
        </w:rPr>
        <w:t>目录</w:t>
      </w:r>
    </w:p>
    <w:p w14:paraId="215804B2">
      <w:pPr>
        <w:pStyle w:val="14"/>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pPr>
      <w:r>
        <w:rPr>
          <w:rFonts w:hint="eastAsia"/>
          <w:b w:val="0"/>
          <w:bCs w:val="0"/>
          <w:sz w:val="24"/>
          <w:szCs w:val="24"/>
        </w:rPr>
        <w:t>公开时间：202</w:t>
      </w:r>
      <w:r>
        <w:rPr>
          <w:rFonts w:hint="eastAsia"/>
          <w:b w:val="0"/>
          <w:bCs w:val="0"/>
          <w:sz w:val="24"/>
          <w:szCs w:val="24"/>
          <w:lang w:val="en-US" w:eastAsia="zh-CN"/>
        </w:rPr>
        <w:t>5</w:t>
      </w:r>
      <w:r>
        <w:rPr>
          <w:rFonts w:hint="eastAsia"/>
          <w:b w:val="0"/>
          <w:bCs w:val="0"/>
          <w:sz w:val="24"/>
          <w:szCs w:val="24"/>
        </w:rPr>
        <w:t>年9月25日</w:t>
      </w:r>
    </w:p>
    <w:p w14:paraId="707D0F94">
      <w:pPr>
        <w:pStyle w:val="14"/>
        <w:tabs>
          <w:tab w:val="right" w:leader="dot" w:pos="8296"/>
        </w:tabs>
        <w:spacing w:before="0" w:after="0"/>
        <w:rPr>
          <w:rFonts w:ascii="Calibri" w:hAnsi="Calibri" w:eastAsia="宋体" w:cs="Arial"/>
          <w:b w:val="0"/>
          <w:bCs w:val="0"/>
          <w:caps w:val="0"/>
          <w:smallCaps w:val="0"/>
          <w:sz w:val="21"/>
          <w:szCs w:val="22"/>
        </w:rPr>
      </w:pPr>
      <w:r>
        <w:fldChar w:fldCharType="begin"/>
      </w:r>
      <w:r>
        <w:instrText xml:space="preserve">TOC \o "1-3" \h \u </w:instrText>
      </w:r>
      <w:r>
        <w:fldChar w:fldCharType="separate"/>
      </w:r>
      <w:r>
        <w:fldChar w:fldCharType="begin"/>
      </w:r>
      <w:r>
        <w:instrText xml:space="preserve"> HYPERLINK \l "_Toc178176219" </w:instrText>
      </w:r>
      <w:r>
        <w:fldChar w:fldCharType="separate"/>
      </w:r>
      <w:r>
        <w:rPr>
          <w:rFonts w:hint="eastAsia" w:ascii="黑体" w:eastAsia="黑体"/>
        </w:rPr>
        <w:t>第一部分</w:t>
      </w:r>
      <w:r>
        <w:rPr>
          <w:rFonts w:ascii="黑体" w:eastAsia="黑体"/>
        </w:rPr>
        <w:t xml:space="preserve"> </w:t>
      </w:r>
      <w:r>
        <w:rPr>
          <w:rFonts w:hint="eastAsia" w:ascii="黑体" w:eastAsia="黑体"/>
        </w:rPr>
        <w:t>部门概况</w:t>
      </w:r>
      <w:r>
        <w:tab/>
      </w:r>
      <w:r>
        <w:fldChar w:fldCharType="begin"/>
      </w:r>
      <w:r>
        <w:instrText xml:space="preserve"> PAGEREF _Toc178176219 \h </w:instrText>
      </w:r>
      <w:r>
        <w:fldChar w:fldCharType="separate"/>
      </w:r>
      <w:r>
        <w:t>3</w:t>
      </w:r>
      <w:r>
        <w:fldChar w:fldCharType="end"/>
      </w:r>
      <w:r>
        <w:fldChar w:fldCharType="end"/>
      </w:r>
    </w:p>
    <w:p w14:paraId="5F23E2F3">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"_Toc178176220" </w:instrText>
      </w:r>
      <w:r>
        <w:fldChar w:fldCharType="separate"/>
      </w:r>
      <w:r>
        <w:rPr>
          <w:rFonts w:hint="eastAsia" w:ascii="黑体" w:eastAsia="黑体"/>
        </w:rPr>
        <w:t>一、部门职责</w:t>
      </w:r>
      <w:r>
        <w:tab/>
      </w:r>
      <w:r>
        <w:fldChar w:fldCharType="begin"/>
      </w:r>
      <w:r>
        <w:instrText xml:space="preserve"> PAGEREF _Toc178176220 \h </w:instrText>
      </w:r>
      <w:r>
        <w:fldChar w:fldCharType="separate"/>
      </w:r>
      <w:r>
        <w:t>3</w:t>
      </w:r>
      <w:r>
        <w:fldChar w:fldCharType="end"/>
      </w:r>
      <w:r>
        <w:fldChar w:fldCharType="end"/>
      </w:r>
    </w:p>
    <w:p w14:paraId="211D0A04">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"_Toc178176221" </w:instrText>
      </w:r>
      <w:r>
        <w:fldChar w:fldCharType="separate"/>
      </w:r>
      <w:r>
        <w:rPr>
          <w:rFonts w:hint="eastAsia" w:ascii="黑体" w:eastAsia="黑体"/>
        </w:rPr>
        <w:t>二、机构设置</w:t>
      </w:r>
      <w:r>
        <w:tab/>
      </w:r>
      <w:r>
        <w:fldChar w:fldCharType="begin"/>
      </w:r>
      <w:r>
        <w:instrText xml:space="preserve"> PAGEREF _Toc178176221 \h </w:instrText>
      </w:r>
      <w:r>
        <w:fldChar w:fldCharType="separate"/>
      </w:r>
      <w:r>
        <w:t>4</w:t>
      </w:r>
      <w:r>
        <w:fldChar w:fldCharType="end"/>
      </w:r>
      <w:r>
        <w:fldChar w:fldCharType="end"/>
      </w:r>
    </w:p>
    <w:p w14:paraId="4E41D153">
      <w:pPr>
        <w:pStyle w:val="14"/>
        <w:tabs>
          <w:tab w:val="right" w:leader="dot" w:pos="8296"/>
        </w:tabs>
        <w:spacing w:before="0" w:after="0"/>
        <w:rPr>
          <w:rFonts w:ascii="Calibri" w:hAnsi="Calibri" w:eastAsia="宋体" w:cs="Arial"/>
          <w:b w:val="0"/>
          <w:bCs w:val="0"/>
          <w:caps w:val="0"/>
          <w:smallCaps w:val="0"/>
          <w:sz w:val="21"/>
          <w:szCs w:val="22"/>
        </w:rPr>
      </w:pPr>
      <w:r>
        <w:fldChar w:fldCharType="begin"/>
      </w:r>
      <w:r>
        <w:instrText xml:space="preserve"> HYPERLINK \l "_Toc178176222" </w:instrText>
      </w:r>
      <w:r>
        <w:fldChar w:fldCharType="separate"/>
      </w:r>
      <w:r>
        <w:rPr>
          <w:rFonts w:hint="eastAsia"/>
        </w:rPr>
        <w:t>第二部分</w:t>
      </w:r>
      <w:r>
        <w:t xml:space="preserve"> 202</w:t>
      </w:r>
      <w:r>
        <w:rPr>
          <w:rFonts w:hint="eastAsia"/>
          <w:lang w:val="en-US" w:eastAsia="zh-CN"/>
        </w:rPr>
        <w:t>4</w:t>
      </w:r>
      <w:r>
        <w:rPr>
          <w:rFonts w:hint="eastAsia"/>
        </w:rPr>
        <w:t>年度部门决算情况说明</w:t>
      </w:r>
      <w:r>
        <w:tab/>
      </w:r>
      <w:r>
        <w:fldChar w:fldCharType="begin"/>
      </w:r>
      <w:r>
        <w:instrText xml:space="preserve"> PAGEREF _Toc178176222 \h </w:instrText>
      </w:r>
      <w:r>
        <w:fldChar w:fldCharType="separate"/>
      </w:r>
      <w:r>
        <w:t>4</w:t>
      </w:r>
      <w:r>
        <w:fldChar w:fldCharType="end"/>
      </w:r>
      <w:r>
        <w:fldChar w:fldCharType="end"/>
      </w:r>
    </w:p>
    <w:p w14:paraId="2E3DCCF4">
      <w:pPr>
        <w:pStyle w:val="18"/>
        <w:tabs>
          <w:tab w:val="left" w:pos="840"/>
          <w:tab w:val="right" w:leader="dot" w:pos="8296"/>
        </w:tabs>
        <w:rPr>
          <w:rFonts w:ascii="Calibri" w:hAnsi="Calibri" w:eastAsia="宋体" w:cs="Arial"/>
          <w:caps w:val="0"/>
          <w:smallCaps w:val="0"/>
          <w:sz w:val="21"/>
          <w:szCs w:val="22"/>
        </w:rPr>
      </w:pPr>
      <w:r>
        <w:fldChar w:fldCharType="begin"/>
      </w:r>
      <w:r>
        <w:instrText xml:space="preserve"> HYPERLINK \l "_Toc178176223" </w:instrText>
      </w:r>
      <w:r>
        <w:fldChar w:fldCharType="separate"/>
      </w:r>
      <w:r>
        <w:rPr>
          <w:rFonts w:hint="eastAsia" w:ascii="黑体" w:eastAsia="黑体"/>
        </w:rPr>
        <w:t>一、</w:t>
      </w:r>
      <w:r>
        <w:rPr>
          <w:rFonts w:ascii="Calibri" w:hAnsi="Calibri" w:eastAsia="宋体" w:cs="Arial"/>
          <w:caps w:val="0"/>
          <w:smallCaps w:val="0"/>
          <w:sz w:val="21"/>
          <w:szCs w:val="22"/>
        </w:rPr>
        <w:tab/>
      </w:r>
      <w:r>
        <w:rPr>
          <w:rFonts w:hint="eastAsia" w:ascii="黑体" w:eastAsia="黑体"/>
        </w:rPr>
        <w:t>收入支出决算总体情况说明</w:t>
      </w:r>
      <w:r>
        <w:tab/>
      </w:r>
      <w:r>
        <w:fldChar w:fldCharType="begin"/>
      </w:r>
      <w:r>
        <w:instrText xml:space="preserve"> PAGEREF _Toc178176223 \h </w:instrText>
      </w:r>
      <w:r>
        <w:fldChar w:fldCharType="separate"/>
      </w:r>
      <w:r>
        <w:t>4</w:t>
      </w:r>
      <w:r>
        <w:fldChar w:fldCharType="end"/>
      </w:r>
      <w:r>
        <w:fldChar w:fldCharType="end"/>
      </w:r>
    </w:p>
    <w:p w14:paraId="25C0C926">
      <w:pPr>
        <w:pStyle w:val="18"/>
        <w:tabs>
          <w:tab w:val="left" w:pos="840"/>
          <w:tab w:val="right" w:leader="dot" w:pos="8296"/>
        </w:tabs>
        <w:rPr>
          <w:rFonts w:ascii="Calibri" w:hAnsi="Calibri" w:eastAsia="宋体" w:cs="Arial"/>
          <w:caps w:val="0"/>
          <w:smallCaps w:val="0"/>
          <w:sz w:val="21"/>
          <w:szCs w:val="22"/>
        </w:rPr>
      </w:pPr>
      <w:r>
        <w:fldChar w:fldCharType="begin"/>
      </w:r>
      <w:r>
        <w:instrText xml:space="preserve"> HYPERLINK \l "_Toc178176224" </w:instrText>
      </w:r>
      <w:r>
        <w:fldChar w:fldCharType="separate"/>
      </w:r>
      <w:r>
        <w:rPr>
          <w:rFonts w:hint="eastAsia" w:ascii="黑体" w:eastAsia="黑体"/>
        </w:rPr>
        <w:t>二、</w:t>
      </w:r>
      <w:r>
        <w:rPr>
          <w:rFonts w:ascii="Calibri" w:hAnsi="Calibri" w:eastAsia="宋体" w:cs="Arial"/>
          <w:caps w:val="0"/>
          <w:smallCaps w:val="0"/>
          <w:sz w:val="21"/>
          <w:szCs w:val="22"/>
        </w:rPr>
        <w:tab/>
      </w:r>
      <w:r>
        <w:rPr>
          <w:rFonts w:hint="eastAsia" w:ascii="黑体" w:eastAsia="黑体"/>
        </w:rPr>
        <w:t>收入决算情况说明</w:t>
      </w:r>
      <w:r>
        <w:tab/>
      </w:r>
      <w:r>
        <w:fldChar w:fldCharType="begin"/>
      </w:r>
      <w:r>
        <w:instrText xml:space="preserve"> PAGEREF _Toc178176224 \h </w:instrText>
      </w:r>
      <w:r>
        <w:fldChar w:fldCharType="separate"/>
      </w:r>
      <w:r>
        <w:t>4</w:t>
      </w:r>
      <w:r>
        <w:fldChar w:fldCharType="end"/>
      </w:r>
      <w:r>
        <w:fldChar w:fldCharType="end"/>
      </w:r>
    </w:p>
    <w:p w14:paraId="22E34266">
      <w:pPr>
        <w:pStyle w:val="18"/>
        <w:tabs>
          <w:tab w:val="left" w:pos="840"/>
          <w:tab w:val="right" w:leader="dot" w:pos="8296"/>
        </w:tabs>
        <w:rPr>
          <w:rFonts w:ascii="Calibri" w:hAnsi="Calibri" w:eastAsia="宋体" w:cs="Arial"/>
          <w:caps w:val="0"/>
          <w:smallCaps w:val="0"/>
          <w:sz w:val="21"/>
          <w:szCs w:val="22"/>
        </w:rPr>
      </w:pPr>
      <w:r>
        <w:fldChar w:fldCharType="begin"/>
      </w:r>
      <w:r>
        <w:instrText xml:space="preserve"> HYPERLINK \l "_Toc178176225" </w:instrText>
      </w:r>
      <w:r>
        <w:fldChar w:fldCharType="separate"/>
      </w:r>
      <w:r>
        <w:rPr>
          <w:rFonts w:hint="eastAsia" w:ascii="黑体" w:eastAsia="黑体"/>
          <w:bCs/>
        </w:rPr>
        <w:t>三、</w:t>
      </w:r>
      <w:r>
        <w:rPr>
          <w:rFonts w:ascii="Calibri" w:hAnsi="Calibri" w:eastAsia="宋体" w:cs="Arial"/>
          <w:caps w:val="0"/>
          <w:smallCaps w:val="0"/>
          <w:sz w:val="21"/>
          <w:szCs w:val="22"/>
        </w:rPr>
        <w:tab/>
      </w:r>
      <w:r>
        <w:rPr>
          <w:rFonts w:hint="eastAsia" w:ascii="黑体" w:eastAsia="黑体"/>
        </w:rPr>
        <w:t>支</w:t>
      </w:r>
      <w:r>
        <w:rPr>
          <w:rFonts w:hint="eastAsia" w:ascii="黑体" w:eastAsia="黑体"/>
          <w:bCs/>
        </w:rPr>
        <w:t>出决算情况说明</w:t>
      </w:r>
      <w:r>
        <w:tab/>
      </w:r>
      <w:r>
        <w:fldChar w:fldCharType="begin"/>
      </w:r>
      <w:r>
        <w:instrText xml:space="preserve"> PAGEREF _Toc178176225 \h </w:instrText>
      </w:r>
      <w:r>
        <w:fldChar w:fldCharType="separate"/>
      </w:r>
      <w:r>
        <w:t>4</w:t>
      </w:r>
      <w:r>
        <w:fldChar w:fldCharType="end"/>
      </w:r>
      <w:r>
        <w:fldChar w:fldCharType="end"/>
      </w:r>
    </w:p>
    <w:p w14:paraId="02C163F5">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"_Toc178176226" </w:instrText>
      </w:r>
      <w:r>
        <w:fldChar w:fldCharType="separate"/>
      </w:r>
      <w:r>
        <w:rPr>
          <w:rFonts w:hint="eastAsia" w:ascii="黑体" w:eastAsia="黑体"/>
        </w:rPr>
        <w:t>四、财</w:t>
      </w:r>
      <w:r>
        <w:rPr>
          <w:rFonts w:hint="eastAsia" w:ascii="黑体" w:eastAsia="黑体"/>
          <w:bCs/>
        </w:rPr>
        <w:t>政拨款收入支出决算总体情况说明</w:t>
      </w:r>
      <w:r>
        <w:tab/>
      </w:r>
      <w:r>
        <w:fldChar w:fldCharType="begin"/>
      </w:r>
      <w:r>
        <w:instrText xml:space="preserve"> PAGEREF _Toc178176226 \h </w:instrText>
      </w:r>
      <w:r>
        <w:fldChar w:fldCharType="separate"/>
      </w:r>
      <w:r>
        <w:t>5</w:t>
      </w:r>
      <w:r>
        <w:fldChar w:fldCharType="end"/>
      </w:r>
      <w:r>
        <w:fldChar w:fldCharType="end"/>
      </w:r>
    </w:p>
    <w:p w14:paraId="14B83B0B">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"_Toc178176227" </w:instrText>
      </w:r>
      <w:r>
        <w:fldChar w:fldCharType="separate"/>
      </w:r>
      <w:r>
        <w:rPr>
          <w:rFonts w:hint="eastAsia" w:ascii="黑体" w:eastAsia="黑体"/>
        </w:rPr>
        <w:t>五、</w:t>
      </w:r>
      <w:r>
        <w:rPr>
          <w:rFonts w:hint="eastAsia" w:ascii="黑体" w:eastAsia="黑体"/>
          <w:b/>
        </w:rPr>
        <w:t>一</w:t>
      </w:r>
      <w:r>
        <w:rPr>
          <w:rFonts w:hint="eastAsia" w:ascii="黑体" w:eastAsia="黑体"/>
          <w:bCs/>
        </w:rPr>
        <w:t>般公共预算财政拨款支出决算情况说明</w:t>
      </w:r>
      <w:r>
        <w:tab/>
      </w:r>
      <w:r>
        <w:fldChar w:fldCharType="begin"/>
      </w:r>
      <w:r>
        <w:instrText xml:space="preserve"> PAGEREF _Toc178176227 \h </w:instrText>
      </w:r>
      <w:r>
        <w:fldChar w:fldCharType="separate"/>
      </w:r>
      <w:r>
        <w:t>5</w:t>
      </w:r>
      <w:r>
        <w:fldChar w:fldCharType="end"/>
      </w:r>
      <w:r>
        <w:fldChar w:fldCharType="end"/>
      </w:r>
    </w:p>
    <w:p w14:paraId="36EA396C">
      <w:pPr>
        <w:pStyle w:val="9"/>
        <w:tabs>
          <w:tab w:val="right" w:leader="dot" w:pos="8296"/>
        </w:tabs>
        <w:rPr>
          <w:rFonts w:ascii="Calibri" w:hAnsi="Calibri" w:eastAsia="宋体" w:cs="Arial"/>
          <w:i w:val="0"/>
          <w:iCs w:val="0"/>
          <w:sz w:val="21"/>
          <w:szCs w:val="22"/>
        </w:rPr>
      </w:pPr>
      <w:r>
        <w:fldChar w:fldCharType="begin"/>
      </w:r>
      <w:r>
        <w:instrText xml:space="preserve"> HYPERLINK \l "_Toc178176228" </w:instrText>
      </w:r>
      <w:r>
        <w:fldChar w:fldCharType="separate"/>
      </w:r>
      <w:r>
        <w:rPr>
          <w:rFonts w:hint="eastAsia" w:ascii="仿宋" w:eastAsia="仿宋"/>
          <w:b/>
          <w:i w:val="0"/>
        </w:rPr>
        <w:t>（一）一般公共预算财政拨款支出决算总体情况</w:t>
      </w:r>
      <w:r>
        <w:rPr>
          <w:i w:val="0"/>
        </w:rPr>
        <w:tab/>
      </w:r>
      <w:r>
        <w:rPr>
          <w:i w:val="0"/>
        </w:rPr>
        <w:fldChar w:fldCharType="begin"/>
      </w:r>
      <w:r>
        <w:rPr>
          <w:i w:val="0"/>
        </w:rPr>
        <w:instrText xml:space="preserve"> PAGEREF _Toc178176228 \h </w:instrText>
      </w:r>
      <w:r>
        <w:rPr>
          <w:i w:val="0"/>
        </w:rPr>
        <w:fldChar w:fldCharType="separate"/>
      </w:r>
      <w:r>
        <w:rPr>
          <w:i w:val="0"/>
        </w:rPr>
        <w:t>5</w:t>
      </w:r>
      <w:r>
        <w:rPr>
          <w:i w:val="0"/>
        </w:rPr>
        <w:fldChar w:fldCharType="end"/>
      </w:r>
      <w:r>
        <w:rPr>
          <w:i w:val="0"/>
        </w:rPr>
        <w:fldChar w:fldCharType="end"/>
      </w:r>
    </w:p>
    <w:p w14:paraId="5667382E">
      <w:pPr>
        <w:pStyle w:val="9"/>
        <w:tabs>
          <w:tab w:val="right" w:leader="dot" w:pos="8296"/>
        </w:tabs>
        <w:rPr>
          <w:rFonts w:ascii="Calibri" w:hAnsi="Calibri" w:eastAsia="宋体" w:cs="Arial"/>
          <w:i w:val="0"/>
          <w:iCs w:val="0"/>
          <w:sz w:val="21"/>
          <w:szCs w:val="22"/>
        </w:rPr>
      </w:pPr>
      <w:r>
        <w:fldChar w:fldCharType="begin"/>
      </w:r>
      <w:r>
        <w:instrText xml:space="preserve"> HYPERLINK \l "_Toc178176229" </w:instrText>
      </w:r>
      <w:r>
        <w:fldChar w:fldCharType="separate"/>
      </w:r>
      <w:r>
        <w:rPr>
          <w:rFonts w:hint="eastAsia" w:ascii="仿宋" w:eastAsia="仿宋"/>
          <w:b/>
          <w:i w:val="0"/>
        </w:rPr>
        <w:t>（二）一般公共预算财政拨款支出决算结构情况</w:t>
      </w:r>
      <w:r>
        <w:rPr>
          <w:i w:val="0"/>
        </w:rPr>
        <w:tab/>
      </w:r>
      <w:r>
        <w:rPr>
          <w:i w:val="0"/>
        </w:rPr>
        <w:fldChar w:fldCharType="begin"/>
      </w:r>
      <w:r>
        <w:rPr>
          <w:i w:val="0"/>
        </w:rPr>
        <w:instrText xml:space="preserve"> PAGEREF _Toc178176229 \h </w:instrText>
      </w:r>
      <w:r>
        <w:rPr>
          <w:i w:val="0"/>
        </w:rPr>
        <w:fldChar w:fldCharType="separate"/>
      </w:r>
      <w:r>
        <w:rPr>
          <w:i w:val="0"/>
        </w:rPr>
        <w:t>6</w:t>
      </w:r>
      <w:r>
        <w:rPr>
          <w:i w:val="0"/>
        </w:rPr>
        <w:fldChar w:fldCharType="end"/>
      </w:r>
      <w:r>
        <w:rPr>
          <w:i w:val="0"/>
        </w:rPr>
        <w:fldChar w:fldCharType="end"/>
      </w:r>
    </w:p>
    <w:p w14:paraId="4A87EA95">
      <w:pPr>
        <w:pStyle w:val="9"/>
        <w:tabs>
          <w:tab w:val="right" w:leader="dot" w:pos="8296"/>
        </w:tabs>
        <w:rPr>
          <w:rFonts w:ascii="Calibri" w:hAnsi="Calibri" w:eastAsia="宋体" w:cs="Arial"/>
          <w:i w:val="0"/>
          <w:iCs w:val="0"/>
          <w:sz w:val="21"/>
          <w:szCs w:val="22"/>
        </w:rPr>
      </w:pPr>
      <w:r>
        <w:fldChar w:fldCharType="begin"/>
      </w:r>
      <w:r>
        <w:instrText xml:space="preserve"> HYPERLINK \l "_Toc178176230" </w:instrText>
      </w:r>
      <w:r>
        <w:fldChar w:fldCharType="separate"/>
      </w:r>
      <w:r>
        <w:rPr>
          <w:rFonts w:hint="eastAsia" w:ascii="仿宋" w:eastAsia="仿宋"/>
          <w:b/>
          <w:i w:val="0"/>
        </w:rPr>
        <w:t>（三）一般公共预算财政拨款支出决算具体情况</w:t>
      </w:r>
      <w:r>
        <w:rPr>
          <w:i w:val="0"/>
        </w:rPr>
        <w:tab/>
      </w:r>
      <w:r>
        <w:rPr>
          <w:i w:val="0"/>
        </w:rPr>
        <w:fldChar w:fldCharType="begin"/>
      </w:r>
      <w:r>
        <w:rPr>
          <w:i w:val="0"/>
        </w:rPr>
        <w:instrText xml:space="preserve"> PAGEREF _Toc178176230 \h </w:instrText>
      </w:r>
      <w:r>
        <w:rPr>
          <w:i w:val="0"/>
        </w:rPr>
        <w:fldChar w:fldCharType="separate"/>
      </w:r>
      <w:r>
        <w:rPr>
          <w:i w:val="0"/>
        </w:rPr>
        <w:t>6</w:t>
      </w:r>
      <w:r>
        <w:rPr>
          <w:i w:val="0"/>
        </w:rPr>
        <w:fldChar w:fldCharType="end"/>
      </w:r>
      <w:r>
        <w:rPr>
          <w:i w:val="0"/>
        </w:rPr>
        <w:fldChar w:fldCharType="end"/>
      </w:r>
    </w:p>
    <w:p w14:paraId="06817D64">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"_Toc178176231" </w:instrText>
      </w:r>
      <w:r>
        <w:fldChar w:fldCharType="separate"/>
      </w:r>
      <w:r>
        <w:rPr>
          <w:rFonts w:hint="eastAsia" w:ascii="黑体" w:eastAsia="黑体"/>
        </w:rPr>
        <w:t>六</w:t>
      </w:r>
      <w:r>
        <w:rPr>
          <w:rFonts w:hint="eastAsia" w:ascii="黑体" w:eastAsia="黑体"/>
          <w:b/>
        </w:rPr>
        <w:t>、一</w:t>
      </w:r>
      <w:r>
        <w:rPr>
          <w:rFonts w:hint="eastAsia" w:ascii="黑体" w:eastAsia="黑体"/>
          <w:bCs/>
        </w:rPr>
        <w:t>般公共预算财政拨款基本支出决算情况说明</w:t>
      </w:r>
      <w:r>
        <w:tab/>
      </w:r>
      <w:r>
        <w:fldChar w:fldCharType="begin"/>
      </w:r>
      <w:r>
        <w:instrText xml:space="preserve"> PAGEREF _Toc178176231 \h </w:instrText>
      </w:r>
      <w:r>
        <w:fldChar w:fldCharType="separate"/>
      </w:r>
      <w:r>
        <w:t>7</w:t>
      </w:r>
      <w:r>
        <w:fldChar w:fldCharType="end"/>
      </w:r>
      <w:r>
        <w:fldChar w:fldCharType="end"/>
      </w:r>
    </w:p>
    <w:p w14:paraId="28D50483">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"_Toc178176232" </w:instrText>
      </w:r>
      <w:r>
        <w:fldChar w:fldCharType="separate"/>
      </w:r>
      <w:r>
        <w:rPr>
          <w:rFonts w:hint="eastAsia" w:ascii="黑体" w:eastAsia="黑体"/>
        </w:rPr>
        <w:t>七、</w:t>
      </w:r>
      <w:r>
        <w:rPr>
          <w:rFonts w:ascii="黑体" w:eastAsia="黑体"/>
          <w:b/>
          <w:bCs/>
        </w:rPr>
        <w:t>“</w:t>
      </w:r>
      <w:r>
        <w:rPr>
          <w:rFonts w:hint="eastAsia" w:ascii="黑体" w:eastAsia="黑体"/>
          <w:bCs/>
        </w:rPr>
        <w:t>三公”经费财政拨款支出决算情况说明</w:t>
      </w:r>
      <w:r>
        <w:tab/>
      </w:r>
      <w:r>
        <w:fldChar w:fldCharType="begin"/>
      </w:r>
      <w:r>
        <w:instrText xml:space="preserve"> PAGEREF _Toc178176232 \h </w:instrText>
      </w:r>
      <w:r>
        <w:fldChar w:fldCharType="separate"/>
      </w:r>
      <w:r>
        <w:t>8</w:t>
      </w:r>
      <w:r>
        <w:fldChar w:fldCharType="end"/>
      </w:r>
      <w:r>
        <w:fldChar w:fldCharType="end"/>
      </w:r>
    </w:p>
    <w:p w14:paraId="65527463">
      <w:pPr>
        <w:pStyle w:val="9"/>
        <w:tabs>
          <w:tab w:val="right" w:leader="dot" w:pos="8296"/>
        </w:tabs>
        <w:rPr>
          <w:rFonts w:ascii="Calibri" w:hAnsi="Calibri" w:eastAsia="宋体" w:cs="Arial"/>
          <w:i w:val="0"/>
          <w:iCs w:val="0"/>
          <w:sz w:val="21"/>
          <w:szCs w:val="22"/>
        </w:rPr>
      </w:pPr>
      <w:r>
        <w:fldChar w:fldCharType="begin"/>
      </w:r>
      <w:r>
        <w:instrText xml:space="preserve"> HYPERLINK \l "_Toc178176233" </w:instrText>
      </w:r>
      <w:r>
        <w:fldChar w:fldCharType="separate"/>
      </w:r>
      <w:r>
        <w:rPr>
          <w:rFonts w:hint="eastAsia" w:ascii="仿宋" w:eastAsia="仿宋"/>
          <w:b/>
          <w:i w:val="0"/>
        </w:rPr>
        <w:t>（一）“三公”经费财政拨款支出决算总体情况说明</w:t>
      </w:r>
      <w:r>
        <w:rPr>
          <w:i w:val="0"/>
        </w:rPr>
        <w:tab/>
      </w:r>
      <w:r>
        <w:rPr>
          <w:i w:val="0"/>
        </w:rPr>
        <w:fldChar w:fldCharType="begin"/>
      </w:r>
      <w:r>
        <w:rPr>
          <w:i w:val="0"/>
        </w:rPr>
        <w:instrText xml:space="preserve"> PAGEREF _Toc178176233 \h </w:instrText>
      </w:r>
      <w:r>
        <w:rPr>
          <w:i w:val="0"/>
        </w:rPr>
        <w:fldChar w:fldCharType="separate"/>
      </w:r>
      <w:r>
        <w:rPr>
          <w:i w:val="0"/>
        </w:rPr>
        <w:t>8</w:t>
      </w:r>
      <w:r>
        <w:rPr>
          <w:i w:val="0"/>
        </w:rPr>
        <w:fldChar w:fldCharType="end"/>
      </w:r>
      <w:r>
        <w:rPr>
          <w:i w:val="0"/>
        </w:rPr>
        <w:fldChar w:fldCharType="end"/>
      </w:r>
    </w:p>
    <w:p w14:paraId="0D79963F">
      <w:pPr>
        <w:pStyle w:val="9"/>
        <w:tabs>
          <w:tab w:val="right" w:leader="dot" w:pos="8296"/>
        </w:tabs>
        <w:rPr>
          <w:rFonts w:ascii="Calibri" w:hAnsi="Calibri" w:eastAsia="宋体" w:cs="Arial"/>
          <w:i w:val="0"/>
          <w:iCs w:val="0"/>
          <w:sz w:val="21"/>
          <w:szCs w:val="22"/>
        </w:rPr>
      </w:pPr>
      <w:r>
        <w:fldChar w:fldCharType="begin"/>
      </w:r>
      <w:r>
        <w:instrText xml:space="preserve"> HYPERLINK \l "_Toc178176234" </w:instrText>
      </w:r>
      <w:r>
        <w:fldChar w:fldCharType="separate"/>
      </w:r>
      <w:r>
        <w:rPr>
          <w:rFonts w:hint="eastAsia" w:ascii="仿宋" w:eastAsia="仿宋"/>
          <w:b/>
          <w:i w:val="0"/>
        </w:rPr>
        <w:t>（二）“三公”经费财政拨款支出决算具体情况说明</w:t>
      </w:r>
      <w:r>
        <w:rPr>
          <w:i w:val="0"/>
        </w:rPr>
        <w:tab/>
      </w:r>
      <w:r>
        <w:rPr>
          <w:i w:val="0"/>
        </w:rPr>
        <w:fldChar w:fldCharType="begin"/>
      </w:r>
      <w:r>
        <w:rPr>
          <w:i w:val="0"/>
        </w:rPr>
        <w:instrText xml:space="preserve"> PAGEREF _Toc178176234 \h </w:instrText>
      </w:r>
      <w:r>
        <w:rPr>
          <w:i w:val="0"/>
        </w:rPr>
        <w:fldChar w:fldCharType="separate"/>
      </w:r>
      <w:r>
        <w:rPr>
          <w:i w:val="0"/>
        </w:rPr>
        <w:t>8</w:t>
      </w:r>
      <w:r>
        <w:rPr>
          <w:i w:val="0"/>
        </w:rPr>
        <w:fldChar w:fldCharType="end"/>
      </w:r>
      <w:r>
        <w:rPr>
          <w:i w:val="0"/>
        </w:rPr>
        <w:fldChar w:fldCharType="end"/>
      </w:r>
    </w:p>
    <w:p w14:paraId="2F216ED2">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"_Toc178176235" </w:instrText>
      </w:r>
      <w:r>
        <w:fldChar w:fldCharType="separate"/>
      </w:r>
      <w:r>
        <w:rPr>
          <w:rFonts w:hint="eastAsia" w:ascii="黑体" w:eastAsia="黑体"/>
        </w:rPr>
        <w:t>八、</w:t>
      </w:r>
      <w:r>
        <w:rPr>
          <w:rFonts w:hint="eastAsia" w:ascii="黑体" w:eastAsia="黑体"/>
          <w:bCs/>
        </w:rPr>
        <w:t>政府性基金预算支出决算情况说明</w:t>
      </w:r>
      <w:r>
        <w:tab/>
      </w:r>
      <w:r>
        <w:fldChar w:fldCharType="begin"/>
      </w:r>
      <w:r>
        <w:instrText xml:space="preserve"> PAGEREF _Toc178176235 \h </w:instrText>
      </w:r>
      <w:r>
        <w:fldChar w:fldCharType="separate"/>
      </w:r>
      <w:r>
        <w:t>9</w:t>
      </w:r>
      <w:r>
        <w:fldChar w:fldCharType="end"/>
      </w:r>
      <w:r>
        <w:fldChar w:fldCharType="end"/>
      </w:r>
    </w:p>
    <w:p w14:paraId="5B4D2926">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"_Toc178176236" </w:instrText>
      </w:r>
      <w:r>
        <w:fldChar w:fldCharType="separate"/>
      </w:r>
      <w:r>
        <w:rPr>
          <w:rFonts w:hint="eastAsia" w:ascii="黑体" w:eastAsia="黑体"/>
          <w:bCs/>
        </w:rPr>
        <w:t>九、 国有资本经营预算支出决算情况说明</w:t>
      </w:r>
      <w:r>
        <w:tab/>
      </w:r>
      <w:r>
        <w:fldChar w:fldCharType="begin"/>
      </w:r>
      <w:r>
        <w:instrText xml:space="preserve"> PAGEREF _Toc178176236 \h </w:instrText>
      </w:r>
      <w:r>
        <w:fldChar w:fldCharType="separate"/>
      </w:r>
      <w:r>
        <w:t>9</w:t>
      </w:r>
      <w:r>
        <w:fldChar w:fldCharType="end"/>
      </w:r>
      <w:r>
        <w:fldChar w:fldCharType="end"/>
      </w:r>
    </w:p>
    <w:p w14:paraId="041AE0B8">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"_Toc178176237" </w:instrText>
      </w:r>
      <w:r>
        <w:fldChar w:fldCharType="separate"/>
      </w:r>
      <w:r>
        <w:rPr>
          <w:rFonts w:hint="eastAsia" w:ascii="黑体" w:eastAsia="黑体"/>
        </w:rPr>
        <w:t>十</w:t>
      </w:r>
      <w:r>
        <w:rPr>
          <w:rFonts w:hint="eastAsia" w:ascii="黑体" w:eastAsia="黑体"/>
          <w:b/>
          <w:bCs/>
        </w:rPr>
        <w:t>、</w:t>
      </w:r>
      <w:r>
        <w:rPr>
          <w:rFonts w:hint="eastAsia" w:ascii="黑体" w:eastAsia="黑体"/>
          <w:bCs/>
        </w:rPr>
        <w:t>其他重要事项的情况说明</w:t>
      </w:r>
      <w:r>
        <w:tab/>
      </w:r>
      <w:r>
        <w:fldChar w:fldCharType="begin"/>
      </w:r>
      <w:r>
        <w:instrText xml:space="preserve"> PAGEREF _Toc178176237 \h </w:instrText>
      </w:r>
      <w:r>
        <w:fldChar w:fldCharType="separate"/>
      </w:r>
      <w:r>
        <w:t>9</w:t>
      </w:r>
      <w:r>
        <w:fldChar w:fldCharType="end"/>
      </w:r>
      <w:r>
        <w:fldChar w:fldCharType="end"/>
      </w:r>
    </w:p>
    <w:p w14:paraId="1EDEE210">
      <w:pPr>
        <w:pStyle w:val="9"/>
        <w:tabs>
          <w:tab w:val="right" w:leader="dot" w:pos="8296"/>
        </w:tabs>
        <w:rPr>
          <w:rFonts w:ascii="Calibri" w:hAnsi="Calibri" w:eastAsia="宋体" w:cs="Arial"/>
          <w:i w:val="0"/>
          <w:iCs w:val="0"/>
          <w:sz w:val="21"/>
          <w:szCs w:val="22"/>
        </w:rPr>
      </w:pPr>
      <w:r>
        <w:fldChar w:fldCharType="begin"/>
      </w:r>
      <w:r>
        <w:instrText xml:space="preserve"> HYPERLINK \l "_Toc178176238" </w:instrText>
      </w:r>
      <w:r>
        <w:fldChar w:fldCharType="separate"/>
      </w:r>
      <w:r>
        <w:rPr>
          <w:rFonts w:hint="eastAsia" w:ascii="仿宋" w:eastAsia="仿宋"/>
          <w:b/>
          <w:i w:val="0"/>
        </w:rPr>
        <w:t>（一）机关运行经费支出情况</w:t>
      </w:r>
      <w:r>
        <w:rPr>
          <w:i w:val="0"/>
        </w:rPr>
        <w:tab/>
      </w:r>
      <w:r>
        <w:rPr>
          <w:rFonts w:hint="eastAsia"/>
          <w:i w:val="0"/>
          <w:lang w:val="en-US" w:eastAsia="zh-CN"/>
        </w:rPr>
        <w:t>9</w:t>
      </w:r>
      <w:r>
        <w:rPr>
          <w:i w:val="0"/>
        </w:rPr>
        <w:fldChar w:fldCharType="end"/>
      </w:r>
    </w:p>
    <w:p w14:paraId="4103F516">
      <w:pPr>
        <w:pStyle w:val="9"/>
        <w:tabs>
          <w:tab w:val="right" w:leader="dot" w:pos="8296"/>
        </w:tabs>
        <w:rPr>
          <w:rFonts w:ascii="Calibri" w:hAnsi="Calibri" w:eastAsia="宋体" w:cs="Arial"/>
          <w:i w:val="0"/>
          <w:iCs w:val="0"/>
          <w:sz w:val="21"/>
          <w:szCs w:val="22"/>
        </w:rPr>
      </w:pPr>
      <w:r>
        <w:fldChar w:fldCharType="begin"/>
      </w:r>
      <w:r>
        <w:instrText xml:space="preserve"> HYPERLINK \l "_Toc178176239" </w:instrText>
      </w:r>
      <w:r>
        <w:fldChar w:fldCharType="separate"/>
      </w:r>
      <w:r>
        <w:rPr>
          <w:rFonts w:hint="eastAsia" w:ascii="仿宋" w:eastAsia="仿宋"/>
          <w:b/>
          <w:i w:val="0"/>
        </w:rPr>
        <w:t>（二）政府采购支出情况</w:t>
      </w:r>
      <w:r>
        <w:rPr>
          <w:i w:val="0"/>
        </w:rPr>
        <w:tab/>
      </w:r>
      <w:r>
        <w:rPr>
          <w:rFonts w:hint="eastAsia"/>
          <w:i w:val="0"/>
          <w:lang w:val="en-US" w:eastAsia="zh-CN"/>
        </w:rPr>
        <w:t>9</w:t>
      </w:r>
      <w:r>
        <w:rPr>
          <w:i w:val="0"/>
        </w:rPr>
        <w:fldChar w:fldCharType="end"/>
      </w:r>
    </w:p>
    <w:p w14:paraId="289B67B1">
      <w:pPr>
        <w:pStyle w:val="9"/>
        <w:tabs>
          <w:tab w:val="right" w:leader="dot" w:pos="8296"/>
        </w:tabs>
        <w:rPr>
          <w:rFonts w:ascii="Calibri" w:hAnsi="Calibri" w:eastAsia="宋体" w:cs="Arial"/>
          <w:i w:val="0"/>
          <w:iCs w:val="0"/>
          <w:sz w:val="21"/>
          <w:szCs w:val="22"/>
        </w:rPr>
      </w:pPr>
      <w:r>
        <w:fldChar w:fldCharType="begin"/>
      </w:r>
      <w:r>
        <w:instrText xml:space="preserve"> HYPERLINK \l "_Toc178176240" </w:instrText>
      </w:r>
      <w:r>
        <w:fldChar w:fldCharType="separate"/>
      </w:r>
      <w:r>
        <w:rPr>
          <w:rFonts w:hint="eastAsia" w:ascii="仿宋" w:eastAsia="仿宋"/>
          <w:b/>
          <w:i w:val="0"/>
        </w:rPr>
        <w:t>（三）国有资产占有使用情况</w:t>
      </w:r>
      <w:r>
        <w:rPr>
          <w:i w:val="0"/>
        </w:rPr>
        <w:tab/>
      </w:r>
      <w:r>
        <w:rPr>
          <w:i w:val="0"/>
        </w:rPr>
        <w:fldChar w:fldCharType="begin"/>
      </w:r>
      <w:r>
        <w:rPr>
          <w:i w:val="0"/>
        </w:rPr>
        <w:instrText xml:space="preserve"> PAGEREF _Toc178176240 \h </w:instrText>
      </w:r>
      <w:r>
        <w:rPr>
          <w:i w:val="0"/>
        </w:rPr>
        <w:fldChar w:fldCharType="separate"/>
      </w:r>
      <w:r>
        <w:rPr>
          <w:i w:val="0"/>
        </w:rPr>
        <w:t>10</w:t>
      </w:r>
      <w:r>
        <w:rPr>
          <w:i w:val="0"/>
        </w:rPr>
        <w:fldChar w:fldCharType="end"/>
      </w:r>
      <w:r>
        <w:rPr>
          <w:i w:val="0"/>
        </w:rPr>
        <w:fldChar w:fldCharType="end"/>
      </w:r>
    </w:p>
    <w:p w14:paraId="7B247F2E">
      <w:pPr>
        <w:pStyle w:val="9"/>
        <w:tabs>
          <w:tab w:val="right" w:leader="dot" w:pos="8296"/>
        </w:tabs>
        <w:rPr>
          <w:rFonts w:ascii="Calibri" w:hAnsi="Calibri" w:eastAsia="宋体" w:cs="Arial"/>
          <w:i w:val="0"/>
          <w:iCs w:val="0"/>
          <w:sz w:val="21"/>
          <w:szCs w:val="22"/>
        </w:rPr>
      </w:pPr>
      <w:r>
        <w:fldChar w:fldCharType="begin"/>
      </w:r>
      <w:r>
        <w:instrText xml:space="preserve"> HYPERLINK \l "_Toc178176241" </w:instrText>
      </w:r>
      <w:r>
        <w:fldChar w:fldCharType="separate"/>
      </w:r>
      <w:r>
        <w:rPr>
          <w:rFonts w:hint="eastAsia" w:ascii="仿宋" w:eastAsia="仿宋"/>
          <w:b/>
          <w:i w:val="0"/>
        </w:rPr>
        <w:t>（四）预算绩效管理情况</w:t>
      </w:r>
      <w:r>
        <w:rPr>
          <w:i w:val="0"/>
        </w:rPr>
        <w:tab/>
      </w:r>
      <w:r>
        <w:rPr>
          <w:i w:val="0"/>
        </w:rPr>
        <w:fldChar w:fldCharType="begin"/>
      </w:r>
      <w:r>
        <w:rPr>
          <w:i w:val="0"/>
        </w:rPr>
        <w:instrText xml:space="preserve"> PAGEREF _Toc178176241 \h </w:instrText>
      </w:r>
      <w:r>
        <w:rPr>
          <w:i w:val="0"/>
        </w:rPr>
        <w:fldChar w:fldCharType="separate"/>
      </w:r>
      <w:r>
        <w:rPr>
          <w:i w:val="0"/>
        </w:rPr>
        <w:t>10</w:t>
      </w:r>
      <w:r>
        <w:rPr>
          <w:i w:val="0"/>
        </w:rPr>
        <w:fldChar w:fldCharType="end"/>
      </w:r>
      <w:r>
        <w:rPr>
          <w:i w:val="0"/>
        </w:rPr>
        <w:fldChar w:fldCharType="end"/>
      </w:r>
    </w:p>
    <w:p w14:paraId="62914F7C">
      <w:pPr>
        <w:pStyle w:val="14"/>
        <w:tabs>
          <w:tab w:val="right" w:leader="dot" w:pos="8296"/>
        </w:tabs>
        <w:spacing w:before="0" w:after="0"/>
        <w:rPr>
          <w:rFonts w:ascii="Calibri" w:hAnsi="Calibri" w:eastAsia="宋体" w:cs="Arial"/>
          <w:b w:val="0"/>
          <w:bCs w:val="0"/>
          <w:caps w:val="0"/>
          <w:smallCaps w:val="0"/>
          <w:sz w:val="21"/>
          <w:szCs w:val="22"/>
        </w:rPr>
      </w:pPr>
      <w:r>
        <w:fldChar w:fldCharType="begin"/>
      </w:r>
      <w:r>
        <w:instrText xml:space="preserve"> HYPERLINK \l "_Toc178176242" </w:instrText>
      </w:r>
      <w:r>
        <w:fldChar w:fldCharType="separate"/>
      </w:r>
      <w:r>
        <w:rPr>
          <w:rFonts w:hint="eastAsia" w:ascii="黑体" w:eastAsia="黑体"/>
          <w:kern w:val="44"/>
        </w:rPr>
        <w:t>第三部分</w:t>
      </w:r>
      <w:r>
        <w:rPr>
          <w:rFonts w:hint="eastAsia" w:ascii="黑体" w:eastAsia="黑体"/>
        </w:rPr>
        <w:t xml:space="preserve"> 名</w:t>
      </w:r>
      <w:r>
        <w:rPr>
          <w:rFonts w:hint="eastAsia" w:ascii="黑体" w:eastAsia="黑体"/>
          <w:kern w:val="44"/>
        </w:rPr>
        <w:t>词解释</w:t>
      </w:r>
      <w:r>
        <w:tab/>
      </w:r>
      <w:r>
        <w:fldChar w:fldCharType="begin"/>
      </w:r>
      <w:r>
        <w:instrText xml:space="preserve"> PAGEREF _Toc178176242 \h </w:instrText>
      </w:r>
      <w:r>
        <w:fldChar w:fldCharType="separate"/>
      </w:r>
      <w:r>
        <w:t>11</w:t>
      </w:r>
      <w:r>
        <w:fldChar w:fldCharType="end"/>
      </w:r>
      <w:r>
        <w:fldChar w:fldCharType="end"/>
      </w:r>
    </w:p>
    <w:p w14:paraId="65950B4F">
      <w:pPr>
        <w:pStyle w:val="14"/>
        <w:tabs>
          <w:tab w:val="right" w:leader="dot" w:pos="8296"/>
        </w:tabs>
        <w:spacing w:before="0" w:after="0"/>
        <w:rPr>
          <w:rFonts w:ascii="Calibri" w:hAnsi="Calibri" w:eastAsia="宋体" w:cs="Arial"/>
          <w:b w:val="0"/>
          <w:bCs w:val="0"/>
          <w:caps w:val="0"/>
          <w:smallCaps w:val="0"/>
          <w:sz w:val="21"/>
          <w:szCs w:val="22"/>
        </w:rPr>
      </w:pPr>
      <w:r>
        <w:fldChar w:fldCharType="begin"/>
      </w:r>
      <w:r>
        <w:instrText xml:space="preserve"> HYPERLINK \l "_Toc178176243" </w:instrText>
      </w:r>
      <w:r>
        <w:fldChar w:fldCharType="separate"/>
      </w:r>
      <w:r>
        <w:rPr>
          <w:rFonts w:hint="eastAsia" w:ascii="黑体" w:eastAsia="黑体"/>
        </w:rPr>
        <w:t>第</w:t>
      </w:r>
      <w:r>
        <w:rPr>
          <w:rFonts w:hint="eastAsia" w:ascii="黑体" w:eastAsia="黑体"/>
          <w:kern w:val="44"/>
        </w:rPr>
        <w:t>四部分</w:t>
      </w:r>
      <w:r>
        <w:rPr>
          <w:rFonts w:ascii="黑体" w:eastAsia="黑体"/>
          <w:kern w:val="44"/>
        </w:rPr>
        <w:t xml:space="preserve"> </w:t>
      </w:r>
      <w:r>
        <w:rPr>
          <w:rFonts w:hint="eastAsia" w:ascii="黑体" w:eastAsia="黑体"/>
          <w:kern w:val="44"/>
        </w:rPr>
        <w:t>附件</w:t>
      </w:r>
      <w:r>
        <w:tab/>
      </w:r>
      <w:r>
        <w:fldChar w:fldCharType="begin"/>
      </w:r>
      <w:r>
        <w:instrText xml:space="preserve"> PAGEREF _Toc178176243 \h </w:instrText>
      </w:r>
      <w:r>
        <w:fldChar w:fldCharType="separate"/>
      </w:r>
      <w:r>
        <w:t>14</w:t>
      </w:r>
      <w:r>
        <w:fldChar w:fldCharType="end"/>
      </w:r>
      <w:r>
        <w:fldChar w:fldCharType="end"/>
      </w:r>
    </w:p>
    <w:p w14:paraId="6ED5AFEC">
      <w:pPr>
        <w:pStyle w:val="14"/>
        <w:tabs>
          <w:tab w:val="right" w:leader="dot" w:pos="8296"/>
        </w:tabs>
        <w:spacing w:before="0" w:after="0"/>
        <w:rPr>
          <w:rFonts w:hint="eastAsia" w:ascii="Calibri" w:hAnsi="Calibri" w:eastAsia="等线" w:cs="Arial"/>
          <w:b w:val="0"/>
          <w:bCs w:val="0"/>
          <w:caps w:val="0"/>
          <w:smallCaps w:val="0"/>
          <w:sz w:val="21"/>
          <w:szCs w:val="22"/>
          <w:lang w:val="en-US" w:eastAsia="zh-CN"/>
        </w:rPr>
      </w:pPr>
      <w:r>
        <w:fldChar w:fldCharType="begin"/>
      </w:r>
      <w:r>
        <w:instrText xml:space="preserve">HYPERLINK \l "_Toc178176243"</w:instrText>
      </w:r>
      <w:r>
        <w:fldChar w:fldCharType="separate"/>
      </w:r>
      <w:r>
        <w:rPr>
          <w:rFonts w:hint="eastAsia" w:ascii="黑体" w:eastAsia="黑体"/>
        </w:rPr>
        <w:t>第</w:t>
      </w:r>
      <w:r>
        <w:rPr>
          <w:rFonts w:hint="eastAsia" w:ascii="黑体" w:eastAsia="黑体"/>
          <w:kern w:val="44"/>
        </w:rPr>
        <w:t>五部分</w:t>
      </w:r>
      <w:r>
        <w:rPr>
          <w:rFonts w:ascii="黑体" w:eastAsia="黑体"/>
          <w:kern w:val="44"/>
        </w:rPr>
        <w:t xml:space="preserve"> </w:t>
      </w:r>
      <w:r>
        <w:rPr>
          <w:rFonts w:hint="eastAsia" w:ascii="黑体" w:eastAsia="黑体"/>
          <w:kern w:val="44"/>
        </w:rPr>
        <w:t>附表</w:t>
      </w:r>
      <w:r>
        <w:tab/>
      </w:r>
      <w:r>
        <w:rPr>
          <w:rFonts w:hint="eastAsia"/>
          <w:lang w:val="en-US" w:eastAsia="zh-CN"/>
        </w:rPr>
        <w:t>3</w:t>
      </w:r>
      <w:r>
        <w:fldChar w:fldCharType="end"/>
      </w:r>
      <w:r>
        <w:rPr>
          <w:rFonts w:hint="eastAsia"/>
          <w:lang w:val="en-US" w:eastAsia="zh-CN"/>
        </w:rPr>
        <w:t>4</w:t>
      </w:r>
    </w:p>
    <w:p w14:paraId="22FBDA92">
      <w:pPr>
        <w:pStyle w:val="18"/>
        <w:tabs>
          <w:tab w:val="right" w:leader="dot" w:pos="8296"/>
        </w:tabs>
        <w:rPr>
          <w:rFonts w:hint="eastAsia" w:ascii="Calibri" w:hAnsi="Calibri" w:eastAsia="等线" w:cs="Arial"/>
          <w:smallCaps w:val="0"/>
          <w:sz w:val="21"/>
          <w:szCs w:val="22"/>
          <w:lang w:val="en-US" w:eastAsia="zh-CN"/>
        </w:rPr>
      </w:pPr>
      <w:r>
        <w:fldChar w:fldCharType="end"/>
      </w:r>
      <w:r>
        <w:fldChar w:fldCharType="begin"/>
      </w:r>
      <w:r>
        <w:instrText xml:space="preserve">TOC \o "1-3" \h \u </w:instrText>
      </w:r>
      <w:r>
        <w:fldChar w:fldCharType="separate"/>
      </w:r>
      <w:r>
        <w:fldChar w:fldCharType="begin"/>
      </w:r>
      <w:r>
        <w:instrText xml:space="preserve"> HYPERLINK \l "_Toc144822118" </w:instrText>
      </w:r>
      <w:r>
        <w:fldChar w:fldCharType="separate"/>
      </w:r>
      <w:r>
        <w:rPr>
          <w:rFonts w:hint="eastAsia" w:ascii="仿宋" w:eastAsia="仿宋"/>
        </w:rPr>
        <w:t>一、收入支出决算总表</w:t>
      </w:r>
      <w:r>
        <w:tab/>
      </w:r>
      <w:r>
        <w:rPr>
          <w:rFonts w:hint="eastAsia"/>
          <w:lang w:val="en-US" w:eastAsia="zh-CN"/>
        </w:rPr>
        <w:t>3</w:t>
      </w:r>
      <w:r>
        <w:fldChar w:fldCharType="end"/>
      </w:r>
      <w:r>
        <w:rPr>
          <w:rFonts w:hint="eastAsia"/>
          <w:lang w:val="en-US" w:eastAsia="zh-CN"/>
        </w:rPr>
        <w:t>4</w:t>
      </w:r>
    </w:p>
    <w:p w14:paraId="462478DE">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"_Toc144822119" </w:instrText>
      </w:r>
      <w:r>
        <w:fldChar w:fldCharType="separate"/>
      </w:r>
      <w:r>
        <w:rPr>
          <w:rFonts w:hint="eastAsia" w:ascii="仿宋" w:eastAsia="仿宋"/>
        </w:rPr>
        <w:t>二、收入决算表</w:t>
      </w:r>
      <w:r>
        <w:tab/>
      </w:r>
      <w:r>
        <w:rPr>
          <w:rFonts w:hint="eastAsia"/>
          <w:lang w:val="en-US" w:eastAsia="zh-CN"/>
        </w:rPr>
        <w:t>3</w:t>
      </w:r>
      <w:r>
        <w:fldChar w:fldCharType="end"/>
      </w:r>
      <w:r>
        <w:rPr>
          <w:rFonts w:hint="eastAsia"/>
          <w:lang w:val="en-US" w:eastAsia="zh-CN"/>
        </w:rPr>
        <w:t>4</w:t>
      </w:r>
    </w:p>
    <w:p w14:paraId="07474B14">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"_Toc144822120" </w:instrText>
      </w:r>
      <w:r>
        <w:fldChar w:fldCharType="separate"/>
      </w:r>
      <w:r>
        <w:rPr>
          <w:rFonts w:hint="eastAsia" w:ascii="仿宋" w:eastAsia="仿宋"/>
        </w:rPr>
        <w:t>三、支出决算表</w:t>
      </w:r>
      <w:r>
        <w:tab/>
      </w:r>
      <w:r>
        <w:rPr>
          <w:rFonts w:hint="eastAsia"/>
          <w:lang w:val="en-US" w:eastAsia="zh-CN"/>
        </w:rPr>
        <w:t>3</w:t>
      </w:r>
      <w:r>
        <w:fldChar w:fldCharType="end"/>
      </w:r>
      <w:r>
        <w:rPr>
          <w:rFonts w:hint="eastAsia"/>
          <w:lang w:val="en-US" w:eastAsia="zh-CN"/>
        </w:rPr>
        <w:t>4</w:t>
      </w:r>
    </w:p>
    <w:p w14:paraId="651EBD80">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"_Toc144822121" </w:instrText>
      </w:r>
      <w:r>
        <w:fldChar w:fldCharType="separate"/>
      </w:r>
      <w:r>
        <w:rPr>
          <w:rFonts w:hint="eastAsia" w:ascii="仿宋" w:eastAsia="仿宋"/>
        </w:rPr>
        <w:t>四、财政拨款收入支出决算总表</w:t>
      </w:r>
      <w:r>
        <w:tab/>
      </w:r>
      <w:r>
        <w:rPr>
          <w:rFonts w:hint="eastAsia"/>
          <w:lang w:val="en-US" w:eastAsia="zh-CN"/>
        </w:rPr>
        <w:t>3</w:t>
      </w:r>
      <w:r>
        <w:fldChar w:fldCharType="end"/>
      </w:r>
      <w:r>
        <w:rPr>
          <w:rFonts w:hint="eastAsia"/>
          <w:lang w:val="en-US" w:eastAsia="zh-CN"/>
        </w:rPr>
        <w:t>4</w:t>
      </w:r>
    </w:p>
    <w:p w14:paraId="75A4FFDC">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"_Toc144822122" </w:instrText>
      </w:r>
      <w:r>
        <w:fldChar w:fldCharType="separate"/>
      </w:r>
      <w:r>
        <w:rPr>
          <w:rFonts w:hint="eastAsia" w:ascii="仿宋" w:eastAsia="仿宋"/>
        </w:rPr>
        <w:t>五、财政拨款支出决算明细表</w:t>
      </w:r>
      <w:r>
        <w:tab/>
      </w:r>
      <w:r>
        <w:rPr>
          <w:rFonts w:hint="eastAsia"/>
          <w:lang w:val="en-US" w:eastAsia="zh-CN"/>
        </w:rPr>
        <w:t>3</w:t>
      </w:r>
      <w:r>
        <w:fldChar w:fldCharType="end"/>
      </w:r>
      <w:r>
        <w:rPr>
          <w:rFonts w:hint="eastAsia"/>
          <w:lang w:val="en-US" w:eastAsia="zh-CN"/>
        </w:rPr>
        <w:t>4</w:t>
      </w:r>
    </w:p>
    <w:p w14:paraId="2404F48E">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"_Toc144822123" </w:instrText>
      </w:r>
      <w:r>
        <w:fldChar w:fldCharType="separate"/>
      </w:r>
      <w:r>
        <w:rPr>
          <w:rFonts w:hint="eastAsia" w:ascii="仿宋" w:eastAsia="仿宋"/>
        </w:rPr>
        <w:t>六、一般公共预算财政拨款支出决算表</w:t>
      </w:r>
      <w:r>
        <w:tab/>
      </w:r>
      <w:r>
        <w:rPr>
          <w:rFonts w:hint="eastAsia"/>
          <w:lang w:val="en-US" w:eastAsia="zh-CN"/>
        </w:rPr>
        <w:t>3</w:t>
      </w:r>
      <w:r>
        <w:fldChar w:fldCharType="end"/>
      </w:r>
      <w:r>
        <w:rPr>
          <w:rFonts w:hint="eastAsia"/>
          <w:lang w:val="en-US" w:eastAsia="zh-CN"/>
        </w:rPr>
        <w:t>4</w:t>
      </w:r>
    </w:p>
    <w:p w14:paraId="2F0229DD">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"_Toc144822124" </w:instrText>
      </w:r>
      <w:r>
        <w:fldChar w:fldCharType="separate"/>
      </w:r>
      <w:r>
        <w:rPr>
          <w:rFonts w:hint="eastAsia" w:ascii="仿宋" w:eastAsia="仿宋"/>
        </w:rPr>
        <w:t>七、一般公共预算财政拨款支出决算明细表</w:t>
      </w:r>
      <w:r>
        <w:tab/>
      </w:r>
      <w:r>
        <w:rPr>
          <w:rFonts w:hint="eastAsia"/>
          <w:lang w:val="en-US" w:eastAsia="zh-CN"/>
        </w:rPr>
        <w:t>3</w:t>
      </w:r>
      <w:r>
        <w:fldChar w:fldCharType="end"/>
      </w:r>
      <w:r>
        <w:rPr>
          <w:rFonts w:hint="eastAsia"/>
          <w:lang w:val="en-US" w:eastAsia="zh-CN"/>
        </w:rPr>
        <w:t>4</w:t>
      </w:r>
    </w:p>
    <w:p w14:paraId="064F690D">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"_Toc144822125" </w:instrText>
      </w:r>
      <w:r>
        <w:fldChar w:fldCharType="separate"/>
      </w:r>
      <w:r>
        <w:rPr>
          <w:rFonts w:hint="eastAsia" w:ascii="仿宋" w:eastAsia="仿宋"/>
        </w:rPr>
        <w:t>八、一般公共预算财政拨款基本支出决算</w:t>
      </w:r>
      <w:r>
        <w:rPr>
          <w:rFonts w:hint="eastAsia" w:ascii="仿宋" w:eastAsia="仿宋"/>
          <w:lang w:eastAsia="zh-CN"/>
        </w:rPr>
        <w:t>明细</w:t>
      </w:r>
      <w:r>
        <w:rPr>
          <w:rFonts w:hint="eastAsia" w:ascii="仿宋" w:eastAsia="仿宋"/>
        </w:rPr>
        <w:t>表</w:t>
      </w:r>
      <w:r>
        <w:tab/>
      </w:r>
      <w:r>
        <w:rPr>
          <w:rFonts w:hint="eastAsia"/>
          <w:lang w:val="en-US" w:eastAsia="zh-CN"/>
        </w:rPr>
        <w:t>3</w:t>
      </w:r>
      <w:r>
        <w:fldChar w:fldCharType="end"/>
      </w:r>
      <w:r>
        <w:rPr>
          <w:rFonts w:hint="eastAsia"/>
          <w:lang w:val="en-US" w:eastAsia="zh-CN"/>
        </w:rPr>
        <w:t>4</w:t>
      </w:r>
    </w:p>
    <w:p w14:paraId="209928D8">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"_Toc144822126" </w:instrText>
      </w:r>
      <w:r>
        <w:fldChar w:fldCharType="separate"/>
      </w:r>
      <w:r>
        <w:rPr>
          <w:rFonts w:hint="eastAsia" w:ascii="仿宋" w:eastAsia="仿宋"/>
        </w:rPr>
        <w:t>九、一般公共预算财政拨款项目支出决算表</w:t>
      </w:r>
      <w:r>
        <w:tab/>
      </w:r>
      <w:r>
        <w:rPr>
          <w:rFonts w:hint="eastAsia"/>
          <w:lang w:val="en-US" w:eastAsia="zh-CN"/>
        </w:rPr>
        <w:t>3</w:t>
      </w:r>
      <w:r>
        <w:fldChar w:fldCharType="end"/>
      </w:r>
      <w:r>
        <w:rPr>
          <w:rFonts w:hint="eastAsia"/>
          <w:lang w:val="en-US" w:eastAsia="zh-CN"/>
        </w:rPr>
        <w:t>4</w:t>
      </w:r>
    </w:p>
    <w:p w14:paraId="1BDB24A1">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"_Toc144822127" </w:instrText>
      </w:r>
      <w:r>
        <w:fldChar w:fldCharType="separate"/>
      </w:r>
      <w:r>
        <w:rPr>
          <w:rFonts w:hint="eastAsia" w:ascii="仿宋" w:eastAsia="仿宋"/>
        </w:rPr>
        <w:t>十、政府性基金预算财政拨款收入支出决算表</w:t>
      </w:r>
      <w:r>
        <w:tab/>
      </w:r>
      <w:r>
        <w:rPr>
          <w:rFonts w:hint="eastAsia"/>
          <w:lang w:val="en-US" w:eastAsia="zh-CN"/>
        </w:rPr>
        <w:t>3</w:t>
      </w:r>
      <w:r>
        <w:fldChar w:fldCharType="end"/>
      </w:r>
      <w:r>
        <w:rPr>
          <w:rFonts w:hint="eastAsia"/>
          <w:lang w:val="en-US" w:eastAsia="zh-CN"/>
        </w:rPr>
        <w:t>4</w:t>
      </w:r>
    </w:p>
    <w:p w14:paraId="5A2DED32">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"_Toc144822128" </w:instrText>
      </w:r>
      <w:r>
        <w:fldChar w:fldCharType="separate"/>
      </w:r>
      <w:r>
        <w:rPr>
          <w:rFonts w:hint="eastAsia" w:ascii="仿宋" w:eastAsia="仿宋"/>
        </w:rPr>
        <w:t>十一、国有资本经营预算财政拨款</w:t>
      </w:r>
      <w:r>
        <w:rPr>
          <w:rFonts w:hint="eastAsia" w:ascii="仿宋" w:eastAsia="仿宋"/>
          <w:lang w:eastAsia="zh-CN"/>
        </w:rPr>
        <w:t>收入</w:t>
      </w:r>
      <w:r>
        <w:rPr>
          <w:rFonts w:hint="eastAsia" w:ascii="仿宋" w:eastAsia="仿宋"/>
        </w:rPr>
        <w:t>支出决算表</w:t>
      </w:r>
      <w:r>
        <w:tab/>
      </w:r>
      <w:r>
        <w:rPr>
          <w:rFonts w:hint="eastAsia"/>
          <w:lang w:val="en-US" w:eastAsia="zh-CN"/>
        </w:rPr>
        <w:t>3</w:t>
      </w:r>
      <w:r>
        <w:fldChar w:fldCharType="end"/>
      </w:r>
      <w:r>
        <w:rPr>
          <w:rFonts w:hint="eastAsia"/>
          <w:lang w:val="en-US" w:eastAsia="zh-CN"/>
        </w:rPr>
        <w:t>4</w:t>
      </w:r>
    </w:p>
    <w:p w14:paraId="4FE1D251">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"_Toc144822129" </w:instrText>
      </w:r>
      <w:r>
        <w:fldChar w:fldCharType="separate"/>
      </w:r>
      <w:r>
        <w:rPr>
          <w:rFonts w:hint="eastAsia" w:ascii="仿宋" w:eastAsia="仿宋"/>
        </w:rPr>
        <w:t>十二、国有资本经营预算财政拨款支出决算表</w:t>
      </w:r>
      <w:r>
        <w:tab/>
      </w:r>
      <w:r>
        <w:rPr>
          <w:rFonts w:hint="eastAsia"/>
          <w:lang w:val="en-US" w:eastAsia="zh-CN"/>
        </w:rPr>
        <w:t>3</w:t>
      </w:r>
      <w:r>
        <w:fldChar w:fldCharType="end"/>
      </w:r>
      <w:r>
        <w:rPr>
          <w:rFonts w:hint="eastAsia"/>
          <w:lang w:val="en-US" w:eastAsia="zh-CN"/>
        </w:rPr>
        <w:t>4</w:t>
      </w:r>
    </w:p>
    <w:p w14:paraId="51414951">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"_Toc144822130" </w:instrText>
      </w:r>
      <w:r>
        <w:fldChar w:fldCharType="separate"/>
      </w:r>
      <w:r>
        <w:rPr>
          <w:rFonts w:hint="eastAsia" w:ascii="仿宋" w:eastAsia="仿宋"/>
        </w:rPr>
        <w:t>十三、财政拨款“三公”经费支出决算表</w:t>
      </w:r>
      <w:r>
        <w:tab/>
      </w:r>
      <w:r>
        <w:rPr>
          <w:rFonts w:hint="eastAsia"/>
          <w:lang w:val="en-US" w:eastAsia="zh-CN"/>
        </w:rPr>
        <w:t>3</w:t>
      </w:r>
      <w:r>
        <w:fldChar w:fldCharType="end"/>
      </w:r>
      <w:r>
        <w:rPr>
          <w:rFonts w:hint="eastAsia"/>
          <w:lang w:val="en-US" w:eastAsia="zh-CN"/>
        </w:rPr>
        <w:t>4</w:t>
      </w:r>
    </w:p>
    <w:p w14:paraId="1A8C7C3E">
      <w:pPr>
        <w:spacing w:line="576" w:lineRule="exact"/>
      </w:pPr>
      <w:r>
        <w:fldChar w:fldCharType="end"/>
      </w:r>
    </w:p>
    <w:p w14:paraId="5048CFF5">
      <w:pPr>
        <w:pStyle w:val="2"/>
        <w:spacing w:line="576" w:lineRule="exact"/>
        <w:jc w:val="center"/>
        <w:rPr>
          <w:rFonts w:ascii="黑体" w:eastAsia="黑体"/>
          <w:b w:val="0"/>
        </w:rPr>
      </w:pPr>
      <w:bookmarkStart w:id="0" w:name="_Toc178176219"/>
      <w:r>
        <w:rPr>
          <w:rFonts w:hint="eastAsia" w:ascii="黑体" w:eastAsia="黑体"/>
          <w:b w:val="0"/>
        </w:rPr>
        <w:t>第一部分 部门概况</w:t>
      </w:r>
      <w:bookmarkEnd w:id="0"/>
    </w:p>
    <w:p w14:paraId="52663514">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b w:val="0"/>
          <w:color w:val="000000"/>
        </w:rPr>
      </w:pPr>
      <w:bookmarkStart w:id="1" w:name="_Toc178176220"/>
      <w:r>
        <w:rPr>
          <w:rFonts w:hint="eastAsia" w:ascii="黑体" w:eastAsia="黑体"/>
          <w:b w:val="0"/>
          <w:color w:val="000000"/>
        </w:rPr>
        <w:t>一、部门职责</w:t>
      </w:r>
      <w:bookmarkEnd w:id="1"/>
    </w:p>
    <w:p w14:paraId="76A8F7EA">
      <w:pPr>
        <w:pStyle w:val="2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eastAsia="仿宋_GB2312" w:cs="仿宋_GB2312"/>
          <w:color w:val="2E2E2E"/>
          <w:sz w:val="32"/>
          <w:szCs w:val="32"/>
        </w:rPr>
      </w:pPr>
      <w:bookmarkStart w:id="2" w:name="_Toc79163604"/>
      <w:bookmarkStart w:id="3" w:name="_Toc15377199"/>
      <w:bookmarkStart w:id="4" w:name="_Toc79163854"/>
      <w:bookmarkStart w:id="5" w:name="_Toc15378446"/>
      <w:r>
        <w:rPr>
          <w:rFonts w:hint="eastAsia" w:ascii="仿宋_GB2312" w:eastAsia="仿宋_GB2312" w:cs="仿宋_GB2312"/>
          <w:color w:val="2E2E2E"/>
          <w:sz w:val="32"/>
          <w:szCs w:val="32"/>
        </w:rPr>
        <w:t>1.贯彻实施《中华人民共和国档案法》及档案工作的法律、法规和方针政策，进行行政执法监督；制定实施全县档案事业发展规划和档案工作的规章制度。</w:t>
      </w:r>
    </w:p>
    <w:p w14:paraId="1090AD2E">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2.监管对国家和社会具有保存价值或应当保密的集体和个人档案。</w:t>
      </w:r>
    </w:p>
    <w:p w14:paraId="3C9B37CC">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3.对全县各级机关、团体、企业事业单位和其他组织、重点项目的档案工作进行监督和指导，审查制定县级各专业系统的档案管理办法，组织全县档案信息资源开发工作。</w:t>
      </w:r>
    </w:p>
    <w:p w14:paraId="7D5C8385">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4.集中统一管理县级各机关、团体及其所属单位重要的档案资料，维护档案的完整，确保档案资料的安全。</w:t>
      </w:r>
    </w:p>
    <w:p w14:paraId="2BDECD71">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5.负责接收县级机关、团体及其所属单位的档案资料，研究并组织实施馆藏档案的保管、整理、编目、统计、鉴定、解密、利用、开放等工作；征集本县散失的档案资料；做好档案资料的编辑出版工作；推进档案工作的科学管理和现代化建设；为社会各方面提供服务。</w:t>
      </w:r>
    </w:p>
    <w:p w14:paraId="1301A5C1">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6.组织并指导全县档案理论和科学技术研究、档案保护、档案教育、档案宣传、档案干部培训和档案专业技术职务评审工作。</w:t>
      </w:r>
    </w:p>
    <w:p w14:paraId="5444C4F0">
      <w:pPr>
        <w:snapToGrid w:val="0"/>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7.完成县委、县政府、省、州档案局（馆）交办的有关事项。</w:t>
      </w:r>
    </w:p>
    <w:bookmarkEnd w:id="2"/>
    <w:bookmarkEnd w:id="3"/>
    <w:bookmarkEnd w:id="4"/>
    <w:bookmarkEnd w:id="5"/>
    <w:p w14:paraId="7B0AFD31">
      <w:pPr>
        <w:pStyle w:val="3"/>
        <w:keepNext/>
        <w:keepLines/>
        <w:pageBreakBefore w:val="0"/>
        <w:widowControl w:val="0"/>
        <w:kinsoku/>
        <w:wordWrap/>
        <w:overflowPunct/>
        <w:topLinePunct w:val="0"/>
        <w:autoSpaceDE/>
        <w:autoSpaceDN/>
        <w:bidi w:val="0"/>
        <w:adjustRightInd/>
        <w:snapToGrid/>
        <w:spacing w:before="0" w:after="0" w:afterAutospacing="0" w:line="576" w:lineRule="exact"/>
        <w:ind w:firstLine="640" w:firstLineChars="200"/>
        <w:textAlignment w:val="auto"/>
        <w:rPr>
          <w:rFonts w:ascii="黑体" w:eastAsia="黑体"/>
          <w:b w:val="0"/>
          <w:color w:val="000000"/>
        </w:rPr>
      </w:pPr>
      <w:bookmarkStart w:id="6" w:name="_Toc178176221"/>
      <w:r>
        <w:rPr>
          <w:rFonts w:hint="eastAsia" w:ascii="黑体" w:eastAsia="黑体"/>
          <w:b w:val="0"/>
          <w:color w:val="000000"/>
        </w:rPr>
        <w:t>二、机构设置</w:t>
      </w:r>
      <w:bookmarkEnd w:id="6"/>
    </w:p>
    <w:p w14:paraId="796B140B">
      <w:pPr>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四川省阿坝州茂县档案馆</w:t>
      </w:r>
      <w:r>
        <w:rPr>
          <w:rFonts w:hint="eastAsia" w:ascii="仿宋_GB2312" w:eastAsia="仿宋_GB2312" w:cs="仿宋_GB2312"/>
          <w:sz w:val="32"/>
          <w:szCs w:val="32"/>
          <w:lang w:eastAsia="zh-CN"/>
        </w:rPr>
        <w:t>下属二级预算单位</w:t>
      </w:r>
      <w:r>
        <w:rPr>
          <w:rFonts w:hint="eastAsia" w:ascii="仿宋_GB2312" w:eastAsia="仿宋_GB2312" w:cs="仿宋_GB2312"/>
          <w:sz w:val="32"/>
          <w:szCs w:val="32"/>
          <w:lang w:val="en-US" w:eastAsia="zh-CN"/>
        </w:rPr>
        <w:t>0个，其中行政单位0个，参照公务员管理的事业单位0个，其他事业单位0个</w:t>
      </w:r>
      <w:r>
        <w:rPr>
          <w:rFonts w:hint="eastAsia" w:ascii="仿宋_GB2312" w:eastAsia="仿宋_GB2312" w:cs="仿宋_GB2312"/>
          <w:sz w:val="32"/>
          <w:szCs w:val="32"/>
        </w:rPr>
        <w:t>。</w:t>
      </w:r>
    </w:p>
    <w:p w14:paraId="7BBD9BE9">
      <w:pPr>
        <w:pStyle w:val="2"/>
        <w:keepNext w:val="0"/>
        <w:keepLines w:val="0"/>
        <w:pageBreakBefore w:val="0"/>
        <w:widowControl/>
        <w:kinsoku/>
        <w:wordWrap/>
        <w:overflowPunct/>
        <w:topLinePunct w:val="0"/>
        <w:autoSpaceDE/>
        <w:autoSpaceDN/>
        <w:bidi w:val="0"/>
        <w:adjustRightInd/>
        <w:snapToGrid/>
        <w:spacing w:before="0" w:after="0" w:afterAutospacing="0" w:line="576" w:lineRule="exact"/>
        <w:jc w:val="center"/>
        <w:textAlignment w:val="auto"/>
      </w:pPr>
      <w:bookmarkStart w:id="7" w:name="_Toc178176222"/>
      <w:r>
        <w:t>第二部分 202</w:t>
      </w:r>
      <w:r>
        <w:rPr>
          <w:rFonts w:hint="eastAsia"/>
          <w:lang w:val="en-US" w:eastAsia="zh-CN"/>
        </w:rPr>
        <w:t>4</w:t>
      </w:r>
      <w:r>
        <w:t>年度部门决算情况说明</w:t>
      </w:r>
      <w:bookmarkEnd w:id="7"/>
    </w:p>
    <w:p w14:paraId="7E6B0468">
      <w:pPr>
        <w:pStyle w:val="32"/>
        <w:pageBreakBefore w:val="0"/>
        <w:widowControl w:val="0"/>
        <w:numPr>
          <w:ilvl w:val="0"/>
          <w:numId w:val="1"/>
        </w:numPr>
        <w:kinsoku/>
        <w:wordWrap/>
        <w:overflowPunct/>
        <w:topLinePunct w:val="0"/>
        <w:autoSpaceDE/>
        <w:autoSpaceDN/>
        <w:bidi w:val="0"/>
        <w:adjustRightInd/>
        <w:snapToGrid/>
        <w:spacing w:afterAutospacing="0" w:line="576" w:lineRule="exact"/>
        <w:ind w:firstLineChars="0"/>
        <w:textAlignment w:val="auto"/>
        <w:outlineLvl w:val="1"/>
        <w:rPr>
          <w:rFonts w:ascii="黑体" w:eastAsia="黑体"/>
          <w:color w:val="000000"/>
          <w:sz w:val="32"/>
          <w:szCs w:val="32"/>
        </w:rPr>
      </w:pPr>
      <w:bookmarkStart w:id="8" w:name="_Toc178176223"/>
      <w:r>
        <w:rPr>
          <w:rFonts w:hint="eastAsia" w:ascii="黑体" w:eastAsia="黑体"/>
          <w:color w:val="000000"/>
          <w:sz w:val="32"/>
          <w:szCs w:val="32"/>
        </w:rPr>
        <w:t>收入支出决算总体情况说明</w:t>
      </w:r>
      <w:bookmarkEnd w:id="8"/>
    </w:p>
    <w:p w14:paraId="39B4ADE3">
      <w:pPr>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年度收、支总</w:t>
      </w:r>
      <w:r>
        <w:rPr>
          <w:rFonts w:hint="eastAsia" w:ascii="仿宋_GB2312" w:eastAsia="仿宋_GB2312" w:cs="仿宋_GB2312"/>
          <w:color w:val="000000"/>
          <w:sz w:val="32"/>
          <w:szCs w:val="32"/>
          <w:lang w:eastAsia="zh-CN"/>
        </w:rPr>
        <w:t>计各</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万元。与202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年相比，收、支总计各增加</w:t>
      </w:r>
      <w:r>
        <w:rPr>
          <w:rFonts w:hint="eastAsia" w:ascii="仿宋_GB2312" w:eastAsia="仿宋_GB2312" w:cs="仿宋_GB2312"/>
          <w:color w:val="000000"/>
          <w:sz w:val="32"/>
          <w:szCs w:val="32"/>
          <w:lang w:val="en-US" w:eastAsia="zh-CN"/>
        </w:rPr>
        <w:t>119.46万</w:t>
      </w:r>
      <w:r>
        <w:rPr>
          <w:rFonts w:hint="eastAsia" w:ascii="仿宋_GB2312" w:eastAsia="仿宋_GB2312" w:cs="仿宋_GB2312"/>
          <w:color w:val="000000"/>
          <w:sz w:val="32"/>
          <w:szCs w:val="32"/>
        </w:rPr>
        <w:t>元，增长</w:t>
      </w:r>
      <w:r>
        <w:rPr>
          <w:rFonts w:hint="eastAsia" w:ascii="仿宋_GB2312" w:eastAsia="仿宋_GB2312" w:cs="仿宋_GB2312"/>
          <w:color w:val="000000"/>
          <w:sz w:val="32"/>
          <w:szCs w:val="32"/>
          <w:lang w:val="en-US" w:eastAsia="zh-CN"/>
        </w:rPr>
        <w:t>52.25</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：数字档案馆建设费用</w:t>
      </w:r>
      <w:r>
        <w:rPr>
          <w:rFonts w:hint="eastAsia" w:ascii="仿宋_GB2312" w:eastAsia="仿宋_GB2312" w:cs="仿宋_GB2312"/>
          <w:color w:val="000000"/>
          <w:sz w:val="32"/>
          <w:szCs w:val="32"/>
        </w:rPr>
        <w:t>支出增加。</w:t>
      </w:r>
    </w:p>
    <w:p w14:paraId="0F6B61CC">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0" distR="0">
            <wp:extent cx="3790950" cy="1896110"/>
            <wp:effectExtent l="0" t="0" r="0" b="0"/>
            <wp:docPr id="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A230EB">
      <w:pPr>
        <w:pStyle w:val="32"/>
        <w:numPr>
          <w:ilvl w:val="0"/>
          <w:numId w:val="1"/>
        </w:numPr>
        <w:spacing w:line="576" w:lineRule="exact"/>
        <w:ind w:firstLineChars="0"/>
        <w:outlineLvl w:val="1"/>
        <w:rPr>
          <w:rFonts w:ascii="黑体" w:eastAsia="黑体"/>
          <w:color w:val="000000"/>
          <w:sz w:val="32"/>
          <w:szCs w:val="32"/>
        </w:rPr>
      </w:pPr>
      <w:bookmarkStart w:id="9" w:name="_Toc178176224"/>
      <w:bookmarkStart w:id="10" w:name="_Toc115101710"/>
      <w:bookmarkStart w:id="11" w:name="_Toc79163611"/>
      <w:bookmarkStart w:id="12" w:name="_Toc15396604"/>
      <w:bookmarkStart w:id="13" w:name="_Toc15377206"/>
      <w:r>
        <w:rPr>
          <w:rFonts w:hint="eastAsia" w:ascii="黑体" w:eastAsia="黑体"/>
          <w:color w:val="000000"/>
          <w:sz w:val="32"/>
          <w:szCs w:val="32"/>
        </w:rPr>
        <w:t>收入决算情况说明</w:t>
      </w:r>
      <w:bookmarkEnd w:id="9"/>
    </w:p>
    <w:p w14:paraId="44C5CE3C">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年本年收入合计</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万元，其中：一般公共预算财政拨款收入</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万元，占 100%</w:t>
      </w:r>
      <w:bookmarkEnd w:id="10"/>
      <w:bookmarkEnd w:id="11"/>
      <w:bookmarkEnd w:id="12"/>
      <w:bookmarkEnd w:id="13"/>
      <w:r>
        <w:rPr>
          <w:rFonts w:hint="eastAsia" w:ascii="仿宋_GB2312" w:eastAsia="仿宋_GB2312" w:cs="仿宋_GB2312"/>
          <w:color w:val="000000"/>
          <w:sz w:val="32"/>
          <w:szCs w:val="32"/>
        </w:rPr>
        <w:t>。</w:t>
      </w:r>
    </w:p>
    <w:p w14:paraId="3EB25A04">
      <w:pPr>
        <w:pStyle w:val="11"/>
        <w:bidi w:val="0"/>
        <w:rPr>
          <w:rFonts w:hint="eastAsia"/>
          <w:lang w:eastAsia="zh-CN"/>
        </w:rPr>
      </w:pPr>
      <w:r>
        <w:rPr>
          <w:rFonts w:hint="eastAsia"/>
          <w:lang w:eastAsia="zh-CN"/>
        </w:rPr>
        <w:drawing>
          <wp:inline distT="0" distB="0" distL="114300" distR="114300">
            <wp:extent cx="2971165" cy="1575435"/>
            <wp:effectExtent l="0" t="0" r="0" b="0"/>
            <wp:docPr id="2"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09F2DF">
      <w:pPr>
        <w:pStyle w:val="11"/>
        <w:bidi w:val="0"/>
        <w:rPr>
          <w:rFonts w:hint="eastAsia"/>
          <w:lang w:eastAsia="zh-CN"/>
        </w:rPr>
      </w:pPr>
    </w:p>
    <w:p w14:paraId="2388E21F">
      <w:pPr>
        <w:pStyle w:val="32"/>
        <w:numPr>
          <w:ilvl w:val="0"/>
          <w:numId w:val="1"/>
        </w:numPr>
        <w:spacing w:line="600" w:lineRule="exact"/>
        <w:ind w:firstLineChars="0"/>
        <w:outlineLvl w:val="1"/>
        <w:rPr>
          <w:rStyle w:val="27"/>
          <w:rFonts w:ascii="黑体" w:eastAsia="黑体"/>
          <w:b w:val="0"/>
        </w:rPr>
      </w:pPr>
      <w:bookmarkStart w:id="14" w:name="_Toc15377207"/>
      <w:bookmarkStart w:id="15" w:name="_Toc15396605"/>
      <w:bookmarkStart w:id="16" w:name="_Toc178176225"/>
      <w:bookmarkStart w:id="17" w:name="_Toc79163612"/>
      <w:bookmarkStart w:id="18" w:name="_Toc115101711"/>
      <w:r>
        <w:rPr>
          <w:rFonts w:hint="eastAsia" w:ascii="黑体" w:eastAsia="黑体"/>
          <w:color w:val="000000"/>
          <w:sz w:val="32"/>
          <w:szCs w:val="32"/>
        </w:rPr>
        <w:t>支</w:t>
      </w:r>
      <w:r>
        <w:rPr>
          <w:rStyle w:val="27"/>
          <w:rFonts w:hint="eastAsia" w:ascii="黑体" w:eastAsia="黑体"/>
          <w:b w:val="0"/>
        </w:rPr>
        <w:t>出决算情况说明</w:t>
      </w:r>
      <w:bookmarkEnd w:id="14"/>
      <w:bookmarkEnd w:id="15"/>
      <w:bookmarkEnd w:id="16"/>
      <w:bookmarkEnd w:id="17"/>
      <w:bookmarkEnd w:id="18"/>
    </w:p>
    <w:p w14:paraId="12520449">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年本年支出合计</w:t>
      </w:r>
      <w:r>
        <w:rPr>
          <w:rFonts w:hint="eastAsia" w:ascii="仿宋_GB2312" w:eastAsia="仿宋_GB2312"/>
          <w:sz w:val="32"/>
          <w:szCs w:val="32"/>
          <w:lang w:val="en-US" w:eastAsia="zh-CN"/>
        </w:rPr>
        <w:t>348.06</w:t>
      </w:r>
      <w:r>
        <w:rPr>
          <w:rFonts w:hint="eastAsia" w:ascii="仿宋_GB2312" w:eastAsia="仿宋_GB2312"/>
          <w:sz w:val="32"/>
          <w:szCs w:val="32"/>
        </w:rPr>
        <w:t>万元，其中：基本支出</w:t>
      </w:r>
      <w:r>
        <w:rPr>
          <w:rFonts w:hint="eastAsia" w:ascii="仿宋_GB2312" w:eastAsia="仿宋_GB2312"/>
          <w:sz w:val="32"/>
          <w:szCs w:val="32"/>
          <w:lang w:val="en-US" w:eastAsia="zh-CN"/>
        </w:rPr>
        <w:t>218.09</w:t>
      </w:r>
      <w:r>
        <w:rPr>
          <w:rFonts w:hint="eastAsia" w:ascii="仿宋_GB2312" w:eastAsia="仿宋_GB2312"/>
          <w:sz w:val="32"/>
          <w:szCs w:val="32"/>
        </w:rPr>
        <w:t>万元，占</w:t>
      </w:r>
      <w:r>
        <w:rPr>
          <w:rFonts w:hint="eastAsia" w:ascii="仿宋_GB2312" w:eastAsia="仿宋_GB2312"/>
          <w:sz w:val="32"/>
          <w:szCs w:val="32"/>
          <w:lang w:val="en-US" w:eastAsia="zh-CN"/>
        </w:rPr>
        <w:t>62.66</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129.97</w:t>
      </w:r>
      <w:r>
        <w:rPr>
          <w:rFonts w:hint="eastAsia" w:ascii="仿宋_GB2312" w:eastAsia="仿宋_GB2312"/>
          <w:sz w:val="32"/>
          <w:szCs w:val="32"/>
        </w:rPr>
        <w:t>万元，占</w:t>
      </w:r>
      <w:r>
        <w:rPr>
          <w:rFonts w:hint="eastAsia" w:ascii="仿宋_GB2312" w:eastAsia="仿宋_GB2312"/>
          <w:sz w:val="32"/>
          <w:szCs w:val="32"/>
          <w:lang w:val="en-US" w:eastAsia="zh-CN"/>
        </w:rPr>
        <w:t>37.34</w:t>
      </w:r>
      <w:r>
        <w:rPr>
          <w:rFonts w:ascii="仿宋_GB2312" w:eastAsia="仿宋_GB2312"/>
          <w:sz w:val="32"/>
          <w:szCs w:val="32"/>
        </w:rPr>
        <w:t>%</w:t>
      </w:r>
      <w:r>
        <w:rPr>
          <w:rFonts w:hint="eastAsia" w:ascii="仿宋_GB2312" w:eastAsia="仿宋_GB2312"/>
          <w:sz w:val="32"/>
          <w:szCs w:val="32"/>
        </w:rPr>
        <w:t>。</w:t>
      </w:r>
    </w:p>
    <w:p w14:paraId="317F8243">
      <w:pPr>
        <w:ind w:firstLine="420" w:firstLineChars="200"/>
        <w:rPr>
          <w:rFonts w:hint="eastAsia" w:ascii="仿宋" w:eastAsia="仿宋"/>
          <w:color w:val="000000"/>
          <w:lang w:eastAsia="zh-CN"/>
        </w:rPr>
      </w:pPr>
      <w:r>
        <w:rPr>
          <w:rFonts w:hint="eastAsia" w:ascii="仿宋" w:eastAsia="仿宋"/>
          <w:color w:val="000000"/>
          <w:lang w:eastAsia="zh-CN"/>
        </w:rPr>
        <w:drawing>
          <wp:inline distT="0" distB="0" distL="114300" distR="114300">
            <wp:extent cx="3335020" cy="1957070"/>
            <wp:effectExtent l="0" t="0" r="0" b="0"/>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CDB02F">
      <w:pPr>
        <w:spacing w:line="600" w:lineRule="exact"/>
        <w:ind w:firstLine="640" w:firstLineChars="200"/>
        <w:outlineLvl w:val="1"/>
        <w:rPr>
          <w:rStyle w:val="27"/>
          <w:rFonts w:ascii="黑体" w:eastAsia="黑体"/>
          <w:b w:val="0"/>
        </w:rPr>
      </w:pPr>
      <w:bookmarkStart w:id="19" w:name="_Toc178176226"/>
      <w:bookmarkStart w:id="20" w:name="_Toc79163613"/>
      <w:bookmarkStart w:id="21" w:name="_Toc15377208"/>
      <w:bookmarkStart w:id="22" w:name="_Toc15396606"/>
      <w:bookmarkStart w:id="23" w:name="_Toc115101712"/>
      <w:r>
        <w:rPr>
          <w:rFonts w:hint="eastAsia" w:ascii="黑体" w:eastAsia="黑体"/>
          <w:color w:val="000000"/>
          <w:sz w:val="32"/>
          <w:szCs w:val="32"/>
        </w:rPr>
        <w:t>四、财</w:t>
      </w:r>
      <w:r>
        <w:rPr>
          <w:rStyle w:val="27"/>
          <w:rFonts w:hint="eastAsia" w:ascii="黑体" w:eastAsia="黑体"/>
          <w:b w:val="0"/>
        </w:rPr>
        <w:t>政拨款收入支出决算总体情况说明</w:t>
      </w:r>
      <w:bookmarkEnd w:id="19"/>
      <w:bookmarkEnd w:id="20"/>
      <w:bookmarkEnd w:id="21"/>
      <w:bookmarkEnd w:id="22"/>
      <w:bookmarkEnd w:id="23"/>
    </w:p>
    <w:p w14:paraId="51E69E2F">
      <w:pPr>
        <w:spacing w:line="576" w:lineRule="exact"/>
        <w:ind w:firstLine="640" w:firstLineChars="200"/>
        <w:rPr>
          <w:rFonts w:ascii="仿宋" w:eastAsia="仿宋"/>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年财政拨款收、支总计</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万元。与202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年相比，财政拨款收、支总计各增加</w:t>
      </w:r>
      <w:r>
        <w:rPr>
          <w:rFonts w:hint="eastAsia" w:ascii="仿宋_GB2312" w:eastAsia="仿宋_GB2312" w:cs="仿宋_GB2312"/>
          <w:color w:val="000000"/>
          <w:sz w:val="32"/>
          <w:szCs w:val="32"/>
          <w:lang w:val="en-US" w:eastAsia="zh-CN"/>
        </w:rPr>
        <w:t>119.46</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52.25</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：数字档案馆建设费用</w:t>
      </w:r>
      <w:r>
        <w:rPr>
          <w:rFonts w:hint="eastAsia" w:ascii="仿宋_GB2312" w:eastAsia="仿宋_GB2312" w:cs="仿宋_GB2312"/>
          <w:color w:val="000000"/>
          <w:sz w:val="32"/>
          <w:szCs w:val="32"/>
        </w:rPr>
        <w:t>支出增加。</w:t>
      </w:r>
    </w:p>
    <w:p w14:paraId="4CD7F9F5">
      <w:pPr>
        <w:rPr>
          <w:rFonts w:ascii="仿宋" w:eastAsia="仿宋"/>
          <w:color w:val="000000"/>
        </w:rPr>
      </w:pPr>
      <w:r>
        <w:rPr>
          <w:rFonts w:hint="eastAsia" w:ascii="仿宋" w:eastAsia="仿宋"/>
          <w:color w:val="000000"/>
        </w:rPr>
        <w:drawing>
          <wp:inline distT="0" distB="0" distL="0" distR="0">
            <wp:extent cx="3790950" cy="1896110"/>
            <wp:effectExtent l="0" t="0" r="0" b="0"/>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F3A94E">
      <w:pPr>
        <w:spacing w:line="600" w:lineRule="exact"/>
        <w:ind w:firstLine="640" w:firstLineChars="200"/>
        <w:outlineLvl w:val="1"/>
        <w:rPr>
          <w:rStyle w:val="27"/>
          <w:rFonts w:ascii="黑体" w:eastAsia="黑体"/>
          <w:b w:val="0"/>
        </w:rPr>
      </w:pPr>
      <w:bookmarkStart w:id="24" w:name="_Toc79163614"/>
      <w:bookmarkStart w:id="25" w:name="_Toc15377209"/>
      <w:bookmarkStart w:id="26" w:name="_Toc178176227"/>
      <w:bookmarkStart w:id="27" w:name="_Toc15396607"/>
      <w:bookmarkStart w:id="28" w:name="_Toc115101713"/>
      <w:r>
        <w:rPr>
          <w:rFonts w:hint="eastAsia" w:ascii="黑体" w:eastAsia="黑体"/>
          <w:color w:val="000000"/>
          <w:sz w:val="32"/>
          <w:szCs w:val="32"/>
        </w:rPr>
        <w:t>五、</w:t>
      </w:r>
      <w:r>
        <w:rPr>
          <w:rFonts w:hint="eastAsia" w:ascii="黑体" w:eastAsia="黑体"/>
          <w:b/>
          <w:color w:val="000000"/>
          <w:sz w:val="32"/>
          <w:szCs w:val="32"/>
        </w:rPr>
        <w:t>一</w:t>
      </w:r>
      <w:r>
        <w:rPr>
          <w:rStyle w:val="27"/>
          <w:rFonts w:hint="eastAsia" w:ascii="黑体" w:eastAsia="黑体"/>
          <w:b w:val="0"/>
        </w:rPr>
        <w:t>般公共预算财政拨款支出决算情况说明</w:t>
      </w:r>
      <w:bookmarkEnd w:id="24"/>
      <w:bookmarkEnd w:id="25"/>
      <w:bookmarkEnd w:id="26"/>
      <w:bookmarkEnd w:id="27"/>
      <w:bookmarkEnd w:id="28"/>
    </w:p>
    <w:p w14:paraId="461AEA15">
      <w:pPr>
        <w:spacing w:line="600" w:lineRule="exact"/>
        <w:ind w:firstLine="643" w:firstLineChars="200"/>
        <w:outlineLvl w:val="2"/>
        <w:rPr>
          <w:rFonts w:ascii="仿宋" w:eastAsia="仿宋"/>
          <w:b/>
          <w:color w:val="000000"/>
          <w:sz w:val="32"/>
          <w:szCs w:val="32"/>
        </w:rPr>
      </w:pPr>
      <w:bookmarkStart w:id="29" w:name="_Toc15377210"/>
      <w:bookmarkStart w:id="30" w:name="_Toc79163615"/>
      <w:bookmarkStart w:id="31" w:name="_Toc115101714"/>
      <w:bookmarkStart w:id="32" w:name="_Toc178176228"/>
      <w:r>
        <w:rPr>
          <w:rFonts w:hint="eastAsia" w:ascii="仿宋" w:eastAsia="仿宋"/>
          <w:b/>
          <w:color w:val="000000"/>
          <w:sz w:val="32"/>
          <w:szCs w:val="32"/>
        </w:rPr>
        <w:t>（一）一般公共预算财政拨款支出决算总体情况</w:t>
      </w:r>
      <w:bookmarkEnd w:id="29"/>
      <w:bookmarkEnd w:id="30"/>
      <w:bookmarkEnd w:id="31"/>
      <w:bookmarkEnd w:id="32"/>
    </w:p>
    <w:p w14:paraId="0A03754A">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年一般公共预算财政拨款支出</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万元，占本年支出合计的100%。与202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年相比，一般公共预算财政拨款增加</w:t>
      </w:r>
      <w:r>
        <w:rPr>
          <w:rFonts w:hint="eastAsia" w:ascii="仿宋_GB2312" w:eastAsia="仿宋_GB2312" w:cs="仿宋_GB2312"/>
          <w:color w:val="000000"/>
          <w:sz w:val="32"/>
          <w:szCs w:val="32"/>
          <w:lang w:val="en-US" w:eastAsia="zh-CN"/>
        </w:rPr>
        <w:t>119.46</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52.25</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：数字档案馆建设费用</w:t>
      </w:r>
      <w:r>
        <w:rPr>
          <w:rFonts w:hint="eastAsia" w:ascii="仿宋_GB2312" w:eastAsia="仿宋_GB2312" w:cs="仿宋_GB2312"/>
          <w:color w:val="000000"/>
          <w:sz w:val="32"/>
          <w:szCs w:val="32"/>
        </w:rPr>
        <w:t>支出增加。</w:t>
      </w:r>
    </w:p>
    <w:p w14:paraId="37FC5FC1">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2852420" cy="1934845"/>
            <wp:effectExtent l="0" t="0" r="0" b="0"/>
            <wp:docPr id="5"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E4B72D">
      <w:pPr>
        <w:spacing w:line="600" w:lineRule="exact"/>
        <w:ind w:firstLine="643" w:firstLineChars="200"/>
        <w:outlineLvl w:val="2"/>
        <w:rPr>
          <w:rFonts w:ascii="仿宋" w:eastAsia="仿宋"/>
          <w:b/>
          <w:color w:val="000000"/>
          <w:sz w:val="32"/>
          <w:szCs w:val="32"/>
        </w:rPr>
      </w:pPr>
      <w:bookmarkStart w:id="33" w:name="_Toc115101715"/>
      <w:bookmarkStart w:id="34" w:name="_Toc178176229"/>
      <w:bookmarkStart w:id="35" w:name="_Toc15377211"/>
      <w:bookmarkStart w:id="36" w:name="_Toc79163616"/>
      <w:r>
        <w:rPr>
          <w:rFonts w:hint="eastAsia" w:ascii="仿宋" w:eastAsia="仿宋"/>
          <w:b/>
          <w:color w:val="000000"/>
          <w:sz w:val="32"/>
          <w:szCs w:val="32"/>
        </w:rPr>
        <w:t>（二）一般公共预算财政拨款支出决算结构情况</w:t>
      </w:r>
      <w:bookmarkEnd w:id="33"/>
      <w:bookmarkEnd w:id="34"/>
      <w:bookmarkEnd w:id="35"/>
      <w:bookmarkEnd w:id="36"/>
    </w:p>
    <w:p w14:paraId="3AD61463">
      <w:pPr>
        <w:spacing w:line="600" w:lineRule="exact"/>
        <w:ind w:firstLine="640"/>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202</w:t>
      </w:r>
      <w:r>
        <w:rPr>
          <w:rFonts w:hint="eastAsia" w:ascii="仿宋_GB2312" w:eastAsia="仿宋_GB2312" w:cs="仿宋_GB2312"/>
          <w:b w:val="0"/>
          <w:bCs w:val="0"/>
          <w:color w:val="000000"/>
          <w:sz w:val="32"/>
          <w:szCs w:val="32"/>
          <w:lang w:val="en-US" w:eastAsia="zh-CN"/>
        </w:rPr>
        <w:t>4</w:t>
      </w:r>
      <w:r>
        <w:rPr>
          <w:rFonts w:hint="eastAsia" w:ascii="仿宋_GB2312" w:eastAsia="仿宋_GB2312" w:cs="仿宋_GB2312"/>
          <w:b w:val="0"/>
          <w:bCs w:val="0"/>
          <w:color w:val="000000"/>
          <w:sz w:val="32"/>
          <w:szCs w:val="32"/>
        </w:rPr>
        <w:t>年一般公共预算财政拨款支出</w:t>
      </w:r>
      <w:r>
        <w:rPr>
          <w:rFonts w:hint="eastAsia" w:ascii="仿宋_GB2312" w:eastAsia="仿宋_GB2312" w:cs="仿宋_GB2312"/>
          <w:b w:val="0"/>
          <w:bCs w:val="0"/>
          <w:color w:val="000000"/>
          <w:sz w:val="32"/>
          <w:szCs w:val="32"/>
          <w:lang w:val="en-US" w:eastAsia="zh-CN"/>
        </w:rPr>
        <w:t>348.06</w:t>
      </w:r>
      <w:r>
        <w:rPr>
          <w:rFonts w:hint="eastAsia" w:ascii="仿宋_GB2312" w:eastAsia="仿宋_GB2312" w:cs="仿宋_GB2312"/>
          <w:b w:val="0"/>
          <w:bCs w:val="0"/>
          <w:color w:val="000000"/>
          <w:sz w:val="32"/>
          <w:szCs w:val="32"/>
        </w:rPr>
        <w:t>万元，主要用于以下方面:一般公共服务（类）支出</w:t>
      </w:r>
      <w:r>
        <w:rPr>
          <w:rFonts w:hint="eastAsia" w:ascii="仿宋_GB2312" w:eastAsia="仿宋_GB2312" w:cs="仿宋_GB2312"/>
          <w:b w:val="0"/>
          <w:bCs w:val="0"/>
          <w:color w:val="000000"/>
          <w:sz w:val="32"/>
          <w:szCs w:val="32"/>
          <w:lang w:val="en-US" w:eastAsia="zh-CN"/>
        </w:rPr>
        <w:t>289.78</w:t>
      </w:r>
      <w:r>
        <w:rPr>
          <w:rFonts w:hint="eastAsia" w:ascii="仿宋_GB2312" w:eastAsia="仿宋_GB2312" w:cs="仿宋_GB2312"/>
          <w:b w:val="0"/>
          <w:bCs w:val="0"/>
          <w:color w:val="000000"/>
          <w:sz w:val="32"/>
          <w:szCs w:val="32"/>
        </w:rPr>
        <w:t>万元，占</w:t>
      </w:r>
      <w:r>
        <w:rPr>
          <w:rFonts w:hint="eastAsia" w:ascii="仿宋_GB2312" w:eastAsia="仿宋_GB2312" w:cs="仿宋_GB2312"/>
          <w:b w:val="0"/>
          <w:bCs w:val="0"/>
          <w:color w:val="000000"/>
          <w:sz w:val="32"/>
          <w:szCs w:val="32"/>
          <w:lang w:val="en-US" w:eastAsia="zh-CN"/>
        </w:rPr>
        <w:t>83.26</w:t>
      </w:r>
      <w:r>
        <w:rPr>
          <w:rFonts w:hint="eastAsia" w:ascii="仿宋_GB2312" w:eastAsia="仿宋_GB2312" w:cs="仿宋_GB2312"/>
          <w:b w:val="0"/>
          <w:bCs w:val="0"/>
          <w:color w:val="000000"/>
          <w:sz w:val="32"/>
          <w:szCs w:val="32"/>
        </w:rPr>
        <w:t>%；社会保障和就业（类）支出</w:t>
      </w:r>
      <w:r>
        <w:rPr>
          <w:rFonts w:hint="eastAsia" w:ascii="仿宋_GB2312" w:eastAsia="仿宋_GB2312" w:cs="仿宋_GB2312"/>
          <w:b w:val="0"/>
          <w:bCs w:val="0"/>
          <w:color w:val="000000"/>
          <w:sz w:val="32"/>
          <w:szCs w:val="32"/>
          <w:lang w:val="en-US" w:eastAsia="zh-CN"/>
        </w:rPr>
        <w:t>28.97</w:t>
      </w:r>
      <w:r>
        <w:rPr>
          <w:rFonts w:hint="eastAsia" w:ascii="仿宋_GB2312" w:eastAsia="仿宋_GB2312" w:cs="仿宋_GB2312"/>
          <w:b w:val="0"/>
          <w:bCs w:val="0"/>
          <w:color w:val="000000"/>
          <w:sz w:val="32"/>
          <w:szCs w:val="32"/>
        </w:rPr>
        <w:t>万元，占</w:t>
      </w:r>
      <w:r>
        <w:rPr>
          <w:rFonts w:hint="eastAsia" w:ascii="仿宋_GB2312" w:eastAsia="仿宋_GB2312" w:cs="仿宋_GB2312"/>
          <w:b w:val="0"/>
          <w:bCs w:val="0"/>
          <w:color w:val="000000"/>
          <w:sz w:val="32"/>
          <w:szCs w:val="32"/>
          <w:lang w:val="en-US" w:eastAsia="zh-CN"/>
        </w:rPr>
        <w:t>8.32</w:t>
      </w:r>
      <w:r>
        <w:rPr>
          <w:rFonts w:hint="eastAsia" w:ascii="仿宋_GB2312" w:eastAsia="仿宋_GB2312" w:cs="仿宋_GB2312"/>
          <w:b w:val="0"/>
          <w:bCs w:val="0"/>
          <w:color w:val="000000"/>
          <w:sz w:val="32"/>
          <w:szCs w:val="32"/>
        </w:rPr>
        <w:t>%；卫生健康支出</w:t>
      </w:r>
      <w:r>
        <w:rPr>
          <w:rFonts w:hint="eastAsia" w:ascii="仿宋_GB2312" w:eastAsia="仿宋_GB2312" w:cs="仿宋_GB2312"/>
          <w:b w:val="0"/>
          <w:bCs w:val="0"/>
          <w:color w:val="000000"/>
          <w:sz w:val="32"/>
          <w:szCs w:val="32"/>
          <w:lang w:val="en-US" w:eastAsia="zh-CN"/>
        </w:rPr>
        <w:t>12.76</w:t>
      </w:r>
      <w:r>
        <w:rPr>
          <w:rFonts w:hint="eastAsia" w:ascii="仿宋_GB2312" w:eastAsia="仿宋_GB2312" w:cs="仿宋_GB2312"/>
          <w:b w:val="0"/>
          <w:bCs w:val="0"/>
          <w:color w:val="000000"/>
          <w:sz w:val="32"/>
          <w:szCs w:val="32"/>
        </w:rPr>
        <w:t>万元，占</w:t>
      </w:r>
      <w:r>
        <w:rPr>
          <w:rFonts w:hint="eastAsia" w:ascii="仿宋_GB2312" w:eastAsia="仿宋_GB2312" w:cs="仿宋_GB2312"/>
          <w:b w:val="0"/>
          <w:bCs w:val="0"/>
          <w:color w:val="000000"/>
          <w:sz w:val="32"/>
          <w:szCs w:val="32"/>
          <w:lang w:val="en-US" w:eastAsia="zh-CN"/>
        </w:rPr>
        <w:t>3.67</w:t>
      </w:r>
      <w:r>
        <w:rPr>
          <w:rFonts w:hint="eastAsia" w:ascii="仿宋_GB2312" w:eastAsia="仿宋_GB2312" w:cs="仿宋_GB2312"/>
          <w:b w:val="0"/>
          <w:bCs w:val="0"/>
          <w:color w:val="000000"/>
          <w:sz w:val="32"/>
          <w:szCs w:val="32"/>
        </w:rPr>
        <w:t>%；住房保障支出</w:t>
      </w:r>
      <w:r>
        <w:rPr>
          <w:rFonts w:hint="eastAsia" w:ascii="仿宋_GB2312" w:eastAsia="仿宋_GB2312" w:cs="仿宋_GB2312"/>
          <w:b w:val="0"/>
          <w:bCs w:val="0"/>
          <w:color w:val="000000"/>
          <w:sz w:val="32"/>
          <w:szCs w:val="32"/>
          <w:lang w:val="en-US" w:eastAsia="zh-CN"/>
        </w:rPr>
        <w:t>16.56</w:t>
      </w:r>
      <w:r>
        <w:rPr>
          <w:rFonts w:hint="eastAsia" w:ascii="仿宋_GB2312" w:eastAsia="仿宋_GB2312" w:cs="仿宋_GB2312"/>
          <w:b w:val="0"/>
          <w:bCs w:val="0"/>
          <w:color w:val="000000"/>
          <w:sz w:val="32"/>
          <w:szCs w:val="32"/>
        </w:rPr>
        <w:t>万元，占</w:t>
      </w:r>
      <w:r>
        <w:rPr>
          <w:rFonts w:hint="eastAsia" w:ascii="仿宋_GB2312" w:eastAsia="仿宋_GB2312" w:cs="仿宋_GB2312"/>
          <w:b w:val="0"/>
          <w:bCs w:val="0"/>
          <w:color w:val="000000"/>
          <w:sz w:val="32"/>
          <w:szCs w:val="32"/>
          <w:lang w:val="en-US" w:eastAsia="zh-CN"/>
        </w:rPr>
        <w:t>4.75</w:t>
      </w:r>
      <w:r>
        <w:rPr>
          <w:rFonts w:hint="eastAsia" w:ascii="仿宋_GB2312" w:eastAsia="仿宋_GB2312" w:cs="仿宋_GB2312"/>
          <w:b w:val="0"/>
          <w:bCs w:val="0"/>
          <w:color w:val="000000"/>
          <w:sz w:val="32"/>
          <w:szCs w:val="32"/>
        </w:rPr>
        <w:t>%。</w:t>
      </w:r>
    </w:p>
    <w:p w14:paraId="2A04F31E">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2926080" cy="1844040"/>
            <wp:effectExtent l="0" t="0" r="0" b="0"/>
            <wp:docPr id="6"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F995B3">
      <w:pPr>
        <w:spacing w:line="600" w:lineRule="exact"/>
        <w:ind w:firstLine="643" w:firstLineChars="200"/>
        <w:outlineLvl w:val="2"/>
        <w:rPr>
          <w:rFonts w:ascii="仿宋" w:eastAsia="仿宋"/>
          <w:b/>
          <w:color w:val="000000"/>
          <w:sz w:val="32"/>
          <w:szCs w:val="32"/>
        </w:rPr>
      </w:pPr>
      <w:bookmarkStart w:id="37" w:name="_Toc178176230"/>
      <w:bookmarkStart w:id="38" w:name="_Toc15377212"/>
      <w:bookmarkStart w:id="39" w:name="_Toc79163617"/>
      <w:bookmarkStart w:id="40" w:name="_Toc115101716"/>
      <w:r>
        <w:rPr>
          <w:rFonts w:hint="eastAsia" w:ascii="仿宋" w:eastAsia="仿宋"/>
          <w:b/>
          <w:color w:val="000000"/>
          <w:sz w:val="32"/>
          <w:szCs w:val="32"/>
        </w:rPr>
        <w:t>（三）一般公共预算财政拨款支出决算具体情况</w:t>
      </w:r>
      <w:bookmarkEnd w:id="37"/>
      <w:bookmarkEnd w:id="38"/>
      <w:bookmarkEnd w:id="39"/>
      <w:bookmarkEnd w:id="40"/>
    </w:p>
    <w:p w14:paraId="79BD4EA7">
      <w:pPr>
        <w:spacing w:line="600" w:lineRule="exact"/>
        <w:ind w:firstLine="640" w:firstLineChars="200"/>
        <w:rPr>
          <w:rFonts w:hint="eastAsia" w:ascii="仿宋_GB2312" w:eastAsia="仿宋_GB2312" w:cs="仿宋_GB2312"/>
          <w:bCs/>
          <w:sz w:val="32"/>
          <w:szCs w:val="32"/>
        </w:rPr>
      </w:pPr>
      <w:bookmarkStart w:id="41" w:name="_Toc15378460"/>
      <w:bookmarkStart w:id="42" w:name="_Toc15377444"/>
      <w:bookmarkStart w:id="43" w:name="_Toc15377213"/>
      <w:r>
        <w:rPr>
          <w:rFonts w:hint="eastAsia" w:ascii="仿宋_GB2312" w:eastAsia="仿宋_GB2312" w:cs="仿宋_GB2312"/>
          <w:bCs/>
          <w:sz w:val="32"/>
          <w:szCs w:val="32"/>
        </w:rPr>
        <w:t>202</w:t>
      </w:r>
      <w:r>
        <w:rPr>
          <w:rFonts w:hint="eastAsia" w:ascii="仿宋_GB2312" w:eastAsia="仿宋_GB2312" w:cs="仿宋_GB2312"/>
          <w:bCs/>
          <w:sz w:val="32"/>
          <w:szCs w:val="32"/>
          <w:lang w:val="en-US" w:eastAsia="zh-CN"/>
        </w:rPr>
        <w:t>4</w:t>
      </w:r>
      <w:r>
        <w:rPr>
          <w:rFonts w:hint="eastAsia" w:ascii="仿宋_GB2312" w:eastAsia="仿宋_GB2312" w:cs="仿宋_GB2312"/>
          <w:bCs/>
          <w:sz w:val="32"/>
          <w:szCs w:val="32"/>
        </w:rPr>
        <w:t>年一般公共预算支出决算数为</w:t>
      </w:r>
      <w:r>
        <w:rPr>
          <w:rFonts w:hint="eastAsia" w:ascii="仿宋_GB2312" w:eastAsia="仿宋_GB2312" w:cs="仿宋_GB2312"/>
          <w:bCs/>
          <w:sz w:val="32"/>
          <w:szCs w:val="32"/>
          <w:lang w:val="en-US" w:eastAsia="zh-CN"/>
        </w:rPr>
        <w:t>348.06</w:t>
      </w:r>
      <w:r>
        <w:rPr>
          <w:rFonts w:hint="eastAsia" w:ascii="仿宋_GB2312" w:eastAsia="仿宋_GB2312" w:cs="仿宋_GB2312"/>
          <w:bCs/>
          <w:sz w:val="32"/>
          <w:szCs w:val="32"/>
        </w:rPr>
        <w:t>万元，完成预算100%。其中：</w:t>
      </w:r>
      <w:bookmarkEnd w:id="41"/>
      <w:bookmarkEnd w:id="42"/>
      <w:bookmarkEnd w:id="43"/>
    </w:p>
    <w:p w14:paraId="20F259FE">
      <w:pPr>
        <w:spacing w:line="600" w:lineRule="exact"/>
        <w:ind w:firstLine="640" w:firstLineChars="200"/>
        <w:rPr>
          <w:rFonts w:hint="eastAsia" w:ascii="仿宋_GB2312" w:eastAsia="仿宋_GB2312" w:cs="仿宋_GB2312"/>
          <w:color w:val="000000"/>
          <w:sz w:val="32"/>
          <w:szCs w:val="32"/>
          <w:lang w:eastAsia="zh-CN"/>
        </w:rPr>
      </w:pPr>
      <w:r>
        <w:rPr>
          <w:rStyle w:val="24"/>
          <w:rFonts w:hint="eastAsia" w:ascii="仿宋_GB2312" w:eastAsia="仿宋_GB2312" w:cs="仿宋_GB2312"/>
          <w:b w:val="0"/>
          <w:bCs/>
          <w:color w:val="000000"/>
          <w:sz w:val="32"/>
          <w:szCs w:val="32"/>
        </w:rPr>
        <w:t>1.一般公共服务（</w:t>
      </w:r>
      <w:r>
        <w:rPr>
          <w:rStyle w:val="24"/>
          <w:rFonts w:hint="eastAsia" w:ascii="仿宋_GB2312" w:eastAsia="仿宋_GB2312" w:cs="仿宋_GB2312"/>
          <w:b w:val="0"/>
          <w:bCs/>
          <w:color w:val="000000"/>
          <w:sz w:val="32"/>
          <w:szCs w:val="32"/>
          <w:lang w:val="en-US" w:eastAsia="zh-CN"/>
        </w:rPr>
        <w:t>201</w:t>
      </w:r>
      <w:r>
        <w:rPr>
          <w:rStyle w:val="24"/>
          <w:rFonts w:hint="eastAsia" w:ascii="仿宋_GB2312" w:eastAsia="仿宋_GB2312" w:cs="仿宋_GB2312"/>
          <w:b w:val="0"/>
          <w:bCs/>
          <w:color w:val="000000"/>
          <w:sz w:val="32"/>
          <w:szCs w:val="32"/>
        </w:rPr>
        <w:t>）档案事务（</w:t>
      </w:r>
      <w:r>
        <w:rPr>
          <w:rStyle w:val="24"/>
          <w:rFonts w:hint="eastAsia" w:ascii="仿宋_GB2312" w:eastAsia="仿宋_GB2312" w:cs="仿宋_GB2312"/>
          <w:b w:val="0"/>
          <w:bCs/>
          <w:color w:val="000000"/>
          <w:sz w:val="32"/>
          <w:szCs w:val="32"/>
          <w:lang w:val="en-US" w:eastAsia="zh-CN"/>
        </w:rPr>
        <w:t>26</w:t>
      </w:r>
      <w:r>
        <w:rPr>
          <w:rStyle w:val="24"/>
          <w:rFonts w:hint="eastAsia" w:ascii="仿宋_GB2312" w:eastAsia="仿宋_GB2312" w:cs="仿宋_GB2312"/>
          <w:b w:val="0"/>
          <w:bCs/>
          <w:color w:val="000000"/>
          <w:sz w:val="32"/>
          <w:szCs w:val="32"/>
        </w:rPr>
        <w:t>）行政运行（</w:t>
      </w:r>
      <w:r>
        <w:rPr>
          <w:rStyle w:val="24"/>
          <w:rFonts w:hint="eastAsia" w:ascii="仿宋_GB2312" w:eastAsia="仿宋_GB2312" w:cs="仿宋_GB2312"/>
          <w:b w:val="0"/>
          <w:bCs/>
          <w:color w:val="000000"/>
          <w:sz w:val="32"/>
          <w:szCs w:val="32"/>
          <w:lang w:val="en-US" w:eastAsia="zh-CN"/>
        </w:rPr>
        <w:t>01</w:t>
      </w:r>
      <w:r>
        <w:rPr>
          <w:rStyle w:val="24"/>
          <w:rFonts w:hint="eastAsia" w:ascii="仿宋_GB2312" w:eastAsia="仿宋_GB2312" w:cs="仿宋_GB2312"/>
          <w:b w:val="0"/>
          <w:bCs/>
          <w:color w:val="000000"/>
          <w:sz w:val="32"/>
          <w:szCs w:val="32"/>
        </w:rPr>
        <w:t>）: 支出决算</w:t>
      </w:r>
      <w:r>
        <w:rPr>
          <w:rStyle w:val="24"/>
          <w:rFonts w:hint="eastAsia" w:ascii="仿宋_GB2312" w:eastAsia="仿宋_GB2312" w:cs="仿宋_GB2312"/>
          <w:b w:val="0"/>
          <w:bCs/>
          <w:color w:val="000000"/>
          <w:sz w:val="32"/>
          <w:szCs w:val="32"/>
          <w:lang w:eastAsia="zh-CN"/>
        </w:rPr>
        <w:t>数</w:t>
      </w:r>
      <w:r>
        <w:rPr>
          <w:rStyle w:val="24"/>
          <w:rFonts w:hint="eastAsia" w:ascii="仿宋_GB2312" w:eastAsia="仿宋_GB2312" w:cs="仿宋_GB2312"/>
          <w:b w:val="0"/>
          <w:bCs/>
          <w:color w:val="000000"/>
          <w:sz w:val="32"/>
          <w:szCs w:val="32"/>
          <w:lang w:val="en-US" w:eastAsia="zh-CN"/>
        </w:rPr>
        <w:t>289.78</w:t>
      </w:r>
      <w:r>
        <w:rPr>
          <w:rStyle w:val="24"/>
          <w:rFonts w:hint="eastAsia" w:ascii="仿宋_GB2312" w:eastAsia="仿宋_GB2312" w:cs="仿宋_GB2312"/>
          <w:b w:val="0"/>
          <w:bCs/>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7B58FA44">
      <w:pPr>
        <w:spacing w:line="600" w:lineRule="exact"/>
        <w:ind w:firstLine="640" w:firstLineChars="200"/>
        <w:rPr>
          <w:rFonts w:hint="eastAsia" w:ascii="仿宋_GB2312" w:eastAsia="仿宋_GB2312" w:cs="仿宋_GB2312"/>
          <w:color w:val="000000"/>
          <w:sz w:val="32"/>
          <w:szCs w:val="32"/>
          <w:lang w:eastAsia="zh-CN"/>
        </w:rPr>
      </w:pPr>
      <w:bookmarkStart w:id="44" w:name="_Toc15396608"/>
      <w:bookmarkStart w:id="45" w:name="_Toc79163618"/>
      <w:bookmarkStart w:id="46" w:name="_Toc15377214"/>
      <w:r>
        <w:rPr>
          <w:rStyle w:val="24"/>
          <w:rFonts w:hint="eastAsia" w:ascii="仿宋_GB2312" w:eastAsia="仿宋_GB2312" w:cs="仿宋_GB2312"/>
          <w:b w:val="0"/>
          <w:bCs/>
          <w:color w:val="000000"/>
          <w:sz w:val="32"/>
          <w:szCs w:val="32"/>
        </w:rPr>
        <w:t>2. 社会保障和就业支出（</w:t>
      </w:r>
      <w:r>
        <w:rPr>
          <w:rStyle w:val="24"/>
          <w:rFonts w:hint="eastAsia" w:ascii="仿宋_GB2312" w:eastAsia="仿宋_GB2312" w:cs="仿宋_GB2312"/>
          <w:b w:val="0"/>
          <w:bCs/>
          <w:color w:val="000000"/>
          <w:sz w:val="32"/>
          <w:szCs w:val="32"/>
          <w:lang w:val="en-US" w:eastAsia="zh-CN"/>
        </w:rPr>
        <w:t>208</w:t>
      </w:r>
      <w:r>
        <w:rPr>
          <w:rStyle w:val="24"/>
          <w:rFonts w:hint="eastAsia" w:ascii="仿宋_GB2312" w:eastAsia="仿宋_GB2312" w:cs="仿宋_GB2312"/>
          <w:b w:val="0"/>
          <w:bCs/>
          <w:color w:val="000000"/>
          <w:sz w:val="32"/>
          <w:szCs w:val="32"/>
        </w:rPr>
        <w:t>）行政事业单位养老支出（</w:t>
      </w:r>
      <w:r>
        <w:rPr>
          <w:rStyle w:val="24"/>
          <w:rFonts w:hint="eastAsia" w:ascii="仿宋_GB2312" w:eastAsia="仿宋_GB2312" w:cs="仿宋_GB2312"/>
          <w:b w:val="0"/>
          <w:bCs/>
          <w:color w:val="000000"/>
          <w:sz w:val="32"/>
          <w:szCs w:val="32"/>
          <w:lang w:val="en-US" w:eastAsia="zh-CN"/>
        </w:rPr>
        <w:t>05</w:t>
      </w:r>
      <w:r>
        <w:rPr>
          <w:rStyle w:val="24"/>
          <w:rFonts w:hint="eastAsia" w:ascii="仿宋_GB2312" w:eastAsia="仿宋_GB2312" w:cs="仿宋_GB2312"/>
          <w:b w:val="0"/>
          <w:bCs/>
          <w:color w:val="000000"/>
          <w:sz w:val="32"/>
          <w:szCs w:val="32"/>
        </w:rPr>
        <w:t>）机关事业单位基本养老保险缴费支出（</w:t>
      </w:r>
      <w:r>
        <w:rPr>
          <w:rStyle w:val="24"/>
          <w:rFonts w:hint="eastAsia" w:ascii="仿宋_GB2312" w:eastAsia="仿宋_GB2312" w:cs="仿宋_GB2312"/>
          <w:b w:val="0"/>
          <w:bCs/>
          <w:color w:val="000000"/>
          <w:sz w:val="32"/>
          <w:szCs w:val="32"/>
          <w:lang w:val="en-US" w:eastAsia="zh-CN"/>
        </w:rPr>
        <w:t>05</w:t>
      </w:r>
      <w:r>
        <w:rPr>
          <w:rStyle w:val="24"/>
          <w:rFonts w:hint="eastAsia" w:ascii="仿宋_GB2312" w:eastAsia="仿宋_GB2312" w:cs="仿宋_GB2312"/>
          <w:b w:val="0"/>
          <w:bCs/>
          <w:color w:val="000000"/>
          <w:sz w:val="32"/>
          <w:szCs w:val="32"/>
        </w:rPr>
        <w:t>）:支出决算</w:t>
      </w:r>
      <w:r>
        <w:rPr>
          <w:rStyle w:val="24"/>
          <w:rFonts w:hint="eastAsia" w:ascii="仿宋_GB2312" w:eastAsia="仿宋_GB2312" w:cs="仿宋_GB2312"/>
          <w:b w:val="0"/>
          <w:bCs/>
          <w:color w:val="000000"/>
          <w:sz w:val="32"/>
          <w:szCs w:val="32"/>
          <w:lang w:eastAsia="zh-CN"/>
        </w:rPr>
        <w:t>数</w:t>
      </w:r>
      <w:r>
        <w:rPr>
          <w:rStyle w:val="24"/>
          <w:rFonts w:hint="eastAsia" w:ascii="仿宋_GB2312" w:eastAsia="仿宋_GB2312" w:cs="仿宋_GB2312"/>
          <w:b w:val="0"/>
          <w:bCs/>
          <w:color w:val="000000"/>
          <w:sz w:val="32"/>
          <w:szCs w:val="32"/>
          <w:lang w:val="en-US" w:eastAsia="zh-CN"/>
        </w:rPr>
        <w:t>19.31</w:t>
      </w:r>
      <w:r>
        <w:rPr>
          <w:rStyle w:val="24"/>
          <w:rFonts w:hint="eastAsia" w:ascii="仿宋_GB2312" w:eastAsia="仿宋_GB2312" w:cs="仿宋_GB2312"/>
          <w:b w:val="0"/>
          <w:bCs/>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6260E386">
      <w:pPr>
        <w:spacing w:line="600" w:lineRule="exact"/>
        <w:ind w:firstLine="640" w:firstLineChars="200"/>
        <w:rPr>
          <w:rFonts w:hint="eastAsia" w:ascii="仿宋_GB2312" w:eastAsia="仿宋_GB2312" w:cs="仿宋_GB2312"/>
          <w:color w:val="000000"/>
          <w:sz w:val="32"/>
          <w:szCs w:val="32"/>
          <w:lang w:eastAsia="zh-CN"/>
        </w:rPr>
      </w:pPr>
      <w:r>
        <w:rPr>
          <w:rStyle w:val="24"/>
          <w:rFonts w:hint="eastAsia" w:ascii="仿宋_GB2312" w:eastAsia="仿宋_GB2312" w:cs="仿宋_GB2312"/>
          <w:b w:val="0"/>
          <w:bCs/>
          <w:color w:val="000000"/>
          <w:sz w:val="32"/>
          <w:szCs w:val="32"/>
        </w:rPr>
        <w:t>3. 社会保障和就业（</w:t>
      </w:r>
      <w:r>
        <w:rPr>
          <w:rStyle w:val="24"/>
          <w:rFonts w:hint="eastAsia" w:ascii="仿宋_GB2312" w:eastAsia="仿宋_GB2312" w:cs="仿宋_GB2312"/>
          <w:b w:val="0"/>
          <w:bCs/>
          <w:color w:val="000000"/>
          <w:sz w:val="32"/>
          <w:szCs w:val="32"/>
          <w:lang w:val="en-US" w:eastAsia="zh-CN"/>
        </w:rPr>
        <w:t>208</w:t>
      </w:r>
      <w:r>
        <w:rPr>
          <w:rStyle w:val="24"/>
          <w:rFonts w:hint="eastAsia" w:ascii="仿宋_GB2312" w:eastAsia="仿宋_GB2312" w:cs="仿宋_GB2312"/>
          <w:b w:val="0"/>
          <w:bCs/>
          <w:color w:val="000000"/>
          <w:sz w:val="32"/>
          <w:szCs w:val="32"/>
        </w:rPr>
        <w:t>）行政事业单位养老支出（</w:t>
      </w:r>
      <w:r>
        <w:rPr>
          <w:rStyle w:val="24"/>
          <w:rFonts w:hint="eastAsia" w:ascii="仿宋_GB2312" w:eastAsia="仿宋_GB2312" w:cs="仿宋_GB2312"/>
          <w:b w:val="0"/>
          <w:bCs/>
          <w:color w:val="000000"/>
          <w:sz w:val="32"/>
          <w:szCs w:val="32"/>
          <w:lang w:val="en-US" w:eastAsia="zh-CN"/>
        </w:rPr>
        <w:t>05</w:t>
      </w:r>
      <w:r>
        <w:rPr>
          <w:rStyle w:val="24"/>
          <w:rFonts w:hint="eastAsia" w:ascii="仿宋_GB2312" w:eastAsia="仿宋_GB2312" w:cs="仿宋_GB2312"/>
          <w:b w:val="0"/>
          <w:bCs/>
          <w:color w:val="000000"/>
          <w:sz w:val="32"/>
          <w:szCs w:val="32"/>
        </w:rPr>
        <w:t>）机关事业单位职业年金缴费支出（</w:t>
      </w:r>
      <w:r>
        <w:rPr>
          <w:rStyle w:val="24"/>
          <w:rFonts w:hint="eastAsia" w:ascii="仿宋_GB2312" w:eastAsia="仿宋_GB2312" w:cs="仿宋_GB2312"/>
          <w:b w:val="0"/>
          <w:bCs/>
          <w:color w:val="000000"/>
          <w:sz w:val="32"/>
          <w:szCs w:val="32"/>
          <w:lang w:val="en-US" w:eastAsia="zh-CN"/>
        </w:rPr>
        <w:t>06</w:t>
      </w:r>
      <w:r>
        <w:rPr>
          <w:rStyle w:val="24"/>
          <w:rFonts w:hint="eastAsia" w:ascii="仿宋_GB2312" w:eastAsia="仿宋_GB2312" w:cs="仿宋_GB2312"/>
          <w:b w:val="0"/>
          <w:bCs/>
          <w:color w:val="000000"/>
          <w:sz w:val="32"/>
          <w:szCs w:val="32"/>
        </w:rPr>
        <w:t>）:支出决算</w:t>
      </w:r>
      <w:r>
        <w:rPr>
          <w:rStyle w:val="24"/>
          <w:rFonts w:hint="eastAsia" w:ascii="仿宋_GB2312" w:eastAsia="仿宋_GB2312" w:cs="仿宋_GB2312"/>
          <w:b w:val="0"/>
          <w:bCs/>
          <w:color w:val="000000"/>
          <w:sz w:val="32"/>
          <w:szCs w:val="32"/>
          <w:lang w:eastAsia="zh-CN"/>
        </w:rPr>
        <w:t>数</w:t>
      </w:r>
      <w:r>
        <w:rPr>
          <w:rStyle w:val="24"/>
          <w:rFonts w:hint="eastAsia" w:ascii="仿宋_GB2312" w:eastAsia="仿宋_GB2312" w:cs="仿宋_GB2312"/>
          <w:b w:val="0"/>
          <w:bCs/>
          <w:color w:val="000000"/>
          <w:sz w:val="32"/>
          <w:szCs w:val="32"/>
          <w:lang w:val="en-US" w:eastAsia="zh-CN"/>
        </w:rPr>
        <w:t>9.66</w:t>
      </w:r>
      <w:r>
        <w:rPr>
          <w:rStyle w:val="24"/>
          <w:rFonts w:hint="eastAsia" w:ascii="仿宋_GB2312" w:eastAsia="仿宋_GB2312" w:cs="仿宋_GB2312"/>
          <w:b w:val="0"/>
          <w:bCs/>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5382F909">
      <w:pPr>
        <w:spacing w:line="600" w:lineRule="exact"/>
        <w:ind w:firstLine="640" w:firstLineChars="200"/>
        <w:rPr>
          <w:rFonts w:hint="eastAsia" w:ascii="仿宋_GB2312" w:eastAsia="仿宋_GB2312" w:cs="仿宋_GB2312"/>
          <w:color w:val="000000"/>
          <w:sz w:val="32"/>
          <w:szCs w:val="32"/>
          <w:lang w:eastAsia="zh-CN"/>
        </w:rPr>
      </w:pPr>
      <w:r>
        <w:rPr>
          <w:rStyle w:val="24"/>
          <w:rFonts w:hint="eastAsia" w:ascii="仿宋_GB2312" w:eastAsia="仿宋_GB2312" w:cs="仿宋_GB2312"/>
          <w:b w:val="0"/>
          <w:bCs/>
          <w:color w:val="000000"/>
          <w:sz w:val="32"/>
          <w:szCs w:val="32"/>
        </w:rPr>
        <w:t>4.</w:t>
      </w:r>
      <w:r>
        <w:rPr>
          <w:rFonts w:hint="eastAsia" w:ascii="仿宋_GB2312" w:eastAsia="仿宋_GB2312" w:cs="仿宋_GB2312"/>
          <w:color w:val="000000"/>
          <w:sz w:val="32"/>
          <w:szCs w:val="32"/>
        </w:rPr>
        <w:t xml:space="preserve"> </w:t>
      </w:r>
      <w:r>
        <w:rPr>
          <w:rStyle w:val="24"/>
          <w:rFonts w:hint="eastAsia" w:ascii="仿宋_GB2312" w:eastAsia="仿宋_GB2312" w:cs="仿宋_GB2312"/>
          <w:b w:val="0"/>
          <w:bCs/>
          <w:color w:val="000000"/>
          <w:sz w:val="32"/>
          <w:szCs w:val="32"/>
        </w:rPr>
        <w:t>卫生健康支出（</w:t>
      </w:r>
      <w:r>
        <w:rPr>
          <w:rStyle w:val="24"/>
          <w:rFonts w:hint="eastAsia" w:ascii="仿宋_GB2312" w:eastAsia="仿宋_GB2312" w:cs="仿宋_GB2312"/>
          <w:b w:val="0"/>
          <w:bCs/>
          <w:color w:val="000000"/>
          <w:sz w:val="32"/>
          <w:szCs w:val="32"/>
          <w:lang w:val="en-US" w:eastAsia="zh-CN"/>
        </w:rPr>
        <w:t>210</w:t>
      </w:r>
      <w:r>
        <w:rPr>
          <w:rStyle w:val="24"/>
          <w:rFonts w:hint="eastAsia" w:ascii="仿宋_GB2312" w:eastAsia="仿宋_GB2312" w:cs="仿宋_GB2312"/>
          <w:b w:val="0"/>
          <w:bCs/>
          <w:color w:val="000000"/>
          <w:sz w:val="32"/>
          <w:szCs w:val="32"/>
        </w:rPr>
        <w:t>）行政事业单位医疗（</w:t>
      </w:r>
      <w:r>
        <w:rPr>
          <w:rStyle w:val="24"/>
          <w:rFonts w:hint="eastAsia" w:ascii="仿宋_GB2312" w:eastAsia="仿宋_GB2312" w:cs="仿宋_GB2312"/>
          <w:b w:val="0"/>
          <w:bCs/>
          <w:color w:val="000000"/>
          <w:sz w:val="32"/>
          <w:szCs w:val="32"/>
          <w:lang w:val="en-US" w:eastAsia="zh-CN"/>
        </w:rPr>
        <w:t>11</w:t>
      </w:r>
      <w:r>
        <w:rPr>
          <w:rStyle w:val="24"/>
          <w:rFonts w:hint="eastAsia" w:ascii="仿宋_GB2312" w:eastAsia="仿宋_GB2312" w:cs="仿宋_GB2312"/>
          <w:b w:val="0"/>
          <w:bCs/>
          <w:color w:val="000000"/>
          <w:sz w:val="32"/>
          <w:szCs w:val="32"/>
        </w:rPr>
        <w:t>）行政单位医疗（</w:t>
      </w:r>
      <w:r>
        <w:rPr>
          <w:rStyle w:val="24"/>
          <w:rFonts w:hint="eastAsia" w:ascii="仿宋_GB2312" w:eastAsia="仿宋_GB2312" w:cs="仿宋_GB2312"/>
          <w:b w:val="0"/>
          <w:bCs/>
          <w:color w:val="000000"/>
          <w:sz w:val="32"/>
          <w:szCs w:val="32"/>
          <w:lang w:val="en-US" w:eastAsia="zh-CN"/>
        </w:rPr>
        <w:t>01</w:t>
      </w:r>
      <w:r>
        <w:rPr>
          <w:rStyle w:val="24"/>
          <w:rFonts w:hint="eastAsia" w:ascii="仿宋_GB2312" w:eastAsia="仿宋_GB2312" w:cs="仿宋_GB2312"/>
          <w:b w:val="0"/>
          <w:bCs/>
          <w:color w:val="000000"/>
          <w:sz w:val="32"/>
          <w:szCs w:val="32"/>
        </w:rPr>
        <w:t>）:支出决算</w:t>
      </w:r>
      <w:r>
        <w:rPr>
          <w:rStyle w:val="24"/>
          <w:rFonts w:hint="eastAsia" w:ascii="仿宋_GB2312" w:eastAsia="仿宋_GB2312" w:cs="仿宋_GB2312"/>
          <w:b w:val="0"/>
          <w:bCs/>
          <w:color w:val="000000"/>
          <w:sz w:val="32"/>
          <w:szCs w:val="32"/>
          <w:lang w:eastAsia="zh-CN"/>
        </w:rPr>
        <w:t>数</w:t>
      </w:r>
      <w:r>
        <w:rPr>
          <w:rStyle w:val="24"/>
          <w:rFonts w:hint="eastAsia" w:ascii="仿宋_GB2312" w:eastAsia="仿宋_GB2312" w:cs="仿宋_GB2312"/>
          <w:b w:val="0"/>
          <w:bCs/>
          <w:color w:val="000000"/>
          <w:sz w:val="32"/>
          <w:szCs w:val="32"/>
          <w:lang w:val="en-US" w:eastAsia="zh-CN"/>
        </w:rPr>
        <w:t>12.76</w:t>
      </w:r>
      <w:r>
        <w:rPr>
          <w:rStyle w:val="24"/>
          <w:rFonts w:hint="eastAsia" w:ascii="仿宋_GB2312" w:eastAsia="仿宋_GB2312" w:cs="仿宋_GB2312"/>
          <w:b w:val="0"/>
          <w:bCs/>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386B0F66">
      <w:pPr>
        <w:spacing w:line="600" w:lineRule="exact"/>
        <w:ind w:firstLine="640" w:firstLineChars="200"/>
        <w:rPr>
          <w:rFonts w:hint="eastAsia" w:ascii="仿宋_GB2312" w:eastAsia="仿宋_GB2312" w:cs="仿宋_GB2312"/>
          <w:color w:val="000000"/>
          <w:sz w:val="32"/>
          <w:szCs w:val="32"/>
        </w:rPr>
      </w:pPr>
      <w:r>
        <w:rPr>
          <w:rStyle w:val="24"/>
          <w:rFonts w:hint="eastAsia" w:ascii="仿宋_GB2312" w:eastAsia="仿宋_GB2312" w:cs="仿宋_GB2312"/>
          <w:b w:val="0"/>
          <w:bCs/>
          <w:color w:val="000000"/>
          <w:sz w:val="32"/>
          <w:szCs w:val="32"/>
        </w:rPr>
        <w:t xml:space="preserve">5. </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rPr>
        <w:t>）住房改革支出（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）住房公积金（</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：支出决算</w:t>
      </w:r>
      <w:r>
        <w:rPr>
          <w:rFonts w:hint="eastAsia" w:ascii="仿宋_GB2312" w:eastAsia="仿宋_GB2312" w:cs="仿宋_GB2312"/>
          <w:color w:val="000000"/>
          <w:sz w:val="32"/>
          <w:szCs w:val="32"/>
          <w:lang w:eastAsia="zh-CN"/>
        </w:rPr>
        <w:t>数</w:t>
      </w:r>
      <w:r>
        <w:rPr>
          <w:rFonts w:hint="eastAsia" w:ascii="仿宋_GB2312" w:eastAsia="仿宋_GB2312" w:cs="仿宋_GB2312"/>
          <w:color w:val="000000"/>
          <w:sz w:val="32"/>
          <w:szCs w:val="32"/>
          <w:lang w:val="en-US" w:eastAsia="zh-CN"/>
        </w:rPr>
        <w:t>15.56</w:t>
      </w:r>
      <w:r>
        <w:rPr>
          <w:rFonts w:hint="eastAsia" w:ascii="仿宋_GB2312" w:eastAsia="仿宋_GB2312" w:cs="仿宋_GB2312"/>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74F4F335">
      <w:pPr>
        <w:spacing w:line="600" w:lineRule="exact"/>
        <w:ind w:firstLine="640" w:firstLineChars="200"/>
        <w:rPr>
          <w:rFonts w:hint="eastAsia" w:ascii="仿宋_GB2312" w:eastAsia="仿宋_GB2312" w:cs="仿宋_GB2312"/>
          <w:color w:val="000000"/>
          <w:sz w:val="32"/>
          <w:szCs w:val="32"/>
          <w:lang w:eastAsia="zh-CN"/>
        </w:rPr>
      </w:pPr>
      <w:r>
        <w:rPr>
          <w:rStyle w:val="24"/>
          <w:rFonts w:hint="eastAsia" w:ascii="仿宋_GB2312" w:eastAsia="仿宋_GB2312" w:cs="仿宋_GB2312"/>
          <w:b w:val="0"/>
          <w:bCs/>
          <w:color w:val="000000"/>
          <w:sz w:val="32"/>
          <w:szCs w:val="32"/>
          <w:lang w:val="en-US" w:eastAsia="zh-CN"/>
        </w:rPr>
        <w:t>6</w:t>
      </w:r>
      <w:r>
        <w:rPr>
          <w:rStyle w:val="24"/>
          <w:rFonts w:hint="eastAsia" w:ascii="仿宋_GB2312" w:eastAsia="仿宋_GB2312" w:cs="仿宋_GB2312"/>
          <w:b w:val="0"/>
          <w:bCs/>
          <w:color w:val="000000"/>
          <w:sz w:val="32"/>
          <w:szCs w:val="32"/>
        </w:rPr>
        <w:t xml:space="preserve">. </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rPr>
        <w:t>）住房改革支出（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购房补贴</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：支出决算</w:t>
      </w:r>
      <w:r>
        <w:rPr>
          <w:rFonts w:hint="eastAsia" w:ascii="仿宋_GB2312" w:eastAsia="仿宋_GB2312" w:cs="仿宋_GB2312"/>
          <w:color w:val="000000"/>
          <w:sz w:val="32"/>
          <w:szCs w:val="32"/>
          <w:lang w:eastAsia="zh-CN"/>
        </w:rPr>
        <w:t>数</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4772F89E">
      <w:pPr>
        <w:tabs>
          <w:tab w:val="right" w:pos="8306"/>
        </w:tabs>
        <w:spacing w:line="600" w:lineRule="exact"/>
        <w:ind w:firstLine="640"/>
        <w:outlineLvl w:val="1"/>
        <w:rPr>
          <w:rStyle w:val="27"/>
        </w:rPr>
      </w:pPr>
      <w:bookmarkStart w:id="47" w:name="_Toc178176231"/>
      <w:bookmarkStart w:id="48" w:name="_Toc115101717"/>
      <w:r>
        <w:rPr>
          <w:rFonts w:hint="eastAsia" w:ascii="黑体" w:eastAsia="黑体"/>
          <w:color w:val="000000"/>
          <w:sz w:val="32"/>
          <w:szCs w:val="32"/>
        </w:rPr>
        <w:t>六</w:t>
      </w:r>
      <w:r>
        <w:rPr>
          <w:rFonts w:hint="eastAsia" w:ascii="黑体" w:eastAsia="黑体"/>
          <w:b/>
          <w:color w:val="000000"/>
          <w:sz w:val="32"/>
          <w:szCs w:val="32"/>
        </w:rPr>
        <w:t>、一</w:t>
      </w:r>
      <w:r>
        <w:rPr>
          <w:rStyle w:val="27"/>
          <w:rFonts w:hint="eastAsia" w:ascii="黑体" w:eastAsia="黑体"/>
          <w:b w:val="0"/>
        </w:rPr>
        <w:t>般公共预算财政拨款基本支出决算情况说明</w:t>
      </w:r>
      <w:bookmarkEnd w:id="44"/>
      <w:bookmarkEnd w:id="45"/>
      <w:bookmarkEnd w:id="46"/>
      <w:bookmarkEnd w:id="47"/>
      <w:bookmarkEnd w:id="48"/>
      <w:r>
        <w:rPr>
          <w:rStyle w:val="27"/>
          <w:rFonts w:ascii="黑体" w:eastAsia="黑体"/>
          <w:b w:val="0"/>
        </w:rPr>
        <w:tab/>
      </w:r>
    </w:p>
    <w:p w14:paraId="045AC6F3">
      <w:pPr>
        <w:spacing w:line="600" w:lineRule="exact"/>
        <w:ind w:firstLine="64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年一般公共预算财政拨款基本支出</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万元，其中：</w:t>
      </w:r>
    </w:p>
    <w:p w14:paraId="6FFF4BF2">
      <w:pPr>
        <w:spacing w:line="600" w:lineRule="exact"/>
        <w:ind w:firstLine="64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人员经费</w:t>
      </w:r>
      <w:r>
        <w:rPr>
          <w:rFonts w:hint="eastAsia" w:ascii="仿宋_GB2312" w:eastAsia="仿宋_GB2312" w:cs="仿宋_GB2312"/>
          <w:color w:val="000000"/>
          <w:sz w:val="32"/>
          <w:szCs w:val="32"/>
          <w:lang w:val="en-US" w:eastAsia="zh-CN"/>
        </w:rPr>
        <w:t>208.83</w:t>
      </w:r>
      <w:r>
        <w:rPr>
          <w:rFonts w:hint="eastAsia" w:asci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日常公用经费</w:t>
      </w:r>
      <w:r>
        <w:rPr>
          <w:rFonts w:hint="eastAsia" w:ascii="仿宋_GB2312" w:eastAsia="仿宋_GB2312" w:cs="仿宋_GB2312"/>
          <w:color w:val="000000"/>
          <w:sz w:val="32"/>
          <w:szCs w:val="32"/>
          <w:lang w:val="en-US" w:eastAsia="zh-CN"/>
        </w:rPr>
        <w:t>9.26</w:t>
      </w:r>
      <w:r>
        <w:rPr>
          <w:rFonts w:hint="eastAsia" w:asci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86EA31F">
      <w:pPr>
        <w:spacing w:line="600" w:lineRule="exact"/>
        <w:ind w:firstLine="640"/>
        <w:outlineLvl w:val="1"/>
        <w:rPr>
          <w:rStyle w:val="27"/>
          <w:rFonts w:ascii="黑体" w:eastAsia="黑体"/>
          <w:b w:val="0"/>
        </w:rPr>
      </w:pPr>
      <w:bookmarkStart w:id="49" w:name="_Toc15396609"/>
      <w:bookmarkStart w:id="50" w:name="_Toc79163619"/>
      <w:bookmarkStart w:id="51" w:name="_Toc178176232"/>
      <w:bookmarkStart w:id="52" w:name="_Toc15377215"/>
      <w:bookmarkStart w:id="53" w:name="_Toc115101718"/>
      <w:r>
        <w:rPr>
          <w:rFonts w:hint="eastAsia" w:ascii="黑体" w:eastAsia="黑体"/>
          <w:color w:val="000000"/>
          <w:sz w:val="32"/>
          <w:szCs w:val="32"/>
        </w:rPr>
        <w:t>七、</w:t>
      </w:r>
      <w:r>
        <w:rPr>
          <w:rStyle w:val="27"/>
          <w:rFonts w:hint="eastAsia" w:ascii="黑体" w:eastAsia="黑体"/>
        </w:rPr>
        <w:t>“</w:t>
      </w:r>
      <w:r>
        <w:rPr>
          <w:rStyle w:val="27"/>
          <w:rFonts w:hint="eastAsia" w:ascii="黑体" w:eastAsia="黑体"/>
          <w:b w:val="0"/>
        </w:rPr>
        <w:t>三公”经费财政拨款支出决算情况说明</w:t>
      </w:r>
      <w:bookmarkEnd w:id="49"/>
      <w:bookmarkEnd w:id="50"/>
      <w:bookmarkEnd w:id="51"/>
      <w:bookmarkEnd w:id="52"/>
      <w:bookmarkEnd w:id="53"/>
    </w:p>
    <w:p w14:paraId="38204C35">
      <w:pPr>
        <w:spacing w:line="600" w:lineRule="exact"/>
        <w:ind w:firstLine="640"/>
        <w:outlineLvl w:val="2"/>
        <w:rPr>
          <w:rFonts w:hint="eastAsia" w:ascii="仿宋_GB2312" w:eastAsia="仿宋_GB2312" w:cs="仿宋_GB2312"/>
          <w:b/>
          <w:color w:val="000000"/>
          <w:sz w:val="32"/>
          <w:szCs w:val="32"/>
        </w:rPr>
      </w:pPr>
      <w:bookmarkStart w:id="54" w:name="_Toc79163620"/>
      <w:bookmarkStart w:id="55" w:name="_Toc178176233"/>
      <w:bookmarkStart w:id="56" w:name="_Toc15377216"/>
      <w:bookmarkStart w:id="57" w:name="_Toc115101719"/>
      <w:r>
        <w:rPr>
          <w:rFonts w:hint="eastAsia" w:ascii="仿宋_GB2312" w:eastAsia="仿宋_GB2312" w:cs="仿宋_GB2312"/>
          <w:b/>
          <w:color w:val="000000"/>
          <w:sz w:val="32"/>
          <w:szCs w:val="32"/>
        </w:rPr>
        <w:t>（一）“三公”经费财政拨款支出决算总体情况说明</w:t>
      </w:r>
      <w:bookmarkEnd w:id="54"/>
      <w:bookmarkEnd w:id="55"/>
      <w:bookmarkEnd w:id="56"/>
      <w:bookmarkEnd w:id="57"/>
    </w:p>
    <w:p w14:paraId="720537E5">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年“三公”经费财政拨款支出决算为</w:t>
      </w:r>
      <w:r>
        <w:rPr>
          <w:rFonts w:hint="eastAsia" w:ascii="仿宋_GB2312" w:eastAsia="仿宋_GB2312" w:cs="仿宋_GB2312"/>
          <w:color w:val="000000"/>
          <w:sz w:val="32"/>
          <w:szCs w:val="32"/>
          <w:lang w:val="en-US" w:eastAsia="zh-CN"/>
        </w:rPr>
        <w:t>2.22</w:t>
      </w:r>
      <w:r>
        <w:rPr>
          <w:rFonts w:hint="eastAsia" w:ascii="仿宋_GB2312" w:eastAsia="仿宋_GB2312" w:cs="仿宋_GB2312"/>
          <w:color w:val="000000"/>
          <w:sz w:val="32"/>
          <w:szCs w:val="32"/>
        </w:rPr>
        <w:t>万元，完成预算100%，较上年度减少</w:t>
      </w:r>
      <w:r>
        <w:rPr>
          <w:rFonts w:hint="eastAsia" w:ascii="仿宋_GB2312" w:eastAsia="仿宋_GB2312" w:cs="仿宋_GB2312"/>
          <w:color w:val="000000"/>
          <w:sz w:val="32"/>
          <w:szCs w:val="32"/>
          <w:lang w:val="en-US" w:eastAsia="zh-CN"/>
        </w:rPr>
        <w:t>1.12</w:t>
      </w:r>
      <w:r>
        <w:rPr>
          <w:rFonts w:hint="eastAsia"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33.53</w:t>
      </w:r>
      <w:r>
        <w:rPr>
          <w:rFonts w:hint="eastAsia" w:ascii="仿宋_GB2312" w:eastAsia="仿宋_GB2312" w:cs="仿宋_GB2312"/>
          <w:color w:val="000000"/>
          <w:sz w:val="32"/>
          <w:szCs w:val="32"/>
        </w:rPr>
        <w:t>%,我馆认真贯彻落实中央八项规定及省委省政府十项规定要求，厉行节约，从严控制“三公”经费支出，做到全年实际支出与预算持平。</w:t>
      </w:r>
    </w:p>
    <w:p w14:paraId="01C2C3DA">
      <w:pPr>
        <w:spacing w:line="600" w:lineRule="exact"/>
        <w:ind w:firstLine="640"/>
        <w:outlineLvl w:val="2"/>
        <w:rPr>
          <w:rFonts w:hint="eastAsia" w:ascii="仿宋_GB2312" w:eastAsia="仿宋_GB2312" w:cs="仿宋_GB2312"/>
          <w:b/>
          <w:color w:val="000000"/>
          <w:sz w:val="32"/>
          <w:szCs w:val="32"/>
        </w:rPr>
      </w:pPr>
      <w:bookmarkStart w:id="58" w:name="_Toc15377217"/>
      <w:bookmarkStart w:id="59" w:name="_Toc115101720"/>
      <w:bookmarkStart w:id="60" w:name="_Toc178176234"/>
      <w:bookmarkStart w:id="61" w:name="_Toc79163621"/>
      <w:r>
        <w:rPr>
          <w:rFonts w:hint="eastAsia" w:ascii="仿宋_GB2312" w:eastAsia="仿宋_GB2312" w:cs="仿宋_GB2312"/>
          <w:b/>
          <w:color w:val="000000"/>
          <w:sz w:val="32"/>
          <w:szCs w:val="32"/>
        </w:rPr>
        <w:t>（二）“三公”经费财政拨款支出决算具体情况说明</w:t>
      </w:r>
      <w:bookmarkEnd w:id="58"/>
      <w:bookmarkEnd w:id="59"/>
      <w:bookmarkEnd w:id="60"/>
      <w:bookmarkEnd w:id="61"/>
    </w:p>
    <w:p w14:paraId="7CCBE114">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年“三公”经费财政拨款支出决算中，因公出国（境）费支出决算0万元；公务用车购置及运行维护费支出决算</w:t>
      </w:r>
      <w:r>
        <w:rPr>
          <w:rFonts w:hint="eastAsia" w:ascii="仿宋_GB2312" w:eastAsia="仿宋_GB2312" w:cs="仿宋_GB2312"/>
          <w:color w:val="000000"/>
          <w:sz w:val="32"/>
          <w:szCs w:val="32"/>
          <w:lang w:val="en-US" w:eastAsia="zh-CN"/>
        </w:rPr>
        <w:t>2.06</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92.79</w:t>
      </w:r>
      <w:r>
        <w:rPr>
          <w:rFonts w:hint="eastAsia" w:ascii="仿宋_GB2312" w:eastAsia="仿宋_GB2312" w:cs="仿宋_GB2312"/>
          <w:color w:val="000000"/>
          <w:sz w:val="32"/>
          <w:szCs w:val="32"/>
        </w:rPr>
        <w:t>%（其中公务用车购置费0万元，公务用车运行费</w:t>
      </w:r>
      <w:r>
        <w:rPr>
          <w:rFonts w:hint="eastAsia" w:ascii="仿宋_GB2312" w:eastAsia="仿宋_GB2312" w:cs="仿宋_GB2312"/>
          <w:color w:val="000000"/>
          <w:sz w:val="32"/>
          <w:szCs w:val="32"/>
          <w:lang w:val="en-US" w:eastAsia="zh-CN"/>
        </w:rPr>
        <w:t>2.06</w:t>
      </w:r>
      <w:r>
        <w:rPr>
          <w:rFonts w:hint="eastAsia" w:ascii="仿宋_GB2312" w:eastAsia="仿宋_GB2312" w:cs="仿宋_GB2312"/>
          <w:color w:val="000000"/>
          <w:sz w:val="32"/>
          <w:szCs w:val="32"/>
        </w:rPr>
        <w:t>万元）；公务接待费支出决算0.1</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7.21</w:t>
      </w:r>
      <w:r>
        <w:rPr>
          <w:rFonts w:hint="eastAsia" w:ascii="仿宋_GB2312" w:eastAsia="仿宋_GB2312" w:cs="仿宋_GB2312"/>
          <w:color w:val="000000"/>
          <w:sz w:val="32"/>
          <w:szCs w:val="32"/>
        </w:rPr>
        <w:t>%。具体情况如下：</w:t>
      </w:r>
    </w:p>
    <w:p w14:paraId="02C94667">
      <w:pPr>
        <w:ind w:firstLine="641"/>
        <w:rPr>
          <w:rFonts w:hint="eastAsia" w:ascii="仿宋_GB2312" w:eastAsia="仿宋_GB2312" w:cs="仿宋_GB2312"/>
          <w:color w:val="000000"/>
          <w:sz w:val="32"/>
          <w:szCs w:val="32"/>
        </w:rPr>
      </w:pPr>
      <w:r>
        <w:rPr>
          <w:rFonts w:hint="eastAsia" w:ascii="仿宋_GB2312" w:eastAsia="仿宋_GB2312" w:cs="仿宋_GB2312"/>
          <w:color w:val="000000"/>
          <w:sz w:val="32"/>
          <w:szCs w:val="32"/>
        </w:rPr>
        <w:drawing>
          <wp:inline distT="0" distB="0" distL="0" distR="0">
            <wp:extent cx="2807970" cy="1562100"/>
            <wp:effectExtent l="0" t="0" r="0" b="0"/>
            <wp:docPr id="7"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847A21">
      <w:pPr>
        <w:spacing w:line="600" w:lineRule="exact"/>
        <w:ind w:firstLine="640"/>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1.因公出国（境）经费支出0万元</w:t>
      </w:r>
      <w:r>
        <w:rPr>
          <w:rStyle w:val="24"/>
          <w:rFonts w:hint="eastAsia" w:ascii="仿宋_GB2312" w:eastAsia="仿宋_GB2312" w:cs="仿宋_GB2312"/>
          <w:b w:val="0"/>
          <w:bCs/>
          <w:color w:val="000000"/>
          <w:sz w:val="32"/>
          <w:szCs w:val="32"/>
        </w:rPr>
        <w:t>。</w:t>
      </w:r>
    </w:p>
    <w:p w14:paraId="212ED104">
      <w:pPr>
        <w:spacing w:line="600" w:lineRule="exact"/>
        <w:ind w:firstLine="640"/>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2.公务用车购置及运行维护费支出</w:t>
      </w:r>
      <w:r>
        <w:rPr>
          <w:rFonts w:hint="eastAsia" w:ascii="仿宋_GB2312" w:eastAsia="仿宋_GB2312" w:cs="仿宋_GB2312"/>
          <w:b w:val="0"/>
          <w:bCs/>
          <w:color w:val="000000"/>
          <w:sz w:val="32"/>
          <w:szCs w:val="32"/>
          <w:lang w:val="en-US" w:eastAsia="zh-CN"/>
        </w:rPr>
        <w:t>2.06</w:t>
      </w:r>
      <w:r>
        <w:rPr>
          <w:rFonts w:hint="eastAsia" w:ascii="仿宋_GB2312" w:eastAsia="仿宋_GB2312" w:cs="仿宋_GB2312"/>
          <w:b w:val="0"/>
          <w:bCs/>
          <w:color w:val="000000"/>
          <w:sz w:val="32"/>
          <w:szCs w:val="32"/>
        </w:rPr>
        <w:t>万元,</w:t>
      </w:r>
      <w:r>
        <w:rPr>
          <w:rStyle w:val="24"/>
          <w:rFonts w:hint="eastAsia" w:ascii="仿宋_GB2312" w:eastAsia="仿宋_GB2312" w:cs="仿宋_GB2312"/>
          <w:b w:val="0"/>
          <w:bCs/>
          <w:color w:val="000000"/>
          <w:sz w:val="32"/>
          <w:szCs w:val="32"/>
        </w:rPr>
        <w:t>完成预算100%。</w:t>
      </w:r>
      <w:r>
        <w:rPr>
          <w:rFonts w:hint="eastAsia" w:ascii="仿宋_GB2312" w:eastAsia="仿宋_GB2312" w:cs="仿宋_GB2312"/>
          <w:b w:val="0"/>
          <w:bCs/>
          <w:color w:val="000000"/>
          <w:sz w:val="32"/>
          <w:szCs w:val="32"/>
        </w:rPr>
        <w:t>公务用车购置及运行维护费支出决算比202</w:t>
      </w:r>
      <w:r>
        <w:rPr>
          <w:rFonts w:hint="eastAsia" w:ascii="仿宋_GB2312" w:eastAsia="仿宋_GB2312" w:cs="仿宋_GB2312"/>
          <w:b w:val="0"/>
          <w:bCs/>
          <w:color w:val="000000"/>
          <w:sz w:val="32"/>
          <w:szCs w:val="32"/>
          <w:lang w:val="en-US" w:eastAsia="zh-CN"/>
        </w:rPr>
        <w:t>3</w:t>
      </w:r>
      <w:r>
        <w:rPr>
          <w:rFonts w:hint="eastAsia" w:ascii="仿宋_GB2312" w:eastAsia="仿宋_GB2312" w:cs="仿宋_GB2312"/>
          <w:b w:val="0"/>
          <w:bCs/>
          <w:color w:val="000000"/>
          <w:sz w:val="32"/>
          <w:szCs w:val="32"/>
        </w:rPr>
        <w:t>年减少</w:t>
      </w:r>
      <w:r>
        <w:rPr>
          <w:rFonts w:hint="eastAsia" w:ascii="仿宋_GB2312" w:eastAsia="仿宋_GB2312" w:cs="仿宋_GB2312"/>
          <w:b w:val="0"/>
          <w:bCs/>
          <w:color w:val="000000"/>
          <w:sz w:val="32"/>
          <w:szCs w:val="32"/>
          <w:lang w:val="en-US" w:eastAsia="zh-CN"/>
        </w:rPr>
        <w:t>1.14</w:t>
      </w:r>
      <w:r>
        <w:rPr>
          <w:rFonts w:hint="eastAsia" w:ascii="仿宋_GB2312" w:eastAsia="仿宋_GB2312" w:cs="仿宋_GB2312"/>
          <w:b w:val="0"/>
          <w:bCs/>
          <w:color w:val="000000"/>
          <w:sz w:val="32"/>
          <w:szCs w:val="32"/>
        </w:rPr>
        <w:t>万元，减少</w:t>
      </w:r>
      <w:r>
        <w:rPr>
          <w:rFonts w:hint="eastAsia" w:ascii="仿宋_GB2312" w:eastAsia="仿宋_GB2312" w:cs="仿宋_GB2312"/>
          <w:b w:val="0"/>
          <w:bCs/>
          <w:color w:val="000000"/>
          <w:sz w:val="32"/>
          <w:szCs w:val="32"/>
          <w:lang w:val="en-US" w:eastAsia="zh-CN"/>
        </w:rPr>
        <w:t>35.62</w:t>
      </w:r>
      <w:r>
        <w:rPr>
          <w:rFonts w:hint="eastAsia" w:ascii="仿宋_GB2312" w:eastAsia="仿宋_GB2312" w:cs="仿宋_GB2312"/>
          <w:b w:val="0"/>
          <w:bCs/>
          <w:color w:val="000000"/>
          <w:sz w:val="32"/>
          <w:szCs w:val="32"/>
        </w:rPr>
        <w:t>%。主要原因是档案工作指导、下乡减少。</w:t>
      </w:r>
    </w:p>
    <w:p w14:paraId="1B1A37A4">
      <w:pPr>
        <w:spacing w:line="600" w:lineRule="exact"/>
        <w:ind w:firstLine="640" w:firstLineChars="200"/>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其中：公务用车购置支出0万元。截至202</w:t>
      </w:r>
      <w:r>
        <w:rPr>
          <w:rFonts w:hint="eastAsia" w:ascii="仿宋_GB2312" w:eastAsia="仿宋_GB2312" w:cs="仿宋_GB2312"/>
          <w:b w:val="0"/>
          <w:bCs/>
          <w:color w:val="000000"/>
          <w:sz w:val="32"/>
          <w:szCs w:val="32"/>
          <w:lang w:val="en-US" w:eastAsia="zh-CN"/>
        </w:rPr>
        <w:t>4</w:t>
      </w:r>
      <w:r>
        <w:rPr>
          <w:rFonts w:hint="eastAsia" w:ascii="仿宋_GB2312" w:eastAsia="仿宋_GB2312" w:cs="仿宋_GB2312"/>
          <w:b w:val="0"/>
          <w:bCs/>
          <w:color w:val="000000"/>
          <w:sz w:val="32"/>
          <w:szCs w:val="32"/>
        </w:rPr>
        <w:t>年12月底，单位有公务用车1辆，其中越野车1辆。公务用车运行维护费支出</w:t>
      </w:r>
      <w:r>
        <w:rPr>
          <w:rFonts w:hint="eastAsia" w:ascii="仿宋_GB2312" w:eastAsia="仿宋_GB2312" w:cs="仿宋_GB2312"/>
          <w:b w:val="0"/>
          <w:bCs/>
          <w:color w:val="000000"/>
          <w:sz w:val="32"/>
          <w:szCs w:val="32"/>
          <w:lang w:val="en-US" w:eastAsia="zh-CN"/>
        </w:rPr>
        <w:t>2.06</w:t>
      </w:r>
      <w:r>
        <w:rPr>
          <w:rFonts w:hint="eastAsia" w:ascii="仿宋_GB2312" w:eastAsia="仿宋_GB2312" w:cs="仿宋_GB2312"/>
          <w:b w:val="0"/>
          <w:bCs/>
          <w:color w:val="000000"/>
          <w:sz w:val="32"/>
          <w:szCs w:val="32"/>
        </w:rPr>
        <w:t>万元。主要用于档案工作指导、下乡等所需的公务用车燃料费、维修费、过路过桥费、保险费等支出。</w:t>
      </w:r>
    </w:p>
    <w:p w14:paraId="33E09A28">
      <w:pPr>
        <w:spacing w:line="600" w:lineRule="exact"/>
        <w:ind w:firstLine="640"/>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3.公务接待费支出0.1</w:t>
      </w:r>
      <w:r>
        <w:rPr>
          <w:rFonts w:hint="eastAsia" w:ascii="仿宋_GB2312" w:eastAsia="仿宋_GB2312" w:cs="仿宋_GB2312"/>
          <w:b w:val="0"/>
          <w:bCs/>
          <w:color w:val="000000"/>
          <w:sz w:val="32"/>
          <w:szCs w:val="32"/>
          <w:lang w:val="en-US" w:eastAsia="zh-CN"/>
        </w:rPr>
        <w:t>6</w:t>
      </w:r>
      <w:r>
        <w:rPr>
          <w:rFonts w:hint="eastAsia" w:ascii="仿宋_GB2312" w:eastAsia="仿宋_GB2312" w:cs="仿宋_GB2312"/>
          <w:b w:val="0"/>
          <w:bCs/>
          <w:color w:val="000000"/>
          <w:sz w:val="32"/>
          <w:szCs w:val="32"/>
        </w:rPr>
        <w:t>万元，</w:t>
      </w:r>
      <w:r>
        <w:rPr>
          <w:rStyle w:val="24"/>
          <w:rFonts w:hint="eastAsia" w:ascii="仿宋_GB2312" w:eastAsia="仿宋_GB2312" w:cs="仿宋_GB2312"/>
          <w:b w:val="0"/>
          <w:bCs/>
          <w:color w:val="000000"/>
          <w:sz w:val="32"/>
          <w:szCs w:val="32"/>
        </w:rPr>
        <w:t>完成预算100%。</w:t>
      </w:r>
      <w:r>
        <w:rPr>
          <w:rFonts w:hint="eastAsia" w:ascii="仿宋_GB2312" w:eastAsia="仿宋_GB2312" w:cs="仿宋_GB2312"/>
          <w:b w:val="0"/>
          <w:bCs/>
          <w:color w:val="000000"/>
          <w:sz w:val="32"/>
          <w:szCs w:val="32"/>
        </w:rPr>
        <w:t>公务接待费支出决算比202</w:t>
      </w:r>
      <w:r>
        <w:rPr>
          <w:rFonts w:hint="eastAsia" w:ascii="仿宋_GB2312" w:eastAsia="仿宋_GB2312" w:cs="仿宋_GB2312"/>
          <w:b w:val="0"/>
          <w:bCs/>
          <w:color w:val="000000"/>
          <w:sz w:val="32"/>
          <w:szCs w:val="32"/>
          <w:lang w:val="en-US" w:eastAsia="zh-CN"/>
        </w:rPr>
        <w:t>3</w:t>
      </w:r>
      <w:r>
        <w:rPr>
          <w:rFonts w:hint="eastAsia" w:ascii="仿宋_GB2312" w:eastAsia="仿宋_GB2312" w:cs="仿宋_GB2312"/>
          <w:b w:val="0"/>
          <w:bCs/>
          <w:color w:val="000000"/>
          <w:sz w:val="32"/>
          <w:szCs w:val="32"/>
        </w:rPr>
        <w:t>年</w:t>
      </w:r>
      <w:r>
        <w:rPr>
          <w:rFonts w:hint="eastAsia" w:ascii="仿宋_GB2312" w:eastAsia="仿宋_GB2312" w:cs="仿宋_GB2312"/>
          <w:b w:val="0"/>
          <w:bCs/>
          <w:color w:val="000000"/>
          <w:sz w:val="32"/>
          <w:szCs w:val="32"/>
          <w:lang w:eastAsia="zh-CN"/>
        </w:rPr>
        <w:t>增加</w:t>
      </w:r>
      <w:r>
        <w:rPr>
          <w:rFonts w:hint="eastAsia" w:ascii="仿宋_GB2312" w:eastAsia="仿宋_GB2312" w:cs="仿宋_GB2312"/>
          <w:b w:val="0"/>
          <w:bCs/>
          <w:color w:val="000000"/>
          <w:sz w:val="32"/>
          <w:szCs w:val="32"/>
        </w:rPr>
        <w:t>0.0</w:t>
      </w:r>
      <w:r>
        <w:rPr>
          <w:rFonts w:hint="eastAsia" w:ascii="仿宋_GB2312" w:eastAsia="仿宋_GB2312" w:cs="仿宋_GB2312"/>
          <w:b w:val="0"/>
          <w:bCs/>
          <w:color w:val="000000"/>
          <w:sz w:val="32"/>
          <w:szCs w:val="32"/>
          <w:lang w:val="en-US" w:eastAsia="zh-CN"/>
        </w:rPr>
        <w:t>2</w:t>
      </w:r>
      <w:r>
        <w:rPr>
          <w:rFonts w:hint="eastAsia" w:ascii="仿宋_GB2312" w:eastAsia="仿宋_GB2312" w:cs="仿宋_GB2312"/>
          <w:b w:val="0"/>
          <w:bCs/>
          <w:color w:val="000000"/>
          <w:sz w:val="32"/>
          <w:szCs w:val="32"/>
        </w:rPr>
        <w:t>万元，</w:t>
      </w:r>
      <w:r>
        <w:rPr>
          <w:rFonts w:hint="eastAsia" w:ascii="仿宋_GB2312" w:eastAsia="仿宋_GB2312" w:cs="仿宋_GB2312"/>
          <w:b w:val="0"/>
          <w:bCs/>
          <w:color w:val="000000"/>
          <w:sz w:val="32"/>
          <w:szCs w:val="32"/>
          <w:lang w:eastAsia="zh-CN"/>
        </w:rPr>
        <w:t>增加</w:t>
      </w:r>
      <w:r>
        <w:rPr>
          <w:rFonts w:hint="eastAsia" w:ascii="仿宋_GB2312" w:eastAsia="仿宋_GB2312" w:cs="仿宋_GB2312"/>
          <w:b w:val="0"/>
          <w:bCs/>
          <w:color w:val="000000"/>
          <w:sz w:val="32"/>
          <w:szCs w:val="32"/>
          <w:lang w:val="en-US" w:eastAsia="zh-CN"/>
        </w:rPr>
        <w:t>14.28</w:t>
      </w:r>
      <w:r>
        <w:rPr>
          <w:rFonts w:hint="eastAsia" w:ascii="仿宋_GB2312" w:eastAsia="仿宋_GB2312" w:cs="仿宋_GB2312"/>
          <w:b w:val="0"/>
          <w:bCs/>
          <w:color w:val="000000"/>
          <w:sz w:val="32"/>
          <w:szCs w:val="32"/>
        </w:rPr>
        <w:t>%。其中：国内公务接待支出0.1</w:t>
      </w:r>
      <w:r>
        <w:rPr>
          <w:rFonts w:hint="eastAsia" w:ascii="仿宋_GB2312" w:eastAsia="仿宋_GB2312" w:cs="仿宋_GB2312"/>
          <w:b w:val="0"/>
          <w:bCs/>
          <w:color w:val="000000"/>
          <w:sz w:val="32"/>
          <w:szCs w:val="32"/>
          <w:lang w:val="en-US" w:eastAsia="zh-CN"/>
        </w:rPr>
        <w:t>6</w:t>
      </w:r>
      <w:r>
        <w:rPr>
          <w:rFonts w:hint="eastAsia" w:ascii="仿宋_GB2312" w:eastAsia="仿宋_GB2312" w:cs="仿宋_GB2312"/>
          <w:b w:val="0"/>
          <w:bCs/>
          <w:color w:val="000000"/>
          <w:sz w:val="32"/>
          <w:szCs w:val="32"/>
        </w:rPr>
        <w:t>万元，主要用于馆际交流开支用餐费。国内公务接待2批次，1</w:t>
      </w:r>
      <w:r>
        <w:rPr>
          <w:rFonts w:hint="eastAsia" w:ascii="仿宋_GB2312" w:eastAsia="仿宋_GB2312" w:cs="仿宋_GB2312"/>
          <w:b w:val="0"/>
          <w:bCs/>
          <w:color w:val="000000"/>
          <w:sz w:val="32"/>
          <w:szCs w:val="32"/>
          <w:lang w:val="en-US" w:eastAsia="zh-CN"/>
        </w:rPr>
        <w:t>3</w:t>
      </w:r>
      <w:r>
        <w:rPr>
          <w:rFonts w:hint="eastAsia" w:ascii="仿宋_GB2312" w:eastAsia="仿宋_GB2312" w:cs="仿宋_GB2312"/>
          <w:b w:val="0"/>
          <w:bCs/>
          <w:color w:val="000000"/>
          <w:sz w:val="32"/>
          <w:szCs w:val="32"/>
        </w:rPr>
        <w:t>人次（不包括陪同人员），共计支出0.1</w:t>
      </w:r>
      <w:r>
        <w:rPr>
          <w:rFonts w:hint="eastAsia" w:ascii="仿宋_GB2312" w:eastAsia="仿宋_GB2312" w:cs="仿宋_GB2312"/>
          <w:b w:val="0"/>
          <w:bCs/>
          <w:color w:val="000000"/>
          <w:sz w:val="32"/>
          <w:szCs w:val="32"/>
          <w:lang w:val="en-US" w:eastAsia="zh-CN"/>
        </w:rPr>
        <w:t>6</w:t>
      </w:r>
      <w:r>
        <w:rPr>
          <w:rFonts w:hint="eastAsia" w:ascii="仿宋_GB2312" w:eastAsia="仿宋_GB2312" w:cs="仿宋_GB2312"/>
          <w:b w:val="0"/>
          <w:bCs/>
          <w:color w:val="000000"/>
          <w:sz w:val="32"/>
          <w:szCs w:val="32"/>
        </w:rPr>
        <w:t>万元。</w:t>
      </w:r>
    </w:p>
    <w:p w14:paraId="036E4CBC">
      <w:pPr>
        <w:spacing w:line="600" w:lineRule="exact"/>
        <w:ind w:firstLine="640"/>
        <w:outlineLvl w:val="1"/>
        <w:rPr>
          <w:rStyle w:val="27"/>
          <w:rFonts w:ascii="黑体" w:eastAsia="黑体"/>
        </w:rPr>
      </w:pPr>
      <w:bookmarkStart w:id="62" w:name="_Toc178176235"/>
      <w:bookmarkStart w:id="63" w:name="_Toc79163622"/>
      <w:bookmarkStart w:id="64" w:name="_Toc15396610"/>
      <w:bookmarkStart w:id="65" w:name="_Toc15377218"/>
      <w:bookmarkStart w:id="66" w:name="_Toc115101721"/>
      <w:r>
        <w:rPr>
          <w:rFonts w:hint="eastAsia" w:ascii="黑体" w:eastAsia="黑体"/>
          <w:color w:val="000000"/>
          <w:sz w:val="32"/>
          <w:szCs w:val="32"/>
        </w:rPr>
        <w:t>八、</w:t>
      </w:r>
      <w:r>
        <w:rPr>
          <w:rStyle w:val="27"/>
          <w:rFonts w:hint="eastAsia" w:ascii="黑体" w:eastAsia="黑体"/>
          <w:b w:val="0"/>
        </w:rPr>
        <w:t>政府性基金预算支出决算情况说明</w:t>
      </w:r>
      <w:bookmarkEnd w:id="62"/>
      <w:bookmarkEnd w:id="63"/>
      <w:bookmarkEnd w:id="64"/>
      <w:bookmarkEnd w:id="65"/>
      <w:bookmarkEnd w:id="66"/>
    </w:p>
    <w:p w14:paraId="1B432D17">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年政府性基金预算拨款支出0万元。</w:t>
      </w:r>
    </w:p>
    <w:p w14:paraId="581FB00D">
      <w:pPr>
        <w:numPr>
          <w:ilvl w:val="0"/>
          <w:numId w:val="2"/>
        </w:numPr>
        <w:spacing w:line="600" w:lineRule="exact"/>
        <w:ind w:left="0" w:firstLine="640"/>
        <w:outlineLvl w:val="1"/>
        <w:rPr>
          <w:rStyle w:val="27"/>
          <w:rFonts w:ascii="黑体" w:eastAsia="黑体"/>
          <w:b w:val="0"/>
        </w:rPr>
      </w:pPr>
      <w:bookmarkStart w:id="67" w:name="_Toc178176236"/>
      <w:bookmarkStart w:id="68" w:name="_Toc15377219"/>
      <w:bookmarkStart w:id="69" w:name="_Toc115101722"/>
      <w:bookmarkStart w:id="70" w:name="_Toc15396611"/>
      <w:bookmarkStart w:id="71" w:name="_Toc79163623"/>
      <w:r>
        <w:rPr>
          <w:rStyle w:val="27"/>
          <w:rFonts w:hint="eastAsia" w:ascii="黑体" w:eastAsia="黑体"/>
          <w:b w:val="0"/>
        </w:rPr>
        <w:t>国有资本经营预算支出决算情况说明</w:t>
      </w:r>
      <w:bookmarkEnd w:id="67"/>
      <w:bookmarkEnd w:id="68"/>
      <w:bookmarkEnd w:id="69"/>
      <w:bookmarkEnd w:id="70"/>
      <w:bookmarkEnd w:id="71"/>
    </w:p>
    <w:p w14:paraId="27F594A1">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ascii="仿宋_GB2312" w:eastAsia="仿宋_GB2312"/>
          <w:color w:val="000000"/>
          <w:sz w:val="32"/>
          <w:szCs w:val="32"/>
        </w:rPr>
        <w:t>年</w:t>
      </w:r>
      <w:r>
        <w:rPr>
          <w:rFonts w:hint="eastAsia" w:ascii="仿宋_GB2312" w:eastAsia="仿宋_GB2312"/>
          <w:color w:val="000000"/>
          <w:sz w:val="32"/>
          <w:szCs w:val="32"/>
        </w:rPr>
        <w:t>国有资本经营预算拨款支出0万元。</w:t>
      </w:r>
    </w:p>
    <w:p w14:paraId="61844338">
      <w:pPr>
        <w:spacing w:line="600" w:lineRule="exact"/>
        <w:ind w:firstLine="800" w:firstLineChars="250"/>
        <w:outlineLvl w:val="1"/>
        <w:rPr>
          <w:rStyle w:val="27"/>
          <w:rFonts w:ascii="黑体" w:eastAsia="黑体"/>
        </w:rPr>
      </w:pPr>
      <w:bookmarkStart w:id="72" w:name="_Toc79163624"/>
      <w:bookmarkStart w:id="73" w:name="_Toc178176237"/>
      <w:bookmarkStart w:id="74" w:name="_Toc15377221"/>
      <w:bookmarkStart w:id="75" w:name="_Toc115101723"/>
      <w:bookmarkStart w:id="76" w:name="_Toc15396612"/>
      <w:r>
        <w:rPr>
          <w:rFonts w:hint="eastAsia" w:ascii="黑体" w:eastAsia="黑体"/>
          <w:color w:val="000000"/>
          <w:sz w:val="32"/>
          <w:szCs w:val="32"/>
        </w:rPr>
        <w:t>十</w:t>
      </w:r>
      <w:r>
        <w:rPr>
          <w:rStyle w:val="27"/>
          <w:rFonts w:hint="eastAsia" w:ascii="黑体" w:eastAsia="黑体"/>
        </w:rPr>
        <w:t>、</w:t>
      </w:r>
      <w:r>
        <w:rPr>
          <w:rStyle w:val="27"/>
          <w:rFonts w:hint="eastAsia" w:ascii="黑体" w:eastAsia="黑体"/>
          <w:b w:val="0"/>
        </w:rPr>
        <w:t>其他重要事项的情况说明</w:t>
      </w:r>
      <w:bookmarkEnd w:id="72"/>
      <w:bookmarkEnd w:id="73"/>
      <w:bookmarkEnd w:id="74"/>
      <w:bookmarkEnd w:id="75"/>
      <w:bookmarkEnd w:id="76"/>
    </w:p>
    <w:p w14:paraId="2C37DB1E">
      <w:pPr>
        <w:spacing w:line="600" w:lineRule="exact"/>
        <w:ind w:firstLine="643" w:firstLineChars="200"/>
        <w:outlineLvl w:val="2"/>
        <w:rPr>
          <w:rFonts w:hint="eastAsia" w:ascii="仿宋_GB2312" w:eastAsia="仿宋_GB2312" w:cs="仿宋_GB2312"/>
          <w:color w:val="000000"/>
          <w:sz w:val="32"/>
          <w:szCs w:val="32"/>
        </w:rPr>
      </w:pPr>
      <w:bookmarkStart w:id="77" w:name="_Toc115101724"/>
      <w:bookmarkStart w:id="78" w:name="_Toc79163625"/>
      <w:bookmarkStart w:id="79" w:name="_Toc178176238"/>
      <w:bookmarkStart w:id="80" w:name="_Toc15377222"/>
      <w:r>
        <w:rPr>
          <w:rFonts w:hint="eastAsia" w:ascii="仿宋_GB2312" w:eastAsia="仿宋_GB2312" w:cs="仿宋_GB2312"/>
          <w:b/>
          <w:color w:val="000000"/>
          <w:sz w:val="32"/>
          <w:szCs w:val="32"/>
        </w:rPr>
        <w:t>（一）机关运行经费支出情况</w:t>
      </w:r>
      <w:bookmarkEnd w:id="77"/>
      <w:bookmarkEnd w:id="78"/>
      <w:bookmarkEnd w:id="79"/>
      <w:bookmarkEnd w:id="80"/>
    </w:p>
    <w:p w14:paraId="38A7136C">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年，四川省阿坝州茂县档案馆202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年度部门决算机关运行经费支出</w:t>
      </w:r>
      <w:r>
        <w:rPr>
          <w:rFonts w:hint="eastAsia" w:ascii="仿宋_GB2312" w:eastAsia="仿宋_GB2312" w:cs="仿宋_GB2312"/>
          <w:color w:val="000000"/>
          <w:sz w:val="32"/>
          <w:szCs w:val="32"/>
          <w:lang w:val="en-US" w:eastAsia="zh-CN"/>
        </w:rPr>
        <w:t>9.26</w:t>
      </w:r>
      <w:r>
        <w:rPr>
          <w:rFonts w:hint="eastAsia" w:ascii="仿宋_GB2312" w:eastAsia="仿宋_GB2312" w:cs="仿宋_GB2312"/>
          <w:color w:val="000000"/>
          <w:sz w:val="32"/>
          <w:szCs w:val="32"/>
        </w:rPr>
        <w:t>万元，比202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1.76</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15.97</w:t>
      </w:r>
      <w:r>
        <w:rPr>
          <w:rFonts w:hint="eastAsia" w:ascii="仿宋_GB2312" w:eastAsia="仿宋_GB2312" w:cs="仿宋_GB2312"/>
          <w:color w:val="000000"/>
          <w:sz w:val="32"/>
          <w:szCs w:val="32"/>
        </w:rPr>
        <w:t>%。主要原因是</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公务用车</w:t>
      </w:r>
      <w:r>
        <w:rPr>
          <w:rFonts w:hint="eastAsia" w:ascii="仿宋_GB2312" w:eastAsia="仿宋_GB2312" w:cs="仿宋_GB2312"/>
          <w:color w:val="000000"/>
          <w:sz w:val="32"/>
          <w:szCs w:val="32"/>
        </w:rPr>
        <w:t>费用</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rPr>
        <w:t>。</w:t>
      </w:r>
    </w:p>
    <w:p w14:paraId="1ADE58EF">
      <w:pPr>
        <w:autoSpaceDE w:val="0"/>
        <w:autoSpaceDN w:val="0"/>
        <w:adjustRightInd w:val="0"/>
        <w:spacing w:line="600" w:lineRule="exact"/>
        <w:ind w:firstLine="643" w:firstLineChars="200"/>
        <w:jc w:val="left"/>
        <w:outlineLvl w:val="2"/>
        <w:rPr>
          <w:rFonts w:hint="eastAsia" w:ascii="仿宋_GB2312" w:eastAsia="仿宋_GB2312" w:cs="仿宋_GB2312"/>
          <w:b/>
          <w:color w:val="000000"/>
          <w:sz w:val="32"/>
          <w:szCs w:val="32"/>
        </w:rPr>
      </w:pPr>
      <w:bookmarkStart w:id="81" w:name="_Toc15377223"/>
      <w:bookmarkStart w:id="82" w:name="_Toc178176239"/>
      <w:bookmarkStart w:id="83" w:name="_Toc115101725"/>
      <w:bookmarkStart w:id="84" w:name="_Toc79163626"/>
      <w:r>
        <w:rPr>
          <w:rFonts w:hint="eastAsia" w:ascii="仿宋_GB2312" w:eastAsia="仿宋_GB2312" w:cs="仿宋_GB2312"/>
          <w:b/>
          <w:color w:val="000000"/>
          <w:sz w:val="32"/>
          <w:szCs w:val="32"/>
        </w:rPr>
        <w:t>（二）政府采购支出情况</w:t>
      </w:r>
      <w:bookmarkEnd w:id="81"/>
      <w:bookmarkEnd w:id="82"/>
      <w:bookmarkEnd w:id="83"/>
      <w:bookmarkEnd w:id="84"/>
    </w:p>
    <w:p w14:paraId="1443F85F">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年，档案馆政府采购支出总额</w:t>
      </w:r>
      <w:r>
        <w:rPr>
          <w:rFonts w:hint="eastAsia" w:ascii="仿宋_GB2312" w:eastAsia="仿宋_GB2312" w:cs="仿宋_GB2312"/>
          <w:color w:val="000000"/>
          <w:sz w:val="32"/>
          <w:szCs w:val="32"/>
          <w:lang w:val="en-US" w:eastAsia="zh-CN"/>
        </w:rPr>
        <w:t>265.89</w:t>
      </w:r>
      <w:r>
        <w:rPr>
          <w:rFonts w:hint="eastAsia" w:ascii="仿宋_GB2312" w:eastAsia="仿宋_GB2312" w:cs="仿宋_GB2312"/>
          <w:color w:val="000000"/>
          <w:sz w:val="32"/>
          <w:szCs w:val="32"/>
        </w:rPr>
        <w:t>万元。</w:t>
      </w:r>
    </w:p>
    <w:p w14:paraId="3A95DF2A">
      <w:pPr>
        <w:autoSpaceDE w:val="0"/>
        <w:autoSpaceDN w:val="0"/>
        <w:adjustRightInd w:val="0"/>
        <w:spacing w:line="600" w:lineRule="exact"/>
        <w:ind w:firstLine="643" w:firstLineChars="200"/>
        <w:jc w:val="left"/>
        <w:outlineLvl w:val="2"/>
        <w:rPr>
          <w:rFonts w:hint="eastAsia" w:ascii="仿宋_GB2312" w:eastAsia="仿宋_GB2312" w:cs="仿宋_GB2312"/>
          <w:b/>
          <w:color w:val="000000"/>
          <w:sz w:val="32"/>
          <w:szCs w:val="32"/>
        </w:rPr>
      </w:pPr>
      <w:bookmarkStart w:id="85" w:name="_Toc115101726"/>
      <w:bookmarkStart w:id="86" w:name="_Toc79163627"/>
      <w:bookmarkStart w:id="87" w:name="_Toc15377224"/>
      <w:bookmarkStart w:id="88" w:name="_Toc178176240"/>
      <w:r>
        <w:rPr>
          <w:rFonts w:hint="eastAsia" w:ascii="仿宋_GB2312" w:eastAsia="仿宋_GB2312" w:cs="仿宋_GB2312"/>
          <w:b/>
          <w:color w:val="000000"/>
          <w:sz w:val="32"/>
          <w:szCs w:val="32"/>
        </w:rPr>
        <w:t>（三）国有资产占有使用情况</w:t>
      </w:r>
      <w:bookmarkEnd w:id="85"/>
      <w:bookmarkEnd w:id="86"/>
      <w:bookmarkEnd w:id="87"/>
      <w:bookmarkEnd w:id="88"/>
    </w:p>
    <w:p w14:paraId="611BEF33">
      <w:pPr>
        <w:autoSpaceDE w:val="0"/>
        <w:autoSpaceDN w:val="0"/>
        <w:adjustRightInd w:val="0"/>
        <w:spacing w:line="60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截至202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年12月31日，档案馆共有车辆1辆，其中：其他用车1辆，其他用车主要是用于档案业务指导及下乡等工作。</w:t>
      </w:r>
    </w:p>
    <w:p w14:paraId="2C61E98D">
      <w:pPr>
        <w:autoSpaceDE w:val="0"/>
        <w:autoSpaceDN w:val="0"/>
        <w:adjustRightInd w:val="0"/>
        <w:spacing w:line="600" w:lineRule="exact"/>
        <w:ind w:firstLine="643" w:firstLineChars="200"/>
        <w:jc w:val="left"/>
        <w:outlineLvl w:val="2"/>
        <w:rPr>
          <w:rFonts w:hint="eastAsia" w:ascii="仿宋_GB2312" w:eastAsia="仿宋_GB2312" w:cs="仿宋_GB2312"/>
          <w:b/>
          <w:color w:val="000000"/>
          <w:sz w:val="32"/>
          <w:szCs w:val="32"/>
        </w:rPr>
      </w:pPr>
      <w:bookmarkStart w:id="89" w:name="_Toc79163628"/>
      <w:bookmarkStart w:id="90" w:name="_Toc115101727"/>
      <w:bookmarkStart w:id="91" w:name="_Toc178176241"/>
      <w:r>
        <w:rPr>
          <w:rFonts w:hint="eastAsia" w:ascii="仿宋_GB2312" w:eastAsia="仿宋_GB2312" w:cs="仿宋_GB2312"/>
          <w:b/>
          <w:color w:val="000000"/>
          <w:sz w:val="32"/>
          <w:szCs w:val="32"/>
        </w:rPr>
        <w:t>（四）预算绩效管理情况</w:t>
      </w:r>
      <w:bookmarkEnd w:id="89"/>
      <w:bookmarkEnd w:id="90"/>
      <w:bookmarkEnd w:id="91"/>
    </w:p>
    <w:p w14:paraId="73237938">
      <w:pPr>
        <w:pStyle w:val="17"/>
        <w:ind w:left="0" w:leftChars="0" w:firstLine="640" w:firstLineChars="200"/>
        <w:jc w:val="both"/>
        <w:rPr>
          <w:rFonts w:hint="eastAsia" w:ascii="仿宋_GB2312" w:eastAsia="仿宋_GB2312" w:cs="仿宋_GB2312"/>
          <w:lang w:val="en-US" w:eastAsia="zh-CN"/>
        </w:rPr>
      </w:pPr>
      <w:r>
        <w:rPr>
          <w:rFonts w:hint="eastAsia" w:ascii="仿宋_GB2312" w:eastAsia="仿宋_GB2312" w:cs="仿宋_GB2312"/>
          <w:color w:val="000000"/>
          <w:sz w:val="32"/>
          <w:szCs w:val="32"/>
          <w:lang w:eastAsia="zh-CN"/>
        </w:rPr>
        <w:t>根据预算绩效管理要求，本单位在</w:t>
      </w:r>
      <w:r>
        <w:rPr>
          <w:rFonts w:hint="eastAsia" w:ascii="仿宋_GB2312" w:eastAsia="仿宋_GB2312" w:cs="仿宋_GB2312"/>
          <w:color w:val="000000"/>
          <w:sz w:val="32"/>
          <w:szCs w:val="32"/>
          <w:lang w:val="en-US" w:eastAsia="zh-CN"/>
        </w:rPr>
        <w:t>2024年度预算编制阶段，组织对数字档案馆建设项目和全州重点档案抢救和保护经费专项预算项目等2个项目开展了预算事前绩效评估，对2个项目编制了绩效目标，预算执行过程中对2个项目开展绩效监控，组织对2个项目开展绩效自评，绩效自评见第四部分附件。</w:t>
      </w:r>
    </w:p>
    <w:p w14:paraId="13D1D59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A641978">
      <w:pPr>
        <w:numPr>
          <w:ilvl w:val="0"/>
          <w:numId w:val="3"/>
        </w:numPr>
        <w:spacing w:line="600" w:lineRule="exact"/>
        <w:ind w:left="0" w:firstLine="660" w:firstLineChars="150"/>
        <w:jc w:val="center"/>
        <w:outlineLvl w:val="0"/>
        <w:rPr>
          <w:rStyle w:val="26"/>
          <w:rFonts w:ascii="黑体" w:eastAsia="黑体"/>
          <w:b w:val="0"/>
        </w:rPr>
      </w:pPr>
      <w:bookmarkStart w:id="92" w:name="_Toc15377225"/>
      <w:bookmarkStart w:id="93" w:name="_Toc178176242"/>
      <w:bookmarkStart w:id="94" w:name="_Toc15396613"/>
      <w:bookmarkStart w:id="95" w:name="_Toc115101728"/>
      <w:bookmarkStart w:id="96" w:name="_Toc79163629"/>
      <w:r>
        <w:rPr>
          <w:rFonts w:hint="eastAsia" w:ascii="黑体" w:eastAsia="黑体"/>
          <w:color w:val="000000"/>
          <w:sz w:val="44"/>
          <w:szCs w:val="44"/>
        </w:rPr>
        <w:t>名</w:t>
      </w:r>
      <w:r>
        <w:rPr>
          <w:rStyle w:val="26"/>
          <w:rFonts w:hint="eastAsia" w:ascii="黑体" w:eastAsia="黑体"/>
          <w:b w:val="0"/>
        </w:rPr>
        <w:t>词解释</w:t>
      </w:r>
      <w:bookmarkEnd w:id="92"/>
      <w:bookmarkEnd w:id="93"/>
      <w:bookmarkEnd w:id="94"/>
      <w:bookmarkEnd w:id="95"/>
      <w:bookmarkEnd w:id="96"/>
    </w:p>
    <w:p w14:paraId="074C67B5">
      <w:pPr>
        <w:spacing w:line="600" w:lineRule="exact"/>
        <w:jc w:val="left"/>
        <w:rPr>
          <w:rFonts w:ascii="宋体"/>
          <w:b/>
          <w:color w:val="000000"/>
          <w:sz w:val="44"/>
          <w:szCs w:val="44"/>
        </w:rPr>
      </w:pPr>
    </w:p>
    <w:p w14:paraId="7DEF4C72">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1.财政拨款收入：指单位从同级财政部门取得的财政预算资金。</w:t>
      </w:r>
    </w:p>
    <w:p w14:paraId="59CD8C15">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2.事业收入：指事业单位开展专业业务活动及辅助活动取得的收入。如…（二级预算单位事业收入情况）等。</w:t>
      </w:r>
    </w:p>
    <w:p w14:paraId="6FAD62BA">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3.经营收入：指事业单位在专业业务活动及其辅助活动之外开展非独立核算经营活动取得的收入。如…（二级预算单位经营收入情况）等。</w:t>
      </w:r>
    </w:p>
    <w:p w14:paraId="3095D977">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4.其他收入：指单位取得的除上述收入以外的各项收入。主要是…（收入类型）等。 </w:t>
      </w:r>
    </w:p>
    <w:p w14:paraId="46600657">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5.使用非财政拨款结余：指事业单位使用以前年度积累的非财政拨款结余弥补当年收支差额的金额。 </w:t>
      </w:r>
    </w:p>
    <w:p w14:paraId="5B536FB3">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6.年初结转和结余：指以前年度尚未完成、结转到本年按有关规定继续使用的资金。 </w:t>
      </w:r>
    </w:p>
    <w:p w14:paraId="5453D545">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7.结余分配：指事业单位按照会计制度规定缴纳的所得税、提取的专用结余以及转入非财政拨款结余的金额等。</w:t>
      </w:r>
    </w:p>
    <w:p w14:paraId="08913177">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8、年末结转和结余：指单位按有关规定结转到下年或以后年度继续使用的资金。</w:t>
      </w:r>
    </w:p>
    <w:p w14:paraId="66108DAC">
      <w:pPr>
        <w:spacing w:line="576" w:lineRule="exact"/>
        <w:ind w:firstLine="640" w:firstLineChars="200"/>
        <w:rPr>
          <w:rFonts w:hint="eastAsia" w:ascii="仿宋_GB2312" w:eastAsia="仿宋_GB2312" w:cs="仿宋_GB2312"/>
          <w:color w:val="000000"/>
          <w:sz w:val="32"/>
          <w:szCs w:val="32"/>
        </w:rPr>
      </w:pPr>
      <w:bookmarkStart w:id="97" w:name="_Toc79163630"/>
      <w:bookmarkStart w:id="98" w:name="_Toc15396614"/>
      <w:bookmarkStart w:id="99" w:name="_Toc15377226"/>
      <w:r>
        <w:rPr>
          <w:rFonts w:hint="eastAsia" w:ascii="仿宋_GB2312" w:eastAsia="仿宋_GB2312" w:cs="仿宋_GB2312"/>
          <w:color w:val="000000"/>
          <w:sz w:val="32"/>
          <w:szCs w:val="32"/>
        </w:rPr>
        <w:t>9.一般公共服务（</w:t>
      </w:r>
      <w:r>
        <w:rPr>
          <w:rFonts w:hint="eastAsia" w:ascii="仿宋_GB2312" w:eastAsia="仿宋_GB2312" w:cs="仿宋_GB2312"/>
          <w:color w:val="000000"/>
          <w:sz w:val="32"/>
          <w:szCs w:val="32"/>
          <w:lang w:val="en-US" w:eastAsia="zh-CN"/>
        </w:rPr>
        <w:t>201</w:t>
      </w:r>
      <w:r>
        <w:rPr>
          <w:rFonts w:hint="eastAsia" w:ascii="仿宋_GB2312" w:eastAsia="仿宋_GB2312" w:cs="仿宋_GB2312"/>
          <w:color w:val="000000"/>
          <w:sz w:val="32"/>
          <w:szCs w:val="32"/>
        </w:rPr>
        <w:t>）档案事务（</w:t>
      </w:r>
      <w:r>
        <w:rPr>
          <w:rFonts w:hint="eastAsia" w:ascii="仿宋_GB2312" w:eastAsia="仿宋_GB2312" w:cs="仿宋_GB2312"/>
          <w:color w:val="000000"/>
          <w:sz w:val="32"/>
          <w:szCs w:val="32"/>
          <w:lang w:val="en-US" w:eastAsia="zh-CN"/>
        </w:rPr>
        <w:t>26</w:t>
      </w:r>
      <w:r>
        <w:rPr>
          <w:rFonts w:hint="eastAsia" w:ascii="仿宋_GB2312" w:eastAsia="仿宋_GB2312" w:cs="仿宋_GB2312"/>
          <w:color w:val="000000"/>
          <w:sz w:val="32"/>
          <w:szCs w:val="32"/>
        </w:rPr>
        <w:t>）行政运行（</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w:t>
      </w:r>
      <w:r>
        <w:rPr>
          <w:rFonts w:hint="eastAsia" w:ascii="仿宋_GB2312" w:eastAsia="仿宋_GB2312" w:cs="仿宋_GB2312"/>
          <w:sz w:val="32"/>
          <w:szCs w:val="32"/>
        </w:rPr>
        <w:t>指档案馆工作人员工资和公务开支。</w:t>
      </w:r>
    </w:p>
    <w:p w14:paraId="6A163363">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10.社会保障和就业（</w:t>
      </w:r>
      <w:r>
        <w:rPr>
          <w:rFonts w:hint="eastAsia" w:ascii="仿宋_GB2312" w:eastAsia="仿宋_GB2312" w:cs="仿宋_GB2312"/>
          <w:color w:val="000000"/>
          <w:sz w:val="32"/>
          <w:szCs w:val="32"/>
          <w:lang w:val="en-US" w:eastAsia="zh-CN"/>
        </w:rPr>
        <w:t>208</w:t>
      </w:r>
      <w:r>
        <w:rPr>
          <w:rFonts w:hint="eastAsia" w:ascii="仿宋_GB2312" w:eastAsia="仿宋_GB2312" w:cs="仿宋_GB2312"/>
          <w:color w:val="000000"/>
          <w:sz w:val="32"/>
          <w:szCs w:val="32"/>
        </w:rPr>
        <w:t>）行政事业单位离退休（</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rPr>
        <w:t>） 机关事业单位基本养老保险缴费支出（</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rPr>
        <w:t>）：指养老保险。</w:t>
      </w:r>
    </w:p>
    <w:p w14:paraId="2386A444">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11.社会保障和就业（</w:t>
      </w:r>
      <w:r>
        <w:rPr>
          <w:rFonts w:hint="eastAsia" w:ascii="仿宋_GB2312" w:eastAsia="仿宋_GB2312" w:cs="仿宋_GB2312"/>
          <w:color w:val="000000"/>
          <w:sz w:val="32"/>
          <w:szCs w:val="32"/>
          <w:lang w:val="en-US" w:eastAsia="zh-CN"/>
        </w:rPr>
        <w:t>208</w:t>
      </w:r>
      <w:r>
        <w:rPr>
          <w:rFonts w:hint="eastAsia" w:ascii="仿宋_GB2312" w:eastAsia="仿宋_GB2312" w:cs="仿宋_GB2312"/>
          <w:color w:val="000000"/>
          <w:sz w:val="32"/>
          <w:szCs w:val="32"/>
        </w:rPr>
        <w:t>）行政事业单位离退休（</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rPr>
        <w:t>）机关事业单位职业年金缴费支出（</w:t>
      </w:r>
      <w:r>
        <w:rPr>
          <w:rFonts w:hint="eastAsia" w:ascii="仿宋_GB2312" w:eastAsia="仿宋_GB2312" w:cs="仿宋_GB2312"/>
          <w:color w:val="000000"/>
          <w:sz w:val="32"/>
          <w:szCs w:val="32"/>
          <w:lang w:val="en-US" w:eastAsia="zh-CN"/>
        </w:rPr>
        <w:t>06</w:t>
      </w:r>
      <w:r>
        <w:rPr>
          <w:rFonts w:hint="eastAsia" w:ascii="仿宋_GB2312" w:eastAsia="仿宋_GB2312" w:cs="仿宋_GB2312"/>
          <w:color w:val="000000"/>
          <w:sz w:val="32"/>
          <w:szCs w:val="32"/>
        </w:rPr>
        <w:t>）：职业年金。</w:t>
      </w:r>
    </w:p>
    <w:p w14:paraId="0D66E6CA">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12.卫生健康支出（</w:t>
      </w:r>
      <w:r>
        <w:rPr>
          <w:rFonts w:hint="eastAsia" w:ascii="仿宋_GB2312" w:eastAsia="仿宋_GB2312" w:cs="仿宋_GB2312"/>
          <w:color w:val="000000"/>
          <w:sz w:val="32"/>
          <w:szCs w:val="32"/>
          <w:lang w:val="en-US" w:eastAsia="zh-CN"/>
        </w:rPr>
        <w:t>210</w:t>
      </w:r>
      <w:r>
        <w:rPr>
          <w:rFonts w:hint="eastAsia" w:ascii="仿宋_GB2312" w:eastAsia="仿宋_GB2312" w:cs="仿宋_GB2312"/>
          <w:color w:val="000000"/>
          <w:sz w:val="32"/>
          <w:szCs w:val="32"/>
        </w:rPr>
        <w:t>）行政事业单位医疗（</w:t>
      </w: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rPr>
        <w:t>）行政单位医疗（</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）：指行政单位医疗。</w:t>
      </w:r>
    </w:p>
    <w:p w14:paraId="2BB132F1">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13.住房保障支出（</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rPr>
        <w:t>）住房改革支出（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）住房公积金（</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）：指住房公积金。</w:t>
      </w:r>
    </w:p>
    <w:p w14:paraId="67F39959">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14.基本支出：指为保障机构正常运转、完成日常工作任务而发生的人员支出和公用支出。</w:t>
      </w:r>
    </w:p>
    <w:p w14:paraId="78806C32">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15.项目支出：指在基本支出之外为完成特定行政任务和事业发展目标所发生的支出。</w:t>
      </w:r>
    </w:p>
    <w:p w14:paraId="5F2136AF">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16.经营支出：指事业单位在专业业务活动及其辅助活动之外开展非独立核算经营活动发生的支出。</w:t>
      </w:r>
    </w:p>
    <w:p w14:paraId="6AF2E330">
      <w:pPr>
        <w:pStyle w:val="31"/>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98310E1">
      <w:pPr>
        <w:pStyle w:val="31"/>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03D716">
      <w:pPr>
        <w:spacing w:line="600" w:lineRule="exact"/>
        <w:jc w:val="center"/>
        <w:outlineLvl w:val="0"/>
        <w:rPr>
          <w:rFonts w:ascii="黑体" w:eastAsia="黑体"/>
          <w:color w:val="000000"/>
          <w:sz w:val="44"/>
          <w:szCs w:val="44"/>
        </w:rPr>
      </w:pPr>
    </w:p>
    <w:p w14:paraId="60232BF8">
      <w:pPr>
        <w:spacing w:line="600" w:lineRule="exact"/>
        <w:jc w:val="center"/>
        <w:outlineLvl w:val="0"/>
        <w:rPr>
          <w:rFonts w:ascii="黑体" w:eastAsia="黑体"/>
          <w:color w:val="000000"/>
          <w:sz w:val="44"/>
          <w:szCs w:val="44"/>
        </w:rPr>
      </w:pPr>
    </w:p>
    <w:p w14:paraId="7FED165B">
      <w:pPr>
        <w:spacing w:line="600" w:lineRule="exact"/>
        <w:jc w:val="center"/>
        <w:outlineLvl w:val="0"/>
        <w:rPr>
          <w:rFonts w:ascii="黑体" w:eastAsia="黑体"/>
          <w:color w:val="000000"/>
          <w:sz w:val="44"/>
          <w:szCs w:val="44"/>
        </w:rPr>
      </w:pPr>
    </w:p>
    <w:p w14:paraId="38850012">
      <w:pPr>
        <w:spacing w:line="600" w:lineRule="exact"/>
        <w:jc w:val="center"/>
        <w:outlineLvl w:val="0"/>
        <w:rPr>
          <w:rFonts w:ascii="黑体" w:eastAsia="黑体"/>
          <w:color w:val="000000"/>
          <w:sz w:val="44"/>
          <w:szCs w:val="44"/>
        </w:rPr>
      </w:pPr>
    </w:p>
    <w:p w14:paraId="01BEAED5">
      <w:pPr>
        <w:spacing w:line="600" w:lineRule="exact"/>
        <w:jc w:val="center"/>
        <w:outlineLvl w:val="0"/>
        <w:rPr>
          <w:rFonts w:ascii="黑体" w:eastAsia="黑体"/>
          <w:color w:val="000000"/>
          <w:sz w:val="44"/>
          <w:szCs w:val="44"/>
        </w:rPr>
      </w:pPr>
    </w:p>
    <w:p w14:paraId="3B0960FD">
      <w:pPr>
        <w:spacing w:line="600" w:lineRule="exact"/>
        <w:jc w:val="center"/>
        <w:outlineLvl w:val="0"/>
        <w:rPr>
          <w:rFonts w:ascii="黑体" w:eastAsia="黑体"/>
          <w:color w:val="000000"/>
          <w:sz w:val="44"/>
          <w:szCs w:val="44"/>
        </w:rPr>
      </w:pPr>
    </w:p>
    <w:p w14:paraId="089D8F3E">
      <w:pPr>
        <w:spacing w:line="600" w:lineRule="exact"/>
        <w:jc w:val="center"/>
        <w:outlineLvl w:val="0"/>
        <w:rPr>
          <w:rFonts w:ascii="黑体" w:eastAsia="黑体"/>
          <w:color w:val="000000"/>
          <w:sz w:val="44"/>
          <w:szCs w:val="44"/>
        </w:rPr>
      </w:pPr>
    </w:p>
    <w:p w14:paraId="231E739E">
      <w:pPr>
        <w:spacing w:line="600" w:lineRule="exact"/>
        <w:jc w:val="center"/>
        <w:outlineLvl w:val="0"/>
        <w:rPr>
          <w:rFonts w:ascii="黑体" w:eastAsia="黑体"/>
          <w:color w:val="000000"/>
          <w:sz w:val="44"/>
          <w:szCs w:val="44"/>
        </w:rPr>
      </w:pPr>
    </w:p>
    <w:p w14:paraId="080043A1">
      <w:pPr>
        <w:spacing w:line="600" w:lineRule="exact"/>
        <w:jc w:val="center"/>
        <w:outlineLvl w:val="0"/>
        <w:rPr>
          <w:rFonts w:ascii="黑体" w:eastAsia="黑体"/>
          <w:color w:val="000000"/>
          <w:sz w:val="44"/>
          <w:szCs w:val="44"/>
        </w:rPr>
      </w:pPr>
    </w:p>
    <w:p w14:paraId="38A8E684">
      <w:pPr>
        <w:spacing w:line="600" w:lineRule="exact"/>
        <w:jc w:val="center"/>
        <w:outlineLvl w:val="0"/>
        <w:rPr>
          <w:rFonts w:ascii="黑体" w:eastAsia="黑体"/>
          <w:color w:val="000000"/>
          <w:sz w:val="44"/>
          <w:szCs w:val="44"/>
        </w:rPr>
      </w:pPr>
    </w:p>
    <w:p w14:paraId="78D7C9C1">
      <w:pPr>
        <w:spacing w:line="600" w:lineRule="exact"/>
        <w:jc w:val="center"/>
        <w:outlineLvl w:val="0"/>
        <w:rPr>
          <w:rFonts w:ascii="黑体" w:eastAsia="黑体"/>
          <w:color w:val="000000"/>
          <w:sz w:val="44"/>
          <w:szCs w:val="44"/>
        </w:rPr>
      </w:pPr>
    </w:p>
    <w:p w14:paraId="4BA2276F">
      <w:pPr>
        <w:spacing w:line="600" w:lineRule="exact"/>
        <w:jc w:val="center"/>
        <w:outlineLvl w:val="0"/>
        <w:rPr>
          <w:rFonts w:ascii="黑体" w:eastAsia="黑体"/>
          <w:color w:val="000000"/>
          <w:sz w:val="44"/>
          <w:szCs w:val="44"/>
        </w:rPr>
      </w:pPr>
    </w:p>
    <w:p w14:paraId="6F8629CB">
      <w:pPr>
        <w:spacing w:line="600" w:lineRule="exact"/>
        <w:jc w:val="center"/>
        <w:outlineLvl w:val="0"/>
        <w:rPr>
          <w:rFonts w:ascii="黑体" w:eastAsia="黑体"/>
          <w:color w:val="000000"/>
          <w:sz w:val="44"/>
          <w:szCs w:val="44"/>
        </w:rPr>
      </w:pPr>
    </w:p>
    <w:p w14:paraId="660C93A1">
      <w:pPr>
        <w:spacing w:line="600" w:lineRule="exact"/>
        <w:jc w:val="center"/>
        <w:outlineLvl w:val="0"/>
        <w:rPr>
          <w:rFonts w:ascii="黑体" w:eastAsia="黑体"/>
          <w:color w:val="000000"/>
          <w:sz w:val="44"/>
          <w:szCs w:val="44"/>
        </w:rPr>
      </w:pPr>
    </w:p>
    <w:p w14:paraId="007C17C4">
      <w:pPr>
        <w:spacing w:line="600" w:lineRule="exact"/>
        <w:jc w:val="center"/>
        <w:outlineLvl w:val="0"/>
        <w:rPr>
          <w:rFonts w:ascii="黑体" w:eastAsia="黑体"/>
          <w:color w:val="000000"/>
          <w:sz w:val="44"/>
          <w:szCs w:val="44"/>
        </w:rPr>
      </w:pPr>
    </w:p>
    <w:p w14:paraId="292166FA">
      <w:pPr>
        <w:spacing w:line="600" w:lineRule="exact"/>
        <w:jc w:val="center"/>
        <w:outlineLvl w:val="0"/>
        <w:rPr>
          <w:rFonts w:ascii="黑体" w:eastAsia="黑体"/>
          <w:color w:val="000000"/>
          <w:sz w:val="44"/>
          <w:szCs w:val="44"/>
        </w:rPr>
      </w:pPr>
    </w:p>
    <w:p w14:paraId="11FF9418">
      <w:pPr>
        <w:spacing w:line="600" w:lineRule="exact"/>
        <w:jc w:val="center"/>
        <w:outlineLvl w:val="0"/>
        <w:rPr>
          <w:rFonts w:ascii="黑体" w:eastAsia="黑体"/>
          <w:color w:val="000000"/>
          <w:sz w:val="44"/>
          <w:szCs w:val="44"/>
        </w:rPr>
      </w:pPr>
    </w:p>
    <w:p w14:paraId="168632A8">
      <w:pPr>
        <w:spacing w:line="600" w:lineRule="exact"/>
        <w:jc w:val="center"/>
        <w:outlineLvl w:val="0"/>
        <w:rPr>
          <w:rFonts w:ascii="黑体" w:eastAsia="黑体"/>
          <w:color w:val="000000"/>
          <w:sz w:val="44"/>
          <w:szCs w:val="44"/>
        </w:rPr>
      </w:pPr>
    </w:p>
    <w:p w14:paraId="2B55E544">
      <w:pPr>
        <w:spacing w:line="600" w:lineRule="exact"/>
        <w:jc w:val="center"/>
        <w:outlineLvl w:val="0"/>
        <w:rPr>
          <w:rFonts w:ascii="黑体" w:eastAsia="黑体"/>
          <w:color w:val="000000"/>
          <w:sz w:val="44"/>
          <w:szCs w:val="44"/>
        </w:rPr>
      </w:pPr>
    </w:p>
    <w:p w14:paraId="72090157">
      <w:pPr>
        <w:spacing w:line="600" w:lineRule="exact"/>
        <w:jc w:val="center"/>
        <w:outlineLvl w:val="0"/>
        <w:rPr>
          <w:rFonts w:ascii="黑体" w:eastAsia="黑体"/>
          <w:color w:val="000000"/>
          <w:sz w:val="44"/>
          <w:szCs w:val="44"/>
        </w:rPr>
      </w:pPr>
    </w:p>
    <w:p w14:paraId="31DC82A3">
      <w:pPr>
        <w:spacing w:line="600" w:lineRule="exact"/>
        <w:jc w:val="center"/>
        <w:outlineLvl w:val="0"/>
        <w:rPr>
          <w:rFonts w:ascii="黑体" w:eastAsia="黑体"/>
          <w:color w:val="000000"/>
          <w:sz w:val="44"/>
          <w:szCs w:val="44"/>
        </w:rPr>
      </w:pPr>
    </w:p>
    <w:p w14:paraId="5729187D">
      <w:pPr>
        <w:spacing w:line="600" w:lineRule="exact"/>
        <w:jc w:val="center"/>
        <w:outlineLvl w:val="0"/>
        <w:rPr>
          <w:rFonts w:ascii="黑体" w:eastAsia="黑体"/>
          <w:color w:val="000000"/>
          <w:sz w:val="44"/>
          <w:szCs w:val="44"/>
        </w:rPr>
      </w:pPr>
    </w:p>
    <w:p w14:paraId="54DC854A">
      <w:pPr>
        <w:spacing w:line="600" w:lineRule="exact"/>
        <w:jc w:val="center"/>
        <w:outlineLvl w:val="0"/>
        <w:rPr>
          <w:rStyle w:val="26"/>
          <w:rFonts w:ascii="黑体" w:eastAsia="黑体"/>
          <w:b w:val="0"/>
        </w:rPr>
      </w:pPr>
      <w:bookmarkStart w:id="100" w:name="_Toc178176243"/>
      <w:bookmarkStart w:id="101" w:name="_Toc115101729"/>
      <w:r>
        <w:rPr>
          <w:rFonts w:hint="eastAsia" w:ascii="黑体" w:eastAsia="黑体"/>
          <w:color w:val="000000"/>
          <w:sz w:val="44"/>
          <w:szCs w:val="44"/>
        </w:rPr>
        <w:t>第</w:t>
      </w:r>
      <w:r>
        <w:rPr>
          <w:rStyle w:val="26"/>
          <w:rFonts w:hint="eastAsia" w:ascii="黑体" w:eastAsia="黑体"/>
          <w:b w:val="0"/>
        </w:rPr>
        <w:t>四部分</w:t>
      </w:r>
      <w:r>
        <w:rPr>
          <w:rStyle w:val="26"/>
          <w:rFonts w:ascii="黑体" w:eastAsia="黑体"/>
          <w:b w:val="0"/>
        </w:rPr>
        <w:t xml:space="preserve"> </w:t>
      </w:r>
      <w:r>
        <w:rPr>
          <w:rStyle w:val="26"/>
          <w:rFonts w:hint="eastAsia" w:ascii="黑体" w:eastAsia="黑体"/>
          <w:b w:val="0"/>
        </w:rPr>
        <w:t>附件</w:t>
      </w:r>
      <w:bookmarkEnd w:id="97"/>
      <w:bookmarkEnd w:id="98"/>
      <w:bookmarkEnd w:id="100"/>
      <w:bookmarkEnd w:id="101"/>
    </w:p>
    <w:p w14:paraId="7B157349">
      <w:pPr>
        <w:spacing w:line="600" w:lineRule="exact"/>
        <w:jc w:val="left"/>
        <w:outlineLvl w:val="0"/>
        <w:rPr>
          <w:rFonts w:ascii="方正小标宋简体" w:eastAsia="方正小标宋简体" w:cs="方正小标宋简体"/>
          <w:sz w:val="32"/>
          <w:szCs w:val="32"/>
        </w:rPr>
      </w:pPr>
      <w:bookmarkStart w:id="102" w:name="_Toc79163631"/>
      <w:bookmarkStart w:id="103" w:name="_Toc178176244"/>
      <w:bookmarkStart w:id="104" w:name="_Toc115101730"/>
      <w:r>
        <w:rPr>
          <w:rFonts w:hint="eastAsia" w:ascii="黑体" w:eastAsia="黑体" w:cs="黑体"/>
          <w:sz w:val="32"/>
          <w:szCs w:val="32"/>
        </w:rPr>
        <w:t>附件</w:t>
      </w:r>
      <w:r>
        <w:rPr>
          <w:rFonts w:ascii="黑体" w:eastAsia="黑体" w:cs="黑体"/>
          <w:sz w:val="32"/>
          <w:szCs w:val="32"/>
        </w:rPr>
        <w:t>1</w:t>
      </w:r>
      <w:bookmarkEnd w:id="102"/>
      <w:bookmarkEnd w:id="103"/>
      <w:bookmarkEnd w:id="104"/>
    </w:p>
    <w:p w14:paraId="07C692BE">
      <w:pPr>
        <w:spacing w:line="580" w:lineRule="exact"/>
        <w:jc w:val="center"/>
        <w:rPr>
          <w:rFonts w:ascii="方正小标宋简体" w:eastAsia="方正小标宋简体" w:cs="方正小标宋简体"/>
          <w:sz w:val="44"/>
          <w:szCs w:val="44"/>
        </w:rPr>
      </w:pPr>
    </w:p>
    <w:p w14:paraId="619167DB">
      <w:pPr>
        <w:widowControl/>
        <w:spacing w:line="578" w:lineRule="exact"/>
        <w:contextualSpacing/>
        <w:jc w:val="center"/>
        <w:rPr>
          <w:szCs w:val="32"/>
          <w:shd w:val="clear" w:color="auto" w:fill="FFFFFF"/>
        </w:rPr>
      </w:pPr>
      <w:bookmarkStart w:id="105" w:name="_Toc178176245"/>
      <w:r>
        <w:rPr>
          <w:rFonts w:hint="eastAsia" w:eastAsia="方正小标宋简体"/>
          <w:bCs/>
          <w:sz w:val="44"/>
          <w:szCs w:val="44"/>
          <w:shd w:val="clear" w:color="auto" w:fill="FFFFFF"/>
          <w:lang w:eastAsia="zh-CN"/>
        </w:rPr>
        <w:t>档案馆</w:t>
      </w: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3AFDFD72">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3695C5D9">
      <w:pPr>
        <w:widowControl/>
        <w:adjustRightInd w:val="0"/>
        <w:snapToGrid w:val="0"/>
        <w:spacing w:line="578" w:lineRule="exact"/>
        <w:ind w:firstLine="643" w:firstLineChars="200"/>
        <w:contextualSpacing/>
        <w:jc w:val="left"/>
        <w:rPr>
          <w:rFonts w:hint="eastAsia" w:ascii="黑体" w:eastAsia="黑体" w:cs="黑体"/>
          <w:b/>
          <w:bCs/>
          <w:sz w:val="32"/>
          <w:szCs w:val="32"/>
        </w:rPr>
      </w:pPr>
      <w:r>
        <w:rPr>
          <w:rFonts w:hint="eastAsia" w:ascii="黑体" w:eastAsia="黑体" w:cs="黑体"/>
          <w:b/>
          <w:bCs/>
          <w:color w:val="000000"/>
          <w:kern w:val="0"/>
          <w:sz w:val="32"/>
          <w:szCs w:val="32"/>
          <w:shd w:val="clear" w:color="auto" w:fill="FFFFFF"/>
          <w:lang w:val="zh-CN"/>
        </w:rPr>
        <w:t>一、档案馆基本情况</w:t>
      </w:r>
    </w:p>
    <w:p w14:paraId="49E49311">
      <w:pPr>
        <w:widowControl/>
        <w:adjustRightInd w:val="0"/>
        <w:snapToGrid w:val="0"/>
        <w:spacing w:line="576" w:lineRule="exact"/>
        <w:ind w:firstLine="72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（一）机构组成</w:t>
      </w:r>
    </w:p>
    <w:p w14:paraId="03480D4C">
      <w:pPr>
        <w:widowControl/>
        <w:adjustRightInd w:val="0"/>
        <w:snapToGrid w:val="0"/>
        <w:spacing w:line="576" w:lineRule="exact"/>
        <w:ind w:firstLine="72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zh-CN"/>
        </w:rPr>
        <w:t>茂县档案馆成立于</w:t>
      </w:r>
      <w:r>
        <w:rPr>
          <w:rFonts w:hint="eastAsia" w:ascii="仿宋_GB2312" w:eastAsia="仿宋_GB2312" w:cs="仿宋_GB2312"/>
          <w:color w:val="000000"/>
          <w:kern w:val="0"/>
          <w:sz w:val="32"/>
          <w:szCs w:val="32"/>
          <w:shd w:val="clear" w:color="auto" w:fill="FFFFFF"/>
        </w:rPr>
        <w:t>1959年1月，1980年4月成立档案局。档案局和档案馆合署办公。1987年，县档案局（馆）划属县政府直属事业单位，作为政府职能部门主管全县档案事业。2011年12月，县档案局列为参照公务员管理单位，编制11人。</w:t>
      </w:r>
      <w:r>
        <w:rPr>
          <w:rFonts w:hint="eastAsia" w:ascii="仿宋_GB2312" w:eastAsia="仿宋_GB2312" w:cs="仿宋_GB2312"/>
          <w:color w:val="000000"/>
          <w:kern w:val="0"/>
          <w:sz w:val="32"/>
          <w:szCs w:val="32"/>
          <w:shd w:val="clear" w:color="auto" w:fill="FFFFFF"/>
          <w:lang w:val="zh-CN"/>
        </w:rPr>
        <w:t>根据《茂县人民政府办公室关于印发茂县档案局职能配置内设机构和人员编制方案的通知》（茂府办</w:t>
      </w:r>
      <w:r>
        <w:rPr>
          <w:rFonts w:hint="eastAsia" w:ascii="宋体" w:eastAsia="宋体" w:cs="宋体"/>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rPr>
        <w:t>1998</w:t>
      </w:r>
      <w:r>
        <w:rPr>
          <w:rFonts w:hint="eastAsia" w:ascii="宋体" w:eastAsia="宋体" w:cs="宋体"/>
          <w:color w:val="000000"/>
          <w:kern w:val="0"/>
          <w:sz w:val="32"/>
          <w:szCs w:val="32"/>
          <w:shd w:val="clear" w:color="auto" w:fill="FFFFFF"/>
        </w:rPr>
        <w:t>〕</w:t>
      </w:r>
      <w:r>
        <w:rPr>
          <w:rFonts w:hint="eastAsia" w:ascii="仿宋_GB2312" w:eastAsia="仿宋_GB2312" w:cs="仿宋_GB2312"/>
          <w:color w:val="000000"/>
          <w:kern w:val="0"/>
          <w:sz w:val="32"/>
          <w:szCs w:val="32"/>
          <w:shd w:val="clear" w:color="auto" w:fill="FFFFFF"/>
        </w:rPr>
        <w:t>25号</w:t>
      </w:r>
      <w:r>
        <w:rPr>
          <w:rFonts w:hint="eastAsia" w:ascii="仿宋_GB2312" w:eastAsia="仿宋_GB2312" w:cs="仿宋_GB2312"/>
          <w:color w:val="000000"/>
          <w:kern w:val="0"/>
          <w:sz w:val="32"/>
          <w:szCs w:val="32"/>
          <w:shd w:val="clear" w:color="auto" w:fill="FFFFFF"/>
          <w:lang w:val="zh-CN"/>
        </w:rPr>
        <w:t>），我馆内设业务指导股、馆务股和办公室。2019年3月机构改革，档案局（馆）分开设立，档案局同县委办合并挂牌，档案馆沿用以前的编制和人员，馆内仍然设立业务指导股、馆务股和办公室。</w:t>
      </w:r>
    </w:p>
    <w:p w14:paraId="559376CE">
      <w:pPr>
        <w:widowControl/>
        <w:adjustRightInd w:val="0"/>
        <w:snapToGrid w:val="0"/>
        <w:spacing w:line="578" w:lineRule="exact"/>
        <w:ind w:firstLine="643" w:firstLineChars="200"/>
        <w:contextualSpacing/>
        <w:jc w:val="left"/>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（二）机构职能</w:t>
      </w:r>
    </w:p>
    <w:p w14:paraId="2777FC2F">
      <w:pPr>
        <w:widowControl/>
        <w:adjustRightInd w:val="0"/>
        <w:snapToGrid w:val="0"/>
        <w:spacing w:line="576" w:lineRule="exact"/>
        <w:ind w:firstLine="720"/>
        <w:rPr>
          <w:rFonts w:hint="eastAsia" w:ascii="仿宋_GB2312" w:eastAsia="仿宋_GB2312" w:cs="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贯彻执行《中华人民共和国档案法》以及党和国家有关档案工作的方针、政策，按照统一领导、分级管理的原则对全县档案工作实行统筹规划、宏观管理，制定全县档案事业发展规划并组织实施。</w:t>
      </w:r>
    </w:p>
    <w:p w14:paraId="62C4C7AE">
      <w:pPr>
        <w:numPr>
          <w:ilvl w:val="0"/>
          <w:numId w:val="4"/>
        </w:numPr>
        <w:spacing w:line="600" w:lineRule="exact"/>
        <w:ind w:left="0" w:firstLine="643" w:firstLineChars="20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人员概况</w:t>
      </w:r>
    </w:p>
    <w:p w14:paraId="16412147">
      <w:pPr>
        <w:widowControl/>
        <w:adjustRightInd w:val="0"/>
        <w:snapToGrid w:val="0"/>
        <w:spacing w:line="576" w:lineRule="exact"/>
        <w:ind w:firstLine="72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sz w:val="32"/>
          <w:szCs w:val="32"/>
        </w:rPr>
        <w:t>截至202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年末，</w:t>
      </w:r>
      <w:r>
        <w:rPr>
          <w:rFonts w:hint="eastAsia" w:ascii="仿宋_GB2312" w:eastAsia="仿宋_GB2312" w:cs="仿宋_GB2312"/>
          <w:color w:val="000000"/>
          <w:kern w:val="0"/>
          <w:sz w:val="32"/>
          <w:szCs w:val="32"/>
          <w:shd w:val="clear" w:color="auto" w:fill="FFFFFF"/>
          <w:lang w:val="zh-CN"/>
        </w:rPr>
        <w:t>茂县档案馆参照公务员编制</w:t>
      </w:r>
      <w:r>
        <w:rPr>
          <w:rFonts w:hint="eastAsia" w:ascii="仿宋_GB2312" w:eastAsia="仿宋_GB2312" w:cs="仿宋_GB2312"/>
          <w:color w:val="000000"/>
          <w:kern w:val="0"/>
          <w:sz w:val="32"/>
          <w:szCs w:val="32"/>
          <w:shd w:val="clear" w:color="auto" w:fill="FFFFFF"/>
        </w:rPr>
        <w:t>1</w:t>
      </w:r>
      <w:r>
        <w:rPr>
          <w:rFonts w:hint="eastAsia" w:ascii="仿宋_GB2312" w:eastAsia="仿宋_GB2312" w:cs="仿宋_GB2312"/>
          <w:color w:val="000000"/>
          <w:kern w:val="0"/>
          <w:sz w:val="32"/>
          <w:szCs w:val="32"/>
          <w:shd w:val="clear" w:color="auto" w:fill="FFFFFF"/>
          <w:lang w:val="en-US" w:eastAsia="zh-CN"/>
        </w:rPr>
        <w:t>1</w:t>
      </w:r>
      <w:r>
        <w:rPr>
          <w:rFonts w:hint="eastAsia" w:ascii="仿宋_GB2312" w:eastAsia="仿宋_GB2312" w:cs="仿宋_GB2312"/>
          <w:color w:val="000000"/>
          <w:kern w:val="0"/>
          <w:sz w:val="32"/>
          <w:szCs w:val="32"/>
          <w:shd w:val="clear" w:color="auto" w:fill="FFFFFF"/>
        </w:rPr>
        <w:t>人，</w:t>
      </w:r>
      <w:r>
        <w:rPr>
          <w:rFonts w:hint="eastAsia" w:ascii="仿宋_GB2312" w:eastAsia="仿宋_GB2312" w:cs="仿宋_GB2312"/>
          <w:color w:val="000000"/>
          <w:kern w:val="0"/>
          <w:sz w:val="32"/>
          <w:szCs w:val="32"/>
          <w:shd w:val="clear" w:color="auto" w:fill="FFFFFF"/>
          <w:lang w:eastAsia="zh-CN"/>
        </w:rPr>
        <w:t>年末实有人数</w:t>
      </w:r>
      <w:r>
        <w:rPr>
          <w:rFonts w:hint="eastAsia" w:ascii="仿宋_GB2312" w:eastAsia="仿宋_GB2312" w:cs="仿宋_GB2312"/>
          <w:color w:val="000000"/>
          <w:kern w:val="0"/>
          <w:sz w:val="32"/>
          <w:szCs w:val="32"/>
          <w:shd w:val="clear" w:color="auto" w:fill="FFFFFF"/>
          <w:lang w:val="en-US" w:eastAsia="zh-CN"/>
        </w:rPr>
        <w:t>9人，</w:t>
      </w:r>
      <w:r>
        <w:rPr>
          <w:rFonts w:hint="eastAsia" w:ascii="仿宋_GB2312" w:eastAsia="仿宋_GB2312" w:cs="仿宋_GB2312"/>
          <w:color w:val="000000"/>
          <w:kern w:val="0"/>
          <w:sz w:val="32"/>
          <w:szCs w:val="32"/>
          <w:shd w:val="clear" w:color="auto" w:fill="FFFFFF"/>
        </w:rPr>
        <w:t>其中馆长1名，副馆长1名，</w:t>
      </w:r>
      <w:r>
        <w:rPr>
          <w:rFonts w:hint="eastAsia" w:ascii="仿宋_GB2312" w:eastAsia="仿宋_GB2312" w:cs="仿宋_GB2312"/>
          <w:color w:val="000000"/>
          <w:kern w:val="0"/>
          <w:sz w:val="32"/>
          <w:szCs w:val="32"/>
          <w:shd w:val="clear" w:color="auto" w:fill="FFFFFF"/>
          <w:lang w:eastAsia="zh-CN"/>
        </w:rPr>
        <w:t>一级主任科员</w:t>
      </w:r>
      <w:r>
        <w:rPr>
          <w:rFonts w:hint="eastAsia" w:ascii="仿宋_GB2312" w:eastAsia="仿宋_GB2312" w:cs="仿宋_GB2312"/>
          <w:color w:val="000000"/>
          <w:kern w:val="0"/>
          <w:sz w:val="32"/>
          <w:szCs w:val="32"/>
          <w:shd w:val="clear" w:color="auto" w:fill="FFFFFF"/>
          <w:lang w:val="en-US" w:eastAsia="zh-CN"/>
        </w:rPr>
        <w:t>2名，</w:t>
      </w:r>
      <w:r>
        <w:rPr>
          <w:rFonts w:hint="eastAsia" w:ascii="仿宋_GB2312" w:eastAsia="仿宋_GB2312" w:cs="仿宋_GB2312"/>
          <w:color w:val="000000"/>
          <w:kern w:val="0"/>
          <w:sz w:val="32"/>
          <w:szCs w:val="32"/>
          <w:shd w:val="clear" w:color="auto" w:fill="FFFFFF"/>
        </w:rPr>
        <w:t>二级主任科员</w:t>
      </w:r>
      <w:r>
        <w:rPr>
          <w:rFonts w:hint="eastAsia" w:ascii="仿宋_GB2312" w:eastAsia="仿宋_GB2312" w:cs="仿宋_GB2312"/>
          <w:color w:val="000000"/>
          <w:kern w:val="0"/>
          <w:sz w:val="32"/>
          <w:szCs w:val="32"/>
          <w:shd w:val="clear" w:color="auto" w:fill="FFFFFF"/>
          <w:lang w:val="en-US" w:eastAsia="zh-CN"/>
        </w:rPr>
        <w:t>1</w:t>
      </w:r>
      <w:r>
        <w:rPr>
          <w:rFonts w:hint="eastAsia" w:ascii="仿宋_GB2312" w:eastAsia="仿宋_GB2312" w:cs="仿宋_GB2312"/>
          <w:color w:val="000000"/>
          <w:kern w:val="0"/>
          <w:sz w:val="32"/>
          <w:szCs w:val="32"/>
          <w:shd w:val="clear" w:color="auto" w:fill="FFFFFF"/>
        </w:rPr>
        <w:t>名，三级主任科员</w:t>
      </w:r>
      <w:r>
        <w:rPr>
          <w:rFonts w:hint="eastAsia" w:ascii="仿宋_GB2312" w:eastAsia="仿宋_GB2312" w:cs="仿宋_GB2312"/>
          <w:color w:val="000000"/>
          <w:kern w:val="0"/>
          <w:sz w:val="32"/>
          <w:szCs w:val="32"/>
          <w:shd w:val="clear" w:color="auto" w:fill="FFFFFF"/>
          <w:lang w:val="en-US" w:eastAsia="zh-CN"/>
        </w:rPr>
        <w:t>4</w:t>
      </w:r>
      <w:r>
        <w:rPr>
          <w:rFonts w:hint="eastAsia" w:ascii="仿宋_GB2312" w:eastAsia="仿宋_GB2312" w:cs="仿宋_GB2312"/>
          <w:color w:val="000000"/>
          <w:kern w:val="0"/>
          <w:sz w:val="32"/>
          <w:szCs w:val="32"/>
          <w:shd w:val="clear" w:color="auto" w:fill="FFFFFF"/>
        </w:rPr>
        <w:t>名，</w:t>
      </w:r>
      <w:r>
        <w:rPr>
          <w:rFonts w:hint="eastAsia" w:ascii="仿宋_GB2312" w:eastAsia="仿宋_GB2312" w:cs="仿宋_GB2312"/>
          <w:color w:val="000000"/>
          <w:kern w:val="0"/>
          <w:sz w:val="32"/>
          <w:szCs w:val="32"/>
          <w:shd w:val="clear" w:color="auto" w:fill="FFFFFF"/>
          <w:lang w:eastAsia="zh-CN"/>
        </w:rPr>
        <w:t>四</w:t>
      </w:r>
      <w:r>
        <w:rPr>
          <w:rFonts w:hint="eastAsia" w:ascii="仿宋_GB2312" w:eastAsia="仿宋_GB2312" w:cs="仿宋_GB2312"/>
          <w:color w:val="000000"/>
          <w:kern w:val="0"/>
          <w:sz w:val="32"/>
          <w:szCs w:val="32"/>
          <w:shd w:val="clear" w:color="auto" w:fill="FFFFFF"/>
        </w:rPr>
        <w:t>级</w:t>
      </w:r>
      <w:r>
        <w:rPr>
          <w:rFonts w:hint="eastAsia" w:ascii="仿宋_GB2312" w:eastAsia="仿宋_GB2312" w:cs="仿宋_GB2312"/>
          <w:color w:val="000000"/>
          <w:kern w:val="0"/>
          <w:sz w:val="32"/>
          <w:szCs w:val="32"/>
          <w:shd w:val="clear" w:color="auto" w:fill="FFFFFF"/>
          <w:lang w:eastAsia="zh-CN"/>
        </w:rPr>
        <w:t>主任</w:t>
      </w:r>
      <w:r>
        <w:rPr>
          <w:rFonts w:hint="eastAsia" w:ascii="仿宋_GB2312" w:eastAsia="仿宋_GB2312" w:cs="仿宋_GB2312"/>
          <w:color w:val="000000"/>
          <w:kern w:val="0"/>
          <w:sz w:val="32"/>
          <w:szCs w:val="32"/>
          <w:shd w:val="clear" w:color="auto" w:fill="FFFFFF"/>
        </w:rPr>
        <w:t>科员1名，驾驶员1名。</w:t>
      </w:r>
    </w:p>
    <w:p w14:paraId="3AA88098">
      <w:pPr>
        <w:widowControl/>
        <w:adjustRightInd w:val="0"/>
        <w:snapToGrid w:val="0"/>
        <w:spacing w:line="578" w:lineRule="exact"/>
        <w:ind w:firstLine="643" w:firstLineChars="200"/>
        <w:contextualSpacing/>
        <w:jc w:val="left"/>
        <w:rPr>
          <w:rFonts w:hint="eastAsia" w:ascii="黑体" w:eastAsia="黑体" w:cs="黑体"/>
          <w:b/>
          <w:bCs/>
          <w:color w:val="000000"/>
          <w:kern w:val="0"/>
          <w:sz w:val="32"/>
          <w:szCs w:val="32"/>
          <w:shd w:val="clear" w:color="auto" w:fill="FFFFFF"/>
        </w:rPr>
      </w:pPr>
      <w:r>
        <w:rPr>
          <w:rFonts w:hint="eastAsia" w:ascii="黑体" w:eastAsia="黑体" w:cs="黑体"/>
          <w:b/>
          <w:bCs/>
          <w:color w:val="000000"/>
          <w:kern w:val="0"/>
          <w:sz w:val="32"/>
          <w:szCs w:val="32"/>
          <w:shd w:val="clear" w:color="auto" w:fill="FFFFFF"/>
        </w:rPr>
        <w:t>二、部门资金收支情况</w:t>
      </w:r>
    </w:p>
    <w:p w14:paraId="0344A6DE">
      <w:pPr>
        <w:widowControl/>
        <w:adjustRightInd w:val="0"/>
        <w:snapToGrid w:val="0"/>
        <w:spacing w:line="576" w:lineRule="exact"/>
        <w:ind w:firstLine="72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（一）收入情况</w:t>
      </w:r>
    </w:p>
    <w:p w14:paraId="4707FE85">
      <w:pPr>
        <w:widowControl/>
        <w:adjustRightInd w:val="0"/>
        <w:snapToGrid w:val="0"/>
        <w:spacing w:line="576" w:lineRule="exact"/>
        <w:ind w:firstLine="72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202</w:t>
      </w:r>
      <w:r>
        <w:rPr>
          <w:rFonts w:hint="eastAsia" w:ascii="仿宋_GB2312" w:eastAsia="仿宋_GB2312" w:cs="仿宋_GB2312"/>
          <w:color w:val="000000"/>
          <w:kern w:val="0"/>
          <w:sz w:val="32"/>
          <w:szCs w:val="32"/>
          <w:shd w:val="clear" w:color="auto" w:fill="FFFFFF"/>
          <w:lang w:val="en-US" w:eastAsia="zh-CN"/>
        </w:rPr>
        <w:t>4</w:t>
      </w:r>
      <w:r>
        <w:rPr>
          <w:rFonts w:hint="eastAsia" w:ascii="仿宋_GB2312" w:eastAsia="仿宋_GB2312" w:cs="仿宋_GB2312"/>
          <w:color w:val="000000"/>
          <w:kern w:val="0"/>
          <w:sz w:val="32"/>
          <w:szCs w:val="32"/>
          <w:shd w:val="clear" w:color="auto" w:fill="FFFFFF"/>
        </w:rPr>
        <w:t>年本部门财政拨款收入决算总额为</w:t>
      </w:r>
      <w:r>
        <w:rPr>
          <w:rFonts w:hint="eastAsia" w:ascii="仿宋_GB2312" w:eastAsia="仿宋_GB2312" w:cs="仿宋_GB2312"/>
          <w:color w:val="000000"/>
          <w:kern w:val="0"/>
          <w:sz w:val="32"/>
          <w:szCs w:val="32"/>
          <w:shd w:val="clear" w:color="auto" w:fill="FFFFFF"/>
          <w:lang w:val="en-US" w:eastAsia="zh-CN"/>
        </w:rPr>
        <w:t>348.06</w:t>
      </w:r>
      <w:r>
        <w:rPr>
          <w:rFonts w:hint="eastAsia" w:ascii="仿宋_GB2312" w:eastAsia="仿宋_GB2312" w:cs="仿宋_GB2312"/>
          <w:color w:val="000000"/>
          <w:kern w:val="0"/>
          <w:sz w:val="32"/>
          <w:szCs w:val="32"/>
          <w:shd w:val="clear" w:color="auto" w:fill="FFFFFF"/>
        </w:rPr>
        <w:t>万元，其中：当年财政拨款收入</w:t>
      </w:r>
      <w:r>
        <w:rPr>
          <w:rFonts w:hint="eastAsia" w:ascii="仿宋_GB2312" w:eastAsia="仿宋_GB2312" w:cs="仿宋_GB2312"/>
          <w:color w:val="000000"/>
          <w:kern w:val="0"/>
          <w:sz w:val="32"/>
          <w:szCs w:val="32"/>
          <w:shd w:val="clear" w:color="auto" w:fill="FFFFFF"/>
          <w:lang w:val="en-US" w:eastAsia="zh-CN"/>
        </w:rPr>
        <w:t>348.06</w:t>
      </w:r>
      <w:r>
        <w:rPr>
          <w:rFonts w:hint="eastAsia" w:ascii="仿宋_GB2312" w:eastAsia="仿宋_GB2312" w:cs="仿宋_GB2312"/>
          <w:color w:val="000000"/>
          <w:kern w:val="0"/>
          <w:sz w:val="32"/>
          <w:szCs w:val="32"/>
          <w:shd w:val="clear" w:color="auto" w:fill="FFFFFF"/>
        </w:rPr>
        <w:t>万元,均为一般公共预算财政拨款。</w:t>
      </w:r>
    </w:p>
    <w:p w14:paraId="76C5D584">
      <w:pPr>
        <w:widowControl/>
        <w:numPr>
          <w:ilvl w:val="0"/>
          <w:numId w:val="5"/>
        </w:numPr>
        <w:adjustRightInd w:val="0"/>
        <w:snapToGrid w:val="0"/>
        <w:spacing w:line="576" w:lineRule="exact"/>
        <w:ind w:left="0" w:firstLine="72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支出情况</w:t>
      </w:r>
    </w:p>
    <w:p w14:paraId="5A0484C9">
      <w:pPr>
        <w:widowControl/>
        <w:adjustRightInd w:val="0"/>
        <w:snapToGrid w:val="0"/>
        <w:spacing w:line="576" w:lineRule="exact"/>
        <w:ind w:left="0" w:firstLine="640" w:firstLineChars="2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202</w:t>
      </w:r>
      <w:r>
        <w:rPr>
          <w:rFonts w:hint="eastAsia" w:ascii="仿宋_GB2312" w:eastAsia="仿宋_GB2312" w:cs="仿宋_GB2312"/>
          <w:color w:val="000000"/>
          <w:kern w:val="0"/>
          <w:sz w:val="32"/>
          <w:szCs w:val="32"/>
          <w:shd w:val="clear" w:color="auto" w:fill="FFFFFF"/>
          <w:lang w:val="en-US" w:eastAsia="zh-CN"/>
        </w:rPr>
        <w:t>4</w:t>
      </w:r>
      <w:r>
        <w:rPr>
          <w:rFonts w:hint="eastAsia" w:ascii="仿宋_GB2312" w:eastAsia="仿宋_GB2312" w:cs="仿宋_GB2312"/>
          <w:color w:val="000000"/>
          <w:kern w:val="0"/>
          <w:sz w:val="32"/>
          <w:szCs w:val="32"/>
          <w:shd w:val="clear" w:color="auto" w:fill="FFFFFF"/>
        </w:rPr>
        <w:t>年本部门财政拨款支出决算总额</w:t>
      </w:r>
      <w:r>
        <w:rPr>
          <w:rFonts w:hint="eastAsia" w:ascii="仿宋_GB2312" w:eastAsia="仿宋_GB2312" w:cs="仿宋_GB2312"/>
          <w:color w:val="000000"/>
          <w:kern w:val="0"/>
          <w:sz w:val="32"/>
          <w:szCs w:val="32"/>
          <w:shd w:val="clear" w:color="auto" w:fill="FFFFFF"/>
          <w:lang w:val="en-US" w:eastAsia="zh-CN"/>
        </w:rPr>
        <w:t>348.06</w:t>
      </w:r>
      <w:r>
        <w:rPr>
          <w:rFonts w:hint="eastAsia" w:ascii="仿宋_GB2312" w:eastAsia="仿宋_GB2312" w:cs="仿宋_GB2312"/>
          <w:color w:val="000000"/>
          <w:kern w:val="0"/>
          <w:sz w:val="32"/>
          <w:szCs w:val="32"/>
          <w:shd w:val="clear" w:color="auto" w:fill="FFFFFF"/>
        </w:rPr>
        <w:t>万元。其中按功能分类，一般公共服务支出</w:t>
      </w:r>
      <w:r>
        <w:rPr>
          <w:rFonts w:hint="eastAsia" w:ascii="仿宋_GB2312" w:eastAsia="仿宋_GB2312" w:cs="仿宋_GB2312"/>
          <w:color w:val="000000"/>
          <w:kern w:val="0"/>
          <w:sz w:val="32"/>
          <w:szCs w:val="32"/>
          <w:shd w:val="clear" w:color="auto" w:fill="FFFFFF"/>
          <w:lang w:val="en-US" w:eastAsia="zh-CN"/>
        </w:rPr>
        <w:t>289.78</w:t>
      </w:r>
      <w:r>
        <w:rPr>
          <w:rFonts w:hint="eastAsia" w:ascii="仿宋_GB2312" w:eastAsia="仿宋_GB2312" w:cs="仿宋_GB2312"/>
          <w:color w:val="000000"/>
          <w:kern w:val="0"/>
          <w:sz w:val="32"/>
          <w:szCs w:val="32"/>
          <w:shd w:val="clear" w:color="auto" w:fill="FFFFFF"/>
        </w:rPr>
        <w:t>万元、社会保障和就业支出</w:t>
      </w:r>
      <w:r>
        <w:rPr>
          <w:rFonts w:hint="eastAsia" w:ascii="仿宋_GB2312" w:eastAsia="仿宋_GB2312" w:cs="仿宋_GB2312"/>
          <w:color w:val="000000"/>
          <w:kern w:val="0"/>
          <w:sz w:val="32"/>
          <w:szCs w:val="32"/>
          <w:shd w:val="clear" w:color="auto" w:fill="FFFFFF"/>
          <w:lang w:val="en-US" w:eastAsia="zh-CN"/>
        </w:rPr>
        <w:t>28.97</w:t>
      </w:r>
      <w:r>
        <w:rPr>
          <w:rFonts w:hint="eastAsia" w:ascii="仿宋_GB2312" w:eastAsia="仿宋_GB2312" w:cs="仿宋_GB2312"/>
          <w:color w:val="000000"/>
          <w:kern w:val="0"/>
          <w:sz w:val="32"/>
          <w:szCs w:val="32"/>
          <w:shd w:val="clear" w:color="auto" w:fill="FFFFFF"/>
        </w:rPr>
        <w:t>万元、</w:t>
      </w:r>
      <w:r>
        <w:rPr>
          <w:rFonts w:hint="eastAsia" w:ascii="仿宋_GB2312" w:eastAsia="仿宋_GB2312" w:cs="仿宋_GB2312"/>
          <w:color w:val="000000"/>
          <w:kern w:val="0"/>
          <w:sz w:val="32"/>
          <w:szCs w:val="32"/>
          <w:shd w:val="clear" w:color="auto" w:fill="FFFFFF"/>
          <w:lang w:eastAsia="zh-CN"/>
        </w:rPr>
        <w:t>卫生健康</w:t>
      </w:r>
      <w:r>
        <w:rPr>
          <w:rFonts w:hint="eastAsia" w:ascii="仿宋_GB2312" w:eastAsia="仿宋_GB2312" w:cs="仿宋_GB2312"/>
          <w:color w:val="000000"/>
          <w:kern w:val="0"/>
          <w:sz w:val="32"/>
          <w:szCs w:val="32"/>
          <w:shd w:val="clear" w:color="auto" w:fill="FFFFFF"/>
        </w:rPr>
        <w:t>支出</w:t>
      </w:r>
      <w:r>
        <w:rPr>
          <w:rFonts w:hint="eastAsia" w:ascii="仿宋_GB2312" w:eastAsia="仿宋_GB2312" w:cs="仿宋_GB2312"/>
          <w:color w:val="000000"/>
          <w:kern w:val="0"/>
          <w:sz w:val="32"/>
          <w:szCs w:val="32"/>
          <w:shd w:val="clear" w:color="auto" w:fill="FFFFFF"/>
          <w:lang w:val="en-US" w:eastAsia="zh-CN"/>
        </w:rPr>
        <w:t>12.76</w:t>
      </w:r>
      <w:r>
        <w:rPr>
          <w:rFonts w:hint="eastAsia" w:ascii="仿宋_GB2312" w:eastAsia="仿宋_GB2312" w:cs="仿宋_GB2312"/>
          <w:color w:val="000000"/>
          <w:kern w:val="0"/>
          <w:sz w:val="32"/>
          <w:szCs w:val="32"/>
          <w:shd w:val="clear" w:color="auto" w:fill="FFFFFF"/>
        </w:rPr>
        <w:t>万元、住房保障支出</w:t>
      </w:r>
      <w:r>
        <w:rPr>
          <w:rFonts w:hint="eastAsia" w:ascii="仿宋_GB2312" w:eastAsia="仿宋_GB2312" w:cs="仿宋_GB2312"/>
          <w:color w:val="000000"/>
          <w:kern w:val="0"/>
          <w:sz w:val="32"/>
          <w:szCs w:val="32"/>
          <w:shd w:val="clear" w:color="auto" w:fill="FFFFFF"/>
          <w:lang w:val="en-US" w:eastAsia="zh-CN"/>
        </w:rPr>
        <w:t>16.55</w:t>
      </w:r>
      <w:r>
        <w:rPr>
          <w:rFonts w:hint="eastAsia" w:ascii="仿宋_GB2312" w:eastAsia="仿宋_GB2312" w:cs="仿宋_GB2312"/>
          <w:color w:val="000000"/>
          <w:kern w:val="0"/>
          <w:sz w:val="32"/>
          <w:szCs w:val="32"/>
          <w:shd w:val="clear" w:color="auto" w:fill="FFFFFF"/>
        </w:rPr>
        <w:t>万元；按支出性质分类，基本支出</w:t>
      </w:r>
      <w:r>
        <w:rPr>
          <w:rFonts w:hint="eastAsia" w:ascii="仿宋_GB2312" w:eastAsia="仿宋_GB2312" w:cs="仿宋_GB2312"/>
          <w:color w:val="000000"/>
          <w:kern w:val="0"/>
          <w:sz w:val="32"/>
          <w:szCs w:val="32"/>
          <w:shd w:val="clear" w:color="auto" w:fill="FFFFFF"/>
          <w:lang w:val="en-US" w:eastAsia="zh-CN"/>
        </w:rPr>
        <w:t>218.09</w:t>
      </w:r>
      <w:r>
        <w:rPr>
          <w:rFonts w:hint="eastAsia" w:ascii="仿宋_GB2312" w:eastAsia="仿宋_GB2312" w:cs="仿宋_GB2312"/>
          <w:color w:val="000000"/>
          <w:kern w:val="0"/>
          <w:sz w:val="32"/>
          <w:szCs w:val="32"/>
          <w:shd w:val="clear" w:color="auto" w:fill="FFFFFF"/>
        </w:rPr>
        <w:t>万元</w:t>
      </w:r>
      <w:r>
        <w:rPr>
          <w:rFonts w:hint="eastAsia" w:ascii="仿宋_GB2312" w:eastAsia="仿宋_GB2312" w:cs="仿宋_GB2312"/>
          <w:color w:val="000000"/>
          <w:kern w:val="0"/>
          <w:sz w:val="32"/>
          <w:szCs w:val="32"/>
          <w:shd w:val="clear" w:color="auto" w:fill="FFFFFF"/>
          <w:lang w:eastAsia="zh-CN"/>
        </w:rPr>
        <w:t>、项目支出</w:t>
      </w:r>
      <w:r>
        <w:rPr>
          <w:rFonts w:hint="eastAsia" w:ascii="仿宋_GB2312" w:eastAsia="仿宋_GB2312" w:cs="仿宋_GB2312"/>
          <w:color w:val="000000"/>
          <w:kern w:val="0"/>
          <w:sz w:val="32"/>
          <w:szCs w:val="32"/>
          <w:shd w:val="clear" w:color="auto" w:fill="FFFFFF"/>
          <w:lang w:val="en-US" w:eastAsia="zh-CN"/>
        </w:rPr>
        <w:t>129.97万元</w:t>
      </w:r>
      <w:r>
        <w:rPr>
          <w:rFonts w:hint="eastAsia" w:ascii="仿宋_GB2312" w:eastAsia="仿宋_GB2312" w:cs="仿宋_GB2312"/>
          <w:color w:val="000000"/>
          <w:kern w:val="0"/>
          <w:sz w:val="32"/>
          <w:szCs w:val="32"/>
          <w:shd w:val="clear" w:color="auto" w:fill="FFFFFF"/>
        </w:rPr>
        <w:t>；按经济分类，工资福利支出</w:t>
      </w:r>
      <w:r>
        <w:rPr>
          <w:rFonts w:hint="eastAsia" w:ascii="仿宋_GB2312" w:eastAsia="仿宋_GB2312" w:cs="仿宋_GB2312"/>
          <w:color w:val="000000"/>
          <w:kern w:val="0"/>
          <w:sz w:val="32"/>
          <w:szCs w:val="32"/>
          <w:shd w:val="clear" w:color="auto" w:fill="FFFFFF"/>
          <w:lang w:val="en-US" w:eastAsia="zh-CN"/>
        </w:rPr>
        <w:t>201.29</w:t>
      </w:r>
      <w:r>
        <w:rPr>
          <w:rFonts w:hint="eastAsia" w:ascii="仿宋_GB2312" w:eastAsia="仿宋_GB2312" w:cs="仿宋_GB2312"/>
          <w:color w:val="000000"/>
          <w:kern w:val="0"/>
          <w:sz w:val="32"/>
          <w:szCs w:val="32"/>
          <w:shd w:val="clear" w:color="auto" w:fill="FFFFFF"/>
        </w:rPr>
        <w:t>万元，商品服务支出</w:t>
      </w:r>
      <w:r>
        <w:rPr>
          <w:rFonts w:hint="eastAsia" w:ascii="仿宋_GB2312" w:eastAsia="仿宋_GB2312" w:cs="仿宋_GB2312"/>
          <w:color w:val="000000"/>
          <w:kern w:val="0"/>
          <w:sz w:val="32"/>
          <w:szCs w:val="32"/>
          <w:shd w:val="clear" w:color="auto" w:fill="FFFFFF"/>
          <w:lang w:val="en-US" w:eastAsia="zh-CN"/>
        </w:rPr>
        <w:t>9.26</w:t>
      </w:r>
      <w:r>
        <w:rPr>
          <w:rFonts w:hint="eastAsia" w:ascii="仿宋_GB2312" w:eastAsia="仿宋_GB2312" w:cs="仿宋_GB2312"/>
          <w:color w:val="000000"/>
          <w:kern w:val="0"/>
          <w:sz w:val="32"/>
          <w:szCs w:val="32"/>
          <w:shd w:val="clear" w:color="auto" w:fill="FFFFFF"/>
        </w:rPr>
        <w:t>万元，个人及家庭补助支出</w:t>
      </w:r>
      <w:r>
        <w:rPr>
          <w:rFonts w:hint="eastAsia" w:ascii="仿宋_GB2312" w:eastAsia="仿宋_GB2312" w:cs="仿宋_GB2312"/>
          <w:color w:val="000000"/>
          <w:kern w:val="0"/>
          <w:sz w:val="32"/>
          <w:szCs w:val="32"/>
          <w:shd w:val="clear" w:color="auto" w:fill="FFFFFF"/>
          <w:lang w:val="en-US" w:eastAsia="zh-CN"/>
        </w:rPr>
        <w:t>7.54</w:t>
      </w:r>
      <w:r>
        <w:rPr>
          <w:rFonts w:hint="eastAsia" w:ascii="仿宋_GB2312" w:eastAsia="仿宋_GB2312" w:cs="仿宋_GB2312"/>
          <w:color w:val="000000"/>
          <w:kern w:val="0"/>
          <w:sz w:val="32"/>
          <w:szCs w:val="32"/>
          <w:shd w:val="clear" w:color="auto" w:fill="FFFFFF"/>
        </w:rPr>
        <w:t>万元</w:t>
      </w:r>
      <w:r>
        <w:rPr>
          <w:rFonts w:hint="eastAsia" w:ascii="仿宋_GB2312" w:eastAsia="仿宋_GB2312" w:cs="仿宋_GB2312"/>
          <w:color w:val="000000"/>
          <w:kern w:val="0"/>
          <w:sz w:val="32"/>
          <w:szCs w:val="32"/>
          <w:shd w:val="clear" w:color="auto" w:fill="FFFFFF"/>
          <w:lang w:eastAsia="zh-CN"/>
        </w:rPr>
        <w:t>，资本性支出</w:t>
      </w:r>
      <w:r>
        <w:rPr>
          <w:rFonts w:hint="eastAsia" w:ascii="仿宋_GB2312" w:eastAsia="仿宋_GB2312" w:cs="仿宋_GB2312"/>
          <w:color w:val="000000"/>
          <w:kern w:val="0"/>
          <w:sz w:val="32"/>
          <w:szCs w:val="32"/>
          <w:shd w:val="clear" w:color="auto" w:fill="FFFFFF"/>
          <w:lang w:val="en-US" w:eastAsia="zh-CN"/>
        </w:rPr>
        <w:t>129.97万元</w:t>
      </w:r>
      <w:r>
        <w:rPr>
          <w:rFonts w:hint="eastAsia" w:ascii="仿宋_GB2312" w:eastAsia="仿宋_GB2312" w:cs="仿宋_GB2312"/>
          <w:color w:val="000000"/>
          <w:kern w:val="0"/>
          <w:sz w:val="32"/>
          <w:szCs w:val="32"/>
          <w:shd w:val="clear" w:color="auto" w:fill="FFFFFF"/>
        </w:rPr>
        <w:t>。</w:t>
      </w:r>
    </w:p>
    <w:p w14:paraId="381D54D7">
      <w:pPr>
        <w:widowControl/>
        <w:numPr>
          <w:ilvl w:val="0"/>
          <w:numId w:val="5"/>
        </w:numPr>
        <w:adjustRightInd w:val="0"/>
        <w:snapToGrid w:val="0"/>
        <w:spacing w:line="578" w:lineRule="exact"/>
        <w:ind w:left="0" w:firstLine="720"/>
        <w:contextualSpacing/>
        <w:jc w:val="left"/>
        <w:rPr>
          <w:rFonts w:hint="eastAsia" w:ascii="仿宋_GB2312" w:eastAsia="仿宋_GB2312" w:cs="仿宋_GB2312"/>
          <w:b/>
          <w:sz w:val="32"/>
          <w:szCs w:val="32"/>
        </w:rPr>
      </w:pPr>
      <w:r>
        <w:rPr>
          <w:rFonts w:hint="eastAsia" w:ascii="仿宋_GB2312" w:eastAsia="仿宋_GB2312" w:cs="仿宋_GB2312"/>
          <w:b/>
          <w:sz w:val="32"/>
          <w:szCs w:val="32"/>
        </w:rPr>
        <w:t>结余分配和结转结余情况</w:t>
      </w:r>
    </w:p>
    <w:p w14:paraId="5C6533B9">
      <w:pPr>
        <w:widowControl/>
        <w:adjustRightInd w:val="0"/>
        <w:snapToGrid w:val="0"/>
        <w:spacing w:line="578" w:lineRule="exact"/>
        <w:ind w:firstLine="640" w:firstLineChars="200"/>
        <w:contextualSpacing/>
        <w:jc w:val="left"/>
        <w:rPr>
          <w:rFonts w:ascii="仿宋_GB2312" w:eastAsia="仿宋_GB2312" w:cs="仿宋_GB2312"/>
          <w:color w:val="000000"/>
          <w:kern w:val="0"/>
          <w:sz w:val="32"/>
          <w:szCs w:val="32"/>
          <w:shd w:val="clear" w:color="auto" w:fill="FFFFFF"/>
          <w:lang w:val="en-US" w:eastAsia="zh-CN"/>
        </w:rPr>
      </w:pPr>
      <w:r>
        <w:rPr>
          <w:rFonts w:hint="eastAsia" w:ascii="仿宋_GB2312" w:eastAsia="仿宋_GB2312" w:cs="仿宋_GB2312"/>
          <w:color w:val="000000"/>
          <w:kern w:val="0"/>
          <w:sz w:val="32"/>
          <w:szCs w:val="32"/>
          <w:shd w:val="clear" w:color="auto" w:fill="FFFFFF"/>
          <w:lang w:val="en-US" w:eastAsia="zh-CN"/>
        </w:rPr>
        <w:t>2024年度茂县档案馆无决算报表结转结余情况。</w:t>
      </w:r>
    </w:p>
    <w:p w14:paraId="5F35A825">
      <w:pPr>
        <w:widowControl/>
        <w:adjustRightInd w:val="0"/>
        <w:snapToGrid w:val="0"/>
        <w:spacing w:line="578" w:lineRule="exact"/>
        <w:ind w:firstLine="643" w:firstLineChars="200"/>
        <w:contextualSpacing/>
        <w:jc w:val="left"/>
        <w:rPr>
          <w:rFonts w:hint="eastAsia" w:ascii="黑体" w:eastAsia="黑体" w:cs="黑体"/>
          <w:b/>
          <w:bCs/>
          <w:color w:val="000000"/>
          <w:kern w:val="0"/>
          <w:sz w:val="32"/>
          <w:szCs w:val="32"/>
          <w:shd w:val="clear" w:color="auto" w:fill="FFFFFF"/>
        </w:rPr>
      </w:pPr>
      <w:r>
        <w:rPr>
          <w:rFonts w:hint="eastAsia" w:ascii="黑体" w:eastAsia="黑体" w:cs="黑体"/>
          <w:b/>
          <w:bCs/>
          <w:color w:val="000000"/>
          <w:kern w:val="0"/>
          <w:sz w:val="32"/>
          <w:szCs w:val="32"/>
          <w:shd w:val="clear" w:color="auto" w:fill="FFFFFF"/>
        </w:rPr>
        <w:t>三、部门预算绩效分析</w:t>
      </w:r>
    </w:p>
    <w:p w14:paraId="4309909D">
      <w:pPr>
        <w:adjustRightInd w:val="0"/>
        <w:snapToGrid w:val="0"/>
        <w:spacing w:line="578" w:lineRule="exact"/>
        <w:ind w:firstLine="643" w:firstLineChars="200"/>
        <w:contextualSpacing/>
        <w:jc w:val="left"/>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（一）部门预算总体绩效分析</w:t>
      </w:r>
    </w:p>
    <w:p w14:paraId="4740E0F6">
      <w:pPr>
        <w:widowControl/>
        <w:adjustRightInd w:val="0"/>
        <w:snapToGrid w:val="0"/>
        <w:spacing w:line="578" w:lineRule="exact"/>
        <w:ind w:left="0" w:firstLine="640" w:firstLineChars="200"/>
        <w:contextualSpacing/>
        <w:jc w:val="left"/>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严格按照相关财务规定要求，加强财务管理。</w:t>
      </w:r>
      <w:r>
        <w:rPr>
          <w:rFonts w:hint="eastAsia" w:ascii="仿宋_GB2312" w:eastAsia="仿宋_GB2312" w:cs="仿宋_GB2312"/>
          <w:b/>
          <w:bCs/>
          <w:sz w:val="32"/>
          <w:szCs w:val="32"/>
          <w:lang w:val="en-US" w:eastAsia="zh-CN"/>
        </w:rPr>
        <w:t>一是</w:t>
      </w:r>
      <w:r>
        <w:rPr>
          <w:rFonts w:hint="eastAsia" w:ascii="仿宋_GB2312" w:eastAsia="仿宋_GB2312" w:cs="仿宋_GB2312"/>
          <w:sz w:val="32"/>
          <w:szCs w:val="32"/>
          <w:lang w:eastAsia="zh-CN"/>
        </w:rPr>
        <w:t>在规定的时间之内报送绩效管理相关工作，报送资料齐全。</w:t>
      </w:r>
      <w:r>
        <w:rPr>
          <w:rFonts w:hint="eastAsia" w:ascii="仿宋_GB2312" w:eastAsia="仿宋_GB2312" w:cs="仿宋_GB2312"/>
          <w:b/>
          <w:bCs/>
          <w:sz w:val="32"/>
          <w:szCs w:val="32"/>
          <w:lang w:eastAsia="zh-CN"/>
        </w:rPr>
        <w:t>二是</w:t>
      </w:r>
      <w:r>
        <w:rPr>
          <w:rFonts w:hint="eastAsia" w:ascii="仿宋_GB2312" w:eastAsia="仿宋_GB2312" w:cs="仿宋_GB2312"/>
          <w:sz w:val="32"/>
          <w:szCs w:val="32"/>
          <w:lang w:eastAsia="zh-CN"/>
        </w:rPr>
        <w:t>在编制预算时，按时填报部门整体支出、项目支出绩效目标申报表。绩效目标申报表目标设置要合理，要符合项目特点，描述清晰明确，要填报新增重大政策、重大项目目标申报表。</w:t>
      </w:r>
      <w:r>
        <w:rPr>
          <w:rFonts w:hint="eastAsia" w:ascii="仿宋_GB2312" w:eastAsia="仿宋_GB2312" w:cs="仿宋_GB2312"/>
          <w:b/>
          <w:bCs/>
          <w:sz w:val="32"/>
          <w:szCs w:val="32"/>
          <w:lang w:eastAsia="zh-CN"/>
        </w:rPr>
        <w:t>三是</w:t>
      </w:r>
      <w:r>
        <w:rPr>
          <w:rFonts w:hint="eastAsia" w:ascii="仿宋_GB2312" w:eastAsia="仿宋_GB2312" w:cs="仿宋_GB2312"/>
          <w:sz w:val="32"/>
          <w:szCs w:val="32"/>
          <w:lang w:eastAsia="zh-CN"/>
        </w:rPr>
        <w:t>对预算执行中进行有效绩效跟踪监控。</w:t>
      </w:r>
      <w:r>
        <w:rPr>
          <w:rFonts w:hint="eastAsia" w:ascii="仿宋_GB2312" w:eastAsia="仿宋_GB2312" w:cs="仿宋_GB2312"/>
          <w:b/>
          <w:bCs/>
          <w:sz w:val="32"/>
          <w:szCs w:val="32"/>
          <w:lang w:eastAsia="zh-CN"/>
        </w:rPr>
        <w:t>四是</w:t>
      </w:r>
      <w:r>
        <w:rPr>
          <w:rFonts w:hint="eastAsia" w:ascii="仿宋_GB2312" w:eastAsia="仿宋_GB2312" w:cs="仿宋_GB2312"/>
          <w:sz w:val="32"/>
          <w:szCs w:val="32"/>
          <w:lang w:eastAsia="zh-CN"/>
        </w:rPr>
        <w:t>认真开展项目支出、财政政策、部门整体支出事后绩效自评工作。</w:t>
      </w:r>
      <w:r>
        <w:rPr>
          <w:rFonts w:hint="eastAsia" w:ascii="仿宋_GB2312" w:eastAsia="仿宋_GB2312" w:cs="仿宋_GB2312"/>
          <w:b/>
          <w:bCs/>
          <w:sz w:val="32"/>
          <w:szCs w:val="32"/>
          <w:lang w:eastAsia="zh-CN"/>
        </w:rPr>
        <w:t>五是</w:t>
      </w:r>
      <w:r>
        <w:rPr>
          <w:rFonts w:hint="eastAsia" w:ascii="仿宋_GB2312" w:eastAsia="仿宋_GB2312" w:cs="仿宋_GB2312"/>
          <w:sz w:val="32"/>
          <w:szCs w:val="32"/>
          <w:lang w:eastAsia="zh-CN"/>
        </w:rPr>
        <w:t>及时整改绩效评价存在的问题，并及时报送整改报告。</w:t>
      </w:r>
    </w:p>
    <w:p w14:paraId="6FE0A855">
      <w:pPr>
        <w:widowControl/>
        <w:adjustRightInd w:val="0"/>
        <w:snapToGrid w:val="0"/>
        <w:spacing w:line="578" w:lineRule="exact"/>
        <w:ind w:left="0" w:firstLine="643" w:firstLineChars="200"/>
        <w:contextualSpacing/>
        <w:jc w:val="left"/>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1.</w:t>
      </w:r>
      <w:r>
        <w:rPr>
          <w:rFonts w:hint="eastAsia" w:ascii="仿宋_GB2312" w:eastAsia="仿宋_GB2312" w:cs="仿宋_GB2312"/>
          <w:b/>
          <w:bCs/>
          <w:sz w:val="32"/>
          <w:szCs w:val="32"/>
          <w:lang w:val="zh-CN" w:eastAsia="zh-CN"/>
        </w:rPr>
        <w:t>履职效能。</w:t>
      </w:r>
      <w:r>
        <w:rPr>
          <w:rFonts w:hint="eastAsia" w:ascii="仿宋_GB2312" w:eastAsia="仿宋_GB2312" w:cs="仿宋_GB2312"/>
          <w:sz w:val="32"/>
          <w:szCs w:val="32"/>
          <w:lang w:val="zh-CN" w:eastAsia="zh-CN"/>
        </w:rPr>
        <w:t>针对部门整体绩效目标中选定3-5个核心职能目标，我们进行了全面的绩效分析。通过对比实际完成情况与预设目标，整体目标完成率达到</w:t>
      </w:r>
      <w:r>
        <w:rPr>
          <w:rFonts w:hint="eastAsia" w:ascii="仿宋_GB2312" w:eastAsia="仿宋_GB2312" w:cs="仿宋_GB2312"/>
          <w:sz w:val="32"/>
          <w:szCs w:val="32"/>
          <w:lang w:val="en-US" w:eastAsia="zh-CN"/>
        </w:rPr>
        <w:t>100%，超过预期目标。</w:t>
      </w:r>
    </w:p>
    <w:p w14:paraId="5B470F0A">
      <w:pPr>
        <w:widowControl/>
        <w:adjustRightInd w:val="0"/>
        <w:snapToGrid w:val="0"/>
        <w:spacing w:line="578" w:lineRule="exact"/>
        <w:ind w:left="0" w:firstLine="643" w:firstLineChars="200"/>
        <w:contextualSpacing/>
        <w:jc w:val="left"/>
        <w:rPr>
          <w:rFonts w:hint="eastAsia" w:ascii="仿宋_GB2312" w:eastAsia="仿宋_GB2312" w:cs="仿宋_GB2312"/>
          <w:color w:val="000000"/>
          <w:kern w:val="0"/>
          <w:sz w:val="32"/>
          <w:szCs w:val="32"/>
          <w:shd w:val="clear" w:color="auto" w:fill="FFFFFF"/>
          <w:lang w:val="zh-CN"/>
        </w:rPr>
      </w:pPr>
      <w:r>
        <w:rPr>
          <w:rFonts w:hint="eastAsia" w:ascii="仿宋_GB2312" w:eastAsia="仿宋_GB2312" w:cs="仿宋_GB2312"/>
          <w:b/>
          <w:bCs/>
          <w:sz w:val="32"/>
          <w:szCs w:val="32"/>
          <w:lang w:val="en-US" w:eastAsia="zh-CN"/>
        </w:rPr>
        <w:t>2.</w:t>
      </w:r>
      <w:r>
        <w:rPr>
          <w:rFonts w:hint="eastAsia" w:ascii="仿宋_GB2312" w:eastAsia="仿宋_GB2312" w:cs="仿宋_GB2312"/>
          <w:b/>
          <w:bCs/>
          <w:sz w:val="32"/>
          <w:szCs w:val="32"/>
          <w:lang w:val="zh-CN" w:eastAsia="zh-CN"/>
        </w:rPr>
        <w:t>预算管理。</w:t>
      </w:r>
      <w:r>
        <w:rPr>
          <w:rFonts w:hint="eastAsia" w:ascii="仿宋_GB2312" w:eastAsia="仿宋_GB2312" w:cs="仿宋_GB2312"/>
          <w:sz w:val="32"/>
          <w:szCs w:val="32"/>
          <w:lang w:val="zh-CN" w:eastAsia="zh-CN"/>
        </w:rPr>
        <w:t>在预算管理方面，我们重点分析了预算编制质量，预算编制质量得到了显著提升、支出执行进度符合预期，预算年终结余控制在合理范围内，未出现大额结余或超支情况。同时，我们严格执行一般性支出控制政策，有效降低了非必要支出</w:t>
      </w:r>
      <w:r>
        <w:rPr>
          <w:rFonts w:hint="eastAsia" w:ascii="仿宋_GB2312" w:eastAsia="仿宋_GB2312" w:cs="仿宋_GB2312"/>
          <w:color w:val="000000"/>
          <w:kern w:val="0"/>
          <w:sz w:val="32"/>
          <w:szCs w:val="32"/>
          <w:shd w:val="clear" w:color="auto" w:fill="FFFFFF"/>
          <w:lang w:val="zh-CN"/>
        </w:rPr>
        <w:t>。</w:t>
      </w:r>
    </w:p>
    <w:p w14:paraId="3E696840">
      <w:pPr>
        <w:widowControl/>
        <w:adjustRightInd w:val="0"/>
        <w:snapToGrid w:val="0"/>
        <w:spacing w:line="578" w:lineRule="exact"/>
        <w:ind w:left="0" w:firstLine="643" w:firstLineChars="200"/>
        <w:contextualSpacing/>
        <w:jc w:val="left"/>
        <w:rPr>
          <w:rFonts w:hint="eastAsia" w:ascii="仿宋_GB2312" w:eastAsia="仿宋_GB2312" w:cs="仿宋_GB2312"/>
          <w:sz w:val="32"/>
          <w:szCs w:val="32"/>
          <w:lang w:val="zh-CN" w:eastAsia="zh-CN"/>
        </w:rPr>
      </w:pPr>
      <w:r>
        <w:rPr>
          <w:rFonts w:hint="eastAsia" w:ascii="仿宋_GB2312" w:eastAsia="仿宋_GB2312" w:cs="仿宋_GB2312"/>
          <w:b/>
          <w:bCs/>
          <w:sz w:val="32"/>
          <w:szCs w:val="32"/>
          <w:lang w:val="en-US" w:eastAsia="zh-CN"/>
        </w:rPr>
        <w:t>3.</w:t>
      </w:r>
      <w:r>
        <w:rPr>
          <w:rFonts w:hint="eastAsia" w:ascii="仿宋_GB2312" w:eastAsia="仿宋_GB2312" w:cs="仿宋_GB2312"/>
          <w:b/>
          <w:bCs/>
          <w:sz w:val="32"/>
          <w:szCs w:val="32"/>
          <w:lang w:val="zh-CN" w:eastAsia="zh-CN"/>
        </w:rPr>
        <w:t>财务管理。</w:t>
      </w:r>
      <w:r>
        <w:rPr>
          <w:rFonts w:hint="eastAsia" w:ascii="仿宋_GB2312" w:eastAsia="仿宋_GB2312" w:cs="仿宋_GB2312"/>
          <w:sz w:val="32"/>
          <w:szCs w:val="32"/>
          <w:lang w:val="zh-CN" w:eastAsia="zh-CN"/>
        </w:rPr>
        <w:t>围绕财务管理制度、财务岗位设置以及资金使用等方面进行了规范，并严格执行了绩效分析。通过这一系列措施，确保了财务管理的科学性和规范性。财务管理制度的完善和绩效分析的实施，有助于提升资金使用的效率和透明度，减少不必要的支出，确保财务健康。</w:t>
      </w:r>
    </w:p>
    <w:p w14:paraId="4FDB3E7E">
      <w:pPr>
        <w:widowControl/>
        <w:adjustRightInd w:val="0"/>
        <w:snapToGrid w:val="0"/>
        <w:spacing w:line="578" w:lineRule="exact"/>
        <w:ind w:left="0" w:firstLine="643" w:firstLineChars="200"/>
        <w:contextualSpacing/>
        <w:jc w:val="left"/>
        <w:rPr>
          <w:rFonts w:hint="eastAsia" w:ascii="仿宋_GB2312" w:eastAsia="仿宋_GB2312" w:cs="仿宋_GB2312"/>
          <w:sz w:val="32"/>
          <w:szCs w:val="32"/>
          <w:lang w:val="zh-CN" w:eastAsia="zh-CN"/>
        </w:rPr>
      </w:pPr>
      <w:r>
        <w:rPr>
          <w:rFonts w:hint="eastAsia" w:ascii="仿宋_GB2312" w:eastAsia="仿宋_GB2312" w:cs="仿宋_GB2312"/>
          <w:b/>
          <w:bCs/>
          <w:sz w:val="32"/>
          <w:szCs w:val="32"/>
          <w:lang w:val="en-US" w:eastAsia="zh-CN"/>
        </w:rPr>
        <w:t>4.</w:t>
      </w:r>
      <w:r>
        <w:rPr>
          <w:rFonts w:hint="eastAsia" w:ascii="仿宋_GB2312" w:eastAsia="仿宋_GB2312" w:cs="仿宋_GB2312"/>
          <w:b/>
          <w:bCs/>
          <w:sz w:val="32"/>
          <w:szCs w:val="32"/>
          <w:lang w:val="zh-CN" w:eastAsia="zh-CN"/>
        </w:rPr>
        <w:t>资产管理。</w:t>
      </w:r>
      <w:r>
        <w:rPr>
          <w:rFonts w:hint="eastAsia" w:ascii="仿宋_GB2312" w:eastAsia="仿宋_GB2312" w:cs="仿宋_GB2312"/>
          <w:sz w:val="32"/>
          <w:szCs w:val="32"/>
          <w:lang w:val="zh-CN" w:eastAsia="zh-CN"/>
        </w:rPr>
        <w:t>围绕资产变化率、资产利用率和资产盘活率进行了绩效分析。这些指标直接关联到资产的运营效率和价值实现。通过绩效分析，能够及时了解资产的使用情况和价值变化，从而采取相应措施提高资产利用率和盘活率。这有助于优化资产配置，提升整体资产价值。</w:t>
      </w:r>
    </w:p>
    <w:p w14:paraId="5D0A887B">
      <w:pPr>
        <w:widowControl/>
        <w:adjustRightInd w:val="0"/>
        <w:snapToGrid w:val="0"/>
        <w:spacing w:line="578" w:lineRule="exact"/>
        <w:ind w:left="0" w:firstLine="643" w:firstLineChars="200"/>
        <w:contextualSpacing/>
        <w:jc w:val="left"/>
        <w:rPr>
          <w:rFonts w:hint="eastAsia" w:ascii="仿宋_GB2312" w:eastAsia="仿宋_GB2312" w:cs="仿宋_GB2312"/>
          <w:sz w:val="32"/>
          <w:szCs w:val="32"/>
          <w:highlight w:val="none"/>
          <w:lang w:eastAsia="zh-CN"/>
        </w:rPr>
      </w:pPr>
      <w:r>
        <w:rPr>
          <w:rFonts w:hint="eastAsia" w:ascii="仿宋_GB2312" w:eastAsia="仿宋_GB2312" w:cs="仿宋_GB2312"/>
          <w:b/>
          <w:bCs/>
          <w:sz w:val="32"/>
          <w:szCs w:val="32"/>
          <w:highlight w:val="none"/>
          <w:lang w:val="en-US" w:eastAsia="zh-CN"/>
        </w:rPr>
        <w:t>5.</w:t>
      </w:r>
      <w:r>
        <w:rPr>
          <w:rFonts w:hint="eastAsia" w:ascii="仿宋_GB2312" w:eastAsia="仿宋_GB2312" w:cs="仿宋_GB2312"/>
          <w:b/>
          <w:bCs/>
          <w:sz w:val="32"/>
          <w:szCs w:val="32"/>
          <w:highlight w:val="none"/>
          <w:lang w:val="zh-CN" w:eastAsia="zh-CN"/>
        </w:rPr>
        <w:t>采购管理。</w:t>
      </w:r>
      <w:r>
        <w:rPr>
          <w:rFonts w:hint="eastAsia" w:ascii="仿宋_GB2312" w:eastAsia="仿宋_GB2312" w:cs="仿宋_GB2312"/>
          <w:sz w:val="32"/>
          <w:szCs w:val="32"/>
          <w:highlight w:val="none"/>
          <w:lang w:val="zh-CN" w:eastAsia="zh-CN"/>
        </w:rPr>
        <w:t>提高效率和节约资金，通过整合采购项目线上、线下流转审核程序，优化采购流程，实现全流程电子化，加强采购预算编制、采购活动组织、政策功能落实等内容的审核，严格防范采购项目增加隐形债务风险。此外，通过开展专项整治，全面提升采购治理水平，规范采购代理机构行为，强化采购监督管理水平，确保采购活动的透明度和效率。</w:t>
      </w:r>
    </w:p>
    <w:p w14:paraId="4D1A035A">
      <w:pPr>
        <w:adjustRightInd w:val="0"/>
        <w:snapToGrid w:val="0"/>
        <w:spacing w:line="578" w:lineRule="exact"/>
        <w:ind w:left="0" w:firstLine="643" w:firstLineChars="200"/>
        <w:contextualSpacing/>
        <w:jc w:val="left"/>
        <w:rPr>
          <w:rFonts w:hint="eastAsia" w:ascii="仿宋_GB2312" w:eastAsia="仿宋_GB2312" w:cs="仿宋_GB2312"/>
          <w:sz w:val="32"/>
          <w:szCs w:val="32"/>
          <w:lang w:val="en-US" w:eastAsia="zh-CN"/>
        </w:rPr>
      </w:pPr>
      <w:r>
        <w:rPr>
          <w:rFonts w:hint="eastAsia" w:ascii="仿宋_GB2312" w:eastAsia="仿宋_GB2312" w:cs="仿宋_GB2312"/>
          <w:b/>
          <w:bCs/>
          <w:color w:val="000000"/>
          <w:kern w:val="0"/>
          <w:sz w:val="32"/>
          <w:szCs w:val="32"/>
          <w:shd w:val="clear" w:color="auto" w:fill="FFFFFF"/>
          <w:lang w:val="zh-CN"/>
        </w:rPr>
        <w:t>（二）部门预算项目绩效分析</w:t>
      </w:r>
    </w:p>
    <w:p w14:paraId="7600FF38">
      <w:pPr>
        <w:adjustRightInd w:val="0"/>
        <w:snapToGrid w:val="0"/>
        <w:spacing w:line="578" w:lineRule="exact"/>
        <w:ind w:firstLine="643" w:firstLineChars="200"/>
        <w:contextualSpacing/>
        <w:jc w:val="left"/>
        <w:rPr>
          <w:rFonts w:hint="eastAsia" w:ascii="仿宋_GB2312" w:eastAsia="仿宋_GB2312" w:cs="仿宋_GB2312"/>
          <w:color w:val="000000"/>
          <w:kern w:val="0"/>
          <w:sz w:val="32"/>
          <w:szCs w:val="32"/>
          <w:highlight w:val="none"/>
          <w:shd w:val="clear" w:color="auto" w:fill="FFFFFF"/>
          <w:lang w:val="zh-CN"/>
        </w:rPr>
      </w:pPr>
      <w:r>
        <w:rPr>
          <w:rFonts w:hint="eastAsia" w:ascii="仿宋_GB2312" w:eastAsia="仿宋_GB2312" w:cs="仿宋_GB2312"/>
          <w:b/>
          <w:bCs/>
          <w:color w:val="000000"/>
          <w:kern w:val="0"/>
          <w:sz w:val="32"/>
          <w:szCs w:val="32"/>
          <w:highlight w:val="none"/>
          <w:shd w:val="clear" w:color="auto" w:fill="FFFFFF"/>
        </w:rPr>
        <w:t>常年项目绩效分析。</w:t>
      </w:r>
      <w:r>
        <w:rPr>
          <w:rFonts w:hint="eastAsia" w:ascii="仿宋_GB2312" w:eastAsia="仿宋_GB2312" w:cs="仿宋_GB2312"/>
          <w:color w:val="000000"/>
          <w:kern w:val="0"/>
          <w:sz w:val="32"/>
          <w:szCs w:val="32"/>
          <w:highlight w:val="none"/>
          <w:shd w:val="clear" w:color="auto" w:fill="FFFFFF"/>
          <w:lang w:val="zh-CN"/>
        </w:rPr>
        <w:t>该类项目总数</w:t>
      </w:r>
      <w:r>
        <w:rPr>
          <w:rFonts w:hint="eastAsia" w:ascii="仿宋_GB2312" w:eastAsia="仿宋_GB2312" w:cs="仿宋_GB2312"/>
          <w:color w:val="000000"/>
          <w:kern w:val="0"/>
          <w:sz w:val="32"/>
          <w:szCs w:val="32"/>
          <w:highlight w:val="none"/>
          <w:shd w:val="clear" w:color="auto" w:fill="FFFFFF"/>
          <w:lang w:val="en-US" w:eastAsia="zh-CN"/>
        </w:rPr>
        <w:t>0</w:t>
      </w:r>
      <w:r>
        <w:rPr>
          <w:rFonts w:hint="eastAsia" w:ascii="仿宋_GB2312" w:eastAsia="仿宋_GB2312" w:cs="仿宋_GB2312"/>
          <w:color w:val="000000"/>
          <w:kern w:val="0"/>
          <w:sz w:val="32"/>
          <w:szCs w:val="32"/>
          <w:highlight w:val="none"/>
          <w:shd w:val="clear" w:color="auto" w:fill="FFFFFF"/>
          <w:lang w:val="zh-CN"/>
        </w:rPr>
        <w:t>个，涉及预算总金额</w:t>
      </w:r>
      <w:r>
        <w:rPr>
          <w:rFonts w:hint="eastAsia" w:ascii="仿宋_GB2312" w:eastAsia="仿宋_GB2312" w:cs="仿宋_GB2312"/>
          <w:color w:val="000000"/>
          <w:kern w:val="0"/>
          <w:sz w:val="32"/>
          <w:szCs w:val="32"/>
          <w:highlight w:val="none"/>
          <w:shd w:val="clear" w:color="auto" w:fill="FFFFFF"/>
          <w:lang w:val="en-US" w:eastAsia="zh-CN"/>
        </w:rPr>
        <w:t>0</w:t>
      </w:r>
      <w:r>
        <w:rPr>
          <w:rFonts w:hint="eastAsia" w:ascii="仿宋_GB2312" w:eastAsia="仿宋_GB2312" w:cs="仿宋_GB2312"/>
          <w:color w:val="000000"/>
          <w:kern w:val="0"/>
          <w:sz w:val="32"/>
          <w:szCs w:val="32"/>
          <w:highlight w:val="none"/>
          <w:shd w:val="clear" w:color="auto" w:fill="FFFFFF"/>
          <w:lang w:val="zh-CN"/>
        </w:rPr>
        <w:t>万元，其中：预算结余率大于</w:t>
      </w:r>
      <w:r>
        <w:rPr>
          <w:rFonts w:hint="eastAsia" w:ascii="仿宋_GB2312" w:eastAsia="仿宋_GB2312" w:cs="仿宋_GB2312"/>
          <w:color w:val="000000"/>
          <w:kern w:val="0"/>
          <w:sz w:val="32"/>
          <w:szCs w:val="32"/>
          <w:highlight w:val="none"/>
          <w:shd w:val="clear" w:color="auto" w:fill="FFFFFF"/>
        </w:rPr>
        <w:t>10%</w:t>
      </w:r>
      <w:r>
        <w:rPr>
          <w:rFonts w:hint="eastAsia" w:ascii="仿宋_GB2312" w:eastAsia="仿宋_GB2312" w:cs="仿宋_GB2312"/>
          <w:color w:val="000000"/>
          <w:kern w:val="0"/>
          <w:sz w:val="32"/>
          <w:szCs w:val="32"/>
          <w:highlight w:val="none"/>
          <w:shd w:val="clear" w:color="auto" w:fill="FFFFFF"/>
          <w:lang w:val="zh-CN"/>
        </w:rPr>
        <w:t>的项目共计</w:t>
      </w:r>
      <w:r>
        <w:rPr>
          <w:rFonts w:hint="eastAsia" w:ascii="仿宋_GB2312" w:eastAsia="仿宋_GB2312" w:cs="仿宋_GB2312"/>
          <w:color w:val="000000"/>
          <w:kern w:val="0"/>
          <w:sz w:val="32"/>
          <w:szCs w:val="32"/>
          <w:highlight w:val="none"/>
          <w:shd w:val="clear" w:color="auto" w:fill="FFFFFF"/>
          <w:lang w:val="en-US" w:eastAsia="zh-CN"/>
        </w:rPr>
        <w:t>0</w:t>
      </w:r>
      <w:r>
        <w:rPr>
          <w:rFonts w:hint="eastAsia" w:ascii="仿宋_GB2312" w:eastAsia="仿宋_GB2312" w:cs="仿宋_GB2312"/>
          <w:color w:val="000000"/>
          <w:kern w:val="0"/>
          <w:sz w:val="32"/>
          <w:szCs w:val="32"/>
          <w:highlight w:val="none"/>
          <w:shd w:val="clear" w:color="auto" w:fill="FFFFFF"/>
          <w:lang w:val="zh-CN"/>
        </w:rPr>
        <w:t>个。</w:t>
      </w:r>
    </w:p>
    <w:p w14:paraId="2AD4406F">
      <w:pPr>
        <w:adjustRightInd w:val="0"/>
        <w:snapToGrid w:val="0"/>
        <w:spacing w:line="578" w:lineRule="exact"/>
        <w:ind w:firstLine="643" w:firstLineChars="200"/>
        <w:contextualSpacing/>
        <w:jc w:val="left"/>
        <w:rPr>
          <w:rFonts w:hint="eastAsia" w:ascii="仿宋_GB2312" w:eastAsia="仿宋_GB2312" w:cs="仿宋_GB2312"/>
          <w:color w:val="000000"/>
          <w:kern w:val="0"/>
          <w:sz w:val="32"/>
          <w:szCs w:val="32"/>
          <w:highlight w:val="none"/>
          <w:shd w:val="clear" w:color="auto" w:fill="FFFFFF"/>
          <w:lang w:val="en-US" w:eastAsia="zh-CN"/>
        </w:rPr>
      </w:pPr>
      <w:r>
        <w:rPr>
          <w:rFonts w:hint="eastAsia" w:ascii="仿宋_GB2312" w:eastAsia="仿宋_GB2312" w:cs="仿宋_GB2312"/>
          <w:b/>
          <w:bCs/>
          <w:color w:val="000000"/>
          <w:kern w:val="0"/>
          <w:sz w:val="32"/>
          <w:szCs w:val="32"/>
          <w:highlight w:val="none"/>
          <w:shd w:val="clear" w:color="auto" w:fill="FFFFFF"/>
        </w:rPr>
        <w:t>阶段（一次性）项目绩效分析。</w:t>
      </w:r>
      <w:r>
        <w:rPr>
          <w:rFonts w:hint="eastAsia" w:ascii="仿宋_GB2312" w:eastAsia="仿宋_GB2312" w:cs="仿宋_GB2312"/>
          <w:color w:val="000000"/>
          <w:kern w:val="0"/>
          <w:sz w:val="32"/>
          <w:szCs w:val="32"/>
          <w:highlight w:val="none"/>
          <w:shd w:val="clear" w:color="auto" w:fill="FFFFFF"/>
          <w:lang w:val="zh-CN"/>
        </w:rPr>
        <w:t>该类项目总数</w:t>
      </w:r>
      <w:r>
        <w:rPr>
          <w:rFonts w:hint="eastAsia" w:ascii="仿宋_GB2312" w:eastAsia="仿宋_GB2312" w:cs="仿宋_GB2312"/>
          <w:color w:val="000000"/>
          <w:kern w:val="0"/>
          <w:sz w:val="32"/>
          <w:szCs w:val="32"/>
          <w:highlight w:val="none"/>
          <w:shd w:val="clear" w:color="auto" w:fill="FFFFFF"/>
          <w:lang w:val="en-US" w:eastAsia="zh-CN"/>
        </w:rPr>
        <w:t>2</w:t>
      </w:r>
      <w:r>
        <w:rPr>
          <w:rFonts w:hint="eastAsia" w:ascii="仿宋_GB2312" w:eastAsia="仿宋_GB2312" w:cs="仿宋_GB2312"/>
          <w:color w:val="000000"/>
          <w:kern w:val="0"/>
          <w:sz w:val="32"/>
          <w:szCs w:val="32"/>
          <w:highlight w:val="none"/>
          <w:shd w:val="clear" w:color="auto" w:fill="FFFFFF"/>
          <w:lang w:val="zh-CN"/>
        </w:rPr>
        <w:t>个，涉及预算总金额</w:t>
      </w:r>
      <w:r>
        <w:rPr>
          <w:rFonts w:hint="eastAsia" w:ascii="仿宋_GB2312" w:eastAsia="仿宋_GB2312" w:cs="仿宋_GB2312"/>
          <w:color w:val="000000"/>
          <w:kern w:val="0"/>
          <w:sz w:val="32"/>
          <w:szCs w:val="32"/>
          <w:highlight w:val="none"/>
          <w:shd w:val="clear" w:color="auto" w:fill="FFFFFF"/>
          <w:lang w:val="en-US" w:eastAsia="zh-CN"/>
        </w:rPr>
        <w:t>129.97</w:t>
      </w:r>
      <w:r>
        <w:rPr>
          <w:rFonts w:hint="eastAsia" w:ascii="仿宋_GB2312" w:eastAsia="仿宋_GB2312" w:cs="仿宋_GB2312"/>
          <w:color w:val="000000"/>
          <w:kern w:val="0"/>
          <w:sz w:val="32"/>
          <w:szCs w:val="32"/>
          <w:highlight w:val="none"/>
          <w:shd w:val="clear" w:color="auto" w:fill="FFFFFF"/>
          <w:lang w:val="zh-CN"/>
        </w:rPr>
        <w:t>万元，1—1</w:t>
      </w:r>
      <w:r>
        <w:rPr>
          <w:rFonts w:hint="eastAsia" w:ascii="仿宋_GB2312" w:eastAsia="仿宋_GB2312" w:cs="仿宋_GB2312"/>
          <w:color w:val="000000"/>
          <w:kern w:val="0"/>
          <w:sz w:val="32"/>
          <w:szCs w:val="32"/>
          <w:highlight w:val="none"/>
          <w:shd w:val="clear" w:color="auto" w:fill="FFFFFF"/>
        </w:rPr>
        <w:t>2</w:t>
      </w:r>
      <w:r>
        <w:rPr>
          <w:rFonts w:hint="eastAsia" w:ascii="仿宋_GB2312" w:eastAsia="仿宋_GB2312" w:cs="仿宋_GB2312"/>
          <w:color w:val="000000"/>
          <w:kern w:val="0"/>
          <w:sz w:val="32"/>
          <w:szCs w:val="32"/>
          <w:highlight w:val="none"/>
          <w:shd w:val="clear" w:color="auto" w:fill="FFFFFF"/>
          <w:lang w:val="zh-CN"/>
        </w:rPr>
        <w:t>月预算执行总体进度为</w:t>
      </w:r>
      <w:r>
        <w:rPr>
          <w:rFonts w:hint="eastAsia" w:ascii="仿宋_GB2312" w:eastAsia="仿宋_GB2312" w:cs="仿宋_GB2312"/>
          <w:color w:val="000000"/>
          <w:kern w:val="0"/>
          <w:sz w:val="32"/>
          <w:szCs w:val="32"/>
          <w:highlight w:val="none"/>
          <w:shd w:val="clear" w:color="auto" w:fill="FFFFFF"/>
          <w:lang w:val="en-US" w:eastAsia="zh-CN"/>
        </w:rPr>
        <w:t>100</w:t>
      </w:r>
      <w:r>
        <w:rPr>
          <w:rFonts w:hint="eastAsia" w:ascii="仿宋_GB2312" w:eastAsia="仿宋_GB2312" w:cs="仿宋_GB2312"/>
          <w:color w:val="000000"/>
          <w:kern w:val="0"/>
          <w:sz w:val="32"/>
          <w:szCs w:val="32"/>
          <w:highlight w:val="none"/>
          <w:shd w:val="clear" w:color="auto" w:fill="FFFFFF"/>
        </w:rPr>
        <w:t xml:space="preserve"> </w:t>
      </w:r>
      <w:r>
        <w:rPr>
          <w:rFonts w:hint="eastAsia" w:ascii="仿宋_GB2312" w:eastAsia="仿宋_GB2312" w:cs="仿宋_GB2312"/>
          <w:color w:val="000000"/>
          <w:kern w:val="0"/>
          <w:sz w:val="32"/>
          <w:szCs w:val="32"/>
          <w:highlight w:val="none"/>
          <w:shd w:val="clear" w:color="auto" w:fill="FFFFFF"/>
          <w:lang w:val="zh-CN"/>
        </w:rPr>
        <w:t>%，其中：预算结余率大于</w:t>
      </w:r>
      <w:r>
        <w:rPr>
          <w:rFonts w:hint="eastAsia" w:ascii="仿宋_GB2312" w:eastAsia="仿宋_GB2312" w:cs="仿宋_GB2312"/>
          <w:color w:val="000000"/>
          <w:kern w:val="0"/>
          <w:sz w:val="32"/>
          <w:szCs w:val="32"/>
          <w:highlight w:val="none"/>
          <w:shd w:val="clear" w:color="auto" w:fill="FFFFFF"/>
        </w:rPr>
        <w:t>10%</w:t>
      </w:r>
      <w:r>
        <w:rPr>
          <w:rFonts w:hint="eastAsia" w:ascii="仿宋_GB2312" w:eastAsia="仿宋_GB2312" w:cs="仿宋_GB2312"/>
          <w:color w:val="000000"/>
          <w:kern w:val="0"/>
          <w:sz w:val="32"/>
          <w:szCs w:val="32"/>
          <w:highlight w:val="none"/>
          <w:shd w:val="clear" w:color="auto" w:fill="FFFFFF"/>
          <w:lang w:val="zh-CN"/>
        </w:rPr>
        <w:t>的项目共计</w:t>
      </w:r>
      <w:r>
        <w:rPr>
          <w:rFonts w:hint="eastAsia" w:ascii="仿宋_GB2312" w:eastAsia="仿宋_GB2312" w:cs="仿宋_GB2312"/>
          <w:color w:val="000000"/>
          <w:kern w:val="0"/>
          <w:sz w:val="32"/>
          <w:szCs w:val="32"/>
          <w:highlight w:val="none"/>
          <w:shd w:val="clear" w:color="auto" w:fill="FFFFFF"/>
          <w:lang w:val="en-US" w:eastAsia="zh-CN"/>
        </w:rPr>
        <w:t>0</w:t>
      </w:r>
      <w:r>
        <w:rPr>
          <w:rFonts w:hint="eastAsia" w:ascii="仿宋_GB2312" w:eastAsia="仿宋_GB2312" w:cs="仿宋_GB2312"/>
          <w:color w:val="000000"/>
          <w:kern w:val="0"/>
          <w:sz w:val="32"/>
          <w:szCs w:val="32"/>
          <w:highlight w:val="none"/>
          <w:shd w:val="clear" w:color="auto" w:fill="FFFFFF"/>
          <w:lang w:val="zh-CN"/>
        </w:rPr>
        <w:t>个。</w:t>
      </w:r>
    </w:p>
    <w:p w14:paraId="51FC1971">
      <w:pPr>
        <w:adjustRightInd w:val="0"/>
        <w:snapToGrid w:val="0"/>
        <w:spacing w:line="578" w:lineRule="exact"/>
        <w:ind w:firstLine="643" w:firstLineChars="200"/>
        <w:contextualSpacing/>
        <w:jc w:val="left"/>
        <w:rPr>
          <w:rFonts w:hint="eastAsia" w:ascii="仿宋_GB2312" w:eastAsia="仿宋_GB2312" w:cs="仿宋_GB2312"/>
          <w:sz w:val="32"/>
          <w:szCs w:val="32"/>
          <w:lang w:val="zh-CN" w:eastAsia="zh-CN"/>
        </w:rPr>
      </w:pPr>
      <w:r>
        <w:rPr>
          <w:rFonts w:hint="eastAsia" w:ascii="仿宋_GB2312" w:eastAsia="仿宋_GB2312" w:cs="仿宋_GB2312"/>
          <w:b/>
          <w:bCs/>
          <w:sz w:val="32"/>
          <w:szCs w:val="32"/>
          <w:lang w:val="en-US" w:eastAsia="zh-CN"/>
        </w:rPr>
        <w:t>1.</w:t>
      </w:r>
      <w:r>
        <w:rPr>
          <w:rFonts w:hint="eastAsia" w:ascii="仿宋_GB2312" w:eastAsia="仿宋_GB2312" w:cs="仿宋_GB2312"/>
          <w:b/>
          <w:bCs/>
          <w:sz w:val="32"/>
          <w:szCs w:val="32"/>
          <w:lang w:val="zh-CN" w:eastAsia="zh-CN"/>
        </w:rPr>
        <w:t>项目决策。</w:t>
      </w:r>
      <w:r>
        <w:rPr>
          <w:rFonts w:hint="eastAsia" w:ascii="仿宋_GB2312" w:eastAsia="仿宋_GB2312" w:cs="仿宋_GB2312"/>
          <w:sz w:val="32"/>
          <w:szCs w:val="32"/>
          <w:lang w:val="zh-CN" w:eastAsia="zh-CN"/>
        </w:rPr>
        <w:t>在项目启动之前，通过一系列科学、合理的规划来确定项目的可行性和必要性。决策程序市场调研、风险评估、资源评估、技术可行性分析等，目标设置具体、可衡量、可达成、相关性强、时限明确。这些目标将成为项目执行过程中的指导方向，也是后续绩效评估的基准。一旦项目决策通过，项目将被正式纳入管理系统中。进行初步的绩效分析，以评估项目预期成果与资源投入之间的匹配度，以及项目可能带来的长期效益。有助于进一步细化项目计划，确保项目资源得到合理分配，并为后续的项目执行和监控奠定基础。</w:t>
      </w:r>
    </w:p>
    <w:p w14:paraId="250840A6">
      <w:pPr>
        <w:adjustRightInd w:val="0"/>
        <w:snapToGrid w:val="0"/>
        <w:spacing w:line="578" w:lineRule="exact"/>
        <w:ind w:firstLine="643" w:firstLineChars="200"/>
        <w:contextualSpacing/>
        <w:jc w:val="left"/>
        <w:rPr>
          <w:rFonts w:hint="eastAsia" w:ascii="仿宋_GB2312" w:eastAsia="仿宋_GB2312" w:cs="仿宋_GB2312"/>
          <w:sz w:val="32"/>
          <w:szCs w:val="32"/>
          <w:lang w:val="zh-CN" w:eastAsia="zh-CN"/>
        </w:rPr>
      </w:pPr>
      <w:r>
        <w:rPr>
          <w:rFonts w:hint="eastAsia" w:ascii="仿宋_GB2312" w:eastAsia="仿宋_GB2312" w:cs="仿宋_GB2312"/>
          <w:b/>
          <w:bCs/>
          <w:sz w:val="32"/>
          <w:szCs w:val="32"/>
          <w:lang w:val="en-US" w:eastAsia="zh-CN"/>
        </w:rPr>
        <w:t>2.项目执行</w:t>
      </w:r>
      <w:r>
        <w:rPr>
          <w:rFonts w:hint="eastAsia" w:ascii="仿宋_GB2312" w:eastAsia="仿宋_GB2312" w:cs="仿宋_GB2312"/>
          <w:b/>
          <w:bCs/>
          <w:sz w:val="32"/>
          <w:szCs w:val="32"/>
          <w:lang w:val="zh-CN" w:eastAsia="zh-CN"/>
        </w:rPr>
        <w:t>。一是</w:t>
      </w:r>
      <w:r>
        <w:rPr>
          <w:rFonts w:hint="eastAsia" w:ascii="仿宋_GB2312" w:eastAsia="仿宋_GB2312" w:cs="仿宋_GB2312"/>
          <w:sz w:val="32"/>
          <w:szCs w:val="32"/>
          <w:lang w:val="zh-CN" w:eastAsia="zh-CN"/>
        </w:rPr>
        <w:t>项目启动之初，基于详细的项目计划制定科学合理的资金预算，明确各项开支的预期额度及时间安排。预算编制完成后，经过严格的审批流程，确保预算的合理性和可行性。</w:t>
      </w:r>
      <w:r>
        <w:rPr>
          <w:rFonts w:hint="eastAsia" w:ascii="仿宋_GB2312" w:eastAsia="仿宋_GB2312" w:cs="仿宋_GB2312"/>
          <w:b/>
          <w:bCs/>
          <w:sz w:val="32"/>
          <w:szCs w:val="32"/>
          <w:lang w:val="zh-CN" w:eastAsia="zh-CN"/>
        </w:rPr>
        <w:t>二是</w:t>
      </w:r>
      <w:r>
        <w:rPr>
          <w:rFonts w:hint="eastAsia" w:ascii="仿宋_GB2312" w:eastAsia="仿宋_GB2312" w:cs="仿宋_GB2312"/>
          <w:sz w:val="32"/>
          <w:szCs w:val="32"/>
          <w:lang w:val="zh-CN" w:eastAsia="zh-CN"/>
        </w:rPr>
        <w:t>项目实施过程中，建立有效的资金监控系统，实时跟踪资金使用情况，确保资金流与项目进度相匹配。通过精细化的成本管理和资源优化配置，减少不必要的开支，提高资金使用效率。同时，鼓励采用创新的成本控制方法，以最小的成本实现最大的项目价值。</w:t>
      </w:r>
      <w:r>
        <w:rPr>
          <w:rFonts w:hint="eastAsia" w:ascii="仿宋_GB2312" w:eastAsia="仿宋_GB2312" w:cs="仿宋_GB2312"/>
          <w:b/>
          <w:bCs/>
          <w:sz w:val="32"/>
          <w:szCs w:val="32"/>
          <w:lang w:val="zh-CN" w:eastAsia="zh-CN"/>
        </w:rPr>
        <w:t>三是</w:t>
      </w:r>
      <w:r>
        <w:rPr>
          <w:rFonts w:hint="eastAsia" w:ascii="仿宋_GB2312" w:eastAsia="仿宋_GB2312" w:cs="仿宋_GB2312"/>
          <w:sz w:val="32"/>
          <w:szCs w:val="32"/>
          <w:lang w:val="zh-CN" w:eastAsia="zh-CN"/>
        </w:rPr>
        <w:t>项目执行过程中建立完善的变更管理机制，明确变更申请、评估、审批及实施的流程确保项目有序进行。</w:t>
      </w:r>
    </w:p>
    <w:p w14:paraId="07632A59">
      <w:pPr>
        <w:adjustRightInd w:val="0"/>
        <w:snapToGrid w:val="0"/>
        <w:spacing w:line="578" w:lineRule="exact"/>
        <w:ind w:firstLine="643" w:firstLineChars="200"/>
        <w:contextualSpacing/>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b/>
          <w:bCs/>
          <w:sz w:val="32"/>
          <w:szCs w:val="32"/>
          <w:lang w:val="en-US" w:eastAsia="zh-CN"/>
        </w:rPr>
        <w:t>3.</w:t>
      </w:r>
      <w:r>
        <w:rPr>
          <w:rFonts w:hint="eastAsia" w:ascii="仿宋_GB2312" w:eastAsia="仿宋_GB2312" w:cs="仿宋_GB2312"/>
          <w:b/>
          <w:bCs/>
          <w:sz w:val="32"/>
          <w:szCs w:val="32"/>
          <w:lang w:val="zh-CN" w:eastAsia="zh-CN"/>
        </w:rPr>
        <w:t>目标实现。</w:t>
      </w:r>
      <w:r>
        <w:rPr>
          <w:rFonts w:hint="eastAsia" w:ascii="仿宋_GB2312" w:eastAsia="仿宋_GB2312" w:cs="仿宋_GB2312"/>
          <w:sz w:val="32"/>
          <w:szCs w:val="32"/>
          <w:lang w:val="zh-CN" w:eastAsia="zh-CN"/>
        </w:rPr>
        <w:t>明确项目的总体目标及具体可量化的子目标。目标清晰、具体、可衡量并与项目愿景和组织战略紧密相连。明确的目标为项目执行提供方向，也为后续的绩效分析奠定了基础。在项目执行过程中，定期跟踪各项目标的完成情况。通过收集项目数据、进度报告，对比分析实际完成情况与计划目标的差距。当发现实际完成情况与计划目标存在偏差时，进行深入的目标偏离分析。</w:t>
      </w:r>
    </w:p>
    <w:p w14:paraId="04008C8C">
      <w:pPr>
        <w:widowControl/>
        <w:adjustRightInd w:val="0"/>
        <w:snapToGrid w:val="0"/>
        <w:spacing w:line="578" w:lineRule="exact"/>
        <w:ind w:firstLine="643" w:firstLineChars="200"/>
        <w:contextualSpacing/>
        <w:jc w:val="left"/>
        <w:rPr>
          <w:rFonts w:hint="eastAsia" w:ascii="仿宋_GB2312" w:eastAsia="仿宋_GB2312" w:cs="仿宋_GB2312"/>
          <w:b/>
          <w:bCs/>
          <w:sz w:val="32"/>
          <w:szCs w:val="32"/>
          <w:lang w:val="zh-CN"/>
        </w:rPr>
      </w:pPr>
      <w:r>
        <w:rPr>
          <w:rFonts w:hint="eastAsia" w:ascii="仿宋_GB2312" w:eastAsia="仿宋_GB2312" w:cs="仿宋_GB2312"/>
          <w:b/>
          <w:bCs/>
          <w:color w:val="000000"/>
          <w:kern w:val="0"/>
          <w:sz w:val="32"/>
          <w:szCs w:val="32"/>
          <w:shd w:val="clear" w:color="auto" w:fill="FFFFFF"/>
          <w:lang w:val="zh-CN"/>
        </w:rPr>
        <w:t>（三）</w:t>
      </w:r>
      <w:r>
        <w:rPr>
          <w:rFonts w:hint="eastAsia" w:ascii="仿宋_GB2312" w:eastAsia="仿宋_GB2312" w:cs="仿宋_GB2312"/>
          <w:b/>
          <w:bCs/>
          <w:sz w:val="32"/>
          <w:szCs w:val="32"/>
          <w:lang w:val="zh-CN"/>
        </w:rPr>
        <w:t>绩效结果应用情况</w:t>
      </w:r>
    </w:p>
    <w:p w14:paraId="5BAE1ABB">
      <w:pPr>
        <w:snapToGrid w:val="0"/>
        <w:spacing w:line="600" w:lineRule="exact"/>
        <w:ind w:left="0" w:firstLine="643" w:firstLineChars="200"/>
        <w:rPr>
          <w:rFonts w:hint="eastAsia" w:ascii="仿宋_GB2312" w:eastAsia="仿宋_GB2312" w:cs="仿宋_GB2312"/>
          <w:b/>
          <w:sz w:val="32"/>
          <w:szCs w:val="32"/>
        </w:rPr>
      </w:pPr>
      <w:r>
        <w:rPr>
          <w:rFonts w:hint="eastAsia" w:ascii="仿宋_GB2312" w:eastAsia="仿宋_GB2312" w:cs="仿宋_GB2312"/>
          <w:b/>
          <w:bCs/>
          <w:sz w:val="32"/>
          <w:szCs w:val="32"/>
          <w:lang w:val="en-US" w:eastAsia="zh-CN"/>
        </w:rPr>
        <w:t>一是</w:t>
      </w:r>
      <w:r>
        <w:rPr>
          <w:rFonts w:hint="eastAsia" w:ascii="仿宋_GB2312" w:eastAsia="仿宋_GB2312" w:cs="仿宋_GB2312"/>
          <w:sz w:val="32"/>
          <w:szCs w:val="32"/>
          <w:lang w:eastAsia="zh-CN"/>
        </w:rPr>
        <w:t>绩效自评结果将作为以后年度</w:t>
      </w:r>
      <w:r>
        <w:rPr>
          <w:rFonts w:hint="eastAsia" w:ascii="仿宋_GB2312" w:eastAsia="仿宋_GB2312" w:cs="仿宋_GB2312"/>
          <w:sz w:val="32"/>
          <w:szCs w:val="32"/>
          <w:lang w:val="en-US" w:eastAsia="zh-CN"/>
        </w:rPr>
        <w:t>项目立项和经费支持的重要依据，也作为财政部门对单位项目预算的重要参考。</w:t>
      </w:r>
      <w:r>
        <w:rPr>
          <w:rFonts w:hint="eastAsia" w:ascii="仿宋_GB2312" w:eastAsia="仿宋_GB2312" w:cs="仿宋_GB2312"/>
          <w:b/>
          <w:bCs/>
          <w:sz w:val="32"/>
          <w:szCs w:val="32"/>
          <w:lang w:val="en-US" w:eastAsia="zh-CN"/>
        </w:rPr>
        <w:t>二是</w:t>
      </w:r>
      <w:r>
        <w:rPr>
          <w:rFonts w:hint="eastAsia" w:ascii="仿宋_GB2312" w:eastAsia="仿宋_GB2312" w:cs="仿宋_GB2312"/>
          <w:sz w:val="32"/>
          <w:szCs w:val="32"/>
          <w:lang w:val="en-US" w:eastAsia="zh-CN"/>
        </w:rPr>
        <w:t>绩效自评结果公开将按照财政部门的统一要求，对绩效评价情况予以公开。</w:t>
      </w:r>
    </w:p>
    <w:p w14:paraId="5AC6949E">
      <w:pPr>
        <w:widowControl/>
        <w:adjustRightInd w:val="0"/>
        <w:snapToGrid w:val="0"/>
        <w:spacing w:line="578" w:lineRule="exact"/>
        <w:ind w:firstLine="640" w:firstLineChars="200"/>
        <w:contextualSpacing/>
        <w:jc w:val="left"/>
        <w:rPr>
          <w:rFonts w:hint="eastAsia"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四、评价结论及建议</w:t>
      </w:r>
    </w:p>
    <w:p w14:paraId="56D208CD">
      <w:pPr>
        <w:widowControl/>
        <w:adjustRightInd w:val="0"/>
        <w:snapToGrid w:val="0"/>
        <w:spacing w:line="576" w:lineRule="exact"/>
        <w:ind w:firstLine="643" w:firstLineChars="200"/>
        <w:contextualSpacing/>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b/>
          <w:bCs/>
          <w:color w:val="000000"/>
          <w:kern w:val="0"/>
          <w:sz w:val="32"/>
          <w:szCs w:val="32"/>
          <w:shd w:val="clear" w:color="auto" w:fill="FFFFFF"/>
          <w:lang w:val="zh-CN"/>
        </w:rPr>
        <w:t>（一）评价结论。</w:t>
      </w:r>
      <w:r>
        <w:rPr>
          <w:rFonts w:hint="eastAsia" w:ascii="仿宋_GB2312" w:eastAsia="仿宋_GB2312" w:cs="仿宋_GB2312"/>
          <w:sz w:val="32"/>
          <w:szCs w:val="32"/>
          <w:lang w:val="zh-CN" w:eastAsia="zh-CN"/>
        </w:rPr>
        <w:t>档案馆</w:t>
      </w:r>
      <w:r>
        <w:rPr>
          <w:rFonts w:hint="eastAsia" w:ascii="仿宋_GB2312" w:eastAsia="仿宋_GB2312" w:cs="仿宋_GB2312"/>
          <w:sz w:val="32"/>
          <w:szCs w:val="32"/>
          <w:lang w:val="en-US" w:eastAsia="zh-CN"/>
        </w:rPr>
        <w:t>认真做好年度财政资金的预算编制工作，在资金使用和管理方面，进一步强化资金统筹，优化结构，明确开支范围，细化资金用途，</w:t>
      </w:r>
      <w:r>
        <w:rPr>
          <w:rFonts w:hint="eastAsia" w:ascii="仿宋_GB2312" w:eastAsia="仿宋_GB2312" w:cs="仿宋_GB2312"/>
          <w:color w:val="000000"/>
          <w:kern w:val="0"/>
          <w:sz w:val="32"/>
          <w:szCs w:val="32"/>
          <w:shd w:val="clear" w:color="auto" w:fill="FFFFFF"/>
          <w:lang w:val="zh-CN"/>
        </w:rPr>
        <w:t>坚持为人民服务宗旨，提升档案服务功能；坚持以市场经济为导向，提升企业市场竞争力；坚持稳中求进的工作基调，推进档案馆综合改革发展，取得了较好的成效。</w:t>
      </w:r>
      <w:r>
        <w:rPr>
          <w:rFonts w:hint="eastAsia" w:ascii="仿宋_GB2312" w:eastAsia="仿宋_GB2312" w:cs="仿宋_GB2312"/>
          <w:color w:val="000000"/>
          <w:kern w:val="0"/>
          <w:sz w:val="32"/>
          <w:szCs w:val="32"/>
          <w:shd w:val="clear" w:color="auto" w:fill="FFFFFF"/>
        </w:rPr>
        <w:t>202</w:t>
      </w:r>
      <w:r>
        <w:rPr>
          <w:rFonts w:hint="eastAsia" w:ascii="仿宋_GB2312" w:eastAsia="仿宋_GB2312" w:cs="仿宋_GB2312"/>
          <w:color w:val="000000"/>
          <w:kern w:val="0"/>
          <w:sz w:val="32"/>
          <w:szCs w:val="32"/>
          <w:shd w:val="clear" w:color="auto" w:fill="FFFFFF"/>
          <w:lang w:val="en-US" w:eastAsia="zh-CN"/>
        </w:rPr>
        <w:t>4</w:t>
      </w:r>
      <w:r>
        <w:rPr>
          <w:rFonts w:hint="eastAsia" w:ascii="仿宋_GB2312" w:eastAsia="仿宋_GB2312" w:cs="仿宋_GB2312"/>
          <w:color w:val="000000"/>
          <w:kern w:val="0"/>
          <w:sz w:val="32"/>
          <w:szCs w:val="32"/>
          <w:shd w:val="clear" w:color="auto" w:fill="FFFFFF"/>
          <w:lang w:val="zh-CN"/>
        </w:rPr>
        <w:t>年茂县档案馆整体支出绩效评价自查自评结果良好</w:t>
      </w:r>
      <w:r>
        <w:rPr>
          <w:rFonts w:hint="eastAsia" w:ascii="仿宋_GB2312" w:eastAsia="仿宋_GB2312" w:cs="仿宋_GB2312"/>
          <w:color w:val="000000"/>
          <w:kern w:val="0"/>
          <w:sz w:val="32"/>
          <w:szCs w:val="32"/>
          <w:shd w:val="clear" w:color="auto" w:fill="FFFFFF"/>
          <w:lang w:val="en-US" w:eastAsia="zh-CN"/>
        </w:rPr>
        <w:t>。</w:t>
      </w:r>
      <w:r>
        <w:rPr>
          <w:rFonts w:hint="eastAsia" w:ascii="仿宋_GB2312" w:eastAsia="仿宋_GB2312" w:cs="仿宋_GB2312"/>
          <w:sz w:val="32"/>
          <w:szCs w:val="32"/>
          <w:lang w:val="en-US" w:eastAsia="zh-CN"/>
        </w:rPr>
        <w:t>整体上完成了年初设定的绩效目标，保障了单位的正常运转，降低了运行成本，促进了社会和谐稳定，充分发挥了财政资金的经济效益、社会效益。</w:t>
      </w:r>
    </w:p>
    <w:p w14:paraId="33576D03">
      <w:pPr>
        <w:widowControl/>
        <w:adjustRightInd w:val="0"/>
        <w:snapToGrid w:val="0"/>
        <w:spacing w:line="578" w:lineRule="exact"/>
        <w:ind w:firstLine="643" w:firstLineChars="200"/>
        <w:contextualSpacing/>
        <w:jc w:val="left"/>
        <w:rPr>
          <w:rFonts w:hint="eastAsia" w:ascii="仿宋_GB2312" w:eastAsia="仿宋_GB2312" w:cs="仿宋_GB2312"/>
          <w:w w:val="95"/>
          <w:kern w:val="0"/>
          <w:sz w:val="32"/>
          <w:szCs w:val="32"/>
        </w:rPr>
      </w:pPr>
      <w:r>
        <w:rPr>
          <w:rFonts w:hint="eastAsia" w:ascii="仿宋_GB2312" w:eastAsia="仿宋_GB2312" w:cs="仿宋_GB2312"/>
          <w:b/>
          <w:bCs/>
          <w:color w:val="000000"/>
          <w:kern w:val="0"/>
          <w:sz w:val="32"/>
          <w:szCs w:val="32"/>
          <w:shd w:val="clear" w:color="auto" w:fill="FFFFFF"/>
          <w:lang w:val="zh-CN"/>
        </w:rPr>
        <w:t>（二）存在问题。</w:t>
      </w:r>
      <w:r>
        <w:rPr>
          <w:rFonts w:hint="eastAsia" w:ascii="仿宋_GB2312" w:eastAsia="仿宋_GB2312" w:cs="仿宋_GB2312"/>
          <w:w w:val="95"/>
          <w:kern w:val="0"/>
          <w:sz w:val="32"/>
          <w:szCs w:val="32"/>
        </w:rPr>
        <w:t>预算绩效观念不深入，思想认识有误区。对预算绩效管理的认知不到位，存在“两轻两重”的惯性思维，重视资金分配而忽视资金使用效率。专业人员匮乏，规范管理有盲点。预算绩效管理工作需要具备专业素养和实战经验的人力资源，但</w:t>
      </w:r>
      <w:r>
        <w:rPr>
          <w:rFonts w:hint="eastAsia" w:ascii="仿宋_GB2312" w:eastAsia="仿宋_GB2312" w:cs="仿宋_GB2312"/>
          <w:w w:val="95"/>
          <w:kern w:val="0"/>
          <w:sz w:val="32"/>
          <w:szCs w:val="32"/>
          <w:lang w:eastAsia="zh-CN"/>
        </w:rPr>
        <w:t>我馆</w:t>
      </w:r>
      <w:r>
        <w:rPr>
          <w:rFonts w:hint="eastAsia" w:ascii="仿宋_GB2312" w:eastAsia="仿宋_GB2312" w:cs="仿宋_GB2312"/>
          <w:w w:val="95"/>
          <w:kern w:val="0"/>
          <w:sz w:val="32"/>
          <w:szCs w:val="32"/>
        </w:rPr>
        <w:t>专业人员的缺乏导致管理存在盲点。</w:t>
      </w:r>
    </w:p>
    <w:p w14:paraId="3E2F9F7C">
      <w:pPr>
        <w:spacing w:line="578" w:lineRule="exact"/>
        <w:ind w:firstLine="643" w:firstLineChars="200"/>
        <w:contextualSpacing/>
        <w:rPr>
          <w:rFonts w:hint="eastAsia" w:ascii="仿宋_GB2312" w:eastAsia="仿宋_GB2312" w:cs="仿宋_GB2312"/>
          <w:w w:val="95"/>
          <w:kern w:val="0"/>
          <w:sz w:val="32"/>
          <w:szCs w:val="32"/>
        </w:rPr>
      </w:pPr>
      <w:r>
        <w:rPr>
          <w:rFonts w:hint="eastAsia" w:ascii="仿宋_GB2312" w:eastAsia="仿宋_GB2312" w:cs="仿宋_GB2312"/>
          <w:b/>
          <w:bCs/>
          <w:color w:val="000000"/>
          <w:kern w:val="0"/>
          <w:sz w:val="32"/>
          <w:szCs w:val="32"/>
          <w:shd w:val="clear" w:color="auto" w:fill="FFFFFF"/>
          <w:lang w:val="zh-CN"/>
        </w:rPr>
        <w:t>（三）改进建议。</w:t>
      </w:r>
      <w:r>
        <w:rPr>
          <w:rFonts w:hint="eastAsia" w:ascii="仿宋_GB2312" w:eastAsia="仿宋_GB2312" w:cs="仿宋_GB2312"/>
          <w:w w:val="95"/>
          <w:kern w:val="0"/>
          <w:sz w:val="32"/>
          <w:szCs w:val="32"/>
        </w:rPr>
        <w:t>加强宣传教育，通过召开会议、举办业务讲座等多种形式，提高</w:t>
      </w:r>
      <w:r>
        <w:rPr>
          <w:rFonts w:hint="eastAsia" w:ascii="仿宋_GB2312" w:eastAsia="仿宋_GB2312" w:cs="仿宋_GB2312"/>
          <w:w w:val="95"/>
          <w:kern w:val="0"/>
          <w:sz w:val="32"/>
          <w:szCs w:val="32"/>
          <w:lang w:eastAsia="zh-CN"/>
        </w:rPr>
        <w:t>我馆</w:t>
      </w:r>
      <w:r>
        <w:rPr>
          <w:rFonts w:hint="eastAsia" w:ascii="仿宋_GB2312" w:eastAsia="仿宋_GB2312" w:cs="仿宋_GB2312"/>
          <w:w w:val="95"/>
          <w:kern w:val="0"/>
          <w:sz w:val="32"/>
          <w:szCs w:val="32"/>
        </w:rPr>
        <w:t>领导和财务人员</w:t>
      </w:r>
      <w:r>
        <w:rPr>
          <w:rFonts w:hint="eastAsia" w:ascii="仿宋_GB2312" w:eastAsia="仿宋_GB2312" w:cs="仿宋_GB2312"/>
          <w:w w:val="95"/>
          <w:kern w:val="0"/>
          <w:sz w:val="32"/>
          <w:szCs w:val="32"/>
          <w:lang w:eastAsia="zh-CN"/>
        </w:rPr>
        <w:t>、项目人员</w:t>
      </w:r>
      <w:r>
        <w:rPr>
          <w:rFonts w:hint="eastAsia" w:ascii="仿宋_GB2312" w:eastAsia="仿宋_GB2312" w:cs="仿宋_GB2312"/>
          <w:w w:val="95"/>
          <w:kern w:val="0"/>
          <w:sz w:val="32"/>
          <w:szCs w:val="32"/>
        </w:rPr>
        <w:t>的预算绩效管理意识，确保绩效理念深入人心。提升专业能力，通过培训和教育，提高预算单位财务人员</w:t>
      </w:r>
      <w:r>
        <w:rPr>
          <w:rFonts w:hint="eastAsia" w:ascii="仿宋_GB2312" w:eastAsia="仿宋_GB2312" w:cs="仿宋_GB2312"/>
          <w:w w:val="95"/>
          <w:kern w:val="0"/>
          <w:sz w:val="32"/>
          <w:szCs w:val="32"/>
          <w:lang w:eastAsia="zh-CN"/>
        </w:rPr>
        <w:t>和项目人员</w:t>
      </w:r>
      <w:r>
        <w:rPr>
          <w:rFonts w:hint="eastAsia" w:ascii="仿宋_GB2312" w:eastAsia="仿宋_GB2312" w:cs="仿宋_GB2312"/>
          <w:w w:val="95"/>
          <w:kern w:val="0"/>
          <w:sz w:val="32"/>
          <w:szCs w:val="32"/>
        </w:rPr>
        <w:t>的专业素养，确保管理工作的高效执行。</w:t>
      </w:r>
    </w:p>
    <w:p w14:paraId="2B8CC830">
      <w:pPr>
        <w:spacing w:line="578" w:lineRule="exact"/>
        <w:ind w:firstLine="640" w:firstLineChars="200"/>
        <w:rPr>
          <w:rFonts w:hint="eastAsia" w:ascii="仿宋_GB2312" w:eastAsia="仿宋_GB2312" w:cs="仿宋_GB2312"/>
          <w:sz w:val="32"/>
          <w:szCs w:val="32"/>
        </w:rPr>
      </w:pPr>
      <w:r>
        <w:rPr>
          <w:rFonts w:hint="eastAsia" w:ascii="仿宋_GB2312" w:eastAsia="仿宋_GB2312" w:cs="仿宋_GB2312"/>
          <w:color w:val="000000"/>
          <w:kern w:val="0"/>
          <w:sz w:val="32"/>
          <w:szCs w:val="32"/>
          <w:shd w:val="clear" w:color="auto" w:fill="FFFFFF"/>
        </w:rPr>
        <w:t>附表：1.</w:t>
      </w:r>
      <w:r>
        <w:rPr>
          <w:rFonts w:hint="eastAsia" w:ascii="仿宋_GB2312" w:eastAsia="仿宋_GB2312" w:cs="仿宋_GB2312"/>
          <w:sz w:val="32"/>
          <w:szCs w:val="32"/>
        </w:rPr>
        <w:t>部门预算绩效自评打分表</w:t>
      </w:r>
    </w:p>
    <w:p w14:paraId="24BE5DE7">
      <w:pPr>
        <w:spacing w:line="578" w:lineRule="exact"/>
        <w:ind w:firstLine="1600" w:firstLineChars="5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sz w:val="32"/>
          <w:szCs w:val="32"/>
        </w:rPr>
        <w:t>2.</w:t>
      </w:r>
      <w:r>
        <w:rPr>
          <w:rFonts w:hint="eastAsia" w:ascii="仿宋_GB2312" w:eastAsia="仿宋_GB2312" w:cs="仿宋_GB2312"/>
          <w:color w:val="000000"/>
          <w:kern w:val="0"/>
          <w:sz w:val="32"/>
          <w:szCs w:val="32"/>
          <w:shd w:val="clear" w:color="auto" w:fill="FFFFFF"/>
        </w:rPr>
        <w:t>部门整体绩效目标完成情况自评表</w:t>
      </w:r>
    </w:p>
    <w:p w14:paraId="7D9CDEF4">
      <w:pPr>
        <w:spacing w:line="578" w:lineRule="exact"/>
        <w:ind w:firstLine="1600" w:firstLineChars="500"/>
        <w:rPr>
          <w:rFonts w:hint="eastAsia" w:ascii="仿宋_GB2312" w:eastAsia="仿宋_GB2312" w:cs="仿宋_GB2312"/>
          <w:sz w:val="32"/>
          <w:szCs w:val="32"/>
        </w:rPr>
      </w:pPr>
      <w:r>
        <w:rPr>
          <w:rFonts w:hint="eastAsia" w:ascii="仿宋_GB2312" w:eastAsia="仿宋_GB2312" w:cs="仿宋_GB2312"/>
          <w:color w:val="000000"/>
          <w:kern w:val="0"/>
          <w:sz w:val="32"/>
          <w:szCs w:val="32"/>
          <w:shd w:val="clear" w:color="auto" w:fill="FFFFFF"/>
        </w:rPr>
        <w:t>3.</w:t>
      </w:r>
      <w:r>
        <w:rPr>
          <w:rFonts w:hint="eastAsia" w:ascii="仿宋_GB2312" w:eastAsia="仿宋_GB2312" w:cs="仿宋_GB2312"/>
          <w:sz w:val="32"/>
          <w:szCs w:val="32"/>
        </w:rPr>
        <w:t>部门预算项目支出绩效评价表（2024年度）</w:t>
      </w:r>
    </w:p>
    <w:p w14:paraId="6EF5BCD3">
      <w:pPr>
        <w:keepNext w:val="0"/>
        <w:keepLines w:val="0"/>
        <w:pageBreakBefore w:val="0"/>
        <w:widowControl w:val="0"/>
        <w:kinsoku/>
        <w:wordWrap/>
        <w:overflowPunct/>
        <w:topLinePunct w:val="0"/>
        <w:autoSpaceDE/>
        <w:autoSpaceDN/>
        <w:bidi w:val="0"/>
        <w:adjustRightInd/>
        <w:snapToGrid/>
        <w:spacing w:line="0" w:lineRule="atLeast"/>
        <w:jc w:val="left"/>
        <w:rPr>
          <w:rFonts w:hint="eastAsia" w:ascii="仿宋_GB2312" w:eastAsia="仿宋_GB2312" w:cs="仿宋_GB2312"/>
        </w:rPr>
      </w:pPr>
      <w:r>
        <w:rPr>
          <w:color w:val="000000"/>
          <w:kern w:val="0"/>
          <w:szCs w:val="32"/>
          <w:shd w:val="clear" w:color="auto" w:fill="FFFFFF"/>
        </w:rPr>
        <w:br w:type="page"/>
      </w:r>
      <w:r>
        <w:rPr>
          <w:rFonts w:hint="eastAsia" w:ascii="仿宋_GB2312" w:eastAsia="仿宋_GB2312" w:cs="仿宋_GB2312"/>
        </w:rPr>
        <w:t>附表1</w:t>
      </w:r>
    </w:p>
    <w:p w14:paraId="4CD645A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eastAsia="仿宋_GB2312" w:cs="仿宋_GB2312"/>
          <w:color w:val="000000"/>
          <w:kern w:val="0"/>
          <w:sz w:val="44"/>
          <w:szCs w:val="44"/>
        </w:rPr>
      </w:pPr>
      <w:r>
        <w:rPr>
          <w:rFonts w:hint="eastAsia" w:ascii="仿宋_GB2312" w:eastAsia="仿宋_GB2312" w:cs="仿宋_GB2312"/>
          <w:color w:val="000000"/>
          <w:kern w:val="0"/>
          <w:sz w:val="44"/>
          <w:szCs w:val="44"/>
        </w:rPr>
        <w:t>部门预算绩效自评打分表</w:t>
      </w:r>
    </w:p>
    <w:tbl>
      <w:tblPr>
        <w:tblStyle w:val="22"/>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1462"/>
        <w:gridCol w:w="1665"/>
        <w:gridCol w:w="720"/>
        <w:gridCol w:w="4734"/>
        <w:gridCol w:w="756"/>
        <w:gridCol w:w="478"/>
      </w:tblGrid>
      <w:tr w14:paraId="4AC6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91B4B">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DECB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710DCAAE">
            <w:pPr>
              <w:widowControl/>
              <w:spacing w:line="240" w:lineRule="exact"/>
              <w:jc w:val="center"/>
              <w:textAlignment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2A3FF975">
            <w:pPr>
              <w:widowControl/>
              <w:spacing w:line="240" w:lineRule="exact"/>
              <w:jc w:val="center"/>
              <w:textAlignment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备注</w:t>
            </w:r>
          </w:p>
        </w:tc>
      </w:tr>
      <w:tr w14:paraId="16F7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14:paraId="0532D3D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05F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D8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7A80">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指标</w:t>
            </w:r>
            <w:r>
              <w:rPr>
                <w:rFonts w:hint="eastAsia" w:ascii="仿宋_GB2312" w:eastAsia="仿宋_GB2312" w:cs="仿宋_GB2312"/>
                <w:color w:val="000000"/>
                <w:kern w:val="0"/>
                <w:sz w:val="24"/>
              </w:rPr>
              <w:br w:type="textWrapping"/>
            </w:r>
            <w:r>
              <w:rPr>
                <w:rFonts w:hint="eastAsia" w:ascii="仿宋_GB2312" w:eastAsia="仿宋_GB2312" w:cs="仿宋_GB2312"/>
                <w:color w:val="000000"/>
                <w:kern w:val="0"/>
                <w:sz w:val="24"/>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6072"/>
        </w:tc>
        <w:tc>
          <w:tcPr>
            <w:tcW w:w="756" w:type="dxa"/>
            <w:vMerge w:val="continue"/>
            <w:tcBorders>
              <w:left w:val="single" w:color="000000" w:sz="4" w:space="0"/>
              <w:bottom w:val="single" w:color="000000" w:sz="4" w:space="0"/>
              <w:right w:val="single" w:color="000000" w:sz="4" w:space="0"/>
            </w:tcBorders>
            <w:shd w:val="clear" w:color="auto" w:fill="auto"/>
            <w:vAlign w:val="center"/>
          </w:tcPr>
          <w:p w14:paraId="2ACFC5B2"/>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1FCCE1B8"/>
        </w:tc>
      </w:tr>
      <w:tr w14:paraId="35FC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33744">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总体绩效</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1A1F">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履职效能</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338E">
            <w:pPr>
              <w:widowControl/>
              <w:spacing w:line="240" w:lineRule="exact"/>
              <w:jc w:val="center"/>
              <w:textAlignment w:val="center"/>
              <w:rPr>
                <w:rFonts w:hint="eastAsia" w:ascii="仿宋_GB2312" w:eastAsia="仿宋_GB2312" w:cs="仿宋_GB2312"/>
                <w:lang w:eastAsia="zh-CN"/>
              </w:rPr>
            </w:pPr>
            <w:r>
              <w:rPr>
                <w:rFonts w:hint="eastAsia" w:ascii="仿宋_GB2312" w:eastAsia="仿宋_GB2312" w:cs="仿宋_GB2312"/>
                <w:color w:val="000000"/>
                <w:kern w:val="0"/>
                <w:sz w:val="18"/>
                <w:szCs w:val="18"/>
                <w:lang w:eastAsia="zh-CN"/>
              </w:rPr>
              <w:t>工作效率</w:t>
            </w:r>
            <w:r>
              <w:rPr>
                <w:rFonts w:hint="eastAsia" w:ascii="仿宋_GB2312" w:eastAsia="仿宋_GB2312" w:cs="仿宋_GB2312"/>
                <w:color w:val="000000"/>
                <w:kern w:val="0"/>
                <w:sz w:val="18"/>
                <w:szCs w:val="18"/>
              </w:rPr>
              <w:t>履职效果</w:t>
            </w:r>
            <w:r>
              <w:rPr>
                <w:rFonts w:hint="eastAsia" w:ascii="仿宋_GB2312" w:eastAsia="仿宋_GB2312" w:cs="仿宋_GB2312"/>
                <w:color w:val="000000"/>
                <w:kern w:val="0"/>
                <w:sz w:val="18"/>
                <w:szCs w:val="18"/>
                <w:lang w:eastAsia="zh-CN"/>
              </w:rPr>
              <w:t>工作质量履职效果创新能力履职效果责任意识履职效果知识技能履职效果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6C02F47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045F">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375E">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9</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069">
            <w:pPr>
              <w:widowControl/>
              <w:spacing w:line="240" w:lineRule="exact"/>
              <w:jc w:val="left"/>
              <w:textAlignment w:val="center"/>
              <w:rPr>
                <w:rFonts w:hint="eastAsia" w:ascii="仿宋_GB2312" w:eastAsia="仿宋_GB2312" w:cs="仿宋_GB2312"/>
                <w:color w:val="000000"/>
                <w:kern w:val="0"/>
                <w:sz w:val="24"/>
              </w:rPr>
            </w:pPr>
          </w:p>
        </w:tc>
      </w:tr>
      <w:tr w14:paraId="5738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FA20"/>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FD5F8">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预算管理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3274">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9D7F">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7458">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439F">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B1FA">
            <w:pPr>
              <w:widowControl/>
              <w:spacing w:line="240" w:lineRule="exact"/>
              <w:jc w:val="left"/>
              <w:textAlignment w:val="center"/>
              <w:rPr>
                <w:rFonts w:hint="eastAsia" w:ascii="仿宋_GB2312" w:eastAsia="仿宋_GB2312" w:cs="仿宋_GB2312"/>
                <w:color w:val="000000"/>
                <w:kern w:val="0"/>
                <w:sz w:val="24"/>
              </w:rPr>
            </w:pPr>
          </w:p>
        </w:tc>
      </w:tr>
      <w:tr w14:paraId="7DE7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31E3"/>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B399B"/>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0FA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440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8CA1">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C33E">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9D40">
            <w:pPr>
              <w:widowControl/>
              <w:spacing w:line="240" w:lineRule="exact"/>
              <w:jc w:val="left"/>
              <w:textAlignment w:val="center"/>
              <w:rPr>
                <w:rFonts w:hint="eastAsia" w:ascii="仿宋_GB2312" w:eastAsia="仿宋_GB2312" w:cs="仿宋_GB2312"/>
                <w:color w:val="000000"/>
                <w:kern w:val="0"/>
                <w:sz w:val="24"/>
              </w:rPr>
            </w:pPr>
          </w:p>
        </w:tc>
      </w:tr>
      <w:tr w14:paraId="1572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0F73"/>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3FB4"/>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AA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F9A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35D8">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1C9A">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F616">
            <w:pPr>
              <w:widowControl/>
              <w:spacing w:line="240" w:lineRule="exact"/>
              <w:jc w:val="left"/>
              <w:textAlignment w:val="center"/>
              <w:rPr>
                <w:rFonts w:hint="eastAsia" w:ascii="仿宋_GB2312" w:eastAsia="仿宋_GB2312" w:cs="仿宋_GB2312"/>
                <w:color w:val="000000"/>
                <w:kern w:val="0"/>
                <w:sz w:val="24"/>
              </w:rPr>
            </w:pPr>
          </w:p>
        </w:tc>
      </w:tr>
      <w:tr w14:paraId="708C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35CD"/>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DE3F"/>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FC2">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EAC4">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B158">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349B">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9916">
            <w:pPr>
              <w:widowControl/>
              <w:spacing w:line="240" w:lineRule="exact"/>
              <w:jc w:val="left"/>
              <w:textAlignment w:val="center"/>
              <w:rPr>
                <w:rFonts w:hint="eastAsia" w:ascii="仿宋_GB2312" w:eastAsia="仿宋_GB2312" w:cs="仿宋_GB2312"/>
                <w:color w:val="000000"/>
                <w:kern w:val="0"/>
                <w:sz w:val="24"/>
              </w:rPr>
            </w:pPr>
          </w:p>
        </w:tc>
      </w:tr>
      <w:tr w14:paraId="1503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2B45"/>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1D27"/>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A30B">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75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615E">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E614">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063">
            <w:pPr>
              <w:widowControl/>
              <w:spacing w:line="240" w:lineRule="exact"/>
              <w:jc w:val="left"/>
              <w:textAlignment w:val="center"/>
              <w:rPr>
                <w:rFonts w:hint="eastAsia" w:ascii="仿宋_GB2312" w:eastAsia="仿宋_GB2312" w:cs="仿宋_GB2312"/>
                <w:color w:val="000000"/>
                <w:kern w:val="0"/>
                <w:sz w:val="24"/>
              </w:rPr>
            </w:pPr>
          </w:p>
        </w:tc>
      </w:tr>
      <w:tr w14:paraId="39CE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6DEA"/>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DF1F9">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财务管理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DFFB">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9B37">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A4D1">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41CE">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A360">
            <w:pPr>
              <w:widowControl/>
              <w:spacing w:line="240" w:lineRule="exact"/>
              <w:jc w:val="left"/>
              <w:textAlignment w:val="center"/>
              <w:rPr>
                <w:rFonts w:hint="eastAsia" w:ascii="仿宋_GB2312" w:eastAsia="仿宋_GB2312" w:cs="仿宋_GB2312"/>
                <w:color w:val="000000"/>
                <w:kern w:val="0"/>
                <w:sz w:val="24"/>
              </w:rPr>
            </w:pPr>
          </w:p>
        </w:tc>
      </w:tr>
      <w:tr w14:paraId="0D4A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6A4B"/>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C637F"/>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F67">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D324">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7195">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A437">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5426">
            <w:pPr>
              <w:widowControl/>
              <w:spacing w:line="240" w:lineRule="exact"/>
              <w:jc w:val="left"/>
              <w:textAlignment w:val="center"/>
              <w:rPr>
                <w:rFonts w:hint="eastAsia" w:ascii="仿宋_GB2312" w:eastAsia="仿宋_GB2312" w:cs="仿宋_GB2312"/>
                <w:color w:val="000000"/>
                <w:kern w:val="0"/>
                <w:sz w:val="24"/>
              </w:rPr>
            </w:pPr>
          </w:p>
        </w:tc>
      </w:tr>
      <w:tr w14:paraId="3216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4520"/>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6A72"/>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142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A6E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5BB5">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8A9B">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64DE">
            <w:pPr>
              <w:widowControl/>
              <w:spacing w:line="240" w:lineRule="exact"/>
              <w:jc w:val="left"/>
              <w:textAlignment w:val="center"/>
              <w:rPr>
                <w:rFonts w:hint="eastAsia" w:ascii="仿宋_GB2312" w:eastAsia="仿宋_GB2312" w:cs="仿宋_GB2312"/>
                <w:color w:val="000000"/>
                <w:kern w:val="0"/>
                <w:sz w:val="24"/>
              </w:rPr>
            </w:pPr>
          </w:p>
        </w:tc>
      </w:tr>
      <w:tr w14:paraId="18FA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7EB88"/>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AD224">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资产管理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E47B">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85B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69A8">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DA98">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7C55">
            <w:pPr>
              <w:widowControl/>
              <w:spacing w:line="240" w:lineRule="exact"/>
              <w:jc w:val="left"/>
              <w:textAlignment w:val="center"/>
              <w:rPr>
                <w:rFonts w:hint="eastAsia" w:ascii="仿宋_GB2312" w:eastAsia="仿宋_GB2312" w:cs="仿宋_GB2312"/>
                <w:color w:val="000000"/>
                <w:kern w:val="0"/>
                <w:sz w:val="24"/>
              </w:rPr>
            </w:pPr>
          </w:p>
        </w:tc>
      </w:tr>
      <w:tr w14:paraId="3435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D5275"/>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C851"/>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48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20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CD0E">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14FB">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6240">
            <w:pPr>
              <w:widowControl/>
              <w:spacing w:line="240" w:lineRule="exact"/>
              <w:jc w:val="left"/>
              <w:textAlignment w:val="center"/>
              <w:rPr>
                <w:rFonts w:hint="eastAsia" w:ascii="仿宋_GB2312" w:eastAsia="仿宋_GB2312" w:cs="仿宋_GB2312"/>
                <w:color w:val="000000"/>
                <w:kern w:val="0"/>
                <w:sz w:val="24"/>
              </w:rPr>
            </w:pPr>
          </w:p>
        </w:tc>
      </w:tr>
      <w:tr w14:paraId="4CB6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E57D5">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总体绩效</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F616">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资产管理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1909">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861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1AE9">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7064">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56C9">
            <w:pPr>
              <w:widowControl/>
              <w:spacing w:line="240" w:lineRule="exact"/>
              <w:jc w:val="left"/>
              <w:textAlignment w:val="center"/>
              <w:rPr>
                <w:rFonts w:hint="eastAsia" w:ascii="仿宋_GB2312" w:eastAsia="仿宋_GB2312" w:cs="仿宋_GB2312"/>
                <w:color w:val="000000"/>
                <w:kern w:val="0"/>
                <w:sz w:val="24"/>
              </w:rPr>
            </w:pPr>
          </w:p>
        </w:tc>
      </w:tr>
      <w:tr w14:paraId="4FE4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320D"/>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8F4CF">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采购管理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99A5">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7CBF">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1B7">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FFCD">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3C99">
            <w:pPr>
              <w:widowControl/>
              <w:spacing w:line="240" w:lineRule="exact"/>
              <w:jc w:val="left"/>
              <w:textAlignment w:val="center"/>
              <w:rPr>
                <w:rFonts w:hint="eastAsia" w:ascii="仿宋_GB2312" w:eastAsia="仿宋_GB2312" w:cs="仿宋_GB2312"/>
                <w:color w:val="000000"/>
                <w:kern w:val="0"/>
                <w:sz w:val="24"/>
              </w:rPr>
            </w:pPr>
          </w:p>
        </w:tc>
      </w:tr>
      <w:tr w14:paraId="10D6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412F"/>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ECA1"/>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66F5">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1E44">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30AA">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647B">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4C5">
            <w:pPr>
              <w:widowControl/>
              <w:spacing w:line="240" w:lineRule="exact"/>
              <w:jc w:val="left"/>
              <w:textAlignment w:val="center"/>
              <w:rPr>
                <w:rFonts w:hint="eastAsia" w:ascii="仿宋_GB2312" w:eastAsia="仿宋_GB2312" w:cs="仿宋_GB2312"/>
                <w:color w:val="000000"/>
                <w:kern w:val="0"/>
                <w:sz w:val="24"/>
              </w:rPr>
            </w:pPr>
          </w:p>
        </w:tc>
      </w:tr>
      <w:tr w14:paraId="5D89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6576C">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项目绩效</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35B6A2B8">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项目决策</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D2A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3DE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3A5A">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854B">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3957">
            <w:pPr>
              <w:widowControl/>
              <w:spacing w:line="240" w:lineRule="exact"/>
              <w:jc w:val="left"/>
              <w:textAlignment w:val="center"/>
              <w:rPr>
                <w:rFonts w:hint="eastAsia" w:ascii="仿宋_GB2312" w:eastAsia="仿宋_GB2312" w:cs="仿宋_GB2312"/>
                <w:color w:val="000000"/>
                <w:kern w:val="0"/>
                <w:sz w:val="24"/>
              </w:rPr>
            </w:pPr>
          </w:p>
        </w:tc>
      </w:tr>
      <w:tr w14:paraId="771C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6BA1"/>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25854C0B"/>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2F15">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7FE0">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A822">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7235">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3B29">
            <w:pPr>
              <w:widowControl/>
              <w:spacing w:line="240" w:lineRule="exact"/>
              <w:jc w:val="left"/>
              <w:textAlignment w:val="center"/>
              <w:rPr>
                <w:rFonts w:hint="eastAsia" w:ascii="仿宋_GB2312" w:eastAsia="仿宋_GB2312" w:cs="仿宋_GB2312"/>
                <w:color w:val="000000"/>
                <w:kern w:val="0"/>
                <w:sz w:val="24"/>
              </w:rPr>
            </w:pPr>
          </w:p>
        </w:tc>
      </w:tr>
      <w:tr w14:paraId="2262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19A8"/>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096E11B5"/>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489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E0B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FD57">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2F33">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4C1F">
            <w:pPr>
              <w:widowControl/>
              <w:spacing w:line="240" w:lineRule="exact"/>
              <w:jc w:val="left"/>
              <w:textAlignment w:val="center"/>
              <w:rPr>
                <w:rFonts w:hint="eastAsia" w:ascii="仿宋_GB2312" w:eastAsia="仿宋_GB2312" w:cs="仿宋_GB2312"/>
                <w:color w:val="000000"/>
                <w:kern w:val="0"/>
                <w:sz w:val="24"/>
              </w:rPr>
            </w:pPr>
          </w:p>
        </w:tc>
      </w:tr>
      <w:tr w14:paraId="7B4E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F3BC"/>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564BE269">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项目执行</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78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08E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417A">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CEEC">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E580">
            <w:pPr>
              <w:widowControl/>
              <w:spacing w:line="240" w:lineRule="exact"/>
              <w:jc w:val="left"/>
              <w:textAlignment w:val="center"/>
              <w:rPr>
                <w:rFonts w:hint="eastAsia" w:ascii="仿宋_GB2312" w:eastAsia="仿宋_GB2312" w:cs="仿宋_GB2312"/>
                <w:color w:val="000000"/>
                <w:kern w:val="0"/>
                <w:sz w:val="24"/>
              </w:rPr>
            </w:pPr>
          </w:p>
        </w:tc>
      </w:tr>
      <w:tr w14:paraId="018D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6904"/>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5E9B4FD8"/>
        </w:tc>
        <w:tc>
          <w:tcPr>
            <w:tcW w:w="1665" w:type="dxa"/>
            <w:tcBorders>
              <w:top w:val="single" w:color="000000" w:sz="4" w:space="0"/>
              <w:left w:val="single" w:color="000000" w:sz="4" w:space="0"/>
              <w:bottom w:val="nil"/>
              <w:right w:val="single" w:color="000000" w:sz="4" w:space="0"/>
            </w:tcBorders>
            <w:shd w:val="clear" w:color="auto" w:fill="auto"/>
            <w:vAlign w:val="center"/>
          </w:tcPr>
          <w:p w14:paraId="5767A67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B30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300B">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09FF">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03B1">
            <w:pPr>
              <w:widowControl/>
              <w:spacing w:line="240" w:lineRule="exact"/>
              <w:jc w:val="left"/>
              <w:textAlignment w:val="center"/>
              <w:rPr>
                <w:rFonts w:hint="eastAsia" w:ascii="仿宋_GB2312" w:eastAsia="仿宋_GB2312" w:cs="仿宋_GB2312"/>
                <w:color w:val="000000"/>
                <w:kern w:val="0"/>
                <w:sz w:val="24"/>
              </w:rPr>
            </w:pPr>
          </w:p>
        </w:tc>
      </w:tr>
      <w:tr w14:paraId="6DD8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D85F"/>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733021D4"/>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204F">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4348">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4FC">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5860">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C1A">
            <w:pPr>
              <w:widowControl/>
              <w:spacing w:line="240" w:lineRule="exact"/>
              <w:jc w:val="left"/>
              <w:textAlignment w:val="center"/>
              <w:rPr>
                <w:rFonts w:hint="eastAsia" w:ascii="仿宋_GB2312" w:eastAsia="仿宋_GB2312" w:cs="仿宋_GB2312"/>
                <w:color w:val="000000"/>
                <w:kern w:val="0"/>
                <w:sz w:val="24"/>
              </w:rPr>
            </w:pPr>
          </w:p>
        </w:tc>
      </w:tr>
      <w:tr w14:paraId="5139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C462"/>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60D31">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目标实现</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0A47">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5C4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59A9">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C07">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08E8">
            <w:pPr>
              <w:widowControl/>
              <w:spacing w:line="240" w:lineRule="exact"/>
              <w:jc w:val="left"/>
              <w:textAlignment w:val="center"/>
              <w:rPr>
                <w:rFonts w:hint="eastAsia" w:ascii="仿宋_GB2312" w:eastAsia="仿宋_GB2312" w:cs="仿宋_GB2312"/>
                <w:color w:val="000000"/>
                <w:kern w:val="0"/>
                <w:sz w:val="24"/>
              </w:rPr>
            </w:pPr>
          </w:p>
        </w:tc>
      </w:tr>
      <w:tr w14:paraId="75E8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D955"/>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F1D2"/>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B385">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EA4D">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83B">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0911">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0071">
            <w:pPr>
              <w:widowControl/>
              <w:spacing w:line="240" w:lineRule="exact"/>
              <w:jc w:val="left"/>
              <w:textAlignment w:val="center"/>
              <w:rPr>
                <w:rFonts w:hint="eastAsia" w:ascii="仿宋_GB2312" w:eastAsia="仿宋_GB2312" w:cs="仿宋_GB2312"/>
                <w:color w:val="000000"/>
                <w:kern w:val="0"/>
                <w:sz w:val="24"/>
              </w:rPr>
            </w:pPr>
          </w:p>
        </w:tc>
      </w:tr>
      <w:tr w14:paraId="3B44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2791"/>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FB4D"/>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1CD2">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819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B09F">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217A">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E681">
            <w:pPr>
              <w:widowControl/>
              <w:spacing w:line="240" w:lineRule="exact"/>
              <w:jc w:val="left"/>
              <w:textAlignment w:val="center"/>
              <w:rPr>
                <w:rFonts w:hint="eastAsia" w:ascii="仿宋_GB2312" w:eastAsia="仿宋_GB2312" w:cs="仿宋_GB2312"/>
                <w:color w:val="000000"/>
                <w:kern w:val="0"/>
                <w:sz w:val="24"/>
              </w:rPr>
            </w:pPr>
          </w:p>
        </w:tc>
      </w:tr>
      <w:tr w14:paraId="3398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0BD1">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扣分项</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491F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977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D91">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45A1">
            <w:pPr>
              <w:widowControl/>
              <w:spacing w:line="240" w:lineRule="exact"/>
              <w:jc w:val="left"/>
              <w:textAlignment w:val="center"/>
              <w:rPr>
                <w:rFonts w:hint="eastAsia" w:ascii="仿宋_GB2312" w:eastAsia="仿宋_GB2312" w:cs="仿宋_GB2312"/>
                <w:color w:val="000000"/>
                <w:kern w:val="0"/>
                <w:sz w:val="24"/>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680">
            <w:pPr>
              <w:widowControl/>
              <w:spacing w:line="240" w:lineRule="exact"/>
              <w:jc w:val="left"/>
              <w:textAlignment w:val="center"/>
              <w:rPr>
                <w:rFonts w:hint="eastAsia" w:ascii="仿宋_GB2312" w:eastAsia="仿宋_GB2312" w:cs="仿宋_GB2312"/>
                <w:color w:val="000000"/>
                <w:kern w:val="0"/>
                <w:sz w:val="24"/>
              </w:rPr>
            </w:pPr>
          </w:p>
        </w:tc>
      </w:tr>
    </w:tbl>
    <w:p w14:paraId="4857B8EA">
      <w:pPr>
        <w:rPr>
          <w:rFonts w:hint="eastAsia" w:ascii="仿宋_GB2312" w:eastAsia="仿宋_GB2312" w:cs="仿宋_GB2312"/>
        </w:rPr>
      </w:pPr>
      <w:r>
        <w:rPr>
          <w:rFonts w:hint="eastAsia" w:ascii="仿宋_GB2312" w:eastAsia="仿宋_GB2312" w:cs="仿宋_GB2312"/>
        </w:rPr>
        <w:t>附表2</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3"/>
        <w:gridCol w:w="605"/>
        <w:gridCol w:w="843"/>
        <w:gridCol w:w="3552"/>
        <w:gridCol w:w="743"/>
        <w:gridCol w:w="672"/>
        <w:gridCol w:w="742"/>
        <w:gridCol w:w="462"/>
      </w:tblGrid>
      <w:tr w14:paraId="2ABC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6" w:hRule="atLeast"/>
        </w:trPr>
        <w:tc>
          <w:tcPr>
            <w:gridSpan w:val="8"/>
            <w:tcBorders>
              <w:top w:val="nil"/>
              <w:left w:val="nil"/>
              <w:bottom w:val="nil"/>
              <w:right w:val="nil"/>
            </w:tcBorders>
            <w:shd w:val="clear" w:color="auto" w:fill="auto"/>
            <w:vAlign w:val="center"/>
          </w:tcPr>
          <w:p w14:paraId="6D079030">
            <w:pPr>
              <w:keepNext w:val="0"/>
              <w:keepLines w:val="0"/>
              <w:widowControl/>
              <w:suppressLineNumbers w:val="0"/>
              <w:jc w:val="center"/>
              <w:textAlignment w:val="center"/>
              <w:rPr>
                <w:rFonts w:hint="eastAsia" w:ascii="仿宋_GB2312" w:eastAsia="仿宋_GB2312" w:cs="仿宋_GB2312"/>
                <w:i w:val="0"/>
                <w:iCs w:val="0"/>
                <w:color w:val="000000"/>
                <w:sz w:val="30"/>
                <w:szCs w:val="30"/>
                <w:u w:val="none"/>
              </w:rPr>
            </w:pPr>
            <w:r>
              <w:rPr>
                <w:rFonts w:hint="eastAsia" w:ascii="仿宋_GB2312" w:eastAsia="仿宋_GB2312" w:cs="仿宋_GB2312"/>
                <w:i w:val="0"/>
                <w:iCs w:val="0"/>
                <w:color w:val="000000"/>
                <w:kern w:val="0"/>
                <w:sz w:val="30"/>
                <w:szCs w:val="30"/>
                <w:u w:val="none"/>
                <w:lang w:val="en-US" w:eastAsia="zh-CN"/>
              </w:rPr>
              <w:t>部门整体绩效目标完成情况自评表</w:t>
            </w:r>
          </w:p>
        </w:tc>
      </w:tr>
      <w:tr w14:paraId="1A04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gridSpan w:val="8"/>
            <w:tcBorders>
              <w:top w:val="nil"/>
              <w:left w:val="nil"/>
              <w:bottom w:val="nil"/>
              <w:right w:val="nil"/>
            </w:tcBorders>
            <w:shd w:val="clear" w:color="auto" w:fill="auto"/>
            <w:vAlign w:val="center"/>
          </w:tcPr>
          <w:p w14:paraId="2784E61F">
            <w:pPr>
              <w:keepNext w:val="0"/>
              <w:keepLines w:val="0"/>
              <w:widowControl/>
              <w:suppressLineNumbers w:val="0"/>
              <w:jc w:val="center"/>
              <w:textAlignment w:val="center"/>
              <w:rPr>
                <w:rFonts w:hint="eastAsia" w:ascii="仿宋_GB2312" w:eastAsia="仿宋_GB2312" w:cs="仿宋_GB2312"/>
                <w:i w:val="0"/>
                <w:iCs w:val="0"/>
                <w:color w:val="000000"/>
                <w:sz w:val="18"/>
                <w:szCs w:val="18"/>
                <w:u w:val="none"/>
              </w:rPr>
            </w:pPr>
            <w:r>
              <w:rPr>
                <w:rFonts w:hint="eastAsia" w:ascii="仿宋_GB2312" w:eastAsia="仿宋_GB2312" w:cs="仿宋_GB2312"/>
                <w:i w:val="0"/>
                <w:iCs w:val="0"/>
                <w:color w:val="000000"/>
                <w:kern w:val="0"/>
                <w:sz w:val="18"/>
                <w:szCs w:val="18"/>
                <w:u w:val="none"/>
                <w:lang w:val="en-US" w:eastAsia="zh-CN"/>
              </w:rPr>
              <w:t>（2024年度）</w:t>
            </w:r>
          </w:p>
        </w:tc>
      </w:tr>
      <w:tr w14:paraId="7198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gridSpan w:val="8"/>
            <w:tcBorders>
              <w:top w:val="nil"/>
              <w:left w:val="nil"/>
              <w:bottom w:val="single" w:color="000000" w:sz="4" w:space="0"/>
              <w:right w:val="nil"/>
            </w:tcBorders>
            <w:shd w:val="clear" w:color="auto" w:fill="auto"/>
            <w:vAlign w:val="center"/>
          </w:tcPr>
          <w:p w14:paraId="0F8B11EE">
            <w:pPr>
              <w:keepNext w:val="0"/>
              <w:keepLines w:val="0"/>
              <w:widowControl/>
              <w:suppressLineNumbers w:val="0"/>
              <w:jc w:val="right"/>
              <w:textAlignment w:val="center"/>
              <w:rPr>
                <w:rFonts w:hint="eastAsia" w:ascii="仿宋_GB2312" w:eastAsia="仿宋_GB2312" w:cs="仿宋_GB2312"/>
                <w:i w:val="0"/>
                <w:iCs w:val="0"/>
                <w:color w:val="000000"/>
                <w:sz w:val="18"/>
                <w:szCs w:val="18"/>
                <w:u w:val="none"/>
              </w:rPr>
            </w:pPr>
            <w:r>
              <w:rPr>
                <w:rFonts w:hint="eastAsia" w:ascii="仿宋_GB2312" w:eastAsia="仿宋_GB2312" w:cs="仿宋_GB2312"/>
                <w:i w:val="0"/>
                <w:iCs w:val="0"/>
                <w:color w:val="000000"/>
                <w:kern w:val="0"/>
                <w:sz w:val="18"/>
                <w:szCs w:val="18"/>
                <w:u w:val="none"/>
                <w:lang w:val="en-US" w:eastAsia="zh-CN"/>
              </w:rPr>
              <w:t>单位：万元</w:t>
            </w:r>
          </w:p>
        </w:tc>
      </w:tr>
      <w:tr w14:paraId="003C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0475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部门名称</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31FC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茂县档案馆本级</w:t>
            </w:r>
          </w:p>
        </w:tc>
      </w:tr>
      <w:tr w14:paraId="3DE6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BB25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年度部门整体支出预算</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8199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资金总额</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C0F7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财政拨款</w:t>
            </w:r>
          </w:p>
        </w:tc>
        <w:tc>
          <w:tcPr>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8734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其他资金</w:t>
            </w:r>
          </w:p>
        </w:tc>
      </w:tr>
      <w:tr w14:paraId="595E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82F2"/>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8422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仿宋_GB2312" w:eastAsia="仿宋_GB2312" w:cs="仿宋_GB2312"/>
                <w:i w:val="0"/>
                <w:iCs w:val="0"/>
                <w:color w:val="000000"/>
                <w:sz w:val="15"/>
                <w:szCs w:val="15"/>
                <w:u w:val="none"/>
                <w:lang w:val="en-US"/>
              </w:rPr>
            </w:pPr>
            <w:r>
              <w:rPr>
                <w:rFonts w:hint="eastAsia" w:ascii="仿宋_GB2312" w:eastAsia="仿宋_GB2312" w:cs="仿宋_GB2312"/>
                <w:i w:val="0"/>
                <w:iCs w:val="0"/>
                <w:color w:val="000000"/>
                <w:kern w:val="0"/>
                <w:sz w:val="15"/>
                <w:szCs w:val="15"/>
                <w:u w:val="none"/>
                <w:lang w:val="en-US" w:eastAsia="zh-CN"/>
              </w:rPr>
              <w:t>348.06</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EF20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仿宋_GB2312" w:eastAsia="仿宋_GB2312" w:cs="仿宋_GB2312"/>
                <w:i w:val="0"/>
                <w:iCs w:val="0"/>
                <w:color w:val="000000"/>
                <w:sz w:val="15"/>
                <w:szCs w:val="15"/>
                <w:u w:val="none"/>
                <w:lang w:val="en-US"/>
              </w:rPr>
            </w:pPr>
            <w:r>
              <w:rPr>
                <w:rFonts w:hint="eastAsia" w:ascii="仿宋_GB2312" w:eastAsia="仿宋_GB2312" w:cs="仿宋_GB2312"/>
                <w:i w:val="0"/>
                <w:iCs w:val="0"/>
                <w:color w:val="000000"/>
                <w:kern w:val="0"/>
                <w:sz w:val="15"/>
                <w:szCs w:val="15"/>
                <w:u w:val="none"/>
                <w:lang w:val="en-US" w:eastAsia="zh-CN"/>
              </w:rPr>
              <w:t>348.06</w:t>
            </w:r>
          </w:p>
        </w:tc>
        <w:tc>
          <w:tcPr>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3B7E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0.00</w:t>
            </w:r>
          </w:p>
        </w:tc>
      </w:tr>
      <w:tr w14:paraId="6224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52D1A1F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年度总体目标</w:t>
            </w:r>
          </w:p>
        </w:tc>
        <w:tc>
          <w:tcPr>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072D2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贯彻执行《中华人民共和国档案法》以及党和国家有关档案工作的方针、政策、按照统一领导、分级管理的原则对全县档案工作实行统筹规划、宏观管理，制定全县档案事业发展规划并组织实施</w:t>
            </w:r>
          </w:p>
        </w:tc>
      </w:tr>
      <w:tr w14:paraId="3956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A2B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年度主要任务</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AEFF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任务名称</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85AC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主要内容</w:t>
            </w:r>
          </w:p>
        </w:tc>
      </w:tr>
      <w:tr w14:paraId="69C7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5B17"/>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8DFA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做好档案接收、利用、指导工作</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E597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1.继续加大对单位文书档案和专项部门档案的指导、入馆工作。2.进一步加大对民生档案接收、专题编研工作。3.加强对馆藏档案的开放、利用和鉴定工作，更好地服务社会，服务民生。</w:t>
            </w:r>
          </w:p>
        </w:tc>
      </w:tr>
      <w:tr w14:paraId="4246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253D"/>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925B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做好档案行政执法工作</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83CD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继续开展档案专项执法检查，促进档案工作正常、有序发展。</w:t>
            </w:r>
          </w:p>
        </w:tc>
      </w:tr>
      <w:tr w14:paraId="5679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AB59"/>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90F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切实提高档案安全保障能力</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815C2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为认真贯彻落实国家、省和州委、州政府关于“三防一安全”工作精神，抓好档案“十防”工作，确保档案资源的绝对安全。</w:t>
            </w:r>
          </w:p>
        </w:tc>
      </w:tr>
      <w:tr w14:paraId="6B41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6AEC"/>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757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加强数字档案馆建设</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0043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做好数字档案馆建设试点工作。</w:t>
            </w:r>
          </w:p>
        </w:tc>
      </w:tr>
      <w:tr w14:paraId="4E19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8" w:hRule="atLeast"/>
        </w:trPr>
        <w:tc>
          <w:tcPr>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8AD0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年度绩效指标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6F63768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一级指标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44916D8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二级指标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B150DB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三级指标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059E7CF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绩效指标性质</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B12994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绩效指标值</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0C80BDE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绩效度量单位</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470C690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权重</w:t>
            </w:r>
          </w:p>
        </w:tc>
      </w:tr>
      <w:tr w14:paraId="0C4E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3DD0"/>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452AA63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7462777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数量指标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745C1C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档案接收进馆</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6119BB6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77B64F4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95</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470E31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卷</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20CFFE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40</w:t>
            </w:r>
          </w:p>
        </w:tc>
      </w:tr>
      <w:tr w14:paraId="438C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3664"/>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612F798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效益指标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6BCA24C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社会效益指标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58DA724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将社会上集体和个人散存的珍贵档案征集入馆保存，防止特色档案灭失和丢失，原样保存完好率达90%</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D881E0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290A93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90</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7FCA591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件</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982C83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10</w:t>
            </w:r>
          </w:p>
        </w:tc>
      </w:tr>
      <w:tr w14:paraId="11F3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21B1"/>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79EE5B6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满意度指标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0950A0B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服务对象满意度指标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42DE038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查阅利用馆藏档案，提升档案总水平</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4D9BEE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2CC2FA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95</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53A2711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次</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174A82F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50</w:t>
            </w:r>
          </w:p>
        </w:tc>
      </w:tr>
    </w:tbl>
    <w:p w14:paraId="0938A159">
      <w:pPr>
        <w:pStyle w:val="21"/>
        <w:ind w:left="0" w:leftChars="0" w:firstLine="0" w:firstLineChars="0"/>
        <w:rPr>
          <w:rFonts w:hint="eastAsia" w:ascii="仿宋_GB2312" w:eastAsia="仿宋_GB2312" w:cs="仿宋_GB2312"/>
          <w:sz w:val="24"/>
          <w:szCs w:val="24"/>
        </w:rPr>
      </w:pPr>
    </w:p>
    <w:p w14:paraId="293F620C">
      <w:pPr>
        <w:pStyle w:val="17"/>
        <w:rPr>
          <w:rFonts w:hint="eastAsia"/>
        </w:rPr>
      </w:pPr>
    </w:p>
    <w:p w14:paraId="5895D72F">
      <w:pPr>
        <w:spacing w:line="576" w:lineRule="exact"/>
        <w:jc w:val="left"/>
        <w:outlineLvl w:val="0"/>
        <w:rPr>
          <w:rFonts w:hint="eastAsia" w:ascii="仿宋_GB2312" w:eastAsia="仿宋_GB2312" w:cs="仿宋_GB2312"/>
          <w:sz w:val="32"/>
          <w:szCs w:val="32"/>
        </w:rPr>
      </w:pPr>
    </w:p>
    <w:p w14:paraId="46705852">
      <w:pPr>
        <w:pStyle w:val="41"/>
        <w:rPr>
          <w:rFonts w:hint="eastAsia" w:ascii="仿宋_GB2312" w:eastAsia="仿宋_GB2312" w:cs="仿宋_GB2312"/>
          <w:sz w:val="32"/>
          <w:szCs w:val="32"/>
        </w:rPr>
      </w:pPr>
    </w:p>
    <w:p w14:paraId="5FB1EAD4">
      <w:pPr>
        <w:rPr>
          <w:rFonts w:hint="eastAsia" w:ascii="仿宋_GB2312" w:eastAsia="仿宋_GB2312" w:cs="仿宋_GB2312"/>
          <w:sz w:val="32"/>
          <w:szCs w:val="32"/>
        </w:rPr>
      </w:pPr>
    </w:p>
    <w:p w14:paraId="3C4D5B2E">
      <w:pPr>
        <w:spacing w:line="576" w:lineRule="exact"/>
        <w:jc w:val="left"/>
        <w:outlineLvl w:val="0"/>
        <w:rPr>
          <w:rFonts w:hint="eastAsia" w:ascii="黑体" w:eastAsia="黑体" w:cs="黑体"/>
          <w:sz w:val="32"/>
          <w:szCs w:val="32"/>
        </w:rPr>
      </w:pPr>
    </w:p>
    <w:p w14:paraId="673CB787">
      <w:pPr>
        <w:spacing w:line="576" w:lineRule="exact"/>
        <w:jc w:val="left"/>
        <w:outlineLvl w:val="0"/>
        <w:rPr>
          <w:rFonts w:hint="eastAsia" w:ascii="黑体" w:eastAsia="黑体" w:cs="黑体"/>
          <w:sz w:val="32"/>
          <w:szCs w:val="32"/>
        </w:rPr>
      </w:pPr>
    </w:p>
    <w:p w14:paraId="61447E9D">
      <w:pPr>
        <w:spacing w:line="576" w:lineRule="exact"/>
        <w:jc w:val="left"/>
        <w:outlineLvl w:val="0"/>
        <w:rPr>
          <w:rFonts w:ascii="黑体" w:eastAsia="黑体" w:cs="黑体"/>
          <w:sz w:val="32"/>
          <w:szCs w:val="32"/>
        </w:rPr>
      </w:pPr>
      <w:r>
        <w:rPr>
          <w:rFonts w:hint="eastAsia" w:ascii="黑体" w:eastAsia="黑体" w:cs="黑体"/>
          <w:sz w:val="32"/>
          <w:szCs w:val="32"/>
        </w:rPr>
        <w:t>附件2</w:t>
      </w:r>
      <w:bookmarkEnd w:id="105"/>
    </w:p>
    <w:p w14:paraId="308DD778">
      <w:pPr>
        <w:pStyle w:val="40"/>
        <w:spacing w:line="578" w:lineRule="exact"/>
        <w:jc w:val="center"/>
        <w:rPr>
          <w:rFonts w:hint="eastAsia" w:ascii="方正小标宋简体" w:eastAsia="方正小标宋简体" w:cs="方正小标宋简体"/>
          <w:color w:val="auto"/>
          <w:kern w:val="2"/>
          <w:sz w:val="44"/>
          <w:szCs w:val="44"/>
          <w:lang w:val="en-US" w:eastAsia="zh-CN"/>
        </w:rPr>
      </w:pPr>
      <w:bookmarkStart w:id="106" w:name="_Toc115101732"/>
      <w:bookmarkStart w:id="107" w:name="_Toc15396618"/>
      <w:bookmarkStart w:id="108" w:name="_Toc79163635"/>
      <w:r>
        <w:rPr>
          <w:rFonts w:hint="eastAsia" w:ascii="方正小标宋简体" w:eastAsia="方正小标宋简体" w:cs="方正小标宋简体"/>
          <w:color w:val="auto"/>
          <w:kern w:val="2"/>
          <w:sz w:val="44"/>
          <w:szCs w:val="44"/>
          <w:lang w:val="en-US" w:eastAsia="zh-CN"/>
        </w:rPr>
        <w:t>数字档案馆建设项目</w:t>
      </w:r>
    </w:p>
    <w:p w14:paraId="369B971F">
      <w:pPr>
        <w:pStyle w:val="40"/>
        <w:spacing w:line="578" w:lineRule="exact"/>
        <w:jc w:val="center"/>
        <w:rPr>
          <w:rFonts w:ascii="方正小标宋简体" w:eastAsia="方正小标宋简体" w:cs="方正小标宋简体"/>
          <w:color w:val="auto"/>
          <w:kern w:val="2"/>
          <w:sz w:val="44"/>
          <w:szCs w:val="44"/>
          <w:lang w:val="en-US"/>
        </w:rPr>
      </w:pPr>
      <w:r>
        <w:rPr>
          <w:rFonts w:hint="eastAsia" w:ascii="方正小标宋简体" w:eastAsia="方正小标宋简体" w:cs="方正小标宋简体"/>
          <w:color w:val="auto"/>
          <w:kern w:val="2"/>
          <w:sz w:val="44"/>
          <w:szCs w:val="44"/>
          <w:lang w:val="en-US"/>
        </w:rPr>
        <w:t>专项预算项目绩效评价报告</w:t>
      </w:r>
    </w:p>
    <w:p w14:paraId="4EBDA7F3">
      <w:pPr>
        <w:pStyle w:val="40"/>
        <w:spacing w:line="578" w:lineRule="exact"/>
        <w:ind w:firstLine="640"/>
        <w:jc w:val="center"/>
        <w:rPr>
          <w:rFonts w:ascii="宋体"/>
          <w:color w:val="auto"/>
          <w:kern w:val="2"/>
          <w:sz w:val="32"/>
          <w:szCs w:val="32"/>
        </w:rPr>
      </w:pPr>
    </w:p>
    <w:p w14:paraId="4423358A">
      <w:pPr>
        <w:adjustRightInd w:val="0"/>
        <w:snapToGrid w:val="0"/>
        <w:spacing w:line="578" w:lineRule="exact"/>
        <w:ind w:firstLine="640" w:firstLineChars="200"/>
        <w:rPr>
          <w:rFonts w:hint="eastAsia" w:ascii="黑体" w:eastAsia="黑体" w:cs="黑体"/>
          <w:sz w:val="32"/>
          <w:szCs w:val="32"/>
          <w:lang w:val="zh-CN"/>
        </w:rPr>
      </w:pPr>
      <w:r>
        <w:rPr>
          <w:rFonts w:hint="eastAsia" w:ascii="黑体" w:eastAsia="黑体" w:cs="黑体"/>
          <w:sz w:val="32"/>
          <w:szCs w:val="32"/>
        </w:rPr>
        <w:t>一、</w:t>
      </w:r>
      <w:r>
        <w:rPr>
          <w:rFonts w:hint="eastAsia" w:ascii="黑体" w:eastAsia="黑体" w:cs="黑体"/>
          <w:sz w:val="32"/>
          <w:szCs w:val="32"/>
          <w:lang w:val="zh-CN"/>
        </w:rPr>
        <w:t>项目概况</w:t>
      </w:r>
    </w:p>
    <w:p w14:paraId="18A6D6CB">
      <w:pPr>
        <w:adjustRightInd w:val="0"/>
        <w:snapToGrid w:val="0"/>
        <w:spacing w:line="560" w:lineRule="exact"/>
        <w:ind w:firstLine="720"/>
        <w:rPr>
          <w:rFonts w:hint="eastAsia" w:ascii="仿宋_GB2312" w:eastAsia="仿宋_GB2312" w:cs="仿宋_GB2312"/>
          <w:color w:val="000000"/>
          <w:sz w:val="32"/>
          <w:szCs w:val="32"/>
          <w:shd w:val="clear" w:color="auto" w:fill="FFFFFF"/>
        </w:rPr>
      </w:pPr>
      <w:r>
        <w:rPr>
          <w:rFonts w:hint="eastAsia" w:ascii="仿宋_GB2312" w:eastAsia="仿宋_GB2312" w:cs="仿宋_GB2312"/>
          <w:b/>
          <w:sz w:val="32"/>
          <w:szCs w:val="32"/>
          <w:lang w:val="zh-CN"/>
        </w:rPr>
        <w:t>（一）设立背景及基本情况。</w:t>
      </w:r>
      <w:r>
        <w:rPr>
          <w:rFonts w:hint="eastAsia" w:ascii="仿宋_GB2312" w:eastAsia="仿宋_GB2312" w:cs="仿宋_GB2312"/>
          <w:color w:val="000000"/>
          <w:sz w:val="32"/>
          <w:szCs w:val="32"/>
          <w:shd w:val="clear" w:color="auto" w:fill="FFFFFF"/>
          <w:lang w:eastAsia="zh-CN"/>
        </w:rPr>
        <w:t>茂县档案馆于</w:t>
      </w:r>
      <w:r>
        <w:rPr>
          <w:rFonts w:hint="eastAsia" w:ascii="仿宋_GB2312" w:eastAsia="仿宋_GB2312" w:cs="仿宋_GB2312"/>
          <w:color w:val="000000"/>
          <w:sz w:val="32"/>
          <w:szCs w:val="32"/>
          <w:shd w:val="clear" w:color="auto" w:fill="FFFFFF"/>
          <w:lang w:val="en-US" w:eastAsia="zh-CN"/>
        </w:rPr>
        <w:t>2021年确定为数字档案馆试点单位，要求2025年前完成数字档案馆建设试点任务，通过省级及以上档案主管部门成果认定。目前，已完成机房改造，局域网布设，馆藏档案管理系统布设。</w:t>
      </w:r>
      <w:r>
        <w:rPr>
          <w:rFonts w:hint="eastAsia" w:ascii="仿宋_GB2312" w:eastAsia="仿宋_GB2312" w:cs="仿宋_GB2312"/>
          <w:b w:val="0"/>
          <w:bCs/>
          <w:color w:val="auto"/>
          <w:sz w:val="32"/>
          <w:szCs w:val="32"/>
          <w:highlight w:val="none"/>
          <w:u w:val="none"/>
          <w:lang w:val="zh-CN"/>
        </w:rPr>
        <w:t>在项目实施过程中严格按照管理办法使用资金，做到专款专用，严禁虚报、挤占、挪用，无违反规定的行为发生。</w:t>
      </w:r>
    </w:p>
    <w:p w14:paraId="302EA7DF">
      <w:pPr>
        <w:adjustRightInd w:val="0"/>
        <w:snapToGrid w:val="0"/>
        <w:spacing w:line="578" w:lineRule="exact"/>
        <w:ind w:firstLine="643" w:firstLineChars="200"/>
        <w:rPr>
          <w:rFonts w:hint="eastAsia" w:ascii="仿宋_GB2312" w:eastAsia="仿宋_GB2312" w:cs="仿宋_GB2312"/>
          <w:b/>
          <w:sz w:val="32"/>
          <w:szCs w:val="32"/>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实施目的及支持方向。</w:t>
      </w:r>
      <w:r>
        <w:rPr>
          <w:rFonts w:hint="eastAsia" w:ascii="仿宋_GB2312" w:eastAsia="仿宋_GB2312" w:cs="仿宋_GB2312"/>
          <w:b w:val="0"/>
          <w:bCs/>
          <w:color w:val="auto"/>
          <w:sz w:val="32"/>
          <w:szCs w:val="32"/>
          <w:highlight w:val="none"/>
          <w:u w:val="none"/>
          <w:lang w:val="en-US" w:eastAsia="zh-CN"/>
        </w:rPr>
        <w:t xml:space="preserve">茂县档案馆馆藏量相对较大，为群众进行课题研究、落实政策、解决待遇提供了翔实的依据和佐证。但由于现有服务器设备采购年限长，档案系统存储设备老化，超过产品寿命，存在数据丢失风险，急需更新换代。专项资金按照“谁使用、谁负责”的原则，承担资金使用和管理责任。      </w:t>
      </w:r>
    </w:p>
    <w:p w14:paraId="27B5B86B">
      <w:pPr>
        <w:widowControl/>
        <w:adjustRightInd w:val="0"/>
        <w:snapToGrid w:val="0"/>
        <w:spacing w:line="578" w:lineRule="exact"/>
        <w:ind w:firstLine="643" w:firstLineChars="200"/>
        <w:contextualSpacing/>
        <w:jc w:val="left"/>
        <w:rPr>
          <w:rFonts w:hint="eastAsia" w:ascii="仿宋_GB2312" w:eastAsia="仿宋_GB2312" w:cs="仿宋_GB2312"/>
          <w:kern w:val="0"/>
          <w:sz w:val="32"/>
          <w:szCs w:val="32"/>
          <w:shd w:val="clear" w:color="auto" w:fill="FFFFFF"/>
          <w:lang w:val="en-US"/>
        </w:rPr>
      </w:pPr>
      <w:r>
        <w:rPr>
          <w:rFonts w:hint="eastAsia" w:ascii="仿宋_GB2312" w:eastAsia="仿宋_GB2312" w:cs="仿宋_GB2312"/>
          <w:b/>
          <w:sz w:val="32"/>
          <w:szCs w:val="32"/>
          <w:lang w:val="zh-CN"/>
        </w:rPr>
        <w:t>（三）</w:t>
      </w:r>
      <w:r>
        <w:rPr>
          <w:rFonts w:hint="eastAsia" w:ascii="仿宋_GB2312" w:eastAsia="仿宋_GB2312" w:cs="仿宋_GB2312"/>
          <w:b/>
          <w:sz w:val="32"/>
          <w:szCs w:val="32"/>
        </w:rPr>
        <w:t>预算安排及分配管理</w:t>
      </w:r>
      <w:r>
        <w:rPr>
          <w:rFonts w:hint="eastAsia" w:ascii="仿宋_GB2312" w:eastAsia="仿宋_GB2312" w:cs="仿宋_GB2312"/>
          <w:b/>
          <w:sz w:val="32"/>
          <w:szCs w:val="32"/>
          <w:lang w:val="zh-CN"/>
        </w:rPr>
        <w:t>。</w:t>
      </w:r>
      <w:r>
        <w:rPr>
          <w:rFonts w:hint="eastAsia" w:ascii="仿宋_GB2312" w:eastAsia="仿宋_GB2312" w:cs="仿宋_GB2312"/>
          <w:b w:val="0"/>
          <w:bCs/>
          <w:color w:val="auto"/>
          <w:sz w:val="32"/>
          <w:szCs w:val="32"/>
          <w:highlight w:val="none"/>
          <w:u w:val="none"/>
          <w:lang w:val="zh-CN" w:eastAsia="zh-CN"/>
        </w:rPr>
        <w:t>预算安排资金</w:t>
      </w:r>
      <w:r>
        <w:rPr>
          <w:rFonts w:hint="eastAsia" w:ascii="仿宋_GB2312" w:eastAsia="仿宋_GB2312" w:cs="仿宋_GB2312"/>
          <w:b w:val="0"/>
          <w:bCs/>
          <w:color w:val="auto"/>
          <w:sz w:val="32"/>
          <w:szCs w:val="32"/>
          <w:highlight w:val="none"/>
          <w:u w:val="none"/>
          <w:lang w:val="en-US" w:eastAsia="zh-CN"/>
        </w:rPr>
        <w:t>266.70万元（省级资金120.00万元，县级配套146.70万元）全部由地方财政垫付。中标价为265.89万元，项目验收后支付257.91万元，预留3%质保金待数字档案馆测评后支付。省级120.00万元于2024年8月到账，于2024年10月归垫财政。</w:t>
      </w:r>
    </w:p>
    <w:p w14:paraId="631636ED">
      <w:pPr>
        <w:adjustRightInd w:val="0"/>
        <w:snapToGrid w:val="0"/>
        <w:spacing w:line="578" w:lineRule="exact"/>
        <w:ind w:firstLine="643" w:firstLineChars="200"/>
        <w:rPr>
          <w:rFonts w:hint="eastAsia" w:ascii="仿宋_GB2312" w:eastAsia="仿宋_GB2312" w:cs="仿宋_GB2312"/>
          <w:kern w:val="0"/>
          <w:sz w:val="32"/>
          <w:szCs w:val="32"/>
          <w:shd w:val="clear" w:color="auto" w:fill="FFFFFF"/>
          <w:lang w:val="zh-CN"/>
        </w:rPr>
      </w:pPr>
      <w:r>
        <w:rPr>
          <w:rFonts w:hint="eastAsia" w:ascii="仿宋_GB2312" w:eastAsia="仿宋_GB2312" w:cs="仿宋_GB2312"/>
          <w:b/>
          <w:sz w:val="32"/>
          <w:szCs w:val="32"/>
          <w:lang w:val="zh-CN"/>
        </w:rPr>
        <w:t>（四）项目绩效目标设置。</w:t>
      </w:r>
      <w:r>
        <w:rPr>
          <w:rFonts w:hint="eastAsia" w:ascii="仿宋_GB2312" w:eastAsia="仿宋_GB2312" w:cs="仿宋_GB2312"/>
          <w:kern w:val="0"/>
          <w:sz w:val="32"/>
          <w:szCs w:val="32"/>
          <w:shd w:val="clear" w:color="auto" w:fill="FFFFFF"/>
          <w:lang w:val="zh-CN"/>
        </w:rPr>
        <w:t>通过机房改造，配置国产化服务器及存储备份设备、关键网络设备、网络安全设施、终端设备、操作系统、数据库、中间件等软硬件设施设备。按照项目执行进度的要求，已执行并完成数字档案馆项目支付。</w:t>
      </w:r>
    </w:p>
    <w:p w14:paraId="427D5A7F">
      <w:pPr>
        <w:adjustRightInd w:val="0"/>
        <w:snapToGrid w:val="0"/>
        <w:spacing w:line="578" w:lineRule="exact"/>
        <w:ind w:firstLine="640" w:firstLineChars="200"/>
        <w:rPr>
          <w:rFonts w:hint="eastAsia" w:ascii="黑体" w:eastAsia="黑体" w:cs="黑体"/>
          <w:sz w:val="32"/>
          <w:szCs w:val="32"/>
        </w:rPr>
      </w:pPr>
      <w:r>
        <w:rPr>
          <w:rFonts w:hint="eastAsia" w:ascii="黑体" w:eastAsia="黑体" w:cs="黑体"/>
          <w:sz w:val="32"/>
          <w:szCs w:val="32"/>
        </w:rPr>
        <w:t>二、评价实施</w:t>
      </w:r>
    </w:p>
    <w:p w14:paraId="771EA533">
      <w:pPr>
        <w:spacing w:line="578" w:lineRule="exact"/>
        <w:ind w:firstLine="640"/>
        <w:rPr>
          <w:rFonts w:hint="eastAsia" w:ascii="仿宋_GB2312" w:eastAsia="仿宋_GB2312" w:cs="仿宋_GB2312"/>
          <w:sz w:val="32"/>
          <w:szCs w:val="32"/>
        </w:rPr>
      </w:pPr>
      <w:r>
        <w:rPr>
          <w:rFonts w:hint="eastAsia" w:ascii="仿宋_GB2312" w:eastAsia="仿宋_GB2312" w:cs="仿宋_GB2312"/>
          <w:b/>
          <w:sz w:val="32"/>
          <w:szCs w:val="32"/>
          <w:lang w:val="zh-CN"/>
        </w:rPr>
        <w:t>（一）评价目的。</w:t>
      </w:r>
      <w:r>
        <w:rPr>
          <w:rFonts w:hint="eastAsia" w:ascii="仿宋_GB2312" w:eastAsia="仿宋_GB2312" w:cs="仿宋_GB2312"/>
          <w:kern w:val="2"/>
          <w:sz w:val="32"/>
          <w:szCs w:val="32"/>
        </w:rPr>
        <w:t>本次对项目投入经济性的评估是在项目预算测算的基础上，按照厉行节约的要求，结合实际需求、相关费用标准及市场价格水平，重点对数量是否合理、投入是否经济、测算是否准确、测算过程是否详细、测算依据是否充分等方面进行了评估。评估认为，该项</w:t>
      </w:r>
      <w:r>
        <w:rPr>
          <w:rFonts w:hint="eastAsia" w:ascii="仿宋_GB2312" w:eastAsia="仿宋_GB2312" w:cs="仿宋_GB2312"/>
          <w:kern w:val="2"/>
          <w:sz w:val="32"/>
          <w:szCs w:val="32"/>
          <w:u w:val="none"/>
        </w:rPr>
        <w:t>目任务数量基本合理、测算过程较为详细、测算依据基本充分、有一定的经济性。</w:t>
      </w:r>
    </w:p>
    <w:p w14:paraId="029DD46A">
      <w:pPr>
        <w:spacing w:line="360" w:lineRule="auto"/>
        <w:ind w:firstLine="643" w:firstLineChars="200"/>
        <w:rPr>
          <w:rFonts w:hint="eastAsia" w:ascii="仿宋_GB2312" w:eastAsia="仿宋_GB2312" w:cs="仿宋_GB2312"/>
          <w:sz w:val="32"/>
          <w:szCs w:val="32"/>
          <w:lang w:eastAsia="zh-CN"/>
        </w:rPr>
      </w:pPr>
      <w:r>
        <w:rPr>
          <w:rFonts w:hint="eastAsia" w:ascii="仿宋_GB2312" w:eastAsia="仿宋_GB2312" w:cs="仿宋_GB2312"/>
          <w:b/>
          <w:sz w:val="32"/>
          <w:szCs w:val="32"/>
          <w:lang w:val="zh-CN"/>
        </w:rPr>
        <w:t>（二）预设问题及评价重点。</w:t>
      </w:r>
      <w:r>
        <w:rPr>
          <w:rFonts w:hint="eastAsia" w:ascii="仿宋_GB2312" w:eastAsia="仿宋_GB2312" w:cs="仿宋_GB2312"/>
          <w:b w:val="0"/>
          <w:bCs/>
          <w:color w:val="auto"/>
          <w:sz w:val="32"/>
          <w:szCs w:val="32"/>
          <w:highlight w:val="none"/>
          <w:u w:val="none"/>
          <w:lang w:val="zh-CN"/>
        </w:rPr>
        <w:t>对如何</w:t>
      </w:r>
      <w:r>
        <w:rPr>
          <w:rFonts w:hint="eastAsia" w:ascii="仿宋_GB2312" w:eastAsia="仿宋_GB2312" w:cs="仿宋_GB2312"/>
          <w:b w:val="0"/>
          <w:bCs/>
          <w:kern w:val="2"/>
          <w:sz w:val="32"/>
          <w:szCs w:val="32"/>
        </w:rPr>
        <w:t>提</w:t>
      </w:r>
      <w:r>
        <w:rPr>
          <w:rFonts w:hint="eastAsia" w:ascii="仿宋_GB2312" w:eastAsia="仿宋_GB2312" w:cs="仿宋_GB2312"/>
          <w:kern w:val="2"/>
          <w:sz w:val="32"/>
          <w:szCs w:val="32"/>
        </w:rPr>
        <w:t>高预算编制科学性、合理性，优化财政支出结构</w:t>
      </w:r>
      <w:r>
        <w:rPr>
          <w:rFonts w:hint="eastAsia" w:ascii="仿宋_GB2312" w:eastAsia="仿宋_GB2312" w:cs="仿宋_GB2312"/>
          <w:kern w:val="2"/>
          <w:sz w:val="32"/>
          <w:szCs w:val="32"/>
          <w:lang w:eastAsia="zh-CN"/>
        </w:rPr>
        <w:t>入手</w:t>
      </w:r>
      <w:r>
        <w:rPr>
          <w:rFonts w:hint="eastAsia" w:ascii="仿宋_GB2312" w:eastAsia="仿宋_GB2312" w:cs="仿宋_GB2312"/>
          <w:kern w:val="2"/>
          <w:sz w:val="32"/>
          <w:szCs w:val="32"/>
        </w:rPr>
        <w:t>，从源头上防控财政资源配置的低效无效，提高财政资源配置效率和财政资金使用效益。</w:t>
      </w:r>
    </w:p>
    <w:p w14:paraId="0CD6D1E8">
      <w:pPr>
        <w:adjustRightInd w:val="0"/>
        <w:snapToGrid w:val="0"/>
        <w:spacing w:line="578" w:lineRule="exact"/>
        <w:ind w:firstLine="643" w:firstLineChars="200"/>
        <w:rPr>
          <w:rFonts w:hint="eastAsia" w:ascii="仿宋_GB2312" w:eastAsia="仿宋_GB2312" w:cs="仿宋_GB2312"/>
          <w:sz w:val="32"/>
          <w:szCs w:val="32"/>
          <w:lang w:val="zh-CN"/>
        </w:rPr>
      </w:pPr>
      <w:r>
        <w:rPr>
          <w:rFonts w:hint="eastAsia" w:ascii="仿宋_GB2312" w:eastAsia="仿宋_GB2312" w:cs="仿宋_GB2312"/>
          <w:b/>
          <w:sz w:val="32"/>
          <w:szCs w:val="32"/>
          <w:lang w:val="zh-CN"/>
        </w:rPr>
        <w:t>（三）评价选点。</w:t>
      </w:r>
      <w:r>
        <w:rPr>
          <w:rFonts w:hint="eastAsia" w:ascii="仿宋_GB2312" w:eastAsia="仿宋_GB2312" w:cs="仿宋_GB2312"/>
          <w:kern w:val="2"/>
          <w:sz w:val="32"/>
          <w:szCs w:val="32"/>
        </w:rPr>
        <w:t>按照有关规定和工作安排，我单位开展自行评估，收集被评估项目相关基础资料，并查阅资料、收集数据信息等</w:t>
      </w:r>
      <w:r>
        <w:rPr>
          <w:rFonts w:hint="eastAsia" w:ascii="仿宋_GB2312" w:eastAsia="仿宋_GB2312" w:cs="仿宋_GB2312"/>
          <w:kern w:val="2"/>
          <w:sz w:val="32"/>
          <w:szCs w:val="32"/>
          <w:lang w:val="en-US" w:eastAsia="zh-CN"/>
        </w:rPr>
        <w:t>，</w:t>
      </w:r>
      <w:r>
        <w:rPr>
          <w:rFonts w:hint="eastAsia" w:ascii="仿宋_GB2312" w:eastAsia="仿宋_GB2312" w:cs="仿宋_GB2312"/>
          <w:kern w:val="2"/>
          <w:sz w:val="32"/>
          <w:szCs w:val="32"/>
          <w:lang w:val="zh-CN" w:eastAsia="zh-CN"/>
        </w:rPr>
        <w:t>查看数字档案馆</w:t>
      </w:r>
      <w:r>
        <w:rPr>
          <w:rFonts w:hint="eastAsia" w:ascii="仿宋_GB2312" w:eastAsia="仿宋_GB2312" w:cs="仿宋_GB2312"/>
          <w:kern w:val="2"/>
          <w:sz w:val="32"/>
          <w:szCs w:val="32"/>
          <w:lang w:val="en-US" w:eastAsia="zh-CN"/>
        </w:rPr>
        <w:t>工作完成情况、完成时效、完成质量等</w:t>
      </w:r>
      <w:r>
        <w:rPr>
          <w:rFonts w:hint="eastAsia" w:ascii="仿宋_GB2312" w:eastAsia="仿宋_GB2312" w:cs="仿宋_GB2312"/>
          <w:kern w:val="2"/>
          <w:sz w:val="32"/>
          <w:szCs w:val="32"/>
        </w:rPr>
        <w:t>。</w:t>
      </w:r>
    </w:p>
    <w:p w14:paraId="590AB7E0">
      <w:pPr>
        <w:spacing w:line="578" w:lineRule="exact"/>
        <w:ind w:firstLine="640"/>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sz w:val="32"/>
          <w:szCs w:val="32"/>
          <w:lang w:val="zh-CN"/>
        </w:rPr>
        <w:t>（四）评价方法。</w:t>
      </w:r>
      <w:r>
        <w:rPr>
          <w:rFonts w:hint="eastAsia" w:ascii="仿宋_GB2312" w:eastAsia="仿宋_GB2312" w:cs="仿宋_GB2312"/>
          <w:b w:val="0"/>
          <w:bCs/>
          <w:color w:val="auto"/>
          <w:sz w:val="32"/>
          <w:szCs w:val="32"/>
          <w:highlight w:val="none"/>
          <w:u w:val="none"/>
          <w:lang w:val="zh-CN"/>
        </w:rPr>
        <w:t>根据项目情况和评价重点，</w:t>
      </w:r>
      <w:r>
        <w:rPr>
          <w:rFonts w:hint="eastAsia" w:ascii="仿宋_GB2312" w:eastAsia="仿宋_GB2312" w:cs="仿宋_GB2312"/>
          <w:b w:val="0"/>
          <w:bCs/>
          <w:color w:val="auto"/>
          <w:sz w:val="32"/>
          <w:szCs w:val="32"/>
          <w:highlight w:val="none"/>
          <w:u w:val="none"/>
          <w:lang w:val="zh-CN" w:eastAsia="zh-CN"/>
        </w:rPr>
        <w:t>主要采用</w:t>
      </w:r>
      <w:r>
        <w:rPr>
          <w:rFonts w:hint="eastAsia" w:ascii="仿宋_GB2312" w:eastAsia="仿宋_GB2312" w:cs="仿宋_GB2312"/>
          <w:b w:val="0"/>
          <w:bCs/>
          <w:color w:val="auto"/>
          <w:sz w:val="32"/>
          <w:szCs w:val="32"/>
          <w:highlight w:val="none"/>
          <w:u w:val="none"/>
          <w:lang w:val="zh-CN"/>
        </w:rPr>
        <w:t>单位自评法</w:t>
      </w:r>
      <w:r>
        <w:rPr>
          <w:rFonts w:hint="eastAsia" w:ascii="仿宋_GB2312" w:eastAsia="仿宋_GB2312" w:cs="仿宋_GB2312"/>
          <w:b w:val="0"/>
          <w:bCs/>
          <w:color w:val="auto"/>
          <w:sz w:val="32"/>
          <w:szCs w:val="32"/>
          <w:highlight w:val="none"/>
          <w:u w:val="none"/>
          <w:lang w:val="zh-CN" w:eastAsia="zh-CN"/>
        </w:rPr>
        <w:t>，结合评价内容，做到有计划、有安排。按照上级下达的项目支出绩效评价指标体系，针对建设内容、实施情况、资金兑现、财务管理、社会效益等做出自评。</w:t>
      </w:r>
    </w:p>
    <w:p w14:paraId="35A24B4B">
      <w:pPr>
        <w:adjustRightInd w:val="0"/>
        <w:snapToGrid w:val="0"/>
        <w:spacing w:line="578" w:lineRule="exact"/>
        <w:ind w:firstLine="643" w:firstLineChars="200"/>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sz w:val="32"/>
          <w:szCs w:val="32"/>
          <w:lang w:val="zh-CN"/>
        </w:rPr>
        <w:t>（五）评价组织。</w:t>
      </w:r>
      <w:r>
        <w:rPr>
          <w:rFonts w:hint="eastAsia" w:ascii="仿宋_GB2312" w:eastAsia="仿宋_GB2312" w:cs="仿宋_GB2312"/>
          <w:b w:val="0"/>
          <w:bCs/>
          <w:color w:val="auto"/>
          <w:sz w:val="32"/>
          <w:szCs w:val="32"/>
          <w:highlight w:val="none"/>
          <w:u w:val="none"/>
          <w:lang w:val="zh-CN" w:eastAsia="zh-CN"/>
        </w:rPr>
        <w:t>评价组人员由单位负责人、分管领导及业务股室负责人组成；单位负责人牵头负责，分管领导组织业务股室自行评价。</w:t>
      </w:r>
    </w:p>
    <w:p w14:paraId="58355EA9">
      <w:pPr>
        <w:adjustRightInd w:val="0"/>
        <w:snapToGrid w:val="0"/>
        <w:spacing w:line="578" w:lineRule="exact"/>
        <w:ind w:firstLine="640" w:firstLineChars="200"/>
        <w:rPr>
          <w:rFonts w:hint="eastAsia" w:ascii="仿宋_GB2312" w:eastAsia="仿宋_GB2312" w:cs="仿宋_GB2312"/>
          <w:sz w:val="32"/>
          <w:szCs w:val="32"/>
          <w:lang w:val="zh-CN"/>
        </w:rPr>
      </w:pPr>
      <w:r>
        <w:rPr>
          <w:rFonts w:hint="eastAsia" w:ascii="黑体" w:eastAsia="黑体" w:cs="黑体"/>
          <w:sz w:val="32"/>
          <w:szCs w:val="32"/>
        </w:rPr>
        <w:t>三、绩效分析</w:t>
      </w:r>
      <w:r>
        <w:rPr>
          <w:rFonts w:hint="eastAsia" w:ascii="仿宋_GB2312" w:eastAsia="仿宋_GB2312" w:cs="仿宋_GB2312"/>
          <w:sz w:val="32"/>
          <w:szCs w:val="32"/>
          <w:lang w:val="zh-CN"/>
        </w:rPr>
        <w:tab/>
      </w:r>
    </w:p>
    <w:p w14:paraId="5C07F3AD">
      <w:pPr>
        <w:spacing w:line="578" w:lineRule="exact"/>
        <w:ind w:firstLine="640"/>
        <w:rPr>
          <w:rFonts w:hint="eastAsia" w:ascii="仿宋_GB2312" w:eastAsia="仿宋_GB2312" w:cs="仿宋_GB2312"/>
          <w:b/>
          <w:sz w:val="32"/>
          <w:szCs w:val="32"/>
        </w:rPr>
      </w:pPr>
      <w:r>
        <w:rPr>
          <w:rFonts w:hint="eastAsia" w:ascii="仿宋_GB2312" w:eastAsia="仿宋_GB2312" w:cs="仿宋_GB2312"/>
          <w:b/>
          <w:sz w:val="32"/>
          <w:szCs w:val="32"/>
          <w:lang w:val="zh-CN"/>
        </w:rPr>
        <w:t>（一）</w:t>
      </w:r>
      <w:r>
        <w:rPr>
          <w:rFonts w:hint="eastAsia" w:ascii="仿宋_GB2312" w:eastAsia="仿宋_GB2312" w:cs="仿宋_GB2312"/>
          <w:b/>
          <w:sz w:val="32"/>
          <w:szCs w:val="32"/>
        </w:rPr>
        <w:t>通用指标</w:t>
      </w:r>
      <w:r>
        <w:rPr>
          <w:rFonts w:hint="eastAsia" w:ascii="仿宋_GB2312" w:eastAsia="仿宋_GB2312" w:cs="仿宋_GB2312"/>
          <w:b/>
          <w:bCs/>
          <w:color w:val="000000"/>
          <w:kern w:val="0"/>
          <w:sz w:val="32"/>
          <w:szCs w:val="32"/>
          <w:shd w:val="clear" w:color="auto" w:fill="FFFFFF"/>
          <w:lang w:val="zh-CN"/>
        </w:rPr>
        <w:t>绩效分析</w:t>
      </w:r>
    </w:p>
    <w:p w14:paraId="4992832C">
      <w:pPr>
        <w:spacing w:line="360" w:lineRule="auto"/>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eastAsia="zh-CN"/>
        </w:rPr>
        <w:t>项目决策。</w:t>
      </w:r>
      <w:r>
        <w:rPr>
          <w:rFonts w:hint="eastAsia" w:ascii="仿宋_GB2312" w:eastAsia="仿宋_GB2312" w:cs="仿宋_GB2312"/>
          <w:color w:val="auto"/>
          <w:sz w:val="32"/>
          <w:szCs w:val="32"/>
          <w:lang w:val="zh-CN" w:eastAsia="zh-CN"/>
        </w:rPr>
        <w:t>按照省、州档案馆要求，实施项目申报、组织评审、提出方案、审批备案等程序确定。制定项目验收实施细则，组织开展验收工作，专项资金按照“谁使用、谁负责”的原则。</w:t>
      </w:r>
    </w:p>
    <w:p w14:paraId="3B9F9B20">
      <w:pPr>
        <w:spacing w:line="360" w:lineRule="auto"/>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eastAsia="zh-CN"/>
        </w:rPr>
        <w:t>项目管理。</w:t>
      </w:r>
      <w:r>
        <w:rPr>
          <w:rFonts w:hint="eastAsia" w:ascii="仿宋_GB2312" w:eastAsia="仿宋_GB2312" w:cs="仿宋_GB2312"/>
          <w:kern w:val="2"/>
          <w:sz w:val="32"/>
          <w:szCs w:val="32"/>
          <w:lang w:eastAsia="zh-CN"/>
        </w:rPr>
        <w:t>该项目已</w:t>
      </w:r>
      <w:r>
        <w:rPr>
          <w:rFonts w:hint="eastAsia" w:ascii="仿宋_GB2312" w:eastAsia="仿宋_GB2312" w:cs="仿宋_GB2312"/>
          <w:kern w:val="2"/>
          <w:sz w:val="32"/>
          <w:szCs w:val="32"/>
        </w:rPr>
        <w:t>制定实施方案，组织机构健全，职责分工明确，有明确的工作程序，基础设施条件能够有效保障，资金能足额保证，具有相应的质量检查、验收等必要的控制措施或手段</w:t>
      </w:r>
      <w:r>
        <w:rPr>
          <w:rFonts w:hint="eastAsia" w:ascii="仿宋_GB2312" w:eastAsia="仿宋_GB2312" w:cs="仿宋_GB2312"/>
          <w:kern w:val="2"/>
          <w:sz w:val="32"/>
          <w:szCs w:val="32"/>
          <w:lang w:eastAsia="zh-CN"/>
        </w:rPr>
        <w:t>。</w:t>
      </w:r>
    </w:p>
    <w:p w14:paraId="20F88EC1">
      <w:pPr>
        <w:spacing w:line="240" w:lineRule="auto"/>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3.项目实施。</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1）根据省州档案馆要求进行公开招标。（2）根据茂县档案馆政府采购合同（货物类）内容组织实施。（3）组织现场验收。（4）拨付资金。（5）绩效评估，共计执行预算拨付资金257.91万元，占预算支出的97%。</w:t>
      </w:r>
    </w:p>
    <w:p w14:paraId="431B5AA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9"/>
        <w:rPr>
          <w:rFonts w:hint="eastAsia" w:ascii="仿宋_GB2312" w:eastAsia="仿宋_GB2312" w:cs="仿宋_GB2312"/>
          <w:color w:val="auto"/>
          <w:sz w:val="32"/>
          <w:szCs w:val="32"/>
          <w:lang w:eastAsia="zh-CN"/>
        </w:rPr>
      </w:pPr>
      <w:r>
        <w:rPr>
          <w:rFonts w:hint="eastAsia" w:ascii="仿宋_GB2312" w:eastAsia="仿宋_GB2312" w:cs="仿宋_GB2312"/>
          <w:sz w:val="32"/>
          <w:szCs w:val="32"/>
        </w:rPr>
        <w:t>4.项目结果。</w:t>
      </w:r>
      <w:r>
        <w:rPr>
          <w:rFonts w:hint="eastAsia" w:ascii="仿宋_GB2312" w:eastAsia="仿宋_GB2312" w:cs="仿宋_GB2312"/>
          <w:b w:val="0"/>
          <w:bCs/>
          <w:color w:val="000000"/>
          <w:kern w:val="0"/>
          <w:sz w:val="32"/>
          <w:szCs w:val="32"/>
          <w:lang w:val="en-US" w:eastAsia="zh-CN" w:bidi="ar-SA"/>
        </w:rPr>
        <w:t>保证了部门的正常运行和业务工作的正常开展，项目支出保障了重点工作的开展，绩效目标得到较好实现，绩效管理水平不断提高，绩效指标体系逐渐丰富和完善。</w:t>
      </w:r>
    </w:p>
    <w:p w14:paraId="16C9CFE8">
      <w:pPr>
        <w:spacing w:line="578" w:lineRule="exact"/>
        <w:ind w:firstLine="643" w:firstLineChars="200"/>
        <w:rPr>
          <w:rFonts w:hint="eastAsia" w:ascii="仿宋_GB2312" w:eastAsia="仿宋_GB2312" w:cs="仿宋_GB2312"/>
          <w:sz w:val="32"/>
          <w:szCs w:val="32"/>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专用指标</w:t>
      </w:r>
      <w:r>
        <w:rPr>
          <w:rFonts w:hint="eastAsia" w:ascii="仿宋_GB2312" w:eastAsia="仿宋_GB2312" w:cs="仿宋_GB2312"/>
          <w:b/>
          <w:bCs/>
          <w:color w:val="000000"/>
          <w:kern w:val="0"/>
          <w:sz w:val="32"/>
          <w:szCs w:val="32"/>
          <w:shd w:val="clear" w:color="auto" w:fill="FFFFFF"/>
          <w:lang w:val="zh-CN"/>
        </w:rPr>
        <w:t>绩效分析</w:t>
      </w:r>
    </w:p>
    <w:p w14:paraId="11767E5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1.产业发展。无</w:t>
      </w:r>
    </w:p>
    <w:p w14:paraId="58916E3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2.民生保障。通过坚持不懈的努力，数字档案馆建设将有利于确保数字档案永久存储与安全保管，有利于促进公共档案服务能力拓展和实现档案信息资源和社会共享。为各机关企事业单位、社会团体以及个人提供高效、快捷的档案利用服务，减少实体档案查阅利用中的繁琐过程，降低档案频繁进出库房的安全风险。</w:t>
      </w:r>
    </w:p>
    <w:p w14:paraId="6E2F485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3.基础设施。无</w:t>
      </w:r>
    </w:p>
    <w:p w14:paraId="304B021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4.行政运转。无</w:t>
      </w:r>
    </w:p>
    <w:p w14:paraId="10CF3336">
      <w:pPr>
        <w:spacing w:line="578" w:lineRule="exact"/>
        <w:ind w:firstLine="64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sz w:val="32"/>
          <w:szCs w:val="32"/>
          <w:lang w:val="zh-CN"/>
        </w:rPr>
        <w:t>（三）</w:t>
      </w:r>
      <w:r>
        <w:rPr>
          <w:rFonts w:hint="eastAsia" w:ascii="仿宋_GB2312" w:eastAsia="仿宋_GB2312" w:cs="仿宋_GB2312"/>
          <w:b/>
          <w:sz w:val="32"/>
          <w:szCs w:val="32"/>
        </w:rPr>
        <w:t>个性指标</w:t>
      </w:r>
      <w:r>
        <w:rPr>
          <w:rFonts w:hint="eastAsia" w:ascii="仿宋_GB2312" w:eastAsia="仿宋_GB2312" w:cs="仿宋_GB2312"/>
          <w:b/>
          <w:bCs/>
          <w:color w:val="000000"/>
          <w:kern w:val="0"/>
          <w:sz w:val="32"/>
          <w:szCs w:val="32"/>
          <w:shd w:val="clear" w:color="auto" w:fill="FFFFFF"/>
          <w:lang w:val="zh-CN"/>
        </w:rPr>
        <w:t>绩效分析</w:t>
      </w:r>
    </w:p>
    <w:p w14:paraId="0D2095ED">
      <w:pPr>
        <w:spacing w:line="578" w:lineRule="exact"/>
        <w:ind w:firstLine="640"/>
        <w:rPr>
          <w:rFonts w:hint="eastAsia" w:ascii="仿宋_GB2312" w:eastAsia="仿宋_GB2312" w:cs="仿宋_GB2312"/>
          <w:sz w:val="32"/>
          <w:szCs w:val="32"/>
        </w:rPr>
      </w:pPr>
      <w:r>
        <w:rPr>
          <w:rFonts w:hint="eastAsia" w:ascii="仿宋_GB2312" w:eastAsia="仿宋_GB2312" w:cs="仿宋_GB2312"/>
          <w:sz w:val="32"/>
          <w:szCs w:val="32"/>
          <w:lang w:val="zh-CN"/>
        </w:rPr>
        <w:t>档案数字化建设达到档案查阅利用方便、快捷，查阅利用档案人员满意度高的原则。</w:t>
      </w:r>
    </w:p>
    <w:p w14:paraId="1038D9F6">
      <w:pPr>
        <w:pStyle w:val="6"/>
        <w:tabs>
          <w:tab w:val="left" w:pos="2160"/>
        </w:tabs>
        <w:spacing w:line="600" w:lineRule="exact"/>
        <w:ind w:firstLine="640" w:firstLineChars="200"/>
        <w:rPr>
          <w:rFonts w:hint="eastAsia" w:ascii="黑体" w:eastAsia="黑体" w:cs="黑体"/>
          <w:sz w:val="32"/>
          <w:szCs w:val="32"/>
          <w:lang w:eastAsia="zh-CN"/>
        </w:rPr>
      </w:pPr>
      <w:r>
        <w:rPr>
          <w:rFonts w:hint="eastAsia" w:ascii="黑体" w:eastAsia="黑体" w:cs="黑体"/>
          <w:sz w:val="32"/>
          <w:szCs w:val="32"/>
          <w:lang w:eastAsia="zh-CN"/>
        </w:rPr>
        <w:t>四、评价结论</w:t>
      </w:r>
    </w:p>
    <w:p w14:paraId="29905111">
      <w:pPr>
        <w:pStyle w:val="6"/>
        <w:pageBreakBefore w:val="0"/>
        <w:widowControl w:val="0"/>
        <w:tabs>
          <w:tab w:val="left" w:pos="2160"/>
        </w:tabs>
        <w:kinsoku/>
        <w:wordWrap/>
        <w:overflowPunct/>
        <w:topLinePunct w:val="0"/>
        <w:autoSpaceDE/>
        <w:autoSpaceDN/>
        <w:bidi w:val="0"/>
        <w:adjustRightInd/>
        <w:spacing w:line="600" w:lineRule="exact"/>
        <w:ind w:left="0" w:firstLine="640" w:firstLineChars="200"/>
        <w:textAlignment w:val="auto"/>
        <w:rPr>
          <w:rFonts w:hint="eastAsia" w:ascii="仿宋_GB2312" w:eastAsia="仿宋_GB2312" w:cs="仿宋_GB2312"/>
          <w:i w:val="0"/>
          <w:iCs w:val="0"/>
          <w:caps w:val="0"/>
          <w:smallCaps w:val="0"/>
          <w:color w:val="000000"/>
          <w:spacing w:val="0"/>
          <w:sz w:val="32"/>
          <w:szCs w:val="32"/>
          <w:shd w:val="clear" w:color="auto" w:fill="FFFFFF"/>
        </w:rPr>
      </w:pPr>
      <w:r>
        <w:rPr>
          <w:rFonts w:hint="eastAsia" w:ascii="仿宋_GB2312" w:eastAsia="仿宋_GB2312" w:cs="仿宋_GB2312"/>
          <w:i w:val="0"/>
          <w:iCs w:val="0"/>
          <w:caps w:val="0"/>
          <w:smallCaps w:val="0"/>
          <w:color w:val="000000"/>
          <w:spacing w:val="0"/>
          <w:sz w:val="32"/>
          <w:szCs w:val="32"/>
          <w:shd w:val="clear" w:color="auto" w:fill="FFFFFF"/>
          <w:lang w:eastAsia="zh-CN"/>
        </w:rPr>
        <w:t>档案数字化建设</w:t>
      </w:r>
      <w:r>
        <w:rPr>
          <w:rFonts w:hint="eastAsia" w:ascii="仿宋_GB2312" w:eastAsia="仿宋_GB2312" w:cs="仿宋_GB2312"/>
          <w:i w:val="0"/>
          <w:iCs w:val="0"/>
          <w:caps w:val="0"/>
          <w:smallCaps w:val="0"/>
          <w:color w:val="000000"/>
          <w:spacing w:val="0"/>
          <w:sz w:val="32"/>
          <w:szCs w:val="32"/>
          <w:shd w:val="clear" w:color="auto" w:fill="FFFFFF"/>
        </w:rPr>
        <w:t>，预算执行率达到100%，全面完成年度绩效总体目标和各项绩效指标，有效发挥了财政资金的使用效率。</w:t>
      </w:r>
    </w:p>
    <w:p w14:paraId="7FC61DFE">
      <w:pPr>
        <w:pStyle w:val="6"/>
        <w:tabs>
          <w:tab w:val="left" w:pos="2160"/>
        </w:tabs>
        <w:spacing w:line="600" w:lineRule="exact"/>
        <w:ind w:firstLine="640" w:firstLineChars="200"/>
        <w:rPr>
          <w:rFonts w:hint="eastAsia" w:ascii="黑体" w:eastAsia="黑体" w:cs="黑体"/>
          <w:sz w:val="32"/>
          <w:szCs w:val="32"/>
          <w:lang w:eastAsia="zh-CN"/>
        </w:rPr>
      </w:pPr>
      <w:r>
        <w:rPr>
          <w:rFonts w:hint="eastAsia" w:ascii="黑体" w:eastAsia="黑体" w:cs="黑体"/>
          <w:sz w:val="32"/>
          <w:szCs w:val="32"/>
          <w:lang w:eastAsia="zh-CN"/>
        </w:rPr>
        <w:t>五、存在主要问题</w:t>
      </w:r>
    </w:p>
    <w:p w14:paraId="5281416A">
      <w:pPr>
        <w:pStyle w:val="6"/>
        <w:tabs>
          <w:tab w:val="left" w:pos="2160"/>
        </w:tabs>
        <w:spacing w:line="600" w:lineRule="exact"/>
        <w:ind w:firstLine="640" w:firstLineChars="200"/>
        <w:rPr>
          <w:rFonts w:ascii="仿宋_GB2312" w:eastAsia="仿宋_GB2312" w:cs="仿宋_GB2312"/>
          <w:kern w:val="2"/>
          <w:position w:val="0"/>
          <w:sz w:val="32"/>
          <w:szCs w:val="32"/>
          <w:lang w:val="en-US" w:eastAsia="zh-CN"/>
        </w:rPr>
      </w:pPr>
      <w:r>
        <w:rPr>
          <w:rFonts w:hint="eastAsia" w:cs="仿宋_GB2312"/>
          <w:kern w:val="2"/>
          <w:position w:val="0"/>
          <w:sz w:val="32"/>
          <w:szCs w:val="32"/>
          <w:lang w:val="en-US" w:eastAsia="zh-CN"/>
        </w:rPr>
        <w:t>2024年茂县档案馆无预算绩效自评发现的主要问题。</w:t>
      </w:r>
    </w:p>
    <w:p w14:paraId="42D848FE">
      <w:pPr>
        <w:pStyle w:val="6"/>
        <w:tabs>
          <w:tab w:val="left" w:pos="2160"/>
        </w:tabs>
        <w:spacing w:line="600" w:lineRule="exact"/>
        <w:ind w:firstLine="640" w:firstLineChars="200"/>
        <w:rPr>
          <w:rFonts w:hint="eastAsia" w:ascii="黑体" w:eastAsia="黑体" w:cs="黑体"/>
          <w:sz w:val="32"/>
          <w:szCs w:val="32"/>
          <w:lang w:val="zh-CN" w:eastAsia="zh-CN"/>
        </w:rPr>
      </w:pPr>
      <w:r>
        <w:rPr>
          <w:rFonts w:hint="eastAsia" w:ascii="黑体" w:eastAsia="黑体" w:cs="黑体"/>
          <w:sz w:val="32"/>
          <w:szCs w:val="32"/>
          <w:lang w:val="zh-CN" w:eastAsia="zh-CN"/>
        </w:rPr>
        <w:t>六、改进建议</w:t>
      </w:r>
    </w:p>
    <w:p w14:paraId="012FF6A8">
      <w:pPr>
        <w:tabs>
          <w:tab w:val="left" w:pos="1911"/>
        </w:tabs>
        <w:ind w:firstLine="640" w:firstLineChars="200"/>
        <w:jc w:val="left"/>
        <w:rPr>
          <w:rFonts w:hint="eastAsia" w:ascii="仿宋_GB2312" w:eastAsia="仿宋_GB2312" w:cs="仿宋_GB2312"/>
          <w:kern w:val="0"/>
          <w:sz w:val="32"/>
          <w:szCs w:val="32"/>
          <w:lang w:val="en-US" w:eastAsia="zh-CN"/>
        </w:rPr>
      </w:pPr>
      <w:bookmarkStart w:id="109" w:name="_Hlk110546638"/>
      <w:r>
        <w:rPr>
          <w:rFonts w:hint="eastAsia" w:ascii="仿宋_GB2312" w:eastAsia="仿宋_GB2312" w:cs="仿宋_GB2312"/>
          <w:kern w:val="0"/>
          <w:sz w:val="32"/>
          <w:szCs w:val="32"/>
          <w:lang w:val="en-US" w:eastAsia="zh-CN"/>
        </w:rPr>
        <w:t>2024年茂县档案馆无改进建议。</w:t>
      </w:r>
    </w:p>
    <w:p w14:paraId="32994AF1">
      <w:pPr>
        <w:snapToGrid w:val="0"/>
        <w:spacing w:line="578" w:lineRule="exact"/>
        <w:ind w:firstLine="640" w:firstLineChars="2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附表：1.专项预算绩效自评打分表</w:t>
      </w:r>
    </w:p>
    <w:p w14:paraId="009182B2">
      <w:pPr>
        <w:snapToGrid w:val="0"/>
        <w:spacing w:line="578" w:lineRule="exact"/>
        <w:ind w:firstLine="1600" w:firstLineChars="5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2.专项预算项目绩效目标完成情况自评表</w:t>
      </w:r>
    </w:p>
    <w:p w14:paraId="77F7499F">
      <w:pPr>
        <w:snapToGrid w:val="0"/>
        <w:spacing w:line="578" w:lineRule="exact"/>
        <w:ind w:firstLine="420" w:firstLineChars="200"/>
        <w:rPr>
          <w:rFonts w:hint="eastAsia" w:ascii="仿宋_GB2312" w:eastAsia="仿宋_GB2312" w:cs="仿宋_GB2312"/>
          <w:color w:val="000000"/>
          <w:kern w:val="0"/>
          <w:shd w:val="clear" w:color="auto" w:fill="FFFFFF"/>
          <w:lang w:val="zh-CN"/>
        </w:rPr>
      </w:pPr>
      <w:r>
        <w:rPr>
          <w:rFonts w:hint="eastAsia" w:ascii="仿宋_GB2312" w:eastAsia="仿宋_GB2312" w:cs="仿宋_GB2312"/>
          <w:color w:val="000000"/>
          <w:kern w:val="0"/>
          <w:shd w:val="clear" w:color="auto" w:fill="FFFFFF"/>
          <w:lang w:val="zh-CN"/>
        </w:rPr>
        <w:br w:type="page"/>
      </w:r>
    </w:p>
    <w:p w14:paraId="67E4063C">
      <w:pPr>
        <w:snapToGrid w:val="0"/>
        <w:spacing w:line="578" w:lineRule="exact"/>
        <w:rPr>
          <w:rFonts w:hint="eastAsia" w:ascii="仿宋_GB2312" w:eastAsia="仿宋_GB2312" w:cs="仿宋_GB2312"/>
          <w:kern w:val="0"/>
          <w:shd w:val="clear" w:color="auto" w:fill="FFFFFF"/>
        </w:rPr>
      </w:pPr>
      <w:r>
        <w:rPr>
          <w:rFonts w:hint="eastAsia" w:ascii="仿宋_GB2312" w:eastAsia="仿宋_GB2312" w:cs="仿宋_GB2312"/>
          <w:kern w:val="0"/>
          <w:shd w:val="clear" w:color="auto" w:fill="FFFFFF"/>
          <w:lang w:val="zh-CN"/>
        </w:rPr>
        <w:t>附表</w:t>
      </w:r>
      <w:r>
        <w:rPr>
          <w:rFonts w:hint="eastAsia" w:ascii="仿宋_GB2312" w:eastAsia="仿宋_GB2312" w:cs="仿宋_GB2312"/>
          <w:kern w:val="0"/>
          <w:shd w:val="clear" w:color="auto" w:fill="FFFFFF"/>
        </w:rPr>
        <w:t>1</w:t>
      </w:r>
    </w:p>
    <w:p w14:paraId="4616CF11">
      <w:pPr>
        <w:spacing w:line="578" w:lineRule="exact"/>
        <w:jc w:val="center"/>
        <w:rPr>
          <w:rFonts w:hint="eastAsia" w:ascii="仿宋_GB2312" w:eastAsia="仿宋_GB2312" w:cs="仿宋_GB2312"/>
          <w:sz w:val="40"/>
          <w:szCs w:val="40"/>
        </w:rPr>
      </w:pPr>
      <w:r>
        <w:rPr>
          <w:rFonts w:hint="eastAsia" w:ascii="仿宋_GB2312" w:eastAsia="仿宋_GB2312" w:cs="仿宋_GB2312"/>
          <w:sz w:val="40"/>
          <w:szCs w:val="40"/>
        </w:rPr>
        <w:t>专项预算绩效自评打分表</w:t>
      </w:r>
    </w:p>
    <w:tbl>
      <w:tblPr>
        <w:tblStyle w:val="22"/>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3386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ign w:val="center"/>
          </w:tcPr>
          <w:p w14:paraId="381504C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ign w:val="center"/>
          </w:tcPr>
          <w:p w14:paraId="4C10026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指标解释</w:t>
            </w:r>
          </w:p>
        </w:tc>
        <w:tc>
          <w:tcPr>
            <w:tcW w:w="732" w:type="dxa"/>
            <w:vMerge w:val="restart"/>
            <w:tcBorders>
              <w:top w:val="single" w:color="000000" w:sz="4" w:space="0"/>
              <w:left w:val="single" w:color="000000" w:sz="4" w:space="0"/>
              <w:right w:val="single" w:color="000000" w:sz="4" w:space="0"/>
            </w:tcBorders>
            <w:noWrap/>
            <w:vAlign w:val="center"/>
          </w:tcPr>
          <w:p w14:paraId="44C0C068">
            <w:pPr>
              <w:widowControl/>
              <w:spacing w:line="24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自评得分</w:t>
            </w:r>
          </w:p>
        </w:tc>
        <w:tc>
          <w:tcPr>
            <w:tcW w:w="468" w:type="dxa"/>
            <w:vMerge w:val="restart"/>
            <w:tcBorders>
              <w:top w:val="single" w:color="000000" w:sz="4" w:space="0"/>
              <w:left w:val="single" w:color="000000" w:sz="4" w:space="0"/>
              <w:right w:val="single" w:color="000000" w:sz="4" w:space="0"/>
            </w:tcBorders>
            <w:noWrap/>
            <w:vAlign w:val="center"/>
          </w:tcPr>
          <w:p w14:paraId="303BB95B">
            <w:pPr>
              <w:widowControl/>
              <w:spacing w:line="24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备注</w:t>
            </w:r>
          </w:p>
        </w:tc>
      </w:tr>
      <w:tr w14:paraId="49A6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B8674B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ign w:val="center"/>
          </w:tcPr>
          <w:p w14:paraId="611C81B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二级指标</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0CA07C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三级指标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CF26E7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r>
              <w:rPr>
                <w:rFonts w:hint="eastAsia" w:ascii="仿宋_GB2312" w:eastAsia="仿宋_GB2312" w:cs="仿宋_GB2312"/>
                <w:color w:val="000000"/>
                <w:kern w:val="0"/>
                <w:sz w:val="24"/>
                <w:szCs w:val="24"/>
              </w:rPr>
              <w:br w:type="textWrapping"/>
            </w:r>
            <w:r>
              <w:rPr>
                <w:rFonts w:hint="eastAsia" w:ascii="仿宋_GB2312" w:eastAsia="仿宋_GB2312" w:cs="仿宋_GB2312"/>
                <w:color w:val="000000"/>
                <w:kern w:val="0"/>
                <w:sz w:val="24"/>
                <w:szCs w:val="24"/>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ign w:val="center"/>
          </w:tcPr>
          <w:p w14:paraId="709B3726"/>
        </w:tc>
        <w:tc>
          <w:tcPr>
            <w:tcW w:w="732" w:type="dxa"/>
            <w:vMerge w:val="continue"/>
            <w:tcBorders>
              <w:left w:val="single" w:color="000000" w:sz="4" w:space="0"/>
              <w:bottom w:val="single" w:color="000000" w:sz="4" w:space="0"/>
              <w:right w:val="single" w:color="000000" w:sz="4" w:space="0"/>
            </w:tcBorders>
            <w:noWrap/>
            <w:vAlign w:val="center"/>
          </w:tcPr>
          <w:p w14:paraId="44305CDE"/>
        </w:tc>
        <w:tc>
          <w:tcPr>
            <w:tcW w:w="468" w:type="dxa"/>
            <w:vMerge w:val="continue"/>
            <w:tcBorders>
              <w:left w:val="single" w:color="000000" w:sz="4" w:space="0"/>
              <w:bottom w:val="single" w:color="000000" w:sz="4" w:space="0"/>
              <w:right w:val="single" w:color="000000" w:sz="4" w:space="0"/>
            </w:tcBorders>
            <w:noWrap/>
            <w:vAlign w:val="center"/>
          </w:tcPr>
          <w:p w14:paraId="39DAEBE9"/>
        </w:tc>
      </w:tr>
      <w:tr w14:paraId="43BB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4472813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通用指标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9090CE8">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项目决策</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（18分）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5F6CFA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决策程序</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40A257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0CB21D2">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044A558">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0E84946">
            <w:pPr>
              <w:widowControl/>
              <w:spacing w:line="240" w:lineRule="exact"/>
              <w:jc w:val="left"/>
              <w:textAlignment w:val="center"/>
              <w:rPr>
                <w:rFonts w:hint="eastAsia" w:ascii="仿宋_GB2312" w:eastAsia="仿宋_GB2312" w:cs="仿宋_GB2312"/>
                <w:color w:val="000000"/>
                <w:kern w:val="0"/>
                <w:sz w:val="24"/>
                <w:szCs w:val="24"/>
              </w:rPr>
            </w:pPr>
          </w:p>
        </w:tc>
      </w:tr>
      <w:tr w14:paraId="2C81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8568350"/>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C9AC063"/>
        </w:tc>
        <w:tc>
          <w:tcPr>
            <w:tcW w:w="1355" w:type="dxa"/>
            <w:tcBorders>
              <w:top w:val="single" w:color="000000" w:sz="4" w:space="0"/>
              <w:left w:val="single" w:color="000000" w:sz="4" w:space="0"/>
              <w:bottom w:val="single" w:color="000000" w:sz="4" w:space="0"/>
              <w:right w:val="single" w:color="000000" w:sz="4" w:space="0"/>
            </w:tcBorders>
            <w:noWrap/>
            <w:vAlign w:val="center"/>
          </w:tcPr>
          <w:p w14:paraId="48926B6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规划论证</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7DC5B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DC8D7B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10EA18F">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B96F15C">
            <w:pPr>
              <w:widowControl/>
              <w:spacing w:line="240" w:lineRule="exact"/>
              <w:jc w:val="left"/>
              <w:textAlignment w:val="center"/>
              <w:rPr>
                <w:rFonts w:hint="eastAsia" w:ascii="仿宋_GB2312" w:eastAsia="仿宋_GB2312" w:cs="仿宋_GB2312"/>
                <w:color w:val="000000"/>
                <w:kern w:val="0"/>
                <w:sz w:val="24"/>
                <w:szCs w:val="24"/>
              </w:rPr>
            </w:pPr>
          </w:p>
        </w:tc>
      </w:tr>
      <w:tr w14:paraId="452A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7F7F7FF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05C8A5E"/>
        </w:tc>
        <w:tc>
          <w:tcPr>
            <w:tcW w:w="1355" w:type="dxa"/>
            <w:tcBorders>
              <w:top w:val="single" w:color="000000" w:sz="4" w:space="0"/>
              <w:left w:val="single" w:color="000000" w:sz="4" w:space="0"/>
              <w:bottom w:val="single" w:color="000000" w:sz="4" w:space="0"/>
              <w:right w:val="single" w:color="000000" w:sz="4" w:space="0"/>
            </w:tcBorders>
            <w:noWrap/>
            <w:vAlign w:val="center"/>
          </w:tcPr>
          <w:p w14:paraId="011B56A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资金投向</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3A17A4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B968047">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112C180">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51C5A70">
            <w:pPr>
              <w:widowControl/>
              <w:spacing w:line="240" w:lineRule="exact"/>
              <w:jc w:val="left"/>
              <w:textAlignment w:val="center"/>
              <w:rPr>
                <w:rFonts w:hint="eastAsia" w:ascii="仿宋_GB2312" w:eastAsia="仿宋_GB2312" w:cs="仿宋_GB2312"/>
                <w:color w:val="000000"/>
                <w:kern w:val="0"/>
                <w:sz w:val="24"/>
                <w:szCs w:val="24"/>
              </w:rPr>
            </w:pPr>
          </w:p>
        </w:tc>
      </w:tr>
      <w:tr w14:paraId="231E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D06C996"/>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21C392D">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项目管理</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（18分）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EFE614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制度办法</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388AF7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2</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DE35F5A">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870C955">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2</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D922ADF">
            <w:pPr>
              <w:widowControl/>
              <w:spacing w:line="240" w:lineRule="exact"/>
              <w:jc w:val="left"/>
              <w:textAlignment w:val="center"/>
              <w:rPr>
                <w:rFonts w:hint="eastAsia" w:ascii="仿宋_GB2312" w:eastAsia="仿宋_GB2312" w:cs="仿宋_GB2312"/>
                <w:color w:val="000000"/>
                <w:kern w:val="0"/>
                <w:sz w:val="24"/>
                <w:szCs w:val="24"/>
              </w:rPr>
            </w:pPr>
          </w:p>
        </w:tc>
      </w:tr>
      <w:tr w14:paraId="6097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7C532207"/>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B6E6BFE"/>
        </w:tc>
        <w:tc>
          <w:tcPr>
            <w:tcW w:w="1355" w:type="dxa"/>
            <w:tcBorders>
              <w:top w:val="single" w:color="000000" w:sz="4" w:space="0"/>
              <w:left w:val="single" w:color="000000" w:sz="4" w:space="0"/>
              <w:bottom w:val="single" w:color="000000" w:sz="4" w:space="0"/>
              <w:right w:val="single" w:color="000000" w:sz="4" w:space="0"/>
            </w:tcBorders>
            <w:noWrap/>
            <w:vAlign w:val="center"/>
          </w:tcPr>
          <w:p w14:paraId="2B4E699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分配管理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85EDE73">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6E992F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D87DE31">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10</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111DF7D">
            <w:pPr>
              <w:widowControl/>
              <w:spacing w:line="240" w:lineRule="exact"/>
              <w:jc w:val="left"/>
              <w:textAlignment w:val="center"/>
              <w:rPr>
                <w:rFonts w:hint="eastAsia" w:ascii="仿宋_GB2312" w:eastAsia="仿宋_GB2312" w:cs="仿宋_GB2312"/>
                <w:color w:val="000000"/>
                <w:kern w:val="0"/>
                <w:sz w:val="24"/>
                <w:szCs w:val="24"/>
              </w:rPr>
            </w:pPr>
          </w:p>
        </w:tc>
      </w:tr>
      <w:tr w14:paraId="7428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4FFF1B81"/>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50B44D2"/>
        </w:tc>
        <w:tc>
          <w:tcPr>
            <w:tcW w:w="1355" w:type="dxa"/>
            <w:tcBorders>
              <w:top w:val="single" w:color="000000" w:sz="4" w:space="0"/>
              <w:left w:val="single" w:color="000000" w:sz="4" w:space="0"/>
              <w:bottom w:val="single" w:color="000000" w:sz="4" w:space="0"/>
              <w:right w:val="single" w:color="000000" w:sz="4" w:space="0"/>
            </w:tcBorders>
            <w:noWrap/>
            <w:vAlign w:val="center"/>
          </w:tcPr>
          <w:p w14:paraId="2AE47A3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绩效监管</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62022A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14FD2AE">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99CFA23">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59B6069">
            <w:pPr>
              <w:widowControl/>
              <w:spacing w:line="240" w:lineRule="exact"/>
              <w:jc w:val="left"/>
              <w:textAlignment w:val="center"/>
              <w:rPr>
                <w:rFonts w:hint="eastAsia" w:ascii="仿宋_GB2312" w:eastAsia="仿宋_GB2312" w:cs="仿宋_GB2312"/>
                <w:color w:val="000000"/>
                <w:kern w:val="0"/>
                <w:sz w:val="24"/>
                <w:szCs w:val="24"/>
              </w:rPr>
            </w:pPr>
          </w:p>
        </w:tc>
      </w:tr>
      <w:tr w14:paraId="0A9E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24CCD66"/>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5259BD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项目实施</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（9分）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9356DE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预算执行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0BFD67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E76C63A">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964A824">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7F0C3D0">
            <w:pPr>
              <w:widowControl/>
              <w:spacing w:line="240" w:lineRule="exact"/>
              <w:jc w:val="left"/>
              <w:textAlignment w:val="center"/>
              <w:rPr>
                <w:rFonts w:hint="eastAsia" w:ascii="仿宋_GB2312" w:eastAsia="仿宋_GB2312" w:cs="仿宋_GB2312"/>
                <w:color w:val="000000"/>
                <w:kern w:val="0"/>
                <w:sz w:val="24"/>
                <w:szCs w:val="24"/>
              </w:rPr>
            </w:pPr>
          </w:p>
        </w:tc>
      </w:tr>
      <w:tr w14:paraId="3DAD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71165A58"/>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5CBF91E"/>
        </w:tc>
        <w:tc>
          <w:tcPr>
            <w:tcW w:w="1355" w:type="dxa"/>
            <w:tcBorders>
              <w:top w:val="single" w:color="000000" w:sz="4" w:space="0"/>
              <w:left w:val="single" w:color="000000" w:sz="4" w:space="0"/>
              <w:bottom w:val="single" w:color="000000" w:sz="4" w:space="0"/>
              <w:right w:val="single" w:color="000000" w:sz="4" w:space="0"/>
            </w:tcBorders>
            <w:noWrap/>
            <w:vAlign w:val="center"/>
          </w:tcPr>
          <w:p w14:paraId="1585D15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资金使用</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98313E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3</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9BF92D2">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BEB81C3">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3</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27CD0D8">
            <w:pPr>
              <w:widowControl/>
              <w:spacing w:line="240" w:lineRule="exact"/>
              <w:jc w:val="left"/>
              <w:textAlignment w:val="center"/>
              <w:rPr>
                <w:rFonts w:hint="eastAsia" w:ascii="仿宋_GB2312" w:eastAsia="仿宋_GB2312" w:cs="仿宋_GB2312"/>
                <w:color w:val="000000"/>
                <w:kern w:val="0"/>
                <w:sz w:val="24"/>
                <w:szCs w:val="24"/>
              </w:rPr>
            </w:pPr>
          </w:p>
        </w:tc>
      </w:tr>
      <w:tr w14:paraId="0F89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4E8B263D"/>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23FB480">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项目结果</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（9分）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C7BAC8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目标完成</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3A18E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1BA5381">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05364DC">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6CBBCFA">
            <w:pPr>
              <w:widowControl/>
              <w:spacing w:line="240" w:lineRule="exact"/>
              <w:jc w:val="left"/>
              <w:textAlignment w:val="center"/>
              <w:rPr>
                <w:rFonts w:hint="eastAsia" w:ascii="仿宋_GB2312" w:eastAsia="仿宋_GB2312" w:cs="仿宋_GB2312"/>
                <w:color w:val="000000"/>
                <w:kern w:val="0"/>
                <w:sz w:val="24"/>
                <w:szCs w:val="24"/>
              </w:rPr>
            </w:pPr>
          </w:p>
        </w:tc>
      </w:tr>
      <w:tr w14:paraId="2F7E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E0A849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85029AD"/>
        </w:tc>
        <w:tc>
          <w:tcPr>
            <w:tcW w:w="1355" w:type="dxa"/>
            <w:tcBorders>
              <w:top w:val="single" w:color="000000" w:sz="4" w:space="0"/>
              <w:left w:val="single" w:color="000000" w:sz="4" w:space="0"/>
              <w:bottom w:val="single" w:color="000000" w:sz="4" w:space="0"/>
              <w:right w:val="single" w:color="000000" w:sz="4" w:space="0"/>
            </w:tcBorders>
            <w:noWrap/>
            <w:vAlign w:val="center"/>
          </w:tcPr>
          <w:p w14:paraId="4E3A91A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完成时效</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7002AD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3</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7DEEEC7">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A4C6433">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3</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8370CA2">
            <w:pPr>
              <w:widowControl/>
              <w:spacing w:line="240" w:lineRule="exact"/>
              <w:jc w:val="left"/>
              <w:textAlignment w:val="center"/>
              <w:rPr>
                <w:rFonts w:hint="eastAsia" w:ascii="仿宋_GB2312" w:eastAsia="仿宋_GB2312" w:cs="仿宋_GB2312"/>
                <w:color w:val="000000"/>
                <w:kern w:val="0"/>
                <w:sz w:val="24"/>
                <w:szCs w:val="24"/>
              </w:rPr>
            </w:pPr>
          </w:p>
        </w:tc>
      </w:tr>
      <w:tr w14:paraId="3B5F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21D5B610">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专用指标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B0D3CC9">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产业发展</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A002D0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符合性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BDF3D7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31DA189">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60D17A9">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1B76E39">
            <w:pPr>
              <w:widowControl/>
              <w:spacing w:line="240" w:lineRule="exact"/>
              <w:jc w:val="left"/>
              <w:textAlignment w:val="center"/>
              <w:rPr>
                <w:rFonts w:hint="eastAsia" w:ascii="仿宋_GB2312" w:eastAsia="仿宋_GB2312" w:cs="仿宋_GB2312"/>
                <w:color w:val="000000"/>
                <w:kern w:val="0"/>
                <w:sz w:val="24"/>
                <w:szCs w:val="24"/>
              </w:rPr>
            </w:pPr>
          </w:p>
        </w:tc>
      </w:tr>
      <w:tr w14:paraId="3075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3A371E6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A7DA82C"/>
        </w:tc>
        <w:tc>
          <w:tcPr>
            <w:tcW w:w="1355" w:type="dxa"/>
            <w:tcBorders>
              <w:top w:val="single" w:color="000000" w:sz="4" w:space="0"/>
              <w:left w:val="single" w:color="000000" w:sz="4" w:space="0"/>
              <w:bottom w:val="single" w:color="000000" w:sz="4" w:space="0"/>
              <w:right w:val="single" w:color="000000" w:sz="4" w:space="0"/>
            </w:tcBorders>
            <w:noWrap/>
            <w:vAlign w:val="center"/>
          </w:tcPr>
          <w:p w14:paraId="3CD3914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成长性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2E854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B9845CB">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E9E622B">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A7FAB15">
            <w:pPr>
              <w:widowControl/>
              <w:spacing w:line="240" w:lineRule="exact"/>
              <w:jc w:val="left"/>
              <w:textAlignment w:val="center"/>
              <w:rPr>
                <w:rFonts w:hint="eastAsia" w:ascii="仿宋_GB2312" w:eastAsia="仿宋_GB2312" w:cs="仿宋_GB2312"/>
                <w:color w:val="000000"/>
                <w:kern w:val="0"/>
                <w:sz w:val="24"/>
                <w:szCs w:val="24"/>
              </w:rPr>
            </w:pPr>
          </w:p>
        </w:tc>
      </w:tr>
      <w:tr w14:paraId="56FD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36FB96A1"/>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9B7F15"/>
        </w:tc>
        <w:tc>
          <w:tcPr>
            <w:tcW w:w="1355" w:type="dxa"/>
            <w:tcBorders>
              <w:top w:val="single" w:color="000000" w:sz="4" w:space="0"/>
              <w:left w:val="single" w:color="000000" w:sz="4" w:space="0"/>
              <w:bottom w:val="single" w:color="000000" w:sz="4" w:space="0"/>
              <w:right w:val="single" w:color="000000" w:sz="4" w:space="0"/>
            </w:tcBorders>
            <w:noWrap/>
            <w:vAlign w:val="center"/>
          </w:tcPr>
          <w:p w14:paraId="000100C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经济性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8A291C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4B319C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336766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EB63727">
            <w:pPr>
              <w:widowControl/>
              <w:spacing w:line="240" w:lineRule="exact"/>
              <w:jc w:val="left"/>
              <w:textAlignment w:val="center"/>
              <w:rPr>
                <w:rFonts w:hint="eastAsia" w:ascii="仿宋_GB2312" w:eastAsia="仿宋_GB2312" w:cs="仿宋_GB2312"/>
                <w:color w:val="000000"/>
                <w:kern w:val="0"/>
                <w:sz w:val="24"/>
                <w:szCs w:val="24"/>
              </w:rPr>
            </w:pPr>
          </w:p>
        </w:tc>
      </w:tr>
      <w:tr w14:paraId="3BE4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2E5E5C3"/>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4D258B9">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民生保障</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A8B59D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区域均衡性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049A50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3927921">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85B3BED">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2C1D801">
            <w:pPr>
              <w:widowControl/>
              <w:spacing w:line="240" w:lineRule="exact"/>
              <w:jc w:val="left"/>
              <w:textAlignment w:val="center"/>
              <w:rPr>
                <w:rFonts w:hint="eastAsia" w:ascii="仿宋_GB2312" w:eastAsia="仿宋_GB2312" w:cs="仿宋_GB2312"/>
                <w:color w:val="000000"/>
                <w:kern w:val="0"/>
                <w:sz w:val="24"/>
                <w:szCs w:val="24"/>
              </w:rPr>
            </w:pPr>
          </w:p>
        </w:tc>
      </w:tr>
      <w:tr w14:paraId="3627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A55F730"/>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C28AC5B"/>
        </w:tc>
        <w:tc>
          <w:tcPr>
            <w:tcW w:w="1355" w:type="dxa"/>
            <w:tcBorders>
              <w:top w:val="single" w:color="000000" w:sz="4" w:space="0"/>
              <w:left w:val="single" w:color="000000" w:sz="4" w:space="0"/>
              <w:bottom w:val="single" w:color="000000" w:sz="4" w:space="0"/>
              <w:right w:val="single" w:color="000000" w:sz="4" w:space="0"/>
            </w:tcBorders>
            <w:noWrap/>
            <w:vAlign w:val="center"/>
          </w:tcPr>
          <w:p w14:paraId="01198EA3">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对象精准性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A2A0AB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08E393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0E3CA8C">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10</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3560B7A">
            <w:pPr>
              <w:widowControl/>
              <w:spacing w:line="240" w:lineRule="exact"/>
              <w:jc w:val="left"/>
              <w:textAlignment w:val="center"/>
              <w:rPr>
                <w:rFonts w:hint="eastAsia" w:ascii="仿宋_GB2312" w:eastAsia="仿宋_GB2312" w:cs="仿宋_GB2312"/>
                <w:color w:val="000000"/>
                <w:kern w:val="0"/>
                <w:sz w:val="24"/>
                <w:szCs w:val="24"/>
              </w:rPr>
            </w:pPr>
          </w:p>
        </w:tc>
      </w:tr>
      <w:tr w14:paraId="1823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EB45C54"/>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B07BA65"/>
        </w:tc>
        <w:tc>
          <w:tcPr>
            <w:tcW w:w="1355" w:type="dxa"/>
            <w:tcBorders>
              <w:top w:val="single" w:color="000000" w:sz="4" w:space="0"/>
              <w:left w:val="single" w:color="000000" w:sz="4" w:space="0"/>
              <w:bottom w:val="single" w:color="000000" w:sz="4" w:space="0"/>
              <w:right w:val="single" w:color="000000" w:sz="4" w:space="0"/>
            </w:tcBorders>
            <w:noWrap/>
            <w:vAlign w:val="center"/>
          </w:tcPr>
          <w:p w14:paraId="53F5B47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标准合理性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B3FC213">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3D7B1A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86FA108">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AC73735">
            <w:pPr>
              <w:widowControl/>
              <w:spacing w:line="240" w:lineRule="exact"/>
              <w:jc w:val="left"/>
              <w:textAlignment w:val="center"/>
              <w:rPr>
                <w:rFonts w:hint="eastAsia" w:ascii="仿宋_GB2312" w:eastAsia="仿宋_GB2312" w:cs="仿宋_GB2312"/>
                <w:color w:val="000000"/>
                <w:kern w:val="0"/>
                <w:sz w:val="24"/>
                <w:szCs w:val="24"/>
              </w:rPr>
            </w:pPr>
          </w:p>
        </w:tc>
      </w:tr>
      <w:tr w14:paraId="2D8B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A7151F3"/>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EA05871"/>
        </w:tc>
        <w:tc>
          <w:tcPr>
            <w:tcW w:w="1355" w:type="dxa"/>
            <w:tcBorders>
              <w:top w:val="single" w:color="000000" w:sz="4" w:space="0"/>
              <w:left w:val="single" w:color="000000" w:sz="4" w:space="0"/>
              <w:bottom w:val="single" w:color="000000" w:sz="4" w:space="0"/>
              <w:right w:val="single" w:color="000000" w:sz="4" w:space="0"/>
            </w:tcBorders>
            <w:noWrap/>
            <w:vAlign w:val="center"/>
          </w:tcPr>
          <w:p w14:paraId="30D0551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群众满意度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49644C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1CCE65F">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65B9830">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3D3BAF5">
            <w:pPr>
              <w:widowControl/>
              <w:spacing w:line="240" w:lineRule="exact"/>
              <w:jc w:val="left"/>
              <w:textAlignment w:val="center"/>
              <w:rPr>
                <w:rFonts w:hint="eastAsia" w:ascii="仿宋_GB2312" w:eastAsia="仿宋_GB2312" w:cs="仿宋_GB2312"/>
                <w:color w:val="000000"/>
                <w:kern w:val="0"/>
                <w:sz w:val="24"/>
                <w:szCs w:val="24"/>
              </w:rPr>
            </w:pPr>
          </w:p>
        </w:tc>
      </w:tr>
      <w:tr w14:paraId="3543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206E47B"/>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2938D4C2">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基础</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设施</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6850049D">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在建</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项目</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292AF95">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工程进度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4F38D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6E1ECE8">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BF2E947">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5A400AE">
            <w:pPr>
              <w:widowControl/>
              <w:spacing w:line="240" w:lineRule="exact"/>
              <w:jc w:val="left"/>
              <w:textAlignment w:val="center"/>
              <w:rPr>
                <w:rFonts w:hint="eastAsia" w:ascii="仿宋_GB2312" w:eastAsia="仿宋_GB2312" w:cs="仿宋_GB2312"/>
                <w:color w:val="000000"/>
                <w:kern w:val="0"/>
                <w:sz w:val="24"/>
                <w:szCs w:val="24"/>
              </w:rPr>
            </w:pPr>
          </w:p>
        </w:tc>
      </w:tr>
      <w:tr w14:paraId="4EB7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A028925"/>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56CB5F8D"/>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246CF79"/>
        </w:tc>
        <w:tc>
          <w:tcPr>
            <w:tcW w:w="1355" w:type="dxa"/>
            <w:tcBorders>
              <w:top w:val="single" w:color="000000" w:sz="4" w:space="0"/>
              <w:left w:val="single" w:color="000000" w:sz="4" w:space="0"/>
              <w:bottom w:val="single" w:color="000000" w:sz="4" w:space="0"/>
              <w:right w:val="single" w:color="000000" w:sz="4" w:space="0"/>
            </w:tcBorders>
            <w:noWrap/>
            <w:vAlign w:val="center"/>
          </w:tcPr>
          <w:p w14:paraId="26A381E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资金拨付</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F8087C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0B39C5C">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E5AB299">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6B80495">
            <w:pPr>
              <w:widowControl/>
              <w:spacing w:line="240" w:lineRule="exact"/>
              <w:jc w:val="left"/>
              <w:textAlignment w:val="center"/>
              <w:rPr>
                <w:rFonts w:hint="eastAsia" w:ascii="仿宋_GB2312" w:eastAsia="仿宋_GB2312" w:cs="仿宋_GB2312"/>
                <w:color w:val="000000"/>
                <w:kern w:val="0"/>
                <w:sz w:val="24"/>
                <w:szCs w:val="24"/>
              </w:rPr>
            </w:pPr>
          </w:p>
        </w:tc>
      </w:tr>
      <w:tr w14:paraId="7D1E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E5350D5"/>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45C949E"/>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57C1D2F2">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建成</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项目</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64D1319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项目验收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F9F3E3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879785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F992C20">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9278005">
            <w:pPr>
              <w:widowControl/>
              <w:spacing w:line="240" w:lineRule="exact"/>
              <w:jc w:val="left"/>
              <w:textAlignment w:val="center"/>
              <w:rPr>
                <w:rFonts w:hint="eastAsia" w:ascii="仿宋_GB2312" w:eastAsia="仿宋_GB2312" w:cs="仿宋_GB2312"/>
                <w:color w:val="000000"/>
                <w:kern w:val="0"/>
                <w:sz w:val="24"/>
                <w:szCs w:val="24"/>
              </w:rPr>
            </w:pPr>
          </w:p>
        </w:tc>
      </w:tr>
      <w:tr w14:paraId="5738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A0723E0"/>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5DC4FC4E"/>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373DC32"/>
        </w:tc>
        <w:tc>
          <w:tcPr>
            <w:tcW w:w="1355" w:type="dxa"/>
            <w:tcBorders>
              <w:top w:val="single" w:color="000000" w:sz="4" w:space="0"/>
              <w:left w:val="single" w:color="000000" w:sz="4" w:space="0"/>
              <w:bottom w:val="single" w:color="000000" w:sz="4" w:space="0"/>
              <w:right w:val="single" w:color="000000" w:sz="4" w:space="0"/>
            </w:tcBorders>
            <w:noWrap/>
            <w:vAlign w:val="center"/>
          </w:tcPr>
          <w:p w14:paraId="7468F4A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功能实现</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724D61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4946E9B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F3B2ACB">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FB0B0E1">
            <w:pPr>
              <w:widowControl/>
              <w:spacing w:line="240" w:lineRule="exact"/>
              <w:jc w:val="left"/>
              <w:textAlignment w:val="center"/>
              <w:rPr>
                <w:rFonts w:hint="eastAsia" w:ascii="仿宋_GB2312" w:eastAsia="仿宋_GB2312" w:cs="仿宋_GB2312"/>
                <w:color w:val="000000"/>
                <w:kern w:val="0"/>
                <w:sz w:val="24"/>
                <w:szCs w:val="24"/>
              </w:rPr>
            </w:pPr>
          </w:p>
        </w:tc>
      </w:tr>
      <w:tr w14:paraId="198F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265F1C0"/>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0DA83F90"/>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8F53F00"/>
        </w:tc>
        <w:tc>
          <w:tcPr>
            <w:tcW w:w="1355" w:type="dxa"/>
            <w:tcBorders>
              <w:top w:val="single" w:color="000000" w:sz="4" w:space="0"/>
              <w:left w:val="single" w:color="000000" w:sz="4" w:space="0"/>
              <w:bottom w:val="single" w:color="000000" w:sz="4" w:space="0"/>
              <w:right w:val="single" w:color="000000" w:sz="4" w:space="0"/>
            </w:tcBorders>
            <w:noWrap/>
            <w:vAlign w:val="center"/>
          </w:tcPr>
          <w:p w14:paraId="26C931E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后续管护</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59F8F4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45EC85A">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A8CAE0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3EE86FB">
            <w:pPr>
              <w:widowControl/>
              <w:spacing w:line="240" w:lineRule="exact"/>
              <w:jc w:val="left"/>
              <w:textAlignment w:val="center"/>
              <w:rPr>
                <w:rFonts w:hint="eastAsia" w:ascii="仿宋_GB2312" w:eastAsia="仿宋_GB2312" w:cs="仿宋_GB2312"/>
                <w:color w:val="000000"/>
                <w:kern w:val="0"/>
                <w:sz w:val="24"/>
                <w:szCs w:val="24"/>
              </w:rPr>
            </w:pPr>
          </w:p>
        </w:tc>
      </w:tr>
      <w:tr w14:paraId="507F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1DAB277B">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专用指标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3CE310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行政运转</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nil"/>
              <w:left w:val="single" w:color="000000" w:sz="4" w:space="0"/>
              <w:bottom w:val="single" w:color="000000" w:sz="4" w:space="0"/>
              <w:right w:val="single" w:color="000000" w:sz="4" w:space="0"/>
            </w:tcBorders>
            <w:noWrap/>
            <w:vAlign w:val="center"/>
          </w:tcPr>
          <w:p w14:paraId="54BE46B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用途合规性</w:t>
            </w:r>
          </w:p>
        </w:tc>
        <w:tc>
          <w:tcPr>
            <w:tcW w:w="696" w:type="dxa"/>
            <w:tcBorders>
              <w:top w:val="nil"/>
              <w:left w:val="single" w:color="000000" w:sz="4" w:space="0"/>
              <w:bottom w:val="single" w:color="000000" w:sz="4" w:space="0"/>
              <w:right w:val="single" w:color="000000" w:sz="4" w:space="0"/>
            </w:tcBorders>
            <w:noWrap/>
            <w:vAlign w:val="center"/>
          </w:tcPr>
          <w:p w14:paraId="2B2CF17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nil"/>
              <w:left w:val="single" w:color="000000" w:sz="4" w:space="0"/>
              <w:bottom w:val="single" w:color="000000" w:sz="4" w:space="0"/>
              <w:right w:val="single" w:color="000000" w:sz="4" w:space="0"/>
            </w:tcBorders>
            <w:noWrap/>
            <w:vAlign w:val="center"/>
          </w:tcPr>
          <w:p w14:paraId="59FA7EB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ign w:val="center"/>
          </w:tcPr>
          <w:p w14:paraId="3E8DA12F">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nil"/>
              <w:left w:val="single" w:color="000000" w:sz="4" w:space="0"/>
              <w:bottom w:val="single" w:color="000000" w:sz="4" w:space="0"/>
              <w:right w:val="single" w:color="000000" w:sz="4" w:space="0"/>
            </w:tcBorders>
            <w:noWrap/>
            <w:vAlign w:val="center"/>
          </w:tcPr>
          <w:p w14:paraId="5811C12E">
            <w:pPr>
              <w:widowControl/>
              <w:spacing w:line="240" w:lineRule="exact"/>
              <w:jc w:val="left"/>
              <w:textAlignment w:val="center"/>
              <w:rPr>
                <w:rFonts w:hint="eastAsia" w:ascii="仿宋_GB2312" w:eastAsia="仿宋_GB2312" w:cs="仿宋_GB2312"/>
                <w:color w:val="000000"/>
                <w:kern w:val="0"/>
                <w:sz w:val="24"/>
                <w:szCs w:val="24"/>
              </w:rPr>
            </w:pPr>
          </w:p>
        </w:tc>
      </w:tr>
      <w:tr w14:paraId="7D85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D6DB7A1"/>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CC92B9B"/>
        </w:tc>
        <w:tc>
          <w:tcPr>
            <w:tcW w:w="1355" w:type="dxa"/>
            <w:tcBorders>
              <w:top w:val="nil"/>
              <w:left w:val="single" w:color="000000" w:sz="4" w:space="0"/>
              <w:bottom w:val="single" w:color="000000" w:sz="4" w:space="0"/>
              <w:right w:val="single" w:color="000000" w:sz="4" w:space="0"/>
            </w:tcBorders>
            <w:noWrap/>
            <w:vAlign w:val="center"/>
          </w:tcPr>
          <w:p w14:paraId="0C9DDB8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程序合规性</w:t>
            </w:r>
          </w:p>
        </w:tc>
        <w:tc>
          <w:tcPr>
            <w:tcW w:w="696" w:type="dxa"/>
            <w:tcBorders>
              <w:top w:val="nil"/>
              <w:left w:val="single" w:color="000000" w:sz="4" w:space="0"/>
              <w:bottom w:val="single" w:color="000000" w:sz="4" w:space="0"/>
              <w:right w:val="single" w:color="000000" w:sz="4" w:space="0"/>
            </w:tcBorders>
            <w:noWrap/>
            <w:vAlign w:val="center"/>
          </w:tcPr>
          <w:p w14:paraId="3259879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4C0C6A04">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34B4A64">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AC6C368">
            <w:pPr>
              <w:widowControl/>
              <w:spacing w:line="240" w:lineRule="exact"/>
              <w:jc w:val="left"/>
              <w:textAlignment w:val="center"/>
              <w:rPr>
                <w:rFonts w:hint="eastAsia" w:ascii="仿宋_GB2312" w:eastAsia="仿宋_GB2312" w:cs="仿宋_GB2312"/>
                <w:color w:val="000000"/>
                <w:kern w:val="0"/>
                <w:sz w:val="24"/>
                <w:szCs w:val="24"/>
              </w:rPr>
            </w:pPr>
          </w:p>
        </w:tc>
      </w:tr>
      <w:tr w14:paraId="0A92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B49E1D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8FDA0F3"/>
        </w:tc>
        <w:tc>
          <w:tcPr>
            <w:tcW w:w="1355" w:type="dxa"/>
            <w:tcBorders>
              <w:top w:val="nil"/>
              <w:left w:val="single" w:color="000000" w:sz="4" w:space="0"/>
              <w:bottom w:val="single" w:color="000000" w:sz="4" w:space="0"/>
              <w:right w:val="single" w:color="000000" w:sz="4" w:space="0"/>
            </w:tcBorders>
            <w:noWrap/>
            <w:vAlign w:val="center"/>
          </w:tcPr>
          <w:p w14:paraId="6CBFBF4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标准合规性</w:t>
            </w:r>
          </w:p>
        </w:tc>
        <w:tc>
          <w:tcPr>
            <w:tcW w:w="696" w:type="dxa"/>
            <w:tcBorders>
              <w:top w:val="nil"/>
              <w:left w:val="single" w:color="000000" w:sz="4" w:space="0"/>
              <w:bottom w:val="single" w:color="000000" w:sz="4" w:space="0"/>
              <w:right w:val="single" w:color="000000" w:sz="4" w:space="0"/>
            </w:tcBorders>
            <w:noWrap/>
            <w:vAlign w:val="center"/>
          </w:tcPr>
          <w:p w14:paraId="703371D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3FF91BE">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519C80B">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3D10B4F">
            <w:pPr>
              <w:widowControl/>
              <w:spacing w:line="240" w:lineRule="exact"/>
              <w:jc w:val="left"/>
              <w:textAlignment w:val="center"/>
              <w:rPr>
                <w:rFonts w:hint="eastAsia" w:ascii="仿宋_GB2312" w:eastAsia="仿宋_GB2312" w:cs="仿宋_GB2312"/>
                <w:color w:val="000000"/>
                <w:kern w:val="0"/>
                <w:sz w:val="24"/>
                <w:szCs w:val="24"/>
              </w:rPr>
            </w:pPr>
          </w:p>
        </w:tc>
      </w:tr>
      <w:tr w14:paraId="1202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212571E0">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个性指标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（16分）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FBDE0C5">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质量指标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E2F1FEE">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6</w:t>
            </w:r>
          </w:p>
        </w:tc>
        <w:tc>
          <w:tcPr>
            <w:tcW w:w="5340" w:type="dxa"/>
            <w:tcBorders>
              <w:top w:val="single" w:color="000000" w:sz="4" w:space="0"/>
              <w:left w:val="single" w:color="000000" w:sz="4" w:space="0"/>
              <w:bottom w:val="single" w:color="auto" w:sz="4" w:space="0"/>
              <w:right w:val="single" w:color="000000" w:sz="4" w:space="0"/>
            </w:tcBorders>
            <w:noWrap/>
            <w:vAlign w:val="center"/>
          </w:tcPr>
          <w:p w14:paraId="66CEFD51">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数字档案馆建设</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AA68DD7">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D008A54">
            <w:pPr>
              <w:widowControl/>
              <w:spacing w:line="240" w:lineRule="exact"/>
              <w:jc w:val="left"/>
              <w:textAlignment w:val="center"/>
              <w:rPr>
                <w:rFonts w:hint="eastAsia" w:ascii="仿宋_GB2312" w:eastAsia="仿宋_GB2312" w:cs="仿宋_GB2312"/>
                <w:color w:val="000000"/>
                <w:kern w:val="0"/>
                <w:sz w:val="24"/>
                <w:szCs w:val="24"/>
              </w:rPr>
            </w:pPr>
          </w:p>
        </w:tc>
      </w:tr>
      <w:tr w14:paraId="1C88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E40E393"/>
        </w:tc>
        <w:tc>
          <w:tcPr>
            <w:tcW w:w="1355" w:type="dxa"/>
            <w:tcBorders>
              <w:top w:val="single" w:color="000000" w:sz="4" w:space="0"/>
              <w:left w:val="single" w:color="000000" w:sz="4" w:space="0"/>
              <w:bottom w:val="single" w:color="000000" w:sz="4" w:space="0"/>
              <w:right w:val="single" w:color="000000" w:sz="4" w:space="0"/>
            </w:tcBorders>
            <w:noWrap/>
            <w:vAlign w:val="center"/>
          </w:tcPr>
          <w:p w14:paraId="47D8BAB1">
            <w:pPr>
              <w:widowControl/>
              <w:spacing w:line="240" w:lineRule="exact"/>
              <w:jc w:val="center"/>
              <w:textAlignment w:val="center"/>
              <w:rPr>
                <w:rFonts w:hint="eastAsia" w:ascii="仿宋_GB2312" w:eastAsia="仿宋_GB2312" w:cs="仿宋_GB2312"/>
                <w:color w:val="000000"/>
                <w:sz w:val="15"/>
                <w:szCs w:val="15"/>
              </w:rPr>
            </w:pPr>
            <w:r>
              <w:rPr>
                <w:rFonts w:hint="eastAsia" w:ascii="仿宋_GB2312" w:eastAsia="仿宋_GB2312" w:cs="仿宋_GB2312"/>
                <w:color w:val="000000"/>
                <w:kern w:val="0"/>
                <w:sz w:val="15"/>
                <w:szCs w:val="15"/>
              </w:rPr>
              <w:t>社会效益指标</w:t>
            </w:r>
          </w:p>
        </w:tc>
        <w:tc>
          <w:tcPr>
            <w:tcW w:w="696" w:type="dxa"/>
            <w:tcBorders>
              <w:top w:val="single" w:color="000000" w:sz="4" w:space="0"/>
              <w:left w:val="single" w:color="000000" w:sz="4" w:space="0"/>
              <w:bottom w:val="single" w:color="auto" w:sz="4" w:space="0"/>
              <w:right w:val="single" w:color="000000" w:sz="4" w:space="0"/>
            </w:tcBorders>
            <w:noWrap/>
            <w:vAlign w:val="center"/>
          </w:tcPr>
          <w:p w14:paraId="4E0C1E71">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6</w:t>
            </w:r>
          </w:p>
        </w:tc>
        <w:tc>
          <w:tcPr>
            <w:tcW w:w="5340" w:type="dxa"/>
            <w:tcBorders>
              <w:top w:val="single" w:color="auto" w:sz="4" w:space="0"/>
              <w:left w:val="single" w:color="000000" w:sz="4" w:space="0"/>
              <w:bottom w:val="single" w:color="auto" w:sz="4" w:space="0"/>
              <w:right w:val="single" w:color="000000" w:sz="4" w:space="0"/>
            </w:tcBorders>
            <w:noWrap/>
            <w:vAlign w:val="center"/>
          </w:tcPr>
          <w:p w14:paraId="4254BEF1">
            <w:pPr>
              <w:widowControl/>
              <w:spacing w:line="24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档案查阅利用方便、快捷</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1D9BAC1">
            <w:pPr>
              <w:widowControl/>
              <w:spacing w:line="24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9C2392A">
            <w:pPr>
              <w:widowControl/>
              <w:spacing w:line="240" w:lineRule="exact"/>
              <w:jc w:val="left"/>
              <w:rPr>
                <w:rFonts w:hint="eastAsia" w:ascii="仿宋_GB2312" w:eastAsia="仿宋_GB2312" w:cs="仿宋_GB2312"/>
                <w:color w:val="000000"/>
                <w:sz w:val="24"/>
                <w:szCs w:val="24"/>
              </w:rPr>
            </w:pPr>
          </w:p>
        </w:tc>
      </w:tr>
      <w:tr w14:paraId="6974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01B959A0"/>
        </w:tc>
        <w:tc>
          <w:tcPr>
            <w:tcW w:w="1355" w:type="dxa"/>
            <w:tcBorders>
              <w:top w:val="single" w:color="000000" w:sz="4" w:space="0"/>
              <w:left w:val="single" w:color="000000" w:sz="4" w:space="0"/>
              <w:bottom w:val="single" w:color="000000" w:sz="4" w:space="0"/>
              <w:right w:val="single" w:color="000000" w:sz="4" w:space="0"/>
            </w:tcBorders>
            <w:noWrap/>
            <w:vAlign w:val="center"/>
          </w:tcPr>
          <w:p w14:paraId="479C4D7F">
            <w:pPr>
              <w:widowControl/>
              <w:spacing w:line="240" w:lineRule="exact"/>
              <w:jc w:val="center"/>
              <w:textAlignment w:val="center"/>
              <w:rPr>
                <w:rFonts w:hint="eastAsia" w:ascii="仿宋_GB2312" w:eastAsia="仿宋_GB2312" w:cs="仿宋_GB2312"/>
                <w:color w:val="000000"/>
                <w:sz w:val="15"/>
                <w:szCs w:val="15"/>
              </w:rPr>
            </w:pPr>
            <w:r>
              <w:rPr>
                <w:rFonts w:hint="eastAsia" w:ascii="仿宋_GB2312" w:eastAsia="仿宋_GB2312" w:cs="仿宋_GB2312"/>
                <w:color w:val="000000"/>
                <w:kern w:val="0"/>
                <w:sz w:val="15"/>
                <w:szCs w:val="15"/>
              </w:rPr>
              <w:t>服务对象满意度指标</w:t>
            </w:r>
          </w:p>
        </w:tc>
        <w:tc>
          <w:tcPr>
            <w:tcW w:w="696" w:type="dxa"/>
            <w:tcBorders>
              <w:top w:val="single" w:color="auto" w:sz="4" w:space="0"/>
              <w:left w:val="single" w:color="000000" w:sz="4" w:space="0"/>
              <w:bottom w:val="single" w:color="000000" w:sz="4" w:space="0"/>
              <w:right w:val="single" w:color="000000" w:sz="4" w:space="0"/>
            </w:tcBorders>
            <w:noWrap/>
            <w:vAlign w:val="center"/>
          </w:tcPr>
          <w:p w14:paraId="706FF591">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4</w:t>
            </w:r>
          </w:p>
        </w:tc>
        <w:tc>
          <w:tcPr>
            <w:tcW w:w="5340" w:type="dxa"/>
            <w:tcBorders>
              <w:top w:val="single" w:color="auto" w:sz="4" w:space="0"/>
              <w:left w:val="single" w:color="000000" w:sz="4" w:space="0"/>
              <w:bottom w:val="single" w:color="auto" w:sz="4" w:space="0"/>
              <w:right w:val="single" w:color="000000" w:sz="4" w:space="0"/>
            </w:tcBorders>
            <w:noWrap/>
            <w:vAlign w:val="center"/>
          </w:tcPr>
          <w:p w14:paraId="57FC490B">
            <w:pPr>
              <w:widowControl/>
              <w:spacing w:line="24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查阅利用档案人员满意</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66BF89A">
            <w:pPr>
              <w:widowControl/>
              <w:spacing w:line="24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427043F">
            <w:pPr>
              <w:widowControl/>
              <w:spacing w:line="240" w:lineRule="exact"/>
              <w:jc w:val="left"/>
              <w:rPr>
                <w:rFonts w:hint="eastAsia" w:ascii="仿宋_GB2312" w:eastAsia="仿宋_GB2312" w:cs="仿宋_GB2312"/>
                <w:color w:val="000000"/>
                <w:sz w:val="24"/>
                <w:szCs w:val="24"/>
              </w:rPr>
            </w:pPr>
          </w:p>
        </w:tc>
      </w:tr>
      <w:tr w14:paraId="5B0E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ign w:val="center"/>
          </w:tcPr>
          <w:p w14:paraId="4674078B">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扣分项</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4E3848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被评价</w:t>
            </w:r>
            <w:r>
              <w:rPr>
                <w:rFonts w:hint="eastAsia" w:ascii="仿宋_GB2312" w:eastAsia="仿宋_GB2312" w:cs="仿宋_GB2312"/>
                <w:color w:val="000000"/>
                <w:kern w:val="0"/>
                <w:sz w:val="24"/>
                <w:szCs w:val="24"/>
              </w:rPr>
              <w:br w:type="textWrapping"/>
            </w:r>
            <w:r>
              <w:rPr>
                <w:rFonts w:hint="eastAsia" w:ascii="仿宋_GB2312" w:eastAsia="仿宋_GB2312" w:cs="仿宋_GB2312"/>
                <w:color w:val="000000"/>
                <w:kern w:val="0"/>
                <w:sz w:val="24"/>
                <w:szCs w:val="24"/>
              </w:rPr>
              <w:t>部门配合度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575FC1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w:t>
            </w:r>
          </w:p>
        </w:tc>
        <w:tc>
          <w:tcPr>
            <w:tcW w:w="5340" w:type="dxa"/>
            <w:tcBorders>
              <w:top w:val="single" w:color="auto" w:sz="4" w:space="0"/>
              <w:left w:val="single" w:color="000000" w:sz="4" w:space="0"/>
              <w:bottom w:val="single" w:color="000000" w:sz="4" w:space="0"/>
              <w:right w:val="single" w:color="000000" w:sz="4" w:space="0"/>
            </w:tcBorders>
            <w:noWrap/>
            <w:vAlign w:val="center"/>
          </w:tcPr>
          <w:p w14:paraId="1D62FD49">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34A9C24">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48F4AB2">
            <w:pPr>
              <w:widowControl/>
              <w:spacing w:line="240" w:lineRule="exact"/>
              <w:jc w:val="left"/>
              <w:textAlignment w:val="center"/>
              <w:rPr>
                <w:rFonts w:hint="eastAsia" w:ascii="仿宋_GB2312" w:eastAsia="仿宋_GB2312" w:cs="仿宋_GB2312"/>
                <w:color w:val="000000"/>
                <w:kern w:val="0"/>
                <w:sz w:val="24"/>
                <w:szCs w:val="24"/>
              </w:rPr>
            </w:pPr>
          </w:p>
        </w:tc>
      </w:tr>
    </w:tbl>
    <w:p w14:paraId="4AB25DD0">
      <w:pPr>
        <w:spacing w:line="578" w:lineRule="exact"/>
        <w:rPr>
          <w:rFonts w:hint="eastAsia" w:ascii="仿宋_GB2312" w:eastAsia="仿宋_GB2312" w:cs="仿宋_GB2312"/>
          <w:kern w:val="0"/>
          <w:shd w:val="clear" w:color="auto" w:fill="FFFFFF"/>
        </w:rPr>
      </w:pPr>
      <w:r>
        <w:rPr>
          <w:rFonts w:hint="eastAsia" w:ascii="仿宋_GB2312" w:eastAsia="仿宋_GB2312" w:cs="仿宋_GB2312"/>
          <w:kern w:val="0"/>
          <w:shd w:val="clear" w:color="auto" w:fill="FFFFFF"/>
          <w:lang w:val="zh-CN"/>
        </w:rPr>
        <w:br w:type="page"/>
      </w:r>
      <w:r>
        <w:rPr>
          <w:rFonts w:hint="eastAsia" w:ascii="仿宋_GB2312" w:eastAsia="仿宋_GB2312" w:cs="仿宋_GB2312"/>
          <w:kern w:val="0"/>
          <w:shd w:val="clear" w:color="auto" w:fill="FFFFFF"/>
          <w:lang w:val="zh-CN"/>
        </w:rPr>
        <w:t>附表</w:t>
      </w:r>
      <w:r>
        <w:rPr>
          <w:rFonts w:hint="eastAsia" w:ascii="仿宋_GB2312" w:eastAsia="仿宋_GB2312" w:cs="仿宋_GB2312"/>
          <w:kern w:val="0"/>
          <w:shd w:val="clear" w:color="auto" w:fill="FFFFFF"/>
        </w:rPr>
        <w:t>2</w:t>
      </w:r>
    </w:p>
    <w:tbl>
      <w:tblPr>
        <w:tblStyle w:val="22"/>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282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03B001A">
            <w:pPr>
              <w:widowControl/>
              <w:spacing w:line="600" w:lineRule="exact"/>
              <w:jc w:val="center"/>
              <w:textAlignment w:val="center"/>
              <w:rPr>
                <w:rFonts w:hint="eastAsia" w:ascii="仿宋_GB2312" w:eastAsia="仿宋_GB2312" w:cs="仿宋_GB2312"/>
                <w:color w:val="000000"/>
                <w:sz w:val="30"/>
                <w:szCs w:val="30"/>
              </w:rPr>
            </w:pPr>
            <w:r>
              <w:rPr>
                <w:rFonts w:hint="eastAsia" w:ascii="仿宋_GB2312" w:eastAsia="仿宋_GB2312" w:cs="仿宋_GB2312"/>
                <w:color w:val="000000"/>
                <w:kern w:val="0"/>
                <w:sz w:val="40"/>
                <w:szCs w:val="40"/>
              </w:rPr>
              <w:t>专项预算项目绩效目标完成情况自评表</w:t>
            </w:r>
          </w:p>
        </w:tc>
      </w:tr>
      <w:tr w14:paraId="29E0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24ABC">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9EBAE">
            <w:pPr>
              <w:spacing w:line="300" w:lineRule="exac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数字档案馆建设项目</w:t>
            </w:r>
          </w:p>
        </w:tc>
      </w:tr>
      <w:tr w14:paraId="5037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C0361">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0079D">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茂县档案馆</w:t>
            </w:r>
          </w:p>
        </w:tc>
      </w:tr>
      <w:tr w14:paraId="0C8F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B7E93B">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6A370">
            <w:pPr>
              <w:spacing w:line="300" w:lineRule="exact"/>
              <w:jc w:val="lef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四川省档案事业发展专项资金</w:t>
            </w:r>
          </w:p>
        </w:tc>
      </w:tr>
      <w:tr w14:paraId="5862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15DF3">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BE35D">
            <w:pPr>
              <w:widowControl/>
              <w:spacing w:line="300" w:lineRule="exact"/>
              <w:jc w:val="left"/>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中长期规划（名称、文号，仅指</w:t>
            </w:r>
          </w:p>
          <w:p w14:paraId="27E69E33">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2AFC3">
            <w:pPr>
              <w:spacing w:line="30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lang w:eastAsia="zh-CN"/>
              </w:rPr>
              <w:t>四川省档案事业发展专项资金</w:t>
            </w:r>
          </w:p>
        </w:tc>
      </w:tr>
      <w:tr w14:paraId="5A98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64D0"/>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77368">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CCCCD">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茂财预往</w:t>
            </w:r>
            <w:r>
              <w:rPr>
                <w:rFonts w:hint="eastAsia" w:ascii="仿宋_GB2312" w:eastAsia="仿宋_GB2312" w:cs="仿宋_GB2312"/>
                <w:color w:val="000000"/>
                <w:sz w:val="24"/>
                <w:szCs w:val="24"/>
                <w:lang w:val="en-US" w:eastAsia="zh-CN"/>
              </w:rPr>
              <w:t>[2024]00177号</w:t>
            </w:r>
          </w:p>
        </w:tc>
      </w:tr>
      <w:tr w14:paraId="4E51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3564"/>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8D076">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4A5">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12C0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0A94">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sym w:font="Wingdings 2" w:char="0052"/>
            </w:r>
            <w:r>
              <w:rPr>
                <w:rFonts w:hint="eastAsia" w:ascii="仿宋_GB2312" w:eastAsia="仿宋_GB2312" w:cs="仿宋_GB2312"/>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5B66">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因素法与项目法相结合</w:t>
            </w:r>
          </w:p>
        </w:tc>
      </w:tr>
      <w:tr w14:paraId="7520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1022"/>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8276F">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F3461">
            <w:pPr>
              <w:spacing w:line="30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shd w:val="clear" w:color="auto" w:fill="FFFFFF"/>
                <w:lang w:eastAsia="zh-CN"/>
              </w:rPr>
              <w:t>茂县档案馆于</w:t>
            </w:r>
            <w:r>
              <w:rPr>
                <w:rFonts w:hint="eastAsia" w:ascii="仿宋_GB2312" w:eastAsia="仿宋_GB2312" w:cs="仿宋_GB2312"/>
                <w:color w:val="000000"/>
                <w:sz w:val="24"/>
                <w:szCs w:val="24"/>
                <w:shd w:val="clear" w:color="auto" w:fill="FFFFFF"/>
                <w:lang w:val="en-US" w:eastAsia="zh-CN"/>
              </w:rPr>
              <w:t>2021年确定为数字档案馆试点单位，要求2025年前完成数字档案馆建设试点任务，通过省级及以上档案主管部门成果认定。目前，已完成机房改造，局域网布设，馆藏档案管理系统布设。</w:t>
            </w:r>
          </w:p>
        </w:tc>
      </w:tr>
      <w:tr w14:paraId="0E16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93CD"/>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2231C">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30A22">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数字档案馆建设项目。</w:t>
            </w:r>
          </w:p>
        </w:tc>
      </w:tr>
      <w:tr w14:paraId="192D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1989"/>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CAE95">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A0E71">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sz w:val="24"/>
                <w:szCs w:val="24"/>
                <w:u w:val="none"/>
              </w:rPr>
            </w:pPr>
            <w:r>
              <w:rPr>
                <w:rFonts w:hint="eastAsia" w:ascii="仿宋_GB2312" w:eastAsia="仿宋_GB2312" w:cs="仿宋_GB2312"/>
                <w:i w:val="0"/>
                <w:color w:val="000000"/>
                <w:sz w:val="24"/>
                <w:szCs w:val="24"/>
                <w:u w:val="none"/>
              </w:rPr>
              <w:t>1、落实有关财政资金管理，确保项目按照有关规定用款</w:t>
            </w:r>
          </w:p>
          <w:p w14:paraId="6962C7E0">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sz w:val="24"/>
                <w:szCs w:val="24"/>
                <w:u w:val="none"/>
              </w:rPr>
            </w:pPr>
            <w:r>
              <w:rPr>
                <w:rFonts w:hint="eastAsia" w:ascii="仿宋_GB2312" w:eastAsia="仿宋_GB2312" w:cs="仿宋_GB2312"/>
                <w:i w:val="0"/>
                <w:color w:val="000000"/>
                <w:sz w:val="24"/>
                <w:szCs w:val="24"/>
                <w:u w:val="none"/>
                <w:lang w:val="en-US" w:eastAsia="zh-CN"/>
              </w:rPr>
              <w:t>2、</w:t>
            </w:r>
            <w:r>
              <w:rPr>
                <w:rFonts w:hint="eastAsia" w:ascii="仿宋_GB2312" w:eastAsia="仿宋_GB2312" w:cs="仿宋_GB2312"/>
                <w:i w:val="0"/>
                <w:color w:val="000000"/>
                <w:sz w:val="24"/>
                <w:szCs w:val="24"/>
                <w:u w:val="none"/>
              </w:rPr>
              <w:t>落实项目内控制度，按照要求编制项目绩效管理评价</w:t>
            </w:r>
          </w:p>
          <w:p w14:paraId="1B07A40D">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kern w:val="2"/>
                <w:sz w:val="24"/>
                <w:szCs w:val="24"/>
                <w:u w:val="none"/>
                <w:lang w:val="en-US" w:eastAsia="zh-CN" w:bidi="ar-SA"/>
              </w:rPr>
            </w:pPr>
            <w:r>
              <w:rPr>
                <w:rFonts w:hint="eastAsia" w:ascii="仿宋_GB2312" w:eastAsia="仿宋_GB2312" w:cs="仿宋_GB2312"/>
                <w:i w:val="0"/>
                <w:color w:val="000000"/>
                <w:sz w:val="24"/>
                <w:szCs w:val="24"/>
                <w:u w:val="none"/>
              </w:rPr>
              <w:t>3、严格执行有关规定，实现项目的质量和效率</w:t>
            </w:r>
          </w:p>
        </w:tc>
      </w:tr>
      <w:tr w14:paraId="25AC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0CCAF"/>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1A046">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AC637">
            <w:pPr>
              <w:keepNext w:val="0"/>
              <w:keepLines w:val="0"/>
              <w:pageBreakBefore w:val="0"/>
              <w:widowControl w:val="0"/>
              <w:kinsoku/>
              <w:wordWrap/>
              <w:overflowPunct/>
              <w:topLinePunct w:val="0"/>
              <w:autoSpaceDE/>
              <w:autoSpaceDN/>
              <w:bidi w:val="0"/>
              <w:adjustRightInd/>
              <w:snapToGrid/>
              <w:spacing w:line="300" w:lineRule="exact"/>
              <w:ind w:left="0"/>
              <w:rPr>
                <w:rFonts w:hint="eastAsia" w:ascii="仿宋_GB2312" w:eastAsia="仿宋_GB2312" w:cs="仿宋_GB2312"/>
                <w:i w:val="0"/>
                <w:color w:val="000000"/>
                <w:kern w:val="2"/>
                <w:sz w:val="24"/>
                <w:szCs w:val="24"/>
                <w:u w:val="none"/>
                <w:lang w:val="en-US" w:eastAsia="zh-CN" w:bidi="ar-SA"/>
              </w:rPr>
            </w:pPr>
            <w:r>
              <w:rPr>
                <w:rFonts w:hint="eastAsia" w:ascii="仿宋_GB2312" w:eastAsia="仿宋_GB2312" w:cs="仿宋_GB2312"/>
                <w:i w:val="0"/>
                <w:color w:val="000000"/>
                <w:sz w:val="24"/>
                <w:szCs w:val="24"/>
                <w:u w:val="none"/>
                <w:lang w:val="en-US" w:eastAsia="zh-CN"/>
              </w:rPr>
              <w:t>2023年——2024年</w:t>
            </w:r>
          </w:p>
        </w:tc>
      </w:tr>
      <w:tr w14:paraId="0F87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EE349">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项目资金</w:t>
            </w:r>
          </w:p>
          <w:p w14:paraId="74510B62">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3F66E">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A1E66">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257.91万元</w:t>
            </w:r>
          </w:p>
        </w:tc>
      </w:tr>
      <w:tr w14:paraId="0964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3628"/>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BD314">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11C31">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257.91万元</w:t>
            </w:r>
          </w:p>
        </w:tc>
      </w:tr>
      <w:tr w14:paraId="2564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6DCB9"/>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2CF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50EF3">
            <w:pPr>
              <w:spacing w:line="300" w:lineRule="exact"/>
              <w:jc w:val="right"/>
              <w:rPr>
                <w:rFonts w:hint="eastAsia" w:ascii="仿宋_GB2312" w:eastAsia="仿宋_GB2312" w:cs="仿宋_GB2312"/>
                <w:color w:val="000000"/>
                <w:sz w:val="24"/>
                <w:szCs w:val="24"/>
              </w:rPr>
            </w:pPr>
          </w:p>
        </w:tc>
      </w:tr>
      <w:tr w14:paraId="438B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BDD3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4B308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年度目标</w:t>
            </w:r>
          </w:p>
        </w:tc>
      </w:tr>
      <w:tr w14:paraId="629E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51B2"/>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4E0A20">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档案馆数字化建设机房维护、库房倒库</w:t>
            </w:r>
          </w:p>
        </w:tc>
      </w:tr>
      <w:tr w14:paraId="641C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76F475C9">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75646B3">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DCFC7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2F5E3FB7">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52A4A1EE">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49307A0">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90DC588">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3D1BA63">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54D56CEC">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实际完成指标值</w:t>
            </w:r>
          </w:p>
        </w:tc>
      </w:tr>
      <w:tr w14:paraId="0E5E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455E3AB"/>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A4B860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产出指标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04619BFB">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数量指标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64594258">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档案馆数字化建设</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8051D1F">
            <w:pPr>
              <w:spacing w:line="300" w:lineRule="exact"/>
              <w:jc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0CDFEE2">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0DCE4348">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73B2391">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AB492E1">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r w14:paraId="25F5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9426773"/>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AFA5CD7">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A53896D">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社会效益</w:t>
            </w:r>
          </w:p>
          <w:p w14:paraId="3B376A97">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AC43E95">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档案查阅利用方便、快捷</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2AA311FA">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0FDA834">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32E37FFE">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9BBA027">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4407D42">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r w14:paraId="5C54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3C76069"/>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E51EC46">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满意度</w:t>
            </w:r>
          </w:p>
          <w:p w14:paraId="457E6F10">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31270B99">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服务对象</w:t>
            </w:r>
          </w:p>
          <w:p w14:paraId="2F88FEA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满意度指标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5D21E511">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查阅利用档案人员满意</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59B27713">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50E05B5">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48FFC362">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人</w:t>
            </w:r>
            <w:r>
              <w:rPr>
                <w:rFonts w:hint="eastAsia" w:ascii="仿宋_GB2312" w:eastAsia="仿宋_GB2312" w:cs="仿宋_GB2312"/>
                <w:color w:val="000000"/>
                <w:sz w:val="24"/>
                <w:szCs w:val="24"/>
                <w:lang w:val="en-US" w:eastAsia="zh-CN"/>
              </w:rPr>
              <w:t>/次</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B1867E4">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B76AD45">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bl>
    <w:p w14:paraId="25EEE14E">
      <w:pPr>
        <w:pStyle w:val="21"/>
        <w:spacing w:after="0" w:line="578" w:lineRule="exact"/>
        <w:ind w:left="0" w:leftChars="0"/>
        <w:rPr>
          <w:rFonts w:ascii="黑体" w:eastAsia="黑体" w:cs="黑体"/>
          <w:sz w:val="24"/>
          <w:szCs w:val="24"/>
        </w:rPr>
      </w:pPr>
    </w:p>
    <w:p w14:paraId="4310E884">
      <w:pPr>
        <w:pStyle w:val="17"/>
        <w:rPr>
          <w:lang w:val="en-US" w:eastAsia="zh-CN"/>
        </w:rPr>
      </w:pPr>
    </w:p>
    <w:p w14:paraId="32F22DC9">
      <w:pPr>
        <w:rPr>
          <w:lang w:val="en-US" w:eastAsia="zh-CN"/>
        </w:rPr>
      </w:pPr>
    </w:p>
    <w:p w14:paraId="10DAEEBD">
      <w:pPr>
        <w:pStyle w:val="17"/>
        <w:rPr>
          <w:lang w:val="en-US" w:eastAsia="zh-CN"/>
        </w:rPr>
      </w:pPr>
    </w:p>
    <w:p w14:paraId="42ED3E68">
      <w:pPr>
        <w:rPr>
          <w:lang w:val="en-US" w:eastAsia="zh-CN"/>
        </w:rPr>
      </w:pPr>
    </w:p>
    <w:p w14:paraId="1B79C44F">
      <w:pPr>
        <w:pStyle w:val="17"/>
        <w:rPr>
          <w:lang w:val="en-US" w:eastAsia="zh-CN"/>
        </w:rPr>
      </w:pPr>
    </w:p>
    <w:bookmarkEnd w:id="109"/>
    <w:p w14:paraId="7A1B2859">
      <w:pPr>
        <w:pStyle w:val="40"/>
        <w:spacing w:line="578" w:lineRule="exact"/>
        <w:jc w:val="left"/>
        <w:rPr>
          <w:rFonts w:ascii="黑体" w:eastAsia="黑体" w:cs="黑体"/>
          <w:sz w:val="32"/>
          <w:szCs w:val="32"/>
        </w:rPr>
      </w:pPr>
      <w:r>
        <w:rPr>
          <w:rFonts w:hint="eastAsia" w:ascii="黑体" w:eastAsia="黑体" w:cs="黑体"/>
          <w:sz w:val="32"/>
          <w:szCs w:val="32"/>
        </w:rPr>
        <w:t>附件3</w:t>
      </w:r>
    </w:p>
    <w:p w14:paraId="2C295111">
      <w:pPr>
        <w:pStyle w:val="40"/>
        <w:spacing w:line="578" w:lineRule="exact"/>
        <w:jc w:val="center"/>
        <w:rPr>
          <w:rFonts w:hint="eastAsia" w:ascii="方正小标宋简体" w:eastAsia="方正小标宋简体" w:cs="方正小标宋简体"/>
          <w:color w:val="auto"/>
          <w:kern w:val="2"/>
          <w:sz w:val="44"/>
          <w:szCs w:val="44"/>
          <w:lang w:val="en-US" w:eastAsia="zh-CN"/>
        </w:rPr>
      </w:pPr>
      <w:r>
        <w:rPr>
          <w:rFonts w:hint="eastAsia" w:ascii="方正小标宋简体" w:eastAsia="方正小标宋简体" w:cs="方正小标宋简体"/>
          <w:color w:val="auto"/>
          <w:kern w:val="2"/>
          <w:sz w:val="44"/>
          <w:szCs w:val="44"/>
          <w:lang w:val="en-US" w:eastAsia="zh-CN"/>
        </w:rPr>
        <w:t>全州重点档案抢救和保护项目</w:t>
      </w:r>
    </w:p>
    <w:p w14:paraId="13D28FFE">
      <w:pPr>
        <w:pStyle w:val="40"/>
        <w:spacing w:line="578" w:lineRule="exact"/>
        <w:jc w:val="center"/>
        <w:rPr>
          <w:rFonts w:ascii="方正小标宋简体" w:eastAsia="方正小标宋简体" w:cs="方正小标宋简体"/>
          <w:color w:val="auto"/>
          <w:kern w:val="2"/>
          <w:sz w:val="44"/>
          <w:szCs w:val="44"/>
          <w:lang w:val="en-US"/>
        </w:rPr>
      </w:pPr>
      <w:r>
        <w:rPr>
          <w:rFonts w:hint="eastAsia" w:ascii="方正小标宋简体" w:eastAsia="方正小标宋简体" w:cs="方正小标宋简体"/>
          <w:color w:val="auto"/>
          <w:kern w:val="2"/>
          <w:sz w:val="44"/>
          <w:szCs w:val="44"/>
          <w:lang w:val="en-US"/>
        </w:rPr>
        <w:t>专项预算绩效</w:t>
      </w:r>
      <w:r>
        <w:rPr>
          <w:rFonts w:hint="eastAsia" w:ascii="方正小标宋简体" w:eastAsia="方正小标宋简体" w:cs="方正小标宋简体"/>
          <w:color w:val="auto"/>
          <w:kern w:val="2"/>
          <w:sz w:val="44"/>
          <w:szCs w:val="44"/>
          <w:lang w:val="en-US" w:eastAsia="zh-CN"/>
        </w:rPr>
        <w:t>自评</w:t>
      </w:r>
      <w:r>
        <w:rPr>
          <w:rFonts w:hint="eastAsia" w:ascii="方正小标宋简体" w:eastAsia="方正小标宋简体" w:cs="方正小标宋简体"/>
          <w:color w:val="auto"/>
          <w:kern w:val="2"/>
          <w:sz w:val="44"/>
          <w:szCs w:val="44"/>
          <w:lang w:val="en-US"/>
        </w:rPr>
        <w:t>报告</w:t>
      </w:r>
    </w:p>
    <w:p w14:paraId="378CC56F">
      <w:pPr>
        <w:pStyle w:val="40"/>
        <w:spacing w:line="578" w:lineRule="exact"/>
        <w:ind w:firstLine="640"/>
        <w:jc w:val="center"/>
        <w:rPr>
          <w:rFonts w:ascii="宋体"/>
          <w:color w:val="auto"/>
          <w:kern w:val="2"/>
          <w:sz w:val="32"/>
          <w:szCs w:val="32"/>
        </w:rPr>
      </w:pPr>
    </w:p>
    <w:p w14:paraId="2514CD45">
      <w:pPr>
        <w:adjustRightInd w:val="0"/>
        <w:snapToGrid w:val="0"/>
        <w:spacing w:line="578" w:lineRule="exact"/>
        <w:ind w:firstLine="640" w:firstLineChars="200"/>
        <w:rPr>
          <w:rFonts w:hint="eastAsia" w:ascii="黑体" w:eastAsia="黑体" w:cs="黑体"/>
          <w:sz w:val="32"/>
          <w:szCs w:val="32"/>
          <w:lang w:val="zh-CN"/>
        </w:rPr>
      </w:pPr>
      <w:r>
        <w:rPr>
          <w:rFonts w:hint="eastAsia" w:ascii="黑体" w:eastAsia="黑体" w:cs="黑体"/>
          <w:sz w:val="32"/>
          <w:szCs w:val="32"/>
        </w:rPr>
        <w:t>一、</w:t>
      </w:r>
      <w:r>
        <w:rPr>
          <w:rFonts w:hint="eastAsia" w:ascii="黑体" w:eastAsia="黑体" w:cs="黑体"/>
          <w:sz w:val="32"/>
          <w:szCs w:val="32"/>
          <w:lang w:val="zh-CN"/>
        </w:rPr>
        <w:t>项目概况</w:t>
      </w:r>
    </w:p>
    <w:p w14:paraId="40B5B220">
      <w:pPr>
        <w:adjustRightInd w:val="0"/>
        <w:snapToGrid w:val="0"/>
        <w:spacing w:line="560" w:lineRule="exact"/>
        <w:ind w:firstLine="720"/>
        <w:rPr>
          <w:rFonts w:hint="eastAsia" w:ascii="仿宋_GB2312" w:eastAsia="仿宋_GB2312" w:cs="仿宋_GB2312"/>
          <w:color w:val="000000"/>
          <w:sz w:val="32"/>
          <w:szCs w:val="32"/>
          <w:shd w:val="clear" w:color="auto" w:fill="FFFFFF"/>
        </w:rPr>
      </w:pPr>
      <w:r>
        <w:rPr>
          <w:rFonts w:hint="eastAsia" w:ascii="仿宋_GB2312" w:eastAsia="仿宋_GB2312" w:cs="仿宋_GB2312"/>
          <w:b/>
          <w:sz w:val="32"/>
          <w:szCs w:val="32"/>
          <w:lang w:val="zh-CN"/>
        </w:rPr>
        <w:t>（一）设立背景及基本情况。</w:t>
      </w:r>
      <w:r>
        <w:rPr>
          <w:rFonts w:hint="eastAsia" w:ascii="仿宋_GB2312" w:eastAsia="仿宋_GB2312" w:cs="仿宋_GB2312"/>
          <w:color w:val="000000"/>
          <w:sz w:val="32"/>
          <w:szCs w:val="32"/>
          <w:shd w:val="clear" w:color="auto" w:fill="FFFFFF"/>
        </w:rPr>
        <w:t>根据《中华人民共和国档案法》及党和国家有关档案工作的方针、政策，统筹规划全县各乡镇、部门、企事业单位档案工作，依法收集、整理全县重要档案资料，消除不安全因素，开展保管保护工作，保证其完整与安全，开展馆藏档案</w:t>
      </w:r>
      <w:r>
        <w:rPr>
          <w:rFonts w:hint="eastAsia" w:ascii="仿宋_GB2312" w:eastAsia="仿宋_GB2312" w:cs="仿宋_GB2312"/>
          <w:color w:val="000000"/>
          <w:sz w:val="32"/>
          <w:szCs w:val="32"/>
          <w:shd w:val="clear" w:color="auto" w:fill="FFFFFF"/>
          <w:lang w:eastAsia="zh-CN"/>
        </w:rPr>
        <w:t>数字</w:t>
      </w:r>
      <w:r>
        <w:rPr>
          <w:rFonts w:hint="eastAsia" w:ascii="仿宋_GB2312" w:eastAsia="仿宋_GB2312" w:cs="仿宋_GB2312"/>
          <w:color w:val="000000"/>
          <w:sz w:val="32"/>
          <w:szCs w:val="32"/>
          <w:shd w:val="clear" w:color="auto" w:fill="FFFFFF"/>
        </w:rPr>
        <w:t>资源</w:t>
      </w:r>
      <w:r>
        <w:rPr>
          <w:rFonts w:hint="eastAsia" w:ascii="仿宋_GB2312" w:eastAsia="仿宋_GB2312" w:cs="仿宋_GB2312"/>
          <w:color w:val="000000"/>
          <w:sz w:val="32"/>
          <w:szCs w:val="32"/>
          <w:shd w:val="clear" w:color="auto" w:fill="FFFFFF"/>
          <w:lang w:eastAsia="zh-CN"/>
        </w:rPr>
        <w:t>质检及整理</w:t>
      </w:r>
      <w:r>
        <w:rPr>
          <w:rFonts w:hint="eastAsia" w:ascii="仿宋_GB2312" w:eastAsia="仿宋_GB2312" w:cs="仿宋_GB2312"/>
          <w:color w:val="000000"/>
          <w:sz w:val="32"/>
          <w:szCs w:val="32"/>
          <w:shd w:val="clear" w:color="auto" w:fill="FFFFFF"/>
        </w:rPr>
        <w:t>。</w:t>
      </w:r>
      <w:r>
        <w:rPr>
          <w:rFonts w:hint="eastAsia" w:ascii="仿宋_GB2312" w:eastAsia="仿宋_GB2312" w:cs="仿宋_GB2312"/>
          <w:b w:val="0"/>
          <w:bCs/>
          <w:color w:val="auto"/>
          <w:sz w:val="32"/>
          <w:szCs w:val="32"/>
          <w:highlight w:val="none"/>
          <w:u w:val="none"/>
          <w:lang w:val="zh-CN"/>
        </w:rPr>
        <w:t>在项目实施过程中严格按照管理办法使用资金，做到专款专用，严禁虚报、挤占、挪用，无违反规定的行为发生。</w:t>
      </w:r>
    </w:p>
    <w:p w14:paraId="49CF6DED">
      <w:pPr>
        <w:adjustRightInd w:val="0"/>
        <w:snapToGrid w:val="0"/>
        <w:spacing w:line="578" w:lineRule="exact"/>
        <w:ind w:firstLine="643" w:firstLineChars="200"/>
        <w:rPr>
          <w:rFonts w:hint="eastAsia" w:ascii="仿宋_GB2312" w:eastAsia="仿宋_GB2312" w:cs="仿宋_GB2312"/>
          <w:b/>
          <w:sz w:val="32"/>
          <w:szCs w:val="32"/>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实施目的及支持方向。</w:t>
      </w:r>
      <w:r>
        <w:rPr>
          <w:rFonts w:hint="eastAsia" w:ascii="仿宋_GB2312" w:eastAsia="仿宋_GB2312" w:cs="仿宋_GB2312"/>
          <w:b w:val="0"/>
          <w:bCs/>
          <w:color w:val="auto"/>
          <w:sz w:val="32"/>
          <w:szCs w:val="32"/>
          <w:highlight w:val="none"/>
          <w:u w:val="none"/>
          <w:lang w:val="en-US" w:eastAsia="zh-CN"/>
        </w:rPr>
        <w:t xml:space="preserve">全州重点档案抢救和保护项目包括档案抢救、保护、移库、现代化管理。专项资金按照“谁使用、谁负责”的原则，承担资金使用和管理责任。      </w:t>
      </w:r>
    </w:p>
    <w:p w14:paraId="0AF0EE8A">
      <w:pPr>
        <w:widowControl/>
        <w:adjustRightInd w:val="0"/>
        <w:snapToGrid w:val="0"/>
        <w:spacing w:line="578" w:lineRule="exact"/>
        <w:ind w:firstLine="643" w:firstLineChars="200"/>
        <w:contextualSpacing/>
        <w:jc w:val="left"/>
        <w:rPr>
          <w:rFonts w:hint="eastAsia" w:ascii="仿宋_GB2312" w:eastAsia="仿宋_GB2312" w:cs="仿宋_GB2312"/>
          <w:kern w:val="0"/>
          <w:sz w:val="32"/>
          <w:szCs w:val="32"/>
          <w:shd w:val="clear" w:color="auto" w:fill="FFFFFF"/>
          <w:lang w:val="en-US"/>
        </w:rPr>
      </w:pPr>
      <w:r>
        <w:rPr>
          <w:rFonts w:hint="eastAsia" w:ascii="仿宋_GB2312" w:eastAsia="仿宋_GB2312" w:cs="仿宋_GB2312"/>
          <w:b/>
          <w:sz w:val="32"/>
          <w:szCs w:val="32"/>
          <w:lang w:val="zh-CN"/>
        </w:rPr>
        <w:t>（三）</w:t>
      </w:r>
      <w:r>
        <w:rPr>
          <w:rFonts w:hint="eastAsia" w:ascii="仿宋_GB2312" w:eastAsia="仿宋_GB2312" w:cs="仿宋_GB2312"/>
          <w:b/>
          <w:sz w:val="32"/>
          <w:szCs w:val="32"/>
        </w:rPr>
        <w:t>预算安排及分配管理</w:t>
      </w:r>
      <w:r>
        <w:rPr>
          <w:rFonts w:hint="eastAsia" w:ascii="仿宋_GB2312" w:eastAsia="仿宋_GB2312" w:cs="仿宋_GB2312"/>
          <w:b/>
          <w:sz w:val="32"/>
          <w:szCs w:val="32"/>
          <w:lang w:val="zh-CN"/>
        </w:rPr>
        <w:t>。</w:t>
      </w:r>
      <w:r>
        <w:rPr>
          <w:rFonts w:hint="eastAsia" w:ascii="仿宋_GB2312" w:eastAsia="仿宋_GB2312" w:cs="仿宋_GB2312"/>
          <w:b w:val="0"/>
          <w:bCs/>
          <w:color w:val="auto"/>
          <w:sz w:val="32"/>
          <w:szCs w:val="32"/>
          <w:highlight w:val="none"/>
          <w:u w:val="none"/>
          <w:lang w:val="zh-CN" w:eastAsia="zh-CN"/>
        </w:rPr>
        <w:t>根据省、州专项资金预算文件通知，</w:t>
      </w:r>
      <w:r>
        <w:rPr>
          <w:rFonts w:hint="eastAsia" w:ascii="仿宋_GB2312" w:eastAsia="仿宋_GB2312" w:cs="仿宋_GB2312"/>
          <w:b w:val="0"/>
          <w:bCs/>
          <w:color w:val="auto"/>
          <w:sz w:val="32"/>
          <w:szCs w:val="32"/>
          <w:highlight w:val="none"/>
          <w:u w:val="none"/>
          <w:lang w:val="en-US" w:eastAsia="zh-CN"/>
        </w:rPr>
        <w:t>9.97万元全部用于档案整理和数据质检等。</w:t>
      </w:r>
    </w:p>
    <w:p w14:paraId="7D1FF5BE">
      <w:pPr>
        <w:adjustRightInd w:val="0"/>
        <w:snapToGrid w:val="0"/>
        <w:spacing w:line="578" w:lineRule="exact"/>
        <w:ind w:firstLine="643" w:firstLineChars="200"/>
        <w:rPr>
          <w:rFonts w:hint="eastAsia" w:ascii="仿宋_GB2312" w:eastAsia="仿宋_GB2312" w:cs="仿宋_GB2312"/>
          <w:kern w:val="0"/>
          <w:sz w:val="32"/>
          <w:szCs w:val="32"/>
          <w:shd w:val="clear" w:color="auto" w:fill="FFFFFF"/>
          <w:lang w:val="zh-CN"/>
        </w:rPr>
      </w:pPr>
      <w:r>
        <w:rPr>
          <w:rFonts w:hint="eastAsia" w:ascii="仿宋_GB2312" w:eastAsia="仿宋_GB2312" w:cs="仿宋_GB2312"/>
          <w:b/>
          <w:sz w:val="32"/>
          <w:szCs w:val="32"/>
          <w:lang w:val="zh-CN"/>
        </w:rPr>
        <w:t>（四）项目绩效目标设置。</w:t>
      </w:r>
      <w:r>
        <w:rPr>
          <w:rFonts w:hint="eastAsia" w:ascii="仿宋_GB2312" w:eastAsia="仿宋_GB2312" w:cs="仿宋_GB2312"/>
          <w:kern w:val="0"/>
          <w:sz w:val="32"/>
          <w:szCs w:val="32"/>
          <w:shd w:val="clear" w:color="auto" w:fill="FFFFFF"/>
          <w:lang w:val="zh-CN"/>
        </w:rPr>
        <w:t>按照项目执行进度的要求，已执行并完成该项目支付。</w:t>
      </w:r>
    </w:p>
    <w:p w14:paraId="4CCF1F50">
      <w:pPr>
        <w:adjustRightInd w:val="0"/>
        <w:snapToGrid w:val="0"/>
        <w:spacing w:line="578" w:lineRule="exact"/>
        <w:ind w:firstLine="640" w:firstLineChars="200"/>
        <w:rPr>
          <w:rFonts w:hint="eastAsia" w:ascii="黑体" w:eastAsia="黑体" w:cs="黑体"/>
          <w:sz w:val="32"/>
          <w:szCs w:val="32"/>
        </w:rPr>
      </w:pPr>
      <w:r>
        <w:rPr>
          <w:rFonts w:hint="eastAsia" w:ascii="黑体" w:eastAsia="黑体" w:cs="黑体"/>
          <w:sz w:val="32"/>
          <w:szCs w:val="32"/>
        </w:rPr>
        <w:t>二、评价实施</w:t>
      </w:r>
    </w:p>
    <w:p w14:paraId="3E16F930">
      <w:pPr>
        <w:spacing w:line="578" w:lineRule="exact"/>
        <w:ind w:firstLine="640"/>
        <w:rPr>
          <w:rFonts w:hint="eastAsia" w:ascii="仿宋_GB2312" w:eastAsia="仿宋_GB2312" w:cs="仿宋_GB2312"/>
          <w:sz w:val="32"/>
          <w:szCs w:val="32"/>
        </w:rPr>
      </w:pPr>
      <w:r>
        <w:rPr>
          <w:rFonts w:hint="eastAsia" w:ascii="仿宋_GB2312" w:eastAsia="仿宋_GB2312" w:cs="仿宋_GB2312"/>
          <w:b/>
          <w:sz w:val="32"/>
          <w:szCs w:val="32"/>
          <w:lang w:val="zh-CN"/>
        </w:rPr>
        <w:t>（一）评价目的。</w:t>
      </w:r>
      <w:r>
        <w:rPr>
          <w:rFonts w:hint="eastAsia" w:ascii="仿宋_GB2312" w:eastAsia="仿宋_GB2312" w:cs="仿宋_GB2312"/>
          <w:kern w:val="2"/>
          <w:sz w:val="32"/>
          <w:szCs w:val="32"/>
        </w:rPr>
        <w:t>本次对项目投入经济性的评估是在项目预算测算的基础上，按照厉行节约的要求，结合实际需求、相关费用标准及市场价格水平，重点对数量是否合理、投入是否经济、测算是否准确、测算过程是否详细、测算依据是否充分等方面进行了评估。评估认为，该项</w:t>
      </w:r>
      <w:r>
        <w:rPr>
          <w:rFonts w:hint="eastAsia" w:ascii="仿宋_GB2312" w:eastAsia="仿宋_GB2312" w:cs="仿宋_GB2312"/>
          <w:kern w:val="2"/>
          <w:sz w:val="32"/>
          <w:szCs w:val="32"/>
          <w:u w:val="none"/>
        </w:rPr>
        <w:t>目任务数量基本合理、测算过程较为详细、测算依据基本充分、有一定的经济性。</w:t>
      </w:r>
    </w:p>
    <w:p w14:paraId="1EB078EB">
      <w:pPr>
        <w:spacing w:line="360" w:lineRule="auto"/>
        <w:ind w:firstLine="643" w:firstLineChars="200"/>
        <w:rPr>
          <w:rFonts w:hint="eastAsia" w:ascii="仿宋_GB2312" w:eastAsia="仿宋_GB2312" w:cs="仿宋_GB2312"/>
          <w:sz w:val="32"/>
          <w:szCs w:val="32"/>
          <w:lang w:eastAsia="zh-CN"/>
        </w:rPr>
      </w:pPr>
      <w:r>
        <w:rPr>
          <w:rFonts w:hint="eastAsia" w:ascii="仿宋_GB2312" w:eastAsia="仿宋_GB2312" w:cs="仿宋_GB2312"/>
          <w:b/>
          <w:sz w:val="32"/>
          <w:szCs w:val="32"/>
          <w:lang w:val="zh-CN"/>
        </w:rPr>
        <w:t>（二）预设问题及评价重点。</w:t>
      </w:r>
      <w:r>
        <w:rPr>
          <w:rFonts w:hint="eastAsia" w:ascii="仿宋_GB2312" w:eastAsia="仿宋_GB2312" w:cs="仿宋_GB2312"/>
          <w:b w:val="0"/>
          <w:bCs/>
          <w:color w:val="auto"/>
          <w:sz w:val="32"/>
          <w:szCs w:val="32"/>
          <w:highlight w:val="none"/>
          <w:u w:val="none"/>
          <w:lang w:val="zh-CN"/>
        </w:rPr>
        <w:t>对如何</w:t>
      </w:r>
      <w:r>
        <w:rPr>
          <w:rFonts w:hint="eastAsia" w:ascii="仿宋_GB2312" w:eastAsia="仿宋_GB2312" w:cs="仿宋_GB2312"/>
          <w:b w:val="0"/>
          <w:bCs/>
          <w:kern w:val="2"/>
          <w:sz w:val="32"/>
          <w:szCs w:val="32"/>
        </w:rPr>
        <w:t>提</w:t>
      </w:r>
      <w:r>
        <w:rPr>
          <w:rFonts w:hint="eastAsia" w:ascii="仿宋_GB2312" w:eastAsia="仿宋_GB2312" w:cs="仿宋_GB2312"/>
          <w:kern w:val="2"/>
          <w:sz w:val="32"/>
          <w:szCs w:val="32"/>
        </w:rPr>
        <w:t>高预算编制科学性、合理性，优化财政支出结构</w:t>
      </w:r>
      <w:r>
        <w:rPr>
          <w:rFonts w:hint="eastAsia" w:ascii="仿宋_GB2312" w:eastAsia="仿宋_GB2312" w:cs="仿宋_GB2312"/>
          <w:kern w:val="2"/>
          <w:sz w:val="32"/>
          <w:szCs w:val="32"/>
          <w:lang w:eastAsia="zh-CN"/>
        </w:rPr>
        <w:t>入手</w:t>
      </w:r>
      <w:r>
        <w:rPr>
          <w:rFonts w:hint="eastAsia" w:ascii="仿宋_GB2312" w:eastAsia="仿宋_GB2312" w:cs="仿宋_GB2312"/>
          <w:kern w:val="2"/>
          <w:sz w:val="32"/>
          <w:szCs w:val="32"/>
        </w:rPr>
        <w:t>，从源头上防控财政资源配置的低效无效，提高财政资源配置效率和财政资金使用效益。</w:t>
      </w:r>
    </w:p>
    <w:p w14:paraId="712A5119">
      <w:pPr>
        <w:adjustRightInd w:val="0"/>
        <w:snapToGrid w:val="0"/>
        <w:spacing w:line="578" w:lineRule="exact"/>
        <w:ind w:firstLine="643" w:firstLineChars="200"/>
        <w:rPr>
          <w:rFonts w:hint="eastAsia" w:ascii="仿宋_GB2312" w:eastAsia="仿宋_GB2312" w:cs="仿宋_GB2312"/>
          <w:sz w:val="32"/>
          <w:szCs w:val="32"/>
          <w:lang w:val="zh-CN"/>
        </w:rPr>
      </w:pPr>
      <w:r>
        <w:rPr>
          <w:rFonts w:hint="eastAsia" w:ascii="仿宋_GB2312" w:eastAsia="仿宋_GB2312" w:cs="仿宋_GB2312"/>
          <w:b/>
          <w:sz w:val="32"/>
          <w:szCs w:val="32"/>
          <w:lang w:val="zh-CN"/>
        </w:rPr>
        <w:t>（三）评价选点。</w:t>
      </w:r>
      <w:r>
        <w:rPr>
          <w:rFonts w:hint="eastAsia" w:ascii="仿宋_GB2312" w:eastAsia="仿宋_GB2312" w:cs="仿宋_GB2312"/>
          <w:kern w:val="2"/>
          <w:sz w:val="32"/>
          <w:szCs w:val="32"/>
        </w:rPr>
        <w:t>按照有关规定和工作安排，我单位开展自行评估，收集被评估项目相关基础资料，并查阅资料、收集数据信息等</w:t>
      </w:r>
      <w:r>
        <w:rPr>
          <w:rFonts w:hint="eastAsia" w:ascii="仿宋_GB2312" w:eastAsia="仿宋_GB2312" w:cs="仿宋_GB2312"/>
          <w:kern w:val="2"/>
          <w:sz w:val="32"/>
          <w:szCs w:val="32"/>
          <w:lang w:val="en-US" w:eastAsia="zh-CN"/>
        </w:rPr>
        <w:t>，</w:t>
      </w:r>
      <w:r>
        <w:rPr>
          <w:rFonts w:hint="eastAsia" w:ascii="仿宋_GB2312" w:eastAsia="仿宋_GB2312" w:cs="仿宋_GB2312"/>
          <w:kern w:val="2"/>
          <w:sz w:val="32"/>
          <w:szCs w:val="32"/>
          <w:lang w:val="zh-CN" w:eastAsia="zh-CN"/>
        </w:rPr>
        <w:t>查看数字资源质检、整理等</w:t>
      </w:r>
      <w:r>
        <w:rPr>
          <w:rFonts w:hint="eastAsia" w:ascii="仿宋_GB2312" w:eastAsia="仿宋_GB2312" w:cs="仿宋_GB2312"/>
          <w:kern w:val="2"/>
          <w:sz w:val="32"/>
          <w:szCs w:val="32"/>
          <w:lang w:val="en-US" w:eastAsia="zh-CN"/>
        </w:rPr>
        <w:t>工作完成情况、完成时效、完成质量等</w:t>
      </w:r>
      <w:r>
        <w:rPr>
          <w:rFonts w:hint="eastAsia" w:ascii="仿宋_GB2312" w:eastAsia="仿宋_GB2312" w:cs="仿宋_GB2312"/>
          <w:kern w:val="2"/>
          <w:sz w:val="32"/>
          <w:szCs w:val="32"/>
        </w:rPr>
        <w:t>。</w:t>
      </w:r>
    </w:p>
    <w:p w14:paraId="1E90BEB3">
      <w:pPr>
        <w:spacing w:line="578" w:lineRule="exact"/>
        <w:ind w:firstLine="640"/>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sz w:val="32"/>
          <w:szCs w:val="32"/>
          <w:lang w:val="zh-CN"/>
        </w:rPr>
        <w:t>（四）评价方法。</w:t>
      </w:r>
      <w:r>
        <w:rPr>
          <w:rFonts w:hint="eastAsia" w:ascii="仿宋_GB2312" w:eastAsia="仿宋_GB2312" w:cs="仿宋_GB2312"/>
          <w:b w:val="0"/>
          <w:bCs/>
          <w:color w:val="auto"/>
          <w:sz w:val="32"/>
          <w:szCs w:val="32"/>
          <w:highlight w:val="none"/>
          <w:u w:val="none"/>
          <w:lang w:val="zh-CN"/>
        </w:rPr>
        <w:t>根据项目情况和评价重点，</w:t>
      </w:r>
      <w:r>
        <w:rPr>
          <w:rFonts w:hint="eastAsia" w:ascii="仿宋_GB2312" w:eastAsia="仿宋_GB2312" w:cs="仿宋_GB2312"/>
          <w:b w:val="0"/>
          <w:bCs/>
          <w:color w:val="auto"/>
          <w:sz w:val="32"/>
          <w:szCs w:val="32"/>
          <w:highlight w:val="none"/>
          <w:u w:val="none"/>
          <w:lang w:val="zh-CN" w:eastAsia="zh-CN"/>
        </w:rPr>
        <w:t>主要采用</w:t>
      </w:r>
      <w:r>
        <w:rPr>
          <w:rFonts w:hint="eastAsia" w:ascii="仿宋_GB2312" w:eastAsia="仿宋_GB2312" w:cs="仿宋_GB2312"/>
          <w:b w:val="0"/>
          <w:bCs/>
          <w:color w:val="auto"/>
          <w:sz w:val="32"/>
          <w:szCs w:val="32"/>
          <w:highlight w:val="none"/>
          <w:u w:val="none"/>
          <w:lang w:val="zh-CN"/>
        </w:rPr>
        <w:t>单位自评法</w:t>
      </w:r>
      <w:r>
        <w:rPr>
          <w:rFonts w:hint="eastAsia" w:ascii="仿宋_GB2312" w:eastAsia="仿宋_GB2312" w:cs="仿宋_GB2312"/>
          <w:b w:val="0"/>
          <w:bCs/>
          <w:color w:val="auto"/>
          <w:sz w:val="32"/>
          <w:szCs w:val="32"/>
          <w:highlight w:val="none"/>
          <w:u w:val="none"/>
          <w:lang w:val="zh-CN" w:eastAsia="zh-CN"/>
        </w:rPr>
        <w:t>，结合评价内容，做到有计划、有安排。按照上级下达的项目支出绩效评价指标体系，针对建设内容、实施情况、资金兑现、财务管理、社会效益等做出自评。</w:t>
      </w:r>
    </w:p>
    <w:p w14:paraId="68B5F294">
      <w:pPr>
        <w:adjustRightInd w:val="0"/>
        <w:snapToGrid w:val="0"/>
        <w:spacing w:line="578" w:lineRule="exact"/>
        <w:ind w:firstLine="643" w:firstLineChars="200"/>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sz w:val="32"/>
          <w:szCs w:val="32"/>
          <w:lang w:val="zh-CN"/>
        </w:rPr>
        <w:t>（五）评价组织。</w:t>
      </w:r>
      <w:r>
        <w:rPr>
          <w:rFonts w:hint="eastAsia" w:ascii="仿宋_GB2312" w:eastAsia="仿宋_GB2312" w:cs="仿宋_GB2312"/>
          <w:b w:val="0"/>
          <w:bCs/>
          <w:color w:val="auto"/>
          <w:sz w:val="32"/>
          <w:szCs w:val="32"/>
          <w:highlight w:val="none"/>
          <w:u w:val="none"/>
          <w:lang w:val="zh-CN" w:eastAsia="zh-CN"/>
        </w:rPr>
        <w:t>评价组人员由单位负责人、分管领导及业务股室负责人组成；单位负责人牵头负责，分管领导组织业务股室自行评价。</w:t>
      </w:r>
    </w:p>
    <w:p w14:paraId="6FC124E9">
      <w:pPr>
        <w:adjustRightInd w:val="0"/>
        <w:snapToGrid w:val="0"/>
        <w:spacing w:line="578" w:lineRule="exact"/>
        <w:ind w:firstLine="640" w:firstLineChars="200"/>
        <w:rPr>
          <w:rFonts w:hint="eastAsia" w:ascii="黑体" w:eastAsia="黑体" w:cs="黑体"/>
          <w:sz w:val="32"/>
          <w:szCs w:val="32"/>
          <w:lang w:val="zh-CN"/>
        </w:rPr>
      </w:pPr>
      <w:r>
        <w:rPr>
          <w:rFonts w:hint="eastAsia" w:ascii="黑体" w:eastAsia="黑体" w:cs="黑体"/>
          <w:sz w:val="32"/>
          <w:szCs w:val="32"/>
        </w:rPr>
        <w:t>三、绩效分析</w:t>
      </w:r>
      <w:r>
        <w:rPr>
          <w:rFonts w:hint="eastAsia" w:ascii="黑体" w:eastAsia="黑体" w:cs="黑体"/>
          <w:sz w:val="32"/>
          <w:szCs w:val="32"/>
          <w:lang w:val="zh-CN"/>
        </w:rPr>
        <w:tab/>
      </w:r>
    </w:p>
    <w:p w14:paraId="011AFABF">
      <w:pPr>
        <w:spacing w:line="578" w:lineRule="exact"/>
        <w:ind w:firstLine="640"/>
        <w:rPr>
          <w:rFonts w:hint="eastAsia" w:ascii="仿宋_GB2312" w:eastAsia="仿宋_GB2312" w:cs="仿宋_GB2312"/>
          <w:b/>
          <w:sz w:val="32"/>
          <w:szCs w:val="32"/>
        </w:rPr>
      </w:pPr>
      <w:r>
        <w:rPr>
          <w:rFonts w:hint="eastAsia" w:ascii="仿宋_GB2312" w:eastAsia="仿宋_GB2312" w:cs="仿宋_GB2312"/>
          <w:b/>
          <w:sz w:val="32"/>
          <w:szCs w:val="32"/>
          <w:lang w:val="zh-CN"/>
        </w:rPr>
        <w:t>（一）</w:t>
      </w:r>
      <w:r>
        <w:rPr>
          <w:rFonts w:hint="eastAsia" w:ascii="仿宋_GB2312" w:eastAsia="仿宋_GB2312" w:cs="仿宋_GB2312"/>
          <w:b/>
          <w:sz w:val="32"/>
          <w:szCs w:val="32"/>
        </w:rPr>
        <w:t>通用指标</w:t>
      </w:r>
      <w:r>
        <w:rPr>
          <w:rFonts w:hint="eastAsia" w:ascii="仿宋_GB2312" w:eastAsia="仿宋_GB2312" w:cs="仿宋_GB2312"/>
          <w:b/>
          <w:bCs/>
          <w:color w:val="000000"/>
          <w:kern w:val="0"/>
          <w:sz w:val="32"/>
          <w:szCs w:val="32"/>
          <w:shd w:val="clear" w:color="auto" w:fill="FFFFFF"/>
          <w:lang w:val="zh-CN"/>
        </w:rPr>
        <w:t>绩效分析</w:t>
      </w:r>
    </w:p>
    <w:p w14:paraId="01EE7D22">
      <w:pPr>
        <w:spacing w:line="360" w:lineRule="auto"/>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eastAsia="zh-CN"/>
        </w:rPr>
        <w:t>项目决策。</w:t>
      </w:r>
      <w:r>
        <w:rPr>
          <w:rFonts w:hint="eastAsia" w:ascii="仿宋_GB2312" w:eastAsia="仿宋_GB2312" w:cs="仿宋_GB2312"/>
          <w:color w:val="auto"/>
          <w:sz w:val="32"/>
          <w:szCs w:val="32"/>
          <w:lang w:val="zh-CN" w:eastAsia="zh-CN"/>
        </w:rPr>
        <w:t>按照省、州档案馆要求，实施项目申报、组织评审、提出方案、审批备案等程序确定。制定项目验收实施细则，组织开展验收工作，专项资金按照“谁使用、谁负责”的原则。</w:t>
      </w:r>
    </w:p>
    <w:p w14:paraId="7103BFE7">
      <w:pPr>
        <w:spacing w:line="360" w:lineRule="auto"/>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eastAsia="zh-CN"/>
        </w:rPr>
        <w:t>项目管理。</w:t>
      </w:r>
      <w:r>
        <w:rPr>
          <w:rFonts w:hint="eastAsia" w:ascii="仿宋_GB2312" w:eastAsia="仿宋_GB2312" w:cs="仿宋_GB2312"/>
          <w:kern w:val="2"/>
          <w:sz w:val="32"/>
          <w:szCs w:val="32"/>
          <w:lang w:eastAsia="zh-CN"/>
        </w:rPr>
        <w:t>该项目已</w:t>
      </w:r>
      <w:r>
        <w:rPr>
          <w:rFonts w:hint="eastAsia" w:ascii="仿宋_GB2312" w:eastAsia="仿宋_GB2312" w:cs="仿宋_GB2312"/>
          <w:kern w:val="2"/>
          <w:sz w:val="32"/>
          <w:szCs w:val="32"/>
        </w:rPr>
        <w:t>制定实施方案，组织机构健全，职责分工明确，有明确的工作程序，基础设施条件能够有效保障，资金能足额保证，具有相应的质量检查、验收等必要的控制措施或手段</w:t>
      </w:r>
      <w:r>
        <w:rPr>
          <w:rFonts w:hint="eastAsia" w:ascii="仿宋_GB2312" w:eastAsia="仿宋_GB2312" w:cs="仿宋_GB2312"/>
          <w:kern w:val="2"/>
          <w:sz w:val="32"/>
          <w:szCs w:val="32"/>
          <w:lang w:eastAsia="zh-CN"/>
        </w:rPr>
        <w:t>。</w:t>
      </w:r>
    </w:p>
    <w:p w14:paraId="63169D6C">
      <w:pPr>
        <w:spacing w:line="240" w:lineRule="auto"/>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3.项目实施。</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根据省州档案馆要求进行比选询价中标。（2）根据茂县档案馆档案整理和数据质检项目合同内容组织实施。（3）组织现场验收。（4）拨付资金。（5）绩效评估，共计执行预算拨付资金9.97万元，占预算支出的100%。</w:t>
      </w:r>
    </w:p>
    <w:p w14:paraId="6861DAC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9"/>
        <w:rPr>
          <w:rFonts w:hint="eastAsia" w:ascii="仿宋_GB2312" w:eastAsia="仿宋_GB2312" w:cs="仿宋_GB2312"/>
          <w:color w:val="auto"/>
          <w:sz w:val="32"/>
          <w:szCs w:val="32"/>
          <w:lang w:eastAsia="zh-CN"/>
        </w:rPr>
      </w:pPr>
      <w:r>
        <w:rPr>
          <w:rFonts w:hint="eastAsia" w:ascii="仿宋_GB2312" w:eastAsia="仿宋_GB2312" w:cs="仿宋_GB2312"/>
          <w:sz w:val="32"/>
          <w:szCs w:val="32"/>
        </w:rPr>
        <w:t>4.项目结果。</w:t>
      </w:r>
      <w:r>
        <w:rPr>
          <w:rFonts w:hint="eastAsia" w:ascii="仿宋_GB2312" w:eastAsia="仿宋_GB2312" w:cs="仿宋_GB2312"/>
          <w:b w:val="0"/>
          <w:bCs/>
          <w:color w:val="000000"/>
          <w:kern w:val="0"/>
          <w:sz w:val="32"/>
          <w:szCs w:val="32"/>
          <w:lang w:val="en-US" w:eastAsia="zh-CN" w:bidi="ar-SA"/>
        </w:rPr>
        <w:t>保证了部门的正常运行和业务工作的正常开展，项目支出保障了重点工作的开展，绩效目标得到较好实现，绩效管理水平不断提高，绩效指标体系逐渐丰富和完善。</w:t>
      </w:r>
    </w:p>
    <w:p w14:paraId="729F0DA7">
      <w:pPr>
        <w:spacing w:line="578" w:lineRule="exact"/>
        <w:ind w:firstLine="643" w:firstLineChars="200"/>
        <w:rPr>
          <w:rFonts w:hint="eastAsia" w:ascii="仿宋_GB2312" w:eastAsia="仿宋_GB2312" w:cs="仿宋_GB2312"/>
          <w:sz w:val="32"/>
          <w:szCs w:val="32"/>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专用指标</w:t>
      </w:r>
      <w:r>
        <w:rPr>
          <w:rFonts w:hint="eastAsia" w:ascii="仿宋_GB2312" w:eastAsia="仿宋_GB2312" w:cs="仿宋_GB2312"/>
          <w:b/>
          <w:bCs/>
          <w:color w:val="000000"/>
          <w:kern w:val="0"/>
          <w:sz w:val="32"/>
          <w:szCs w:val="32"/>
          <w:shd w:val="clear" w:color="auto" w:fill="FFFFFF"/>
          <w:lang w:val="zh-CN"/>
        </w:rPr>
        <w:t>绩效分析</w:t>
      </w:r>
    </w:p>
    <w:p w14:paraId="621FC20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1.产业发展。无</w:t>
      </w:r>
    </w:p>
    <w:p w14:paraId="58A8CB8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2.民生保障。档案数字资源质检、整理，保证了数字资源的准确性、完整性，使档案馆数字化查阅、利用方便、快捷，查阅利用人员满意。</w:t>
      </w:r>
    </w:p>
    <w:p w14:paraId="09CDF89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3.基础设施。无</w:t>
      </w:r>
    </w:p>
    <w:p w14:paraId="7DEF386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4.行政运转。无</w:t>
      </w:r>
    </w:p>
    <w:p w14:paraId="640ED8D9">
      <w:pPr>
        <w:spacing w:line="578" w:lineRule="exact"/>
        <w:ind w:firstLine="64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sz w:val="32"/>
          <w:szCs w:val="32"/>
          <w:lang w:val="zh-CN"/>
        </w:rPr>
        <w:t>（三）</w:t>
      </w:r>
      <w:r>
        <w:rPr>
          <w:rFonts w:hint="eastAsia" w:ascii="仿宋_GB2312" w:eastAsia="仿宋_GB2312" w:cs="仿宋_GB2312"/>
          <w:b/>
          <w:sz w:val="32"/>
          <w:szCs w:val="32"/>
        </w:rPr>
        <w:t>个性指标</w:t>
      </w:r>
      <w:r>
        <w:rPr>
          <w:rFonts w:hint="eastAsia" w:ascii="仿宋_GB2312" w:eastAsia="仿宋_GB2312" w:cs="仿宋_GB2312"/>
          <w:b/>
          <w:bCs/>
          <w:color w:val="000000"/>
          <w:kern w:val="0"/>
          <w:sz w:val="32"/>
          <w:szCs w:val="32"/>
          <w:shd w:val="clear" w:color="auto" w:fill="FFFFFF"/>
          <w:lang w:val="zh-CN"/>
        </w:rPr>
        <w:t>绩效分析</w:t>
      </w:r>
    </w:p>
    <w:p w14:paraId="3410695A">
      <w:pPr>
        <w:spacing w:line="578" w:lineRule="exact"/>
        <w:ind w:firstLine="640"/>
        <w:rPr>
          <w:rFonts w:hint="eastAsia" w:ascii="仿宋_GB2312" w:eastAsia="仿宋_GB2312" w:cs="仿宋_GB2312"/>
          <w:sz w:val="32"/>
          <w:szCs w:val="32"/>
        </w:rPr>
      </w:pPr>
      <w:r>
        <w:rPr>
          <w:rFonts w:hint="eastAsia" w:ascii="仿宋_GB2312" w:eastAsia="仿宋_GB2312" w:cs="仿宋_GB2312"/>
          <w:sz w:val="32"/>
          <w:szCs w:val="32"/>
          <w:lang w:val="zh-CN"/>
        </w:rPr>
        <w:t>档案数字化建设达到档案查阅利用方便、快捷，查阅利用档案人员满意度高的原则。</w:t>
      </w:r>
    </w:p>
    <w:p w14:paraId="0B04AE07">
      <w:pPr>
        <w:pStyle w:val="6"/>
        <w:tabs>
          <w:tab w:val="left" w:pos="2160"/>
        </w:tabs>
        <w:spacing w:line="600" w:lineRule="exact"/>
        <w:ind w:firstLine="640" w:firstLineChars="200"/>
        <w:rPr>
          <w:rFonts w:hint="eastAsia" w:ascii="黑体" w:eastAsia="黑体" w:cs="黑体"/>
          <w:sz w:val="32"/>
          <w:szCs w:val="32"/>
          <w:lang w:eastAsia="zh-CN"/>
        </w:rPr>
      </w:pPr>
      <w:r>
        <w:rPr>
          <w:rFonts w:hint="eastAsia" w:ascii="黑体" w:eastAsia="黑体" w:cs="黑体"/>
          <w:sz w:val="32"/>
          <w:szCs w:val="32"/>
          <w:lang w:eastAsia="zh-CN"/>
        </w:rPr>
        <w:t>四、评价结论</w:t>
      </w:r>
    </w:p>
    <w:p w14:paraId="0005EEAE">
      <w:pPr>
        <w:pStyle w:val="6"/>
        <w:pageBreakBefore w:val="0"/>
        <w:widowControl w:val="0"/>
        <w:tabs>
          <w:tab w:val="left" w:pos="2160"/>
        </w:tabs>
        <w:kinsoku/>
        <w:wordWrap/>
        <w:overflowPunct/>
        <w:topLinePunct w:val="0"/>
        <w:autoSpaceDE/>
        <w:autoSpaceDN/>
        <w:bidi w:val="0"/>
        <w:adjustRightInd/>
        <w:spacing w:line="600" w:lineRule="exact"/>
        <w:ind w:left="0" w:firstLine="640" w:firstLineChars="200"/>
        <w:textAlignment w:val="auto"/>
        <w:rPr>
          <w:rFonts w:hint="eastAsia" w:ascii="仿宋_GB2312" w:eastAsia="仿宋_GB2312" w:cs="仿宋_GB2312"/>
          <w:i w:val="0"/>
          <w:iCs w:val="0"/>
          <w:caps w:val="0"/>
          <w:smallCaps w:val="0"/>
          <w:color w:val="000000"/>
          <w:spacing w:val="0"/>
          <w:sz w:val="32"/>
          <w:szCs w:val="32"/>
          <w:shd w:val="clear" w:color="auto" w:fill="FFFFFF"/>
        </w:rPr>
      </w:pPr>
      <w:r>
        <w:rPr>
          <w:rFonts w:hint="eastAsia" w:ascii="仿宋_GB2312" w:eastAsia="仿宋_GB2312" w:cs="仿宋_GB2312"/>
          <w:i w:val="0"/>
          <w:iCs w:val="0"/>
          <w:caps w:val="0"/>
          <w:smallCaps w:val="0"/>
          <w:color w:val="000000"/>
          <w:spacing w:val="0"/>
          <w:sz w:val="32"/>
          <w:szCs w:val="32"/>
          <w:shd w:val="clear" w:color="auto" w:fill="FFFFFF"/>
          <w:lang w:eastAsia="zh-CN"/>
        </w:rPr>
        <w:t>档案数字资源质检与整理</w:t>
      </w:r>
      <w:r>
        <w:rPr>
          <w:rFonts w:hint="eastAsia" w:ascii="仿宋_GB2312" w:eastAsia="仿宋_GB2312" w:cs="仿宋_GB2312"/>
          <w:i w:val="0"/>
          <w:iCs w:val="0"/>
          <w:caps w:val="0"/>
          <w:smallCaps w:val="0"/>
          <w:color w:val="000000"/>
          <w:spacing w:val="0"/>
          <w:sz w:val="32"/>
          <w:szCs w:val="32"/>
          <w:shd w:val="clear" w:color="auto" w:fill="FFFFFF"/>
        </w:rPr>
        <w:t>，预算执行率达到100%，全面完成年度绩效总体目标和各项绩效指标，有效发挥了财政资金的使用效率。</w:t>
      </w:r>
    </w:p>
    <w:p w14:paraId="3C5832A6">
      <w:pPr>
        <w:pStyle w:val="6"/>
        <w:tabs>
          <w:tab w:val="left" w:pos="2160"/>
        </w:tabs>
        <w:spacing w:line="600" w:lineRule="exact"/>
        <w:ind w:firstLine="640" w:firstLineChars="200"/>
        <w:rPr>
          <w:rFonts w:hint="eastAsia" w:ascii="黑体" w:eastAsia="黑体" w:cs="黑体"/>
          <w:sz w:val="32"/>
          <w:szCs w:val="32"/>
          <w:lang w:eastAsia="zh-CN"/>
        </w:rPr>
      </w:pPr>
      <w:r>
        <w:rPr>
          <w:rFonts w:hint="eastAsia" w:ascii="黑体" w:eastAsia="黑体" w:cs="黑体"/>
          <w:sz w:val="32"/>
          <w:szCs w:val="32"/>
          <w:lang w:eastAsia="zh-CN"/>
        </w:rPr>
        <w:t>五、存在主要问题</w:t>
      </w:r>
    </w:p>
    <w:p w14:paraId="50EF88DC">
      <w:pPr>
        <w:pStyle w:val="6"/>
        <w:tabs>
          <w:tab w:val="left" w:pos="2160"/>
        </w:tabs>
        <w:spacing w:line="600" w:lineRule="exact"/>
        <w:ind w:firstLine="640" w:firstLineChars="200"/>
        <w:rPr>
          <w:rFonts w:ascii="仿宋_GB2312" w:eastAsia="仿宋_GB2312" w:cs="仿宋_GB2312"/>
          <w:kern w:val="2"/>
          <w:position w:val="0"/>
          <w:sz w:val="32"/>
          <w:szCs w:val="32"/>
          <w:lang w:val="en-US" w:eastAsia="zh-CN"/>
        </w:rPr>
      </w:pPr>
      <w:r>
        <w:rPr>
          <w:rFonts w:hint="eastAsia" w:cs="仿宋_GB2312"/>
          <w:kern w:val="2"/>
          <w:position w:val="0"/>
          <w:sz w:val="32"/>
          <w:szCs w:val="32"/>
          <w:lang w:val="en-US" w:eastAsia="zh-CN"/>
        </w:rPr>
        <w:t>2024年茂县档案馆无预算绩效自评发现的主要问题。</w:t>
      </w:r>
    </w:p>
    <w:p w14:paraId="61201D58">
      <w:pPr>
        <w:pStyle w:val="6"/>
        <w:tabs>
          <w:tab w:val="left" w:pos="2160"/>
        </w:tabs>
        <w:spacing w:line="600" w:lineRule="exact"/>
        <w:ind w:firstLine="640" w:firstLineChars="200"/>
        <w:rPr>
          <w:rFonts w:hint="eastAsia" w:ascii="黑体" w:eastAsia="黑体" w:cs="黑体"/>
          <w:sz w:val="32"/>
          <w:szCs w:val="32"/>
          <w:lang w:val="zh-CN" w:eastAsia="zh-CN"/>
        </w:rPr>
      </w:pPr>
      <w:r>
        <w:rPr>
          <w:rFonts w:hint="eastAsia" w:ascii="黑体" w:eastAsia="黑体" w:cs="黑体"/>
          <w:sz w:val="32"/>
          <w:szCs w:val="32"/>
          <w:lang w:val="zh-CN" w:eastAsia="zh-CN"/>
        </w:rPr>
        <w:t>六、改进建议</w:t>
      </w:r>
    </w:p>
    <w:p w14:paraId="4A52A64A">
      <w:pPr>
        <w:tabs>
          <w:tab w:val="left" w:pos="1911"/>
        </w:tabs>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2024年茂县档案馆无改进建议。</w:t>
      </w:r>
    </w:p>
    <w:p w14:paraId="42B39670">
      <w:pPr>
        <w:snapToGrid w:val="0"/>
        <w:spacing w:line="578" w:lineRule="exact"/>
        <w:ind w:firstLine="640" w:firstLineChars="2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附表：1.专项预算绩效自评打分表</w:t>
      </w:r>
    </w:p>
    <w:p w14:paraId="6AD00126">
      <w:pPr>
        <w:snapToGrid w:val="0"/>
        <w:spacing w:line="578" w:lineRule="exact"/>
        <w:ind w:firstLine="1600" w:firstLineChars="5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2.专项预算项目绩效目标完成情况自评表</w:t>
      </w:r>
    </w:p>
    <w:p w14:paraId="3FBDE4D1">
      <w:pPr>
        <w:snapToGrid w:val="0"/>
        <w:spacing w:line="578" w:lineRule="exact"/>
        <w:ind w:firstLine="640" w:firstLineChars="200"/>
        <w:rPr>
          <w:rFonts w:hint="eastAsia" w:ascii="仿宋_GB2312" w:eastAsia="仿宋_GB2312" w:cs="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br w:type="page"/>
      </w:r>
    </w:p>
    <w:p w14:paraId="03A82544">
      <w:pPr>
        <w:snapToGrid w:val="0"/>
        <w:spacing w:line="578" w:lineRule="exact"/>
        <w:rPr>
          <w:rFonts w:hint="eastAsia" w:ascii="仿宋_GB2312" w:eastAsia="仿宋_GB2312" w:cs="仿宋_GB2312"/>
          <w:kern w:val="0"/>
          <w:shd w:val="clear" w:color="auto" w:fill="FFFFFF"/>
        </w:rPr>
      </w:pPr>
      <w:r>
        <w:rPr>
          <w:rFonts w:hint="eastAsia" w:ascii="仿宋_GB2312" w:eastAsia="仿宋_GB2312" w:cs="仿宋_GB2312"/>
          <w:kern w:val="0"/>
          <w:shd w:val="clear" w:color="auto" w:fill="FFFFFF"/>
          <w:lang w:val="zh-CN"/>
        </w:rPr>
        <w:t>附表</w:t>
      </w:r>
      <w:r>
        <w:rPr>
          <w:rFonts w:hint="eastAsia" w:ascii="仿宋_GB2312" w:eastAsia="仿宋_GB2312" w:cs="仿宋_GB2312"/>
          <w:kern w:val="0"/>
          <w:shd w:val="clear" w:color="auto" w:fill="FFFFFF"/>
        </w:rPr>
        <w:t>1</w:t>
      </w:r>
    </w:p>
    <w:p w14:paraId="6CDE60B6">
      <w:pPr>
        <w:spacing w:line="578" w:lineRule="exact"/>
        <w:jc w:val="center"/>
        <w:rPr>
          <w:rFonts w:hint="eastAsia" w:ascii="仿宋_GB2312" w:eastAsia="仿宋_GB2312" w:cs="仿宋_GB2312"/>
          <w:sz w:val="40"/>
          <w:szCs w:val="40"/>
        </w:rPr>
      </w:pPr>
      <w:r>
        <w:rPr>
          <w:rFonts w:hint="eastAsia" w:ascii="仿宋_GB2312" w:eastAsia="仿宋_GB2312" w:cs="仿宋_GB2312"/>
          <w:sz w:val="40"/>
          <w:szCs w:val="40"/>
        </w:rPr>
        <w:t>专项预算绩效自评打分表</w:t>
      </w:r>
    </w:p>
    <w:tbl>
      <w:tblPr>
        <w:tblStyle w:val="22"/>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66D2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ign w:val="center"/>
          </w:tcPr>
          <w:p w14:paraId="3D2BEBF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ign w:val="center"/>
          </w:tcPr>
          <w:p w14:paraId="1298343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指标解释</w:t>
            </w:r>
          </w:p>
        </w:tc>
        <w:tc>
          <w:tcPr>
            <w:tcW w:w="732" w:type="dxa"/>
            <w:vMerge w:val="restart"/>
            <w:tcBorders>
              <w:top w:val="single" w:color="000000" w:sz="4" w:space="0"/>
              <w:left w:val="single" w:color="000000" w:sz="4" w:space="0"/>
              <w:right w:val="single" w:color="000000" w:sz="4" w:space="0"/>
            </w:tcBorders>
            <w:noWrap/>
            <w:vAlign w:val="center"/>
          </w:tcPr>
          <w:p w14:paraId="4CECBDB6">
            <w:pPr>
              <w:widowControl/>
              <w:spacing w:line="24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自评得分</w:t>
            </w:r>
          </w:p>
        </w:tc>
        <w:tc>
          <w:tcPr>
            <w:tcW w:w="468" w:type="dxa"/>
            <w:vMerge w:val="restart"/>
            <w:tcBorders>
              <w:top w:val="single" w:color="000000" w:sz="4" w:space="0"/>
              <w:left w:val="single" w:color="000000" w:sz="4" w:space="0"/>
              <w:right w:val="single" w:color="000000" w:sz="4" w:space="0"/>
            </w:tcBorders>
            <w:noWrap/>
            <w:vAlign w:val="center"/>
          </w:tcPr>
          <w:p w14:paraId="020225E1">
            <w:pPr>
              <w:widowControl/>
              <w:spacing w:line="24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备注</w:t>
            </w:r>
          </w:p>
        </w:tc>
      </w:tr>
      <w:tr w14:paraId="379D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5AF810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ign w:val="center"/>
          </w:tcPr>
          <w:p w14:paraId="75CA4C4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二级指标</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0E64DC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三级指标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6536F63">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r>
              <w:rPr>
                <w:rFonts w:hint="eastAsia" w:ascii="仿宋_GB2312" w:eastAsia="仿宋_GB2312" w:cs="仿宋_GB2312"/>
                <w:color w:val="000000"/>
                <w:kern w:val="0"/>
                <w:sz w:val="24"/>
                <w:szCs w:val="24"/>
              </w:rPr>
              <w:br w:type="textWrapping"/>
            </w:r>
            <w:r>
              <w:rPr>
                <w:rFonts w:hint="eastAsia" w:ascii="仿宋_GB2312" w:eastAsia="仿宋_GB2312" w:cs="仿宋_GB2312"/>
                <w:color w:val="000000"/>
                <w:kern w:val="0"/>
                <w:sz w:val="24"/>
                <w:szCs w:val="24"/>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ign w:val="center"/>
          </w:tcPr>
          <w:p w14:paraId="43224ECF"/>
        </w:tc>
        <w:tc>
          <w:tcPr>
            <w:tcW w:w="732" w:type="dxa"/>
            <w:vMerge w:val="continue"/>
            <w:tcBorders>
              <w:left w:val="single" w:color="000000" w:sz="4" w:space="0"/>
              <w:bottom w:val="single" w:color="000000" w:sz="4" w:space="0"/>
              <w:right w:val="single" w:color="000000" w:sz="4" w:space="0"/>
            </w:tcBorders>
            <w:noWrap/>
            <w:vAlign w:val="center"/>
          </w:tcPr>
          <w:p w14:paraId="0F1C05D7"/>
        </w:tc>
        <w:tc>
          <w:tcPr>
            <w:tcW w:w="468" w:type="dxa"/>
            <w:vMerge w:val="continue"/>
            <w:tcBorders>
              <w:left w:val="single" w:color="000000" w:sz="4" w:space="0"/>
              <w:bottom w:val="single" w:color="000000" w:sz="4" w:space="0"/>
              <w:right w:val="single" w:color="000000" w:sz="4" w:space="0"/>
            </w:tcBorders>
            <w:noWrap/>
            <w:vAlign w:val="center"/>
          </w:tcPr>
          <w:p w14:paraId="4D72F9D8"/>
        </w:tc>
      </w:tr>
      <w:tr w14:paraId="1904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3EC3BC05">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通用指标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CBCBAB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项目决策</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（18分）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7094258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决策程序</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3873C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2DC46934">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4AEBC90">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95A1ADC">
            <w:pPr>
              <w:widowControl/>
              <w:spacing w:line="240" w:lineRule="exact"/>
              <w:jc w:val="left"/>
              <w:textAlignment w:val="center"/>
              <w:rPr>
                <w:rFonts w:hint="eastAsia" w:ascii="仿宋_GB2312" w:eastAsia="仿宋_GB2312" w:cs="仿宋_GB2312"/>
                <w:color w:val="000000"/>
                <w:kern w:val="0"/>
                <w:sz w:val="24"/>
                <w:szCs w:val="24"/>
              </w:rPr>
            </w:pPr>
          </w:p>
        </w:tc>
      </w:tr>
      <w:tr w14:paraId="7262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3492EFF"/>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24CF2E8"/>
        </w:tc>
        <w:tc>
          <w:tcPr>
            <w:tcW w:w="1355" w:type="dxa"/>
            <w:tcBorders>
              <w:top w:val="single" w:color="000000" w:sz="4" w:space="0"/>
              <w:left w:val="single" w:color="000000" w:sz="4" w:space="0"/>
              <w:bottom w:val="single" w:color="000000" w:sz="4" w:space="0"/>
              <w:right w:val="single" w:color="000000" w:sz="4" w:space="0"/>
            </w:tcBorders>
            <w:noWrap/>
            <w:vAlign w:val="center"/>
          </w:tcPr>
          <w:p w14:paraId="70E714E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规划论证</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A4CA6C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46EAB7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4ECDDBF">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3BD7956">
            <w:pPr>
              <w:widowControl/>
              <w:spacing w:line="240" w:lineRule="exact"/>
              <w:jc w:val="left"/>
              <w:textAlignment w:val="center"/>
              <w:rPr>
                <w:rFonts w:hint="eastAsia" w:ascii="仿宋_GB2312" w:eastAsia="仿宋_GB2312" w:cs="仿宋_GB2312"/>
                <w:color w:val="000000"/>
                <w:kern w:val="0"/>
                <w:sz w:val="24"/>
                <w:szCs w:val="24"/>
              </w:rPr>
            </w:pPr>
          </w:p>
        </w:tc>
      </w:tr>
      <w:tr w14:paraId="38F1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EA09B45"/>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7CBCA81"/>
        </w:tc>
        <w:tc>
          <w:tcPr>
            <w:tcW w:w="1355" w:type="dxa"/>
            <w:tcBorders>
              <w:top w:val="single" w:color="000000" w:sz="4" w:space="0"/>
              <w:left w:val="single" w:color="000000" w:sz="4" w:space="0"/>
              <w:bottom w:val="single" w:color="000000" w:sz="4" w:space="0"/>
              <w:right w:val="single" w:color="000000" w:sz="4" w:space="0"/>
            </w:tcBorders>
            <w:noWrap/>
            <w:vAlign w:val="center"/>
          </w:tcPr>
          <w:p w14:paraId="4D6A8B7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资金投向</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D1B1D6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4D0091D5">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7A3644E">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A29C502">
            <w:pPr>
              <w:widowControl/>
              <w:spacing w:line="240" w:lineRule="exact"/>
              <w:jc w:val="left"/>
              <w:textAlignment w:val="center"/>
              <w:rPr>
                <w:rFonts w:hint="eastAsia" w:ascii="仿宋_GB2312" w:eastAsia="仿宋_GB2312" w:cs="仿宋_GB2312"/>
                <w:color w:val="000000"/>
                <w:kern w:val="0"/>
                <w:sz w:val="24"/>
                <w:szCs w:val="24"/>
              </w:rPr>
            </w:pPr>
          </w:p>
        </w:tc>
      </w:tr>
      <w:tr w14:paraId="350E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FFE931B"/>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74422C2">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项目管理</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（18分）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95C8EC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制度办法</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BB53FF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2</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9FF26FB">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41DF637">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2</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99434CE">
            <w:pPr>
              <w:widowControl/>
              <w:spacing w:line="240" w:lineRule="exact"/>
              <w:jc w:val="left"/>
              <w:textAlignment w:val="center"/>
              <w:rPr>
                <w:rFonts w:hint="eastAsia" w:ascii="仿宋_GB2312" w:eastAsia="仿宋_GB2312" w:cs="仿宋_GB2312"/>
                <w:color w:val="000000"/>
                <w:kern w:val="0"/>
                <w:sz w:val="24"/>
                <w:szCs w:val="24"/>
              </w:rPr>
            </w:pPr>
          </w:p>
        </w:tc>
      </w:tr>
      <w:tr w14:paraId="2907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245E22D"/>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FF580D7"/>
        </w:tc>
        <w:tc>
          <w:tcPr>
            <w:tcW w:w="1355" w:type="dxa"/>
            <w:tcBorders>
              <w:top w:val="single" w:color="000000" w:sz="4" w:space="0"/>
              <w:left w:val="single" w:color="000000" w:sz="4" w:space="0"/>
              <w:bottom w:val="single" w:color="000000" w:sz="4" w:space="0"/>
              <w:right w:val="single" w:color="000000" w:sz="4" w:space="0"/>
            </w:tcBorders>
            <w:noWrap/>
            <w:vAlign w:val="center"/>
          </w:tcPr>
          <w:p w14:paraId="486A6B5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分配管理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0AF313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127D0E8">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C15E499">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10</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6551D66">
            <w:pPr>
              <w:widowControl/>
              <w:spacing w:line="240" w:lineRule="exact"/>
              <w:jc w:val="left"/>
              <w:textAlignment w:val="center"/>
              <w:rPr>
                <w:rFonts w:hint="eastAsia" w:ascii="仿宋_GB2312" w:eastAsia="仿宋_GB2312" w:cs="仿宋_GB2312"/>
                <w:color w:val="000000"/>
                <w:kern w:val="0"/>
                <w:sz w:val="24"/>
                <w:szCs w:val="24"/>
              </w:rPr>
            </w:pPr>
          </w:p>
        </w:tc>
      </w:tr>
      <w:tr w14:paraId="3DC9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98D72EE"/>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A3AE463"/>
        </w:tc>
        <w:tc>
          <w:tcPr>
            <w:tcW w:w="1355" w:type="dxa"/>
            <w:tcBorders>
              <w:top w:val="single" w:color="000000" w:sz="4" w:space="0"/>
              <w:left w:val="single" w:color="000000" w:sz="4" w:space="0"/>
              <w:bottom w:val="single" w:color="000000" w:sz="4" w:space="0"/>
              <w:right w:val="single" w:color="000000" w:sz="4" w:space="0"/>
            </w:tcBorders>
            <w:noWrap/>
            <w:vAlign w:val="center"/>
          </w:tcPr>
          <w:p w14:paraId="07B83545">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绩效监管</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D36DFB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2DC5551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5850BFA">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F108F35">
            <w:pPr>
              <w:widowControl/>
              <w:spacing w:line="240" w:lineRule="exact"/>
              <w:jc w:val="left"/>
              <w:textAlignment w:val="center"/>
              <w:rPr>
                <w:rFonts w:hint="eastAsia" w:ascii="仿宋_GB2312" w:eastAsia="仿宋_GB2312" w:cs="仿宋_GB2312"/>
                <w:color w:val="000000"/>
                <w:kern w:val="0"/>
                <w:sz w:val="24"/>
                <w:szCs w:val="24"/>
              </w:rPr>
            </w:pPr>
          </w:p>
        </w:tc>
      </w:tr>
      <w:tr w14:paraId="6DEB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82D8FAC"/>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3255C5B">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项目实施</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（9分）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093667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预算执行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16DBCC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217FF00E">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0F1ADE6">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6219F74">
            <w:pPr>
              <w:widowControl/>
              <w:spacing w:line="240" w:lineRule="exact"/>
              <w:jc w:val="left"/>
              <w:textAlignment w:val="center"/>
              <w:rPr>
                <w:rFonts w:hint="eastAsia" w:ascii="仿宋_GB2312" w:eastAsia="仿宋_GB2312" w:cs="仿宋_GB2312"/>
                <w:color w:val="000000"/>
                <w:kern w:val="0"/>
                <w:sz w:val="24"/>
                <w:szCs w:val="24"/>
              </w:rPr>
            </w:pPr>
          </w:p>
        </w:tc>
      </w:tr>
      <w:tr w14:paraId="66B1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3CA341D"/>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376C6D7"/>
        </w:tc>
        <w:tc>
          <w:tcPr>
            <w:tcW w:w="1355" w:type="dxa"/>
            <w:tcBorders>
              <w:top w:val="single" w:color="000000" w:sz="4" w:space="0"/>
              <w:left w:val="single" w:color="000000" w:sz="4" w:space="0"/>
              <w:bottom w:val="single" w:color="000000" w:sz="4" w:space="0"/>
              <w:right w:val="single" w:color="000000" w:sz="4" w:space="0"/>
            </w:tcBorders>
            <w:noWrap/>
            <w:vAlign w:val="center"/>
          </w:tcPr>
          <w:p w14:paraId="63344E7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资金使用</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0FCFC1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3</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7F5250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74DBC9B">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3</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60D4B1E">
            <w:pPr>
              <w:widowControl/>
              <w:spacing w:line="240" w:lineRule="exact"/>
              <w:jc w:val="left"/>
              <w:textAlignment w:val="center"/>
              <w:rPr>
                <w:rFonts w:hint="eastAsia" w:ascii="仿宋_GB2312" w:eastAsia="仿宋_GB2312" w:cs="仿宋_GB2312"/>
                <w:color w:val="000000"/>
                <w:kern w:val="0"/>
                <w:sz w:val="24"/>
                <w:szCs w:val="24"/>
              </w:rPr>
            </w:pPr>
          </w:p>
        </w:tc>
      </w:tr>
      <w:tr w14:paraId="5886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3F8D37A3"/>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90D8045">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项目结果</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（9分）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4D70841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目标完成</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DB4F9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415C028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F38DB0F">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230FD65">
            <w:pPr>
              <w:widowControl/>
              <w:spacing w:line="240" w:lineRule="exact"/>
              <w:jc w:val="left"/>
              <w:textAlignment w:val="center"/>
              <w:rPr>
                <w:rFonts w:hint="eastAsia" w:ascii="仿宋_GB2312" w:eastAsia="仿宋_GB2312" w:cs="仿宋_GB2312"/>
                <w:color w:val="000000"/>
                <w:kern w:val="0"/>
                <w:sz w:val="24"/>
                <w:szCs w:val="24"/>
              </w:rPr>
            </w:pPr>
          </w:p>
        </w:tc>
      </w:tr>
      <w:tr w14:paraId="24AB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4497177"/>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CBD5A0A"/>
        </w:tc>
        <w:tc>
          <w:tcPr>
            <w:tcW w:w="1355" w:type="dxa"/>
            <w:tcBorders>
              <w:top w:val="single" w:color="000000" w:sz="4" w:space="0"/>
              <w:left w:val="single" w:color="000000" w:sz="4" w:space="0"/>
              <w:bottom w:val="single" w:color="000000" w:sz="4" w:space="0"/>
              <w:right w:val="single" w:color="000000" w:sz="4" w:space="0"/>
            </w:tcBorders>
            <w:noWrap/>
            <w:vAlign w:val="center"/>
          </w:tcPr>
          <w:p w14:paraId="44B6B58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完成时效</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AF14F2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3</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996D2C8">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726FD61">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3</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4B8E112">
            <w:pPr>
              <w:widowControl/>
              <w:spacing w:line="240" w:lineRule="exact"/>
              <w:jc w:val="left"/>
              <w:textAlignment w:val="center"/>
              <w:rPr>
                <w:rFonts w:hint="eastAsia" w:ascii="仿宋_GB2312" w:eastAsia="仿宋_GB2312" w:cs="仿宋_GB2312"/>
                <w:color w:val="000000"/>
                <w:kern w:val="0"/>
                <w:sz w:val="24"/>
                <w:szCs w:val="24"/>
              </w:rPr>
            </w:pPr>
          </w:p>
        </w:tc>
      </w:tr>
      <w:tr w14:paraId="689A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0602F964">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专用指标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C4C6A27">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产业发展</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20FCE0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符合性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30251D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967DCAD">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EAE17C1">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4116670E">
            <w:pPr>
              <w:widowControl/>
              <w:spacing w:line="240" w:lineRule="exact"/>
              <w:jc w:val="left"/>
              <w:textAlignment w:val="center"/>
              <w:rPr>
                <w:rFonts w:hint="eastAsia" w:ascii="仿宋_GB2312" w:eastAsia="仿宋_GB2312" w:cs="仿宋_GB2312"/>
                <w:color w:val="000000"/>
                <w:kern w:val="0"/>
                <w:sz w:val="24"/>
                <w:szCs w:val="24"/>
              </w:rPr>
            </w:pPr>
          </w:p>
        </w:tc>
      </w:tr>
      <w:tr w14:paraId="36A6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0ED6DCF"/>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15627DA"/>
        </w:tc>
        <w:tc>
          <w:tcPr>
            <w:tcW w:w="1355" w:type="dxa"/>
            <w:tcBorders>
              <w:top w:val="single" w:color="000000" w:sz="4" w:space="0"/>
              <w:left w:val="single" w:color="000000" w:sz="4" w:space="0"/>
              <w:bottom w:val="single" w:color="000000" w:sz="4" w:space="0"/>
              <w:right w:val="single" w:color="000000" w:sz="4" w:space="0"/>
            </w:tcBorders>
            <w:noWrap/>
            <w:vAlign w:val="center"/>
          </w:tcPr>
          <w:p w14:paraId="0177F4B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成长性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48A1B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4F9D6BF">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A13E5E5">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9883DD0">
            <w:pPr>
              <w:widowControl/>
              <w:spacing w:line="240" w:lineRule="exact"/>
              <w:jc w:val="left"/>
              <w:textAlignment w:val="center"/>
              <w:rPr>
                <w:rFonts w:hint="eastAsia" w:ascii="仿宋_GB2312" w:eastAsia="仿宋_GB2312" w:cs="仿宋_GB2312"/>
                <w:color w:val="000000"/>
                <w:kern w:val="0"/>
                <w:sz w:val="24"/>
                <w:szCs w:val="24"/>
              </w:rPr>
            </w:pPr>
          </w:p>
        </w:tc>
      </w:tr>
      <w:tr w14:paraId="0895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70B092B"/>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C85C955"/>
        </w:tc>
        <w:tc>
          <w:tcPr>
            <w:tcW w:w="1355" w:type="dxa"/>
            <w:tcBorders>
              <w:top w:val="single" w:color="000000" w:sz="4" w:space="0"/>
              <w:left w:val="single" w:color="000000" w:sz="4" w:space="0"/>
              <w:bottom w:val="single" w:color="000000" w:sz="4" w:space="0"/>
              <w:right w:val="single" w:color="000000" w:sz="4" w:space="0"/>
            </w:tcBorders>
            <w:noWrap/>
            <w:vAlign w:val="center"/>
          </w:tcPr>
          <w:p w14:paraId="4BD6A29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经济性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B7FAE8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7D3292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5251DA4">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076668B">
            <w:pPr>
              <w:widowControl/>
              <w:spacing w:line="240" w:lineRule="exact"/>
              <w:jc w:val="left"/>
              <w:textAlignment w:val="center"/>
              <w:rPr>
                <w:rFonts w:hint="eastAsia" w:ascii="仿宋_GB2312" w:eastAsia="仿宋_GB2312" w:cs="仿宋_GB2312"/>
                <w:color w:val="000000"/>
                <w:kern w:val="0"/>
                <w:sz w:val="24"/>
                <w:szCs w:val="24"/>
              </w:rPr>
            </w:pPr>
          </w:p>
        </w:tc>
      </w:tr>
      <w:tr w14:paraId="2849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01CEAC0"/>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1C6E299">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民生保障</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733425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区域均衡性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2125C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5979E77">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2CBD8B1">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EBB77F8">
            <w:pPr>
              <w:widowControl/>
              <w:spacing w:line="240" w:lineRule="exact"/>
              <w:jc w:val="left"/>
              <w:textAlignment w:val="center"/>
              <w:rPr>
                <w:rFonts w:hint="eastAsia" w:ascii="仿宋_GB2312" w:eastAsia="仿宋_GB2312" w:cs="仿宋_GB2312"/>
                <w:color w:val="000000"/>
                <w:kern w:val="0"/>
                <w:sz w:val="24"/>
                <w:szCs w:val="24"/>
              </w:rPr>
            </w:pPr>
          </w:p>
        </w:tc>
      </w:tr>
      <w:tr w14:paraId="75B8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35DF051"/>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F8D8EC"/>
        </w:tc>
        <w:tc>
          <w:tcPr>
            <w:tcW w:w="1355" w:type="dxa"/>
            <w:tcBorders>
              <w:top w:val="single" w:color="000000" w:sz="4" w:space="0"/>
              <w:left w:val="single" w:color="000000" w:sz="4" w:space="0"/>
              <w:bottom w:val="single" w:color="000000" w:sz="4" w:space="0"/>
              <w:right w:val="single" w:color="000000" w:sz="4" w:space="0"/>
            </w:tcBorders>
            <w:noWrap/>
            <w:vAlign w:val="center"/>
          </w:tcPr>
          <w:p w14:paraId="574A03B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对象精准性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E68E11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24AF3CA">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822151B">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10</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A526FB1">
            <w:pPr>
              <w:widowControl/>
              <w:spacing w:line="240" w:lineRule="exact"/>
              <w:jc w:val="left"/>
              <w:textAlignment w:val="center"/>
              <w:rPr>
                <w:rFonts w:hint="eastAsia" w:ascii="仿宋_GB2312" w:eastAsia="仿宋_GB2312" w:cs="仿宋_GB2312"/>
                <w:color w:val="000000"/>
                <w:kern w:val="0"/>
                <w:sz w:val="24"/>
                <w:szCs w:val="24"/>
              </w:rPr>
            </w:pPr>
          </w:p>
        </w:tc>
      </w:tr>
      <w:tr w14:paraId="4FC8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2947E8C"/>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0E0AC47"/>
        </w:tc>
        <w:tc>
          <w:tcPr>
            <w:tcW w:w="1355" w:type="dxa"/>
            <w:tcBorders>
              <w:top w:val="single" w:color="000000" w:sz="4" w:space="0"/>
              <w:left w:val="single" w:color="000000" w:sz="4" w:space="0"/>
              <w:bottom w:val="single" w:color="000000" w:sz="4" w:space="0"/>
              <w:right w:val="single" w:color="000000" w:sz="4" w:space="0"/>
            </w:tcBorders>
            <w:noWrap/>
            <w:vAlign w:val="center"/>
          </w:tcPr>
          <w:p w14:paraId="4B35E9F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标准合理性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46BE1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4B5F7F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EA9F36F">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11AD27B">
            <w:pPr>
              <w:widowControl/>
              <w:spacing w:line="240" w:lineRule="exact"/>
              <w:jc w:val="left"/>
              <w:textAlignment w:val="center"/>
              <w:rPr>
                <w:rFonts w:hint="eastAsia" w:ascii="仿宋_GB2312" w:eastAsia="仿宋_GB2312" w:cs="仿宋_GB2312"/>
                <w:color w:val="000000"/>
                <w:kern w:val="0"/>
                <w:sz w:val="24"/>
                <w:szCs w:val="24"/>
              </w:rPr>
            </w:pPr>
          </w:p>
        </w:tc>
      </w:tr>
      <w:tr w14:paraId="21E0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297E6C2"/>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2BEFFE0"/>
        </w:tc>
        <w:tc>
          <w:tcPr>
            <w:tcW w:w="1355" w:type="dxa"/>
            <w:tcBorders>
              <w:top w:val="single" w:color="000000" w:sz="4" w:space="0"/>
              <w:left w:val="single" w:color="000000" w:sz="4" w:space="0"/>
              <w:bottom w:val="single" w:color="000000" w:sz="4" w:space="0"/>
              <w:right w:val="single" w:color="000000" w:sz="4" w:space="0"/>
            </w:tcBorders>
            <w:noWrap/>
            <w:vAlign w:val="center"/>
          </w:tcPr>
          <w:p w14:paraId="0AAD0F4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群众满意度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604113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C985EC9">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A9D1D97">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47C73BB">
            <w:pPr>
              <w:widowControl/>
              <w:spacing w:line="240" w:lineRule="exact"/>
              <w:jc w:val="left"/>
              <w:textAlignment w:val="center"/>
              <w:rPr>
                <w:rFonts w:hint="eastAsia" w:ascii="仿宋_GB2312" w:eastAsia="仿宋_GB2312" w:cs="仿宋_GB2312"/>
                <w:color w:val="000000"/>
                <w:kern w:val="0"/>
                <w:sz w:val="24"/>
                <w:szCs w:val="24"/>
              </w:rPr>
            </w:pPr>
          </w:p>
        </w:tc>
      </w:tr>
      <w:tr w14:paraId="45D1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F3500E3"/>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7F21B4F5">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基础</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设施</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7EF5286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在建</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项目</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74FE330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工程进度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0EF27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94732B2">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D45157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FF4893D">
            <w:pPr>
              <w:widowControl/>
              <w:spacing w:line="240" w:lineRule="exact"/>
              <w:jc w:val="left"/>
              <w:textAlignment w:val="center"/>
              <w:rPr>
                <w:rFonts w:hint="eastAsia" w:ascii="仿宋_GB2312" w:eastAsia="仿宋_GB2312" w:cs="仿宋_GB2312"/>
                <w:color w:val="000000"/>
                <w:kern w:val="0"/>
                <w:sz w:val="24"/>
                <w:szCs w:val="24"/>
              </w:rPr>
            </w:pPr>
          </w:p>
        </w:tc>
      </w:tr>
      <w:tr w14:paraId="32DD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5C9329A"/>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62C75211"/>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B6810BE"/>
        </w:tc>
        <w:tc>
          <w:tcPr>
            <w:tcW w:w="1355" w:type="dxa"/>
            <w:tcBorders>
              <w:top w:val="single" w:color="000000" w:sz="4" w:space="0"/>
              <w:left w:val="single" w:color="000000" w:sz="4" w:space="0"/>
              <w:bottom w:val="single" w:color="000000" w:sz="4" w:space="0"/>
              <w:right w:val="single" w:color="000000" w:sz="4" w:space="0"/>
            </w:tcBorders>
            <w:noWrap/>
            <w:vAlign w:val="center"/>
          </w:tcPr>
          <w:p w14:paraId="292B93A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资金拨付</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1EAC7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BD8159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EC519B6">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7ADE69A">
            <w:pPr>
              <w:widowControl/>
              <w:spacing w:line="240" w:lineRule="exact"/>
              <w:jc w:val="left"/>
              <w:textAlignment w:val="center"/>
              <w:rPr>
                <w:rFonts w:hint="eastAsia" w:ascii="仿宋_GB2312" w:eastAsia="仿宋_GB2312" w:cs="仿宋_GB2312"/>
                <w:color w:val="000000"/>
                <w:kern w:val="0"/>
                <w:sz w:val="24"/>
                <w:szCs w:val="24"/>
              </w:rPr>
            </w:pPr>
          </w:p>
        </w:tc>
      </w:tr>
      <w:tr w14:paraId="29AA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4B442C28"/>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3D077864"/>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293009E3">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建成</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项目</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F9357A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项目验收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6A18CB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B3C760C">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D5FC9E0">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8F9E584">
            <w:pPr>
              <w:widowControl/>
              <w:spacing w:line="240" w:lineRule="exact"/>
              <w:jc w:val="left"/>
              <w:textAlignment w:val="center"/>
              <w:rPr>
                <w:rFonts w:hint="eastAsia" w:ascii="仿宋_GB2312" w:eastAsia="仿宋_GB2312" w:cs="仿宋_GB2312"/>
                <w:color w:val="000000"/>
                <w:kern w:val="0"/>
                <w:sz w:val="24"/>
                <w:szCs w:val="24"/>
              </w:rPr>
            </w:pPr>
          </w:p>
        </w:tc>
      </w:tr>
      <w:tr w14:paraId="4457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38D6037D"/>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88DB1CC"/>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2C3D244"/>
        </w:tc>
        <w:tc>
          <w:tcPr>
            <w:tcW w:w="1355" w:type="dxa"/>
            <w:tcBorders>
              <w:top w:val="single" w:color="000000" w:sz="4" w:space="0"/>
              <w:left w:val="single" w:color="000000" w:sz="4" w:space="0"/>
              <w:bottom w:val="single" w:color="000000" w:sz="4" w:space="0"/>
              <w:right w:val="single" w:color="000000" w:sz="4" w:space="0"/>
            </w:tcBorders>
            <w:noWrap/>
            <w:vAlign w:val="center"/>
          </w:tcPr>
          <w:p w14:paraId="017776A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功能实现</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33EB04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2D715E0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2F7AEA8">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5DD0CDE">
            <w:pPr>
              <w:widowControl/>
              <w:spacing w:line="240" w:lineRule="exact"/>
              <w:jc w:val="left"/>
              <w:textAlignment w:val="center"/>
              <w:rPr>
                <w:rFonts w:hint="eastAsia" w:ascii="仿宋_GB2312" w:eastAsia="仿宋_GB2312" w:cs="仿宋_GB2312"/>
                <w:color w:val="000000"/>
                <w:kern w:val="0"/>
                <w:sz w:val="24"/>
                <w:szCs w:val="24"/>
              </w:rPr>
            </w:pPr>
          </w:p>
        </w:tc>
      </w:tr>
      <w:tr w14:paraId="2A42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CABD327"/>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52F8670"/>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07B685E"/>
        </w:tc>
        <w:tc>
          <w:tcPr>
            <w:tcW w:w="1355" w:type="dxa"/>
            <w:tcBorders>
              <w:top w:val="single" w:color="000000" w:sz="4" w:space="0"/>
              <w:left w:val="single" w:color="000000" w:sz="4" w:space="0"/>
              <w:bottom w:val="single" w:color="000000" w:sz="4" w:space="0"/>
              <w:right w:val="single" w:color="000000" w:sz="4" w:space="0"/>
            </w:tcBorders>
            <w:noWrap/>
            <w:vAlign w:val="center"/>
          </w:tcPr>
          <w:p w14:paraId="0997507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后续管护</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6D32D3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CA6BABC">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E14AFDE">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10F3920">
            <w:pPr>
              <w:widowControl/>
              <w:spacing w:line="240" w:lineRule="exact"/>
              <w:jc w:val="left"/>
              <w:textAlignment w:val="center"/>
              <w:rPr>
                <w:rFonts w:hint="eastAsia" w:ascii="仿宋_GB2312" w:eastAsia="仿宋_GB2312" w:cs="仿宋_GB2312"/>
                <w:color w:val="000000"/>
                <w:kern w:val="0"/>
                <w:sz w:val="24"/>
                <w:szCs w:val="24"/>
              </w:rPr>
            </w:pPr>
          </w:p>
        </w:tc>
      </w:tr>
      <w:tr w14:paraId="4A51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4E9E632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专用指标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5874CB8">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行政运转</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nil"/>
              <w:left w:val="single" w:color="000000" w:sz="4" w:space="0"/>
              <w:bottom w:val="single" w:color="000000" w:sz="4" w:space="0"/>
              <w:right w:val="single" w:color="000000" w:sz="4" w:space="0"/>
            </w:tcBorders>
            <w:noWrap/>
            <w:vAlign w:val="center"/>
          </w:tcPr>
          <w:p w14:paraId="3733B02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用途合规性</w:t>
            </w:r>
          </w:p>
        </w:tc>
        <w:tc>
          <w:tcPr>
            <w:tcW w:w="696" w:type="dxa"/>
            <w:tcBorders>
              <w:top w:val="nil"/>
              <w:left w:val="single" w:color="000000" w:sz="4" w:space="0"/>
              <w:bottom w:val="single" w:color="000000" w:sz="4" w:space="0"/>
              <w:right w:val="single" w:color="000000" w:sz="4" w:space="0"/>
            </w:tcBorders>
            <w:noWrap/>
            <w:vAlign w:val="center"/>
          </w:tcPr>
          <w:p w14:paraId="52E4E0A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nil"/>
              <w:left w:val="single" w:color="000000" w:sz="4" w:space="0"/>
              <w:bottom w:val="single" w:color="000000" w:sz="4" w:space="0"/>
              <w:right w:val="single" w:color="000000" w:sz="4" w:space="0"/>
            </w:tcBorders>
            <w:noWrap/>
            <w:vAlign w:val="center"/>
          </w:tcPr>
          <w:p w14:paraId="3F921935">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ign w:val="center"/>
          </w:tcPr>
          <w:p w14:paraId="7F74ADC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nil"/>
              <w:left w:val="single" w:color="000000" w:sz="4" w:space="0"/>
              <w:bottom w:val="single" w:color="000000" w:sz="4" w:space="0"/>
              <w:right w:val="single" w:color="000000" w:sz="4" w:space="0"/>
            </w:tcBorders>
            <w:noWrap/>
            <w:vAlign w:val="center"/>
          </w:tcPr>
          <w:p w14:paraId="02376545">
            <w:pPr>
              <w:widowControl/>
              <w:spacing w:line="240" w:lineRule="exact"/>
              <w:jc w:val="left"/>
              <w:textAlignment w:val="center"/>
              <w:rPr>
                <w:rFonts w:hint="eastAsia" w:ascii="仿宋_GB2312" w:eastAsia="仿宋_GB2312" w:cs="仿宋_GB2312"/>
                <w:color w:val="000000"/>
                <w:kern w:val="0"/>
                <w:sz w:val="24"/>
                <w:szCs w:val="24"/>
              </w:rPr>
            </w:pPr>
          </w:p>
        </w:tc>
      </w:tr>
      <w:tr w14:paraId="38AD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206E663"/>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1CBAA6"/>
        </w:tc>
        <w:tc>
          <w:tcPr>
            <w:tcW w:w="1355" w:type="dxa"/>
            <w:tcBorders>
              <w:top w:val="nil"/>
              <w:left w:val="single" w:color="000000" w:sz="4" w:space="0"/>
              <w:bottom w:val="single" w:color="000000" w:sz="4" w:space="0"/>
              <w:right w:val="single" w:color="000000" w:sz="4" w:space="0"/>
            </w:tcBorders>
            <w:noWrap/>
            <w:vAlign w:val="center"/>
          </w:tcPr>
          <w:p w14:paraId="76D3408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程序合规性</w:t>
            </w:r>
          </w:p>
        </w:tc>
        <w:tc>
          <w:tcPr>
            <w:tcW w:w="696" w:type="dxa"/>
            <w:tcBorders>
              <w:top w:val="nil"/>
              <w:left w:val="single" w:color="000000" w:sz="4" w:space="0"/>
              <w:bottom w:val="single" w:color="000000" w:sz="4" w:space="0"/>
              <w:right w:val="single" w:color="000000" w:sz="4" w:space="0"/>
            </w:tcBorders>
            <w:noWrap/>
            <w:vAlign w:val="center"/>
          </w:tcPr>
          <w:p w14:paraId="0AEE73B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059DB1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0EB63F1">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C7A2D02">
            <w:pPr>
              <w:widowControl/>
              <w:spacing w:line="240" w:lineRule="exact"/>
              <w:jc w:val="left"/>
              <w:textAlignment w:val="center"/>
              <w:rPr>
                <w:rFonts w:hint="eastAsia" w:ascii="仿宋_GB2312" w:eastAsia="仿宋_GB2312" w:cs="仿宋_GB2312"/>
                <w:color w:val="000000"/>
                <w:kern w:val="0"/>
                <w:sz w:val="24"/>
                <w:szCs w:val="24"/>
              </w:rPr>
            </w:pPr>
          </w:p>
        </w:tc>
      </w:tr>
      <w:tr w14:paraId="2433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20CF26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A5698A8"/>
        </w:tc>
        <w:tc>
          <w:tcPr>
            <w:tcW w:w="1355" w:type="dxa"/>
            <w:tcBorders>
              <w:top w:val="nil"/>
              <w:left w:val="single" w:color="000000" w:sz="4" w:space="0"/>
              <w:bottom w:val="single" w:color="000000" w:sz="4" w:space="0"/>
              <w:right w:val="single" w:color="000000" w:sz="4" w:space="0"/>
            </w:tcBorders>
            <w:noWrap/>
            <w:vAlign w:val="center"/>
          </w:tcPr>
          <w:p w14:paraId="4C1E662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标准合规性</w:t>
            </w:r>
          </w:p>
        </w:tc>
        <w:tc>
          <w:tcPr>
            <w:tcW w:w="696" w:type="dxa"/>
            <w:tcBorders>
              <w:top w:val="nil"/>
              <w:left w:val="single" w:color="000000" w:sz="4" w:space="0"/>
              <w:bottom w:val="single" w:color="000000" w:sz="4" w:space="0"/>
              <w:right w:val="single" w:color="000000" w:sz="4" w:space="0"/>
            </w:tcBorders>
            <w:noWrap/>
            <w:vAlign w:val="center"/>
          </w:tcPr>
          <w:p w14:paraId="094BF5E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189815D">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37934D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FEC05F4">
            <w:pPr>
              <w:widowControl/>
              <w:spacing w:line="240" w:lineRule="exact"/>
              <w:jc w:val="left"/>
              <w:textAlignment w:val="center"/>
              <w:rPr>
                <w:rFonts w:hint="eastAsia" w:ascii="仿宋_GB2312" w:eastAsia="仿宋_GB2312" w:cs="仿宋_GB2312"/>
                <w:color w:val="000000"/>
                <w:kern w:val="0"/>
                <w:sz w:val="24"/>
                <w:szCs w:val="24"/>
              </w:rPr>
            </w:pPr>
          </w:p>
        </w:tc>
      </w:tr>
      <w:tr w14:paraId="1367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3FA633A5">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个性指标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（16分）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FB557E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质量指标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36597F9">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6</w:t>
            </w:r>
          </w:p>
        </w:tc>
        <w:tc>
          <w:tcPr>
            <w:tcW w:w="5340" w:type="dxa"/>
            <w:tcBorders>
              <w:top w:val="single" w:color="000000" w:sz="4" w:space="0"/>
              <w:left w:val="single" w:color="000000" w:sz="4" w:space="0"/>
              <w:bottom w:val="single" w:color="auto" w:sz="4" w:space="0"/>
              <w:right w:val="single" w:color="000000" w:sz="4" w:space="0"/>
            </w:tcBorders>
            <w:noWrap/>
            <w:vAlign w:val="center"/>
          </w:tcPr>
          <w:p w14:paraId="79FE0ADE">
            <w:pPr>
              <w:widowControl/>
              <w:spacing w:line="240" w:lineRule="exact"/>
              <w:jc w:val="lef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重点档案抢救和保护</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22B5DDD">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3167972">
            <w:pPr>
              <w:widowControl/>
              <w:spacing w:line="240" w:lineRule="exact"/>
              <w:jc w:val="left"/>
              <w:textAlignment w:val="center"/>
              <w:rPr>
                <w:rFonts w:hint="eastAsia" w:ascii="仿宋_GB2312" w:eastAsia="仿宋_GB2312" w:cs="仿宋_GB2312"/>
                <w:color w:val="000000"/>
                <w:kern w:val="0"/>
                <w:sz w:val="24"/>
                <w:szCs w:val="24"/>
              </w:rPr>
            </w:pPr>
          </w:p>
        </w:tc>
      </w:tr>
      <w:tr w14:paraId="5639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2AE9A3E9"/>
        </w:tc>
        <w:tc>
          <w:tcPr>
            <w:tcW w:w="1355" w:type="dxa"/>
            <w:tcBorders>
              <w:top w:val="single" w:color="000000" w:sz="4" w:space="0"/>
              <w:left w:val="single" w:color="000000" w:sz="4" w:space="0"/>
              <w:bottom w:val="single" w:color="000000" w:sz="4" w:space="0"/>
              <w:right w:val="single" w:color="000000" w:sz="4" w:space="0"/>
            </w:tcBorders>
            <w:noWrap/>
            <w:vAlign w:val="center"/>
          </w:tcPr>
          <w:p w14:paraId="652CC33B">
            <w:pPr>
              <w:widowControl/>
              <w:spacing w:line="240" w:lineRule="exact"/>
              <w:jc w:val="center"/>
              <w:textAlignment w:val="center"/>
              <w:rPr>
                <w:rFonts w:hint="eastAsia" w:ascii="仿宋_GB2312" w:eastAsia="仿宋_GB2312" w:cs="仿宋_GB2312"/>
                <w:color w:val="000000"/>
                <w:sz w:val="15"/>
                <w:szCs w:val="15"/>
              </w:rPr>
            </w:pPr>
            <w:r>
              <w:rPr>
                <w:rFonts w:hint="eastAsia" w:ascii="仿宋_GB2312" w:eastAsia="仿宋_GB2312" w:cs="仿宋_GB2312"/>
                <w:color w:val="000000"/>
                <w:kern w:val="0"/>
                <w:sz w:val="15"/>
                <w:szCs w:val="15"/>
              </w:rPr>
              <w:t>社会效益指标</w:t>
            </w:r>
          </w:p>
        </w:tc>
        <w:tc>
          <w:tcPr>
            <w:tcW w:w="696" w:type="dxa"/>
            <w:tcBorders>
              <w:top w:val="single" w:color="000000" w:sz="4" w:space="0"/>
              <w:left w:val="single" w:color="000000" w:sz="4" w:space="0"/>
              <w:bottom w:val="single" w:color="auto" w:sz="4" w:space="0"/>
              <w:right w:val="single" w:color="000000" w:sz="4" w:space="0"/>
            </w:tcBorders>
            <w:noWrap/>
            <w:vAlign w:val="center"/>
          </w:tcPr>
          <w:p w14:paraId="0121C796">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6</w:t>
            </w:r>
          </w:p>
        </w:tc>
        <w:tc>
          <w:tcPr>
            <w:tcW w:w="5340" w:type="dxa"/>
            <w:tcBorders>
              <w:top w:val="single" w:color="auto" w:sz="4" w:space="0"/>
              <w:left w:val="single" w:color="000000" w:sz="4" w:space="0"/>
              <w:bottom w:val="single" w:color="auto" w:sz="4" w:space="0"/>
              <w:right w:val="single" w:color="000000" w:sz="4" w:space="0"/>
            </w:tcBorders>
            <w:noWrap/>
            <w:vAlign w:val="center"/>
          </w:tcPr>
          <w:p w14:paraId="7B2B2695">
            <w:pPr>
              <w:widowControl/>
              <w:spacing w:line="24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档案查阅利用方便、快捷</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86F276E">
            <w:pPr>
              <w:widowControl/>
              <w:spacing w:line="24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A73761D">
            <w:pPr>
              <w:widowControl/>
              <w:spacing w:line="240" w:lineRule="exact"/>
              <w:jc w:val="left"/>
              <w:rPr>
                <w:rFonts w:hint="eastAsia" w:ascii="仿宋_GB2312" w:eastAsia="仿宋_GB2312" w:cs="仿宋_GB2312"/>
                <w:color w:val="000000"/>
                <w:sz w:val="24"/>
                <w:szCs w:val="24"/>
              </w:rPr>
            </w:pPr>
          </w:p>
        </w:tc>
      </w:tr>
      <w:tr w14:paraId="65CF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C7B0724"/>
        </w:tc>
        <w:tc>
          <w:tcPr>
            <w:tcW w:w="1355" w:type="dxa"/>
            <w:tcBorders>
              <w:top w:val="single" w:color="000000" w:sz="4" w:space="0"/>
              <w:left w:val="single" w:color="000000" w:sz="4" w:space="0"/>
              <w:bottom w:val="single" w:color="000000" w:sz="4" w:space="0"/>
              <w:right w:val="single" w:color="000000" w:sz="4" w:space="0"/>
            </w:tcBorders>
            <w:noWrap/>
            <w:vAlign w:val="center"/>
          </w:tcPr>
          <w:p w14:paraId="4E4012A5">
            <w:pPr>
              <w:widowControl/>
              <w:spacing w:line="240" w:lineRule="exact"/>
              <w:jc w:val="center"/>
              <w:textAlignment w:val="center"/>
              <w:rPr>
                <w:rFonts w:hint="eastAsia" w:ascii="仿宋_GB2312" w:eastAsia="仿宋_GB2312" w:cs="仿宋_GB2312"/>
                <w:color w:val="000000"/>
                <w:sz w:val="15"/>
                <w:szCs w:val="15"/>
              </w:rPr>
            </w:pPr>
            <w:r>
              <w:rPr>
                <w:rFonts w:hint="eastAsia" w:ascii="仿宋_GB2312" w:eastAsia="仿宋_GB2312" w:cs="仿宋_GB2312"/>
                <w:color w:val="000000"/>
                <w:kern w:val="0"/>
                <w:sz w:val="15"/>
                <w:szCs w:val="15"/>
              </w:rPr>
              <w:t>服务对象满意度指标</w:t>
            </w:r>
          </w:p>
        </w:tc>
        <w:tc>
          <w:tcPr>
            <w:tcW w:w="696" w:type="dxa"/>
            <w:tcBorders>
              <w:top w:val="single" w:color="auto" w:sz="4" w:space="0"/>
              <w:left w:val="single" w:color="000000" w:sz="4" w:space="0"/>
              <w:bottom w:val="single" w:color="000000" w:sz="4" w:space="0"/>
              <w:right w:val="single" w:color="000000" w:sz="4" w:space="0"/>
            </w:tcBorders>
            <w:noWrap/>
            <w:vAlign w:val="center"/>
          </w:tcPr>
          <w:p w14:paraId="00D0F513">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4</w:t>
            </w:r>
          </w:p>
        </w:tc>
        <w:tc>
          <w:tcPr>
            <w:tcW w:w="5340" w:type="dxa"/>
            <w:tcBorders>
              <w:top w:val="single" w:color="auto" w:sz="4" w:space="0"/>
              <w:left w:val="single" w:color="000000" w:sz="4" w:space="0"/>
              <w:bottom w:val="single" w:color="auto" w:sz="4" w:space="0"/>
              <w:right w:val="single" w:color="000000" w:sz="4" w:space="0"/>
            </w:tcBorders>
            <w:noWrap/>
            <w:vAlign w:val="center"/>
          </w:tcPr>
          <w:p w14:paraId="5B9D2E4D">
            <w:pPr>
              <w:widowControl/>
              <w:spacing w:line="24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查阅利用档案人员满意</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AEB37E9">
            <w:pPr>
              <w:widowControl/>
              <w:spacing w:line="24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13559FD">
            <w:pPr>
              <w:widowControl/>
              <w:spacing w:line="240" w:lineRule="exact"/>
              <w:jc w:val="left"/>
              <w:rPr>
                <w:rFonts w:hint="eastAsia" w:ascii="仿宋_GB2312" w:eastAsia="仿宋_GB2312" w:cs="仿宋_GB2312"/>
                <w:color w:val="000000"/>
                <w:sz w:val="24"/>
                <w:szCs w:val="24"/>
              </w:rPr>
            </w:pPr>
          </w:p>
        </w:tc>
      </w:tr>
      <w:tr w14:paraId="4E19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ign w:val="center"/>
          </w:tcPr>
          <w:p w14:paraId="735909ED">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扣分项</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A24C0D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被评价</w:t>
            </w:r>
            <w:r>
              <w:rPr>
                <w:rFonts w:hint="eastAsia" w:ascii="仿宋_GB2312" w:eastAsia="仿宋_GB2312" w:cs="仿宋_GB2312"/>
                <w:color w:val="000000"/>
                <w:kern w:val="0"/>
                <w:sz w:val="24"/>
                <w:szCs w:val="24"/>
              </w:rPr>
              <w:br w:type="textWrapping"/>
            </w:r>
            <w:r>
              <w:rPr>
                <w:rFonts w:hint="eastAsia" w:ascii="仿宋_GB2312" w:eastAsia="仿宋_GB2312" w:cs="仿宋_GB2312"/>
                <w:color w:val="000000"/>
                <w:kern w:val="0"/>
                <w:sz w:val="24"/>
                <w:szCs w:val="24"/>
              </w:rPr>
              <w:t>部门配合度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3FFC04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w:t>
            </w:r>
          </w:p>
        </w:tc>
        <w:tc>
          <w:tcPr>
            <w:tcW w:w="5340" w:type="dxa"/>
            <w:tcBorders>
              <w:top w:val="single" w:color="auto" w:sz="4" w:space="0"/>
              <w:left w:val="single" w:color="000000" w:sz="4" w:space="0"/>
              <w:bottom w:val="single" w:color="000000" w:sz="4" w:space="0"/>
              <w:right w:val="single" w:color="000000" w:sz="4" w:space="0"/>
            </w:tcBorders>
            <w:noWrap/>
            <w:vAlign w:val="center"/>
          </w:tcPr>
          <w:p w14:paraId="6CE705CD">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30D13E0">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DA90979">
            <w:pPr>
              <w:widowControl/>
              <w:spacing w:line="240" w:lineRule="exact"/>
              <w:jc w:val="left"/>
              <w:textAlignment w:val="center"/>
              <w:rPr>
                <w:rFonts w:hint="eastAsia" w:ascii="仿宋_GB2312" w:eastAsia="仿宋_GB2312" w:cs="仿宋_GB2312"/>
                <w:color w:val="000000"/>
                <w:kern w:val="0"/>
                <w:sz w:val="24"/>
                <w:szCs w:val="24"/>
              </w:rPr>
            </w:pPr>
          </w:p>
        </w:tc>
      </w:tr>
    </w:tbl>
    <w:p w14:paraId="2A7B7E3C">
      <w:pPr>
        <w:spacing w:line="578" w:lineRule="exact"/>
        <w:rPr>
          <w:rFonts w:hint="eastAsia" w:ascii="仿宋_GB2312" w:eastAsia="仿宋_GB2312" w:cs="仿宋_GB2312"/>
          <w:kern w:val="0"/>
          <w:shd w:val="clear" w:color="auto" w:fill="FFFFFF"/>
        </w:rPr>
      </w:pPr>
      <w:r>
        <w:rPr>
          <w:rFonts w:hint="eastAsia" w:ascii="仿宋_GB2312" w:eastAsia="仿宋_GB2312" w:cs="仿宋_GB2312"/>
          <w:kern w:val="0"/>
          <w:shd w:val="clear" w:color="auto" w:fill="FFFFFF"/>
          <w:lang w:val="zh-CN"/>
        </w:rPr>
        <w:br w:type="page"/>
      </w:r>
      <w:r>
        <w:rPr>
          <w:rFonts w:hint="eastAsia" w:ascii="仿宋_GB2312" w:eastAsia="仿宋_GB2312" w:cs="仿宋_GB2312"/>
          <w:kern w:val="0"/>
          <w:shd w:val="clear" w:color="auto" w:fill="FFFFFF"/>
          <w:lang w:val="zh-CN"/>
        </w:rPr>
        <w:t>附表</w:t>
      </w:r>
      <w:r>
        <w:rPr>
          <w:rFonts w:hint="eastAsia" w:ascii="仿宋_GB2312" w:eastAsia="仿宋_GB2312" w:cs="仿宋_GB2312"/>
          <w:kern w:val="0"/>
          <w:shd w:val="clear" w:color="auto" w:fill="FFFFFF"/>
        </w:rPr>
        <w:t>2</w:t>
      </w:r>
    </w:p>
    <w:tbl>
      <w:tblPr>
        <w:tblStyle w:val="22"/>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62CC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7B502E80">
            <w:pPr>
              <w:widowControl/>
              <w:spacing w:line="600" w:lineRule="exact"/>
              <w:jc w:val="center"/>
              <w:textAlignment w:val="center"/>
              <w:rPr>
                <w:rFonts w:hint="eastAsia" w:ascii="仿宋_GB2312" w:eastAsia="仿宋_GB2312" w:cs="仿宋_GB2312"/>
                <w:color w:val="000000"/>
                <w:sz w:val="30"/>
                <w:szCs w:val="30"/>
              </w:rPr>
            </w:pPr>
            <w:r>
              <w:rPr>
                <w:rFonts w:hint="eastAsia" w:ascii="仿宋_GB2312" w:eastAsia="仿宋_GB2312" w:cs="仿宋_GB2312"/>
                <w:color w:val="000000"/>
                <w:kern w:val="0"/>
                <w:sz w:val="40"/>
                <w:szCs w:val="40"/>
              </w:rPr>
              <w:t>专项预算项目绩效目标完成情况自评表</w:t>
            </w:r>
          </w:p>
        </w:tc>
      </w:tr>
      <w:tr w14:paraId="0762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6388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9CD49">
            <w:pPr>
              <w:spacing w:line="300" w:lineRule="exac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全州重点档案抢救和保护经费项目</w:t>
            </w:r>
          </w:p>
        </w:tc>
      </w:tr>
      <w:tr w14:paraId="3083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C43E4">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E7C87">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茂县档案馆</w:t>
            </w:r>
          </w:p>
        </w:tc>
      </w:tr>
      <w:tr w14:paraId="3026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BEED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5CCBF">
            <w:pPr>
              <w:spacing w:line="300" w:lineRule="exact"/>
              <w:jc w:val="left"/>
              <w:rPr>
                <w:rFonts w:hint="eastAsia" w:ascii="仿宋_GB2312" w:eastAsia="仿宋_GB2312" w:cs="仿宋_GB2312"/>
                <w:color w:val="000000"/>
                <w:sz w:val="24"/>
                <w:szCs w:val="24"/>
                <w:lang w:eastAsia="zh-CN"/>
              </w:rPr>
            </w:pPr>
          </w:p>
        </w:tc>
      </w:tr>
      <w:tr w14:paraId="0309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0C764">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25FA4">
            <w:pPr>
              <w:widowControl/>
              <w:spacing w:line="300" w:lineRule="exact"/>
              <w:jc w:val="left"/>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中长期规划（名称、文号，仅指</w:t>
            </w:r>
          </w:p>
          <w:p w14:paraId="41112CE8">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79121">
            <w:pPr>
              <w:spacing w:line="300" w:lineRule="exact"/>
              <w:jc w:val="left"/>
              <w:rPr>
                <w:rFonts w:hint="eastAsia" w:ascii="仿宋_GB2312" w:eastAsia="仿宋_GB2312" w:cs="仿宋_GB2312"/>
                <w:color w:val="000000"/>
                <w:sz w:val="24"/>
                <w:szCs w:val="24"/>
              </w:rPr>
            </w:pPr>
          </w:p>
        </w:tc>
      </w:tr>
      <w:tr w14:paraId="471E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CC26"/>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70B5C">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89033E">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茂财教</w:t>
            </w:r>
            <w:r>
              <w:rPr>
                <w:rFonts w:hint="eastAsia" w:ascii="仿宋_GB2312" w:eastAsia="仿宋_GB2312" w:cs="仿宋_GB2312"/>
                <w:color w:val="000000"/>
                <w:sz w:val="24"/>
                <w:szCs w:val="24"/>
                <w:lang w:val="en-US" w:eastAsia="zh-CN"/>
              </w:rPr>
              <w:t>[2024]45号</w:t>
            </w:r>
          </w:p>
        </w:tc>
      </w:tr>
      <w:tr w14:paraId="6186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11697"/>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ECFCF">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5D1F">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92111">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15B">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sym w:font="Wingdings 2" w:char="0052"/>
            </w:r>
            <w:r>
              <w:rPr>
                <w:rFonts w:hint="eastAsia" w:ascii="仿宋_GB2312" w:eastAsia="仿宋_GB2312" w:cs="仿宋_GB2312"/>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5FB8">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因素法与项目法相结合</w:t>
            </w:r>
          </w:p>
        </w:tc>
      </w:tr>
      <w:tr w14:paraId="5219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22A1"/>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45F9D">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E134E">
            <w:pPr>
              <w:spacing w:line="30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shd w:val="clear" w:color="auto" w:fill="FFFFFF"/>
              </w:rPr>
              <w:t>根据《中华人民共和国档案法》及党和国家有关档案工作的方针、政策，统筹规划全县各乡镇、部门、企事业单位档案工作，依法收集、整理全县重要档案资料，消除不安全因素，开展保管保护工作，保证其完整与安全，开展馆藏档案</w:t>
            </w:r>
            <w:r>
              <w:rPr>
                <w:rFonts w:hint="eastAsia" w:ascii="仿宋_GB2312" w:eastAsia="仿宋_GB2312" w:cs="仿宋_GB2312"/>
                <w:color w:val="000000"/>
                <w:sz w:val="24"/>
                <w:szCs w:val="24"/>
                <w:shd w:val="clear" w:color="auto" w:fill="FFFFFF"/>
                <w:lang w:eastAsia="zh-CN"/>
              </w:rPr>
              <w:t>数字</w:t>
            </w:r>
            <w:r>
              <w:rPr>
                <w:rFonts w:hint="eastAsia" w:ascii="仿宋_GB2312" w:eastAsia="仿宋_GB2312" w:cs="仿宋_GB2312"/>
                <w:color w:val="000000"/>
                <w:sz w:val="24"/>
                <w:szCs w:val="24"/>
                <w:shd w:val="clear" w:color="auto" w:fill="FFFFFF"/>
              </w:rPr>
              <w:t>资源</w:t>
            </w:r>
            <w:r>
              <w:rPr>
                <w:rFonts w:hint="eastAsia" w:ascii="仿宋_GB2312" w:eastAsia="仿宋_GB2312" w:cs="仿宋_GB2312"/>
                <w:color w:val="000000"/>
                <w:sz w:val="24"/>
                <w:szCs w:val="24"/>
                <w:shd w:val="clear" w:color="auto" w:fill="FFFFFF"/>
                <w:lang w:eastAsia="zh-CN"/>
              </w:rPr>
              <w:t>质检及整理</w:t>
            </w:r>
            <w:r>
              <w:rPr>
                <w:rFonts w:hint="eastAsia" w:ascii="仿宋_GB2312" w:eastAsia="仿宋_GB2312" w:cs="仿宋_GB2312"/>
                <w:color w:val="000000"/>
                <w:sz w:val="24"/>
                <w:szCs w:val="24"/>
                <w:shd w:val="clear" w:color="auto" w:fill="FFFFFF"/>
              </w:rPr>
              <w:t>。</w:t>
            </w:r>
          </w:p>
        </w:tc>
      </w:tr>
      <w:tr w14:paraId="1C09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64E1"/>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95BD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3A691">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全州重点档案抢救和保护项目。</w:t>
            </w:r>
          </w:p>
        </w:tc>
      </w:tr>
      <w:tr w14:paraId="5EDE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2397"/>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D18B3">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7ADCA">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sz w:val="24"/>
                <w:szCs w:val="24"/>
                <w:u w:val="none"/>
              </w:rPr>
            </w:pPr>
            <w:r>
              <w:rPr>
                <w:rFonts w:hint="eastAsia" w:ascii="仿宋_GB2312" w:eastAsia="仿宋_GB2312" w:cs="仿宋_GB2312"/>
                <w:i w:val="0"/>
                <w:color w:val="000000"/>
                <w:sz w:val="24"/>
                <w:szCs w:val="24"/>
                <w:u w:val="none"/>
              </w:rPr>
              <w:t>1、落实有关财政资金管理，确保项目按照有关规定用款</w:t>
            </w:r>
          </w:p>
          <w:p w14:paraId="543B805C">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sz w:val="24"/>
                <w:szCs w:val="24"/>
                <w:u w:val="none"/>
              </w:rPr>
            </w:pPr>
            <w:r>
              <w:rPr>
                <w:rFonts w:hint="eastAsia" w:ascii="仿宋_GB2312" w:eastAsia="仿宋_GB2312" w:cs="仿宋_GB2312"/>
                <w:i w:val="0"/>
                <w:color w:val="000000"/>
                <w:sz w:val="24"/>
                <w:szCs w:val="24"/>
                <w:u w:val="none"/>
                <w:lang w:val="en-US" w:eastAsia="zh-CN"/>
              </w:rPr>
              <w:t>2、</w:t>
            </w:r>
            <w:r>
              <w:rPr>
                <w:rFonts w:hint="eastAsia" w:ascii="仿宋_GB2312" w:eastAsia="仿宋_GB2312" w:cs="仿宋_GB2312"/>
                <w:i w:val="0"/>
                <w:color w:val="000000"/>
                <w:sz w:val="24"/>
                <w:szCs w:val="24"/>
                <w:u w:val="none"/>
              </w:rPr>
              <w:t>落实项目内控制度，按照要求编制项目绩效管理评价</w:t>
            </w:r>
          </w:p>
          <w:p w14:paraId="6F3B9E7C">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kern w:val="2"/>
                <w:sz w:val="24"/>
                <w:szCs w:val="24"/>
                <w:u w:val="none"/>
                <w:lang w:val="en-US" w:eastAsia="zh-CN" w:bidi="ar-SA"/>
              </w:rPr>
            </w:pPr>
            <w:r>
              <w:rPr>
                <w:rFonts w:hint="eastAsia" w:ascii="仿宋_GB2312" w:eastAsia="仿宋_GB2312" w:cs="仿宋_GB2312"/>
                <w:i w:val="0"/>
                <w:color w:val="000000"/>
                <w:sz w:val="24"/>
                <w:szCs w:val="24"/>
                <w:u w:val="none"/>
              </w:rPr>
              <w:t>3、严格执行有关规定，实现项目的质量和效率</w:t>
            </w:r>
          </w:p>
        </w:tc>
      </w:tr>
      <w:tr w14:paraId="5C96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D148"/>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4DFBE">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8B9DD">
            <w:pPr>
              <w:keepNext w:val="0"/>
              <w:keepLines w:val="0"/>
              <w:pageBreakBefore w:val="0"/>
              <w:widowControl w:val="0"/>
              <w:kinsoku/>
              <w:wordWrap/>
              <w:overflowPunct/>
              <w:topLinePunct w:val="0"/>
              <w:autoSpaceDE/>
              <w:autoSpaceDN/>
              <w:bidi w:val="0"/>
              <w:adjustRightInd/>
              <w:snapToGrid/>
              <w:spacing w:line="300" w:lineRule="exact"/>
              <w:ind w:left="0"/>
              <w:rPr>
                <w:rFonts w:hint="eastAsia" w:ascii="仿宋_GB2312" w:eastAsia="仿宋_GB2312" w:cs="仿宋_GB2312"/>
                <w:i w:val="0"/>
                <w:color w:val="000000"/>
                <w:kern w:val="2"/>
                <w:sz w:val="24"/>
                <w:szCs w:val="24"/>
                <w:u w:val="none"/>
                <w:lang w:val="en-US" w:eastAsia="zh-CN" w:bidi="ar-SA"/>
              </w:rPr>
            </w:pPr>
            <w:r>
              <w:rPr>
                <w:rFonts w:hint="eastAsia" w:ascii="仿宋_GB2312" w:eastAsia="仿宋_GB2312" w:cs="仿宋_GB2312"/>
                <w:i w:val="0"/>
                <w:color w:val="000000"/>
                <w:sz w:val="24"/>
                <w:szCs w:val="24"/>
                <w:u w:val="none"/>
                <w:lang w:val="en-US" w:eastAsia="zh-CN"/>
              </w:rPr>
              <w:t>2024年</w:t>
            </w:r>
          </w:p>
        </w:tc>
      </w:tr>
      <w:tr w14:paraId="06ED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CC471">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项目资金</w:t>
            </w:r>
          </w:p>
          <w:p w14:paraId="5579C1AD">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F04C6">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E39A1">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9.97万元</w:t>
            </w:r>
          </w:p>
        </w:tc>
      </w:tr>
      <w:tr w14:paraId="64DB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6D11"/>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76F4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C2CFE">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9.97万元</w:t>
            </w:r>
          </w:p>
        </w:tc>
      </w:tr>
      <w:tr w14:paraId="184C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08BD"/>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3D952">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E52AC">
            <w:pPr>
              <w:spacing w:line="300" w:lineRule="exact"/>
              <w:jc w:val="right"/>
              <w:rPr>
                <w:rFonts w:hint="eastAsia" w:ascii="仿宋_GB2312" w:eastAsia="仿宋_GB2312" w:cs="仿宋_GB2312"/>
                <w:color w:val="000000"/>
                <w:sz w:val="24"/>
                <w:szCs w:val="24"/>
              </w:rPr>
            </w:pPr>
          </w:p>
        </w:tc>
      </w:tr>
      <w:tr w14:paraId="2B01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71947">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65BCBE">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年度目标</w:t>
            </w:r>
          </w:p>
        </w:tc>
      </w:tr>
      <w:tr w14:paraId="7CBB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D643"/>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1E634D">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档案馆数字化建设机房维护、库房倒库</w:t>
            </w:r>
          </w:p>
        </w:tc>
      </w:tr>
      <w:tr w14:paraId="71C3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0375DCC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8C2EF2">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6A1C3A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4F0BC68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10A1B5C">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683840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AB279D2">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036561A">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EECBBDC">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实际完成指标值</w:t>
            </w:r>
          </w:p>
        </w:tc>
      </w:tr>
      <w:tr w14:paraId="3E00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EFDFA57"/>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800C671">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产出指标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0CCE32CC">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数量指标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7F81B8B1">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全州重点档案捨和保护</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3BBA5F62">
            <w:pPr>
              <w:spacing w:line="300" w:lineRule="exact"/>
              <w:jc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DB0D3C7">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0DE8DDAE">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AF682E5">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872BA31">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r w14:paraId="23B3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F695A15"/>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6B7D0F8">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662CD94">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社会效益</w:t>
            </w:r>
          </w:p>
          <w:p w14:paraId="2585131D">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46ABB8E">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档案查阅利用方便、快捷</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0482D3F9">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677D2D1">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6583FF3B">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5A4842E">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D0AB321">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r w14:paraId="7BFA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86223E8"/>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28E6CC8">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满意度</w:t>
            </w:r>
          </w:p>
          <w:p w14:paraId="72B56D31">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0555052">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服务对象</w:t>
            </w:r>
          </w:p>
          <w:p w14:paraId="3A17EC61">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满意度指标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2C667F83">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查阅利用档案人员满意</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AC444E4">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4958C2F">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42B8224D">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人</w:t>
            </w:r>
            <w:r>
              <w:rPr>
                <w:rFonts w:hint="eastAsia" w:ascii="仿宋_GB2312" w:eastAsia="仿宋_GB2312" w:cs="仿宋_GB2312"/>
                <w:color w:val="000000"/>
                <w:sz w:val="24"/>
                <w:szCs w:val="24"/>
                <w:lang w:val="en-US" w:eastAsia="zh-CN"/>
              </w:rPr>
              <w:t>/次</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DF74A5C">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5D4FF5C">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bl>
    <w:p w14:paraId="191C7E5F">
      <w:pPr>
        <w:pStyle w:val="21"/>
        <w:spacing w:after="0" w:line="578" w:lineRule="exact"/>
        <w:ind w:left="0" w:leftChars="0"/>
        <w:rPr>
          <w:rFonts w:hint="eastAsia" w:ascii="仿宋_GB2312" w:eastAsia="仿宋_GB2312" w:cs="仿宋_GB2312"/>
          <w:sz w:val="24"/>
          <w:szCs w:val="24"/>
        </w:rPr>
      </w:pPr>
    </w:p>
    <w:p w14:paraId="4AA285BD">
      <w:pPr>
        <w:pStyle w:val="21"/>
        <w:spacing w:after="0" w:line="578" w:lineRule="exact"/>
        <w:ind w:left="0" w:leftChars="0"/>
        <w:rPr>
          <w:rFonts w:ascii="黑体" w:eastAsia="黑体" w:cs="黑体"/>
          <w:sz w:val="24"/>
          <w:szCs w:val="24"/>
        </w:rPr>
      </w:pPr>
    </w:p>
    <w:p w14:paraId="73A7D577">
      <w:pPr>
        <w:pStyle w:val="41"/>
        <w:rPr>
          <w:rFonts w:hint="eastAsia"/>
          <w:lang w:val="en-US" w:eastAsia="zh-CN"/>
        </w:rPr>
      </w:pPr>
    </w:p>
    <w:p w14:paraId="0A3E52E2">
      <w:pPr>
        <w:spacing w:line="576" w:lineRule="exact"/>
        <w:jc w:val="left"/>
        <w:outlineLvl w:val="0"/>
        <w:rPr>
          <w:rFonts w:hint="eastAsia" w:ascii="国标仿宋" w:eastAsia="国标仿宋" w:cs="国标仿宋"/>
          <w:sz w:val="32"/>
          <w:szCs w:val="32"/>
        </w:rPr>
      </w:pPr>
    </w:p>
    <w:bookmarkEnd w:id="99"/>
    <w:bookmarkEnd w:id="106"/>
    <w:bookmarkEnd w:id="107"/>
    <w:bookmarkEnd w:id="108"/>
    <w:p w14:paraId="2FCADC72"/>
    <w:p w14:paraId="108A21A7">
      <w:pPr>
        <w:widowControl/>
        <w:jc w:val="center"/>
        <w:rPr>
          <w:rFonts w:ascii="仿宋" w:eastAsia="仿宋"/>
        </w:rPr>
      </w:pPr>
      <w:r>
        <w:rPr>
          <w:rFonts w:hint="eastAsia" w:ascii="黑体" w:eastAsia="黑体"/>
          <w:sz w:val="44"/>
          <w:szCs w:val="44"/>
        </w:rPr>
        <w:t>第</w:t>
      </w:r>
      <w:r>
        <w:rPr>
          <w:rStyle w:val="26"/>
          <w:rFonts w:hint="eastAsia" w:ascii="黑体" w:eastAsia="黑体"/>
        </w:rPr>
        <w:t>五部分 附表</w:t>
      </w:r>
    </w:p>
    <w:p w14:paraId="03B33F56">
      <w:pPr>
        <w:pStyle w:val="3"/>
        <w:rPr>
          <w:rFonts w:ascii="仿宋" w:eastAsia="仿宋"/>
        </w:rPr>
      </w:pPr>
      <w:bookmarkStart w:id="110" w:name="_Toc178176246"/>
      <w:r>
        <w:rPr>
          <w:rFonts w:hint="eastAsia" w:ascii="仿宋" w:eastAsia="仿宋"/>
          <w:b w:val="0"/>
        </w:rPr>
        <w:t>一、收</w:t>
      </w:r>
      <w:r>
        <w:rPr>
          <w:rStyle w:val="27"/>
          <w:rFonts w:hint="eastAsia" w:ascii="仿宋" w:eastAsia="仿宋"/>
          <w:b/>
          <w:bCs/>
        </w:rPr>
        <w:t>入支出决算总表</w:t>
      </w:r>
      <w:bookmarkEnd w:id="110"/>
    </w:p>
    <w:p w14:paraId="643F5573">
      <w:pPr>
        <w:pStyle w:val="3"/>
        <w:rPr>
          <w:rFonts w:ascii="仿宋" w:eastAsia="仿宋"/>
        </w:rPr>
      </w:pPr>
      <w:bookmarkStart w:id="111" w:name="_Toc178176247"/>
      <w:r>
        <w:rPr>
          <w:rFonts w:hint="eastAsia" w:ascii="仿宋" w:eastAsia="仿宋"/>
          <w:b w:val="0"/>
        </w:rPr>
        <w:t>二、收</w:t>
      </w:r>
      <w:r>
        <w:rPr>
          <w:rStyle w:val="27"/>
          <w:rFonts w:hint="eastAsia" w:ascii="仿宋" w:eastAsia="仿宋"/>
          <w:b/>
          <w:bCs/>
        </w:rPr>
        <w:t>入决算表</w:t>
      </w:r>
      <w:bookmarkEnd w:id="111"/>
    </w:p>
    <w:p w14:paraId="3CDED551">
      <w:pPr>
        <w:pStyle w:val="3"/>
        <w:rPr>
          <w:rFonts w:ascii="仿宋" w:eastAsia="仿宋"/>
        </w:rPr>
      </w:pPr>
      <w:bookmarkStart w:id="112" w:name="_Toc178176248"/>
      <w:r>
        <w:rPr>
          <w:rStyle w:val="27"/>
          <w:rFonts w:hint="eastAsia" w:ascii="仿宋" w:eastAsia="仿宋"/>
          <w:b/>
          <w:bCs/>
        </w:rPr>
        <w:t>三、</w:t>
      </w:r>
      <w:r>
        <w:rPr>
          <w:rFonts w:hint="eastAsia" w:ascii="仿宋" w:eastAsia="仿宋"/>
          <w:b w:val="0"/>
        </w:rPr>
        <w:t>支</w:t>
      </w:r>
      <w:r>
        <w:rPr>
          <w:rStyle w:val="27"/>
          <w:rFonts w:hint="eastAsia" w:ascii="仿宋" w:eastAsia="仿宋"/>
          <w:b/>
          <w:bCs/>
        </w:rPr>
        <w:t>出决算表</w:t>
      </w:r>
      <w:bookmarkEnd w:id="112"/>
    </w:p>
    <w:p w14:paraId="1E4C2285">
      <w:pPr>
        <w:pStyle w:val="3"/>
        <w:rPr>
          <w:rFonts w:ascii="仿宋" w:eastAsia="仿宋"/>
          <w:b w:val="0"/>
        </w:rPr>
      </w:pPr>
      <w:bookmarkStart w:id="113" w:name="_Toc178176249"/>
      <w:r>
        <w:rPr>
          <w:rStyle w:val="27"/>
          <w:rFonts w:hint="eastAsia" w:ascii="仿宋" w:eastAsia="仿宋"/>
          <w:b/>
          <w:bCs/>
        </w:rPr>
        <w:t>四、</w:t>
      </w:r>
      <w:r>
        <w:rPr>
          <w:rFonts w:hint="eastAsia" w:ascii="仿宋" w:eastAsia="仿宋"/>
          <w:b w:val="0"/>
        </w:rPr>
        <w:t>财</w:t>
      </w:r>
      <w:r>
        <w:rPr>
          <w:rStyle w:val="27"/>
          <w:rFonts w:hint="eastAsia" w:ascii="仿宋" w:eastAsia="仿宋"/>
          <w:b/>
          <w:bCs/>
        </w:rPr>
        <w:t>政拨款收入支出决算总表</w:t>
      </w:r>
      <w:bookmarkEnd w:id="113"/>
    </w:p>
    <w:p w14:paraId="1B113F9B">
      <w:pPr>
        <w:pStyle w:val="3"/>
        <w:rPr>
          <w:rStyle w:val="27"/>
          <w:rFonts w:ascii="仿宋" w:eastAsia="仿宋"/>
          <w:b/>
          <w:bCs/>
        </w:rPr>
      </w:pPr>
      <w:bookmarkStart w:id="114" w:name="_Toc178176250"/>
      <w:r>
        <w:rPr>
          <w:rStyle w:val="27"/>
          <w:rFonts w:hint="eastAsia" w:ascii="仿宋" w:eastAsia="仿宋"/>
          <w:b/>
          <w:bCs/>
        </w:rPr>
        <w:t>五、</w:t>
      </w:r>
      <w:r>
        <w:rPr>
          <w:rFonts w:hint="eastAsia" w:ascii="仿宋" w:eastAsia="仿宋"/>
          <w:b w:val="0"/>
        </w:rPr>
        <w:t>财</w:t>
      </w:r>
      <w:r>
        <w:rPr>
          <w:rStyle w:val="27"/>
          <w:rFonts w:hint="eastAsia" w:ascii="仿宋" w:eastAsia="仿宋"/>
          <w:b/>
          <w:bCs/>
        </w:rPr>
        <w:t>政拨款支出决算明细表</w:t>
      </w:r>
      <w:bookmarkEnd w:id="114"/>
    </w:p>
    <w:p w14:paraId="12B0E5E8">
      <w:pPr>
        <w:pStyle w:val="3"/>
        <w:rPr>
          <w:rFonts w:ascii="仿宋" w:eastAsia="仿宋"/>
        </w:rPr>
      </w:pPr>
      <w:bookmarkStart w:id="115" w:name="_Toc178176251"/>
      <w:r>
        <w:rPr>
          <w:rStyle w:val="27"/>
          <w:rFonts w:hint="eastAsia" w:ascii="仿宋" w:eastAsia="仿宋"/>
          <w:b/>
          <w:bCs/>
        </w:rPr>
        <w:t>六、</w:t>
      </w:r>
      <w:r>
        <w:rPr>
          <w:rFonts w:hint="eastAsia" w:ascii="仿宋" w:eastAsia="仿宋"/>
          <w:b w:val="0"/>
        </w:rPr>
        <w:t>一</w:t>
      </w:r>
      <w:r>
        <w:rPr>
          <w:rStyle w:val="27"/>
          <w:rFonts w:hint="eastAsia" w:ascii="仿宋" w:eastAsia="仿宋"/>
          <w:b/>
          <w:bCs/>
        </w:rPr>
        <w:t>般公共预算财政拨款支出决算表</w:t>
      </w:r>
      <w:bookmarkEnd w:id="115"/>
    </w:p>
    <w:p w14:paraId="54AFB4C8">
      <w:pPr>
        <w:pStyle w:val="3"/>
        <w:rPr>
          <w:rFonts w:ascii="仿宋" w:eastAsia="仿宋"/>
        </w:rPr>
      </w:pPr>
      <w:bookmarkStart w:id="116" w:name="_Toc178176252"/>
      <w:r>
        <w:rPr>
          <w:rStyle w:val="27"/>
          <w:rFonts w:hint="eastAsia" w:ascii="仿宋" w:eastAsia="仿宋"/>
          <w:b/>
          <w:bCs/>
        </w:rPr>
        <w:t>七、</w:t>
      </w:r>
      <w:r>
        <w:rPr>
          <w:rFonts w:hint="eastAsia" w:ascii="仿宋" w:eastAsia="仿宋"/>
          <w:b w:val="0"/>
        </w:rPr>
        <w:t>一</w:t>
      </w:r>
      <w:r>
        <w:rPr>
          <w:rStyle w:val="27"/>
          <w:rFonts w:hint="eastAsia" w:ascii="仿宋" w:eastAsia="仿宋"/>
          <w:b/>
          <w:bCs/>
        </w:rPr>
        <w:t>般公共预算财政拨款支出决算明细表</w:t>
      </w:r>
      <w:bookmarkEnd w:id="116"/>
    </w:p>
    <w:p w14:paraId="32B509EA">
      <w:pPr>
        <w:pStyle w:val="3"/>
        <w:rPr>
          <w:rFonts w:ascii="仿宋" w:eastAsia="仿宋"/>
        </w:rPr>
      </w:pPr>
      <w:bookmarkStart w:id="117" w:name="_Toc178176253"/>
      <w:r>
        <w:rPr>
          <w:rStyle w:val="27"/>
          <w:rFonts w:hint="eastAsia" w:ascii="仿宋" w:eastAsia="仿宋"/>
          <w:b/>
          <w:bCs/>
        </w:rPr>
        <w:t>八、</w:t>
      </w:r>
      <w:r>
        <w:rPr>
          <w:rFonts w:hint="eastAsia" w:ascii="仿宋" w:eastAsia="仿宋"/>
          <w:b w:val="0"/>
        </w:rPr>
        <w:t>一</w:t>
      </w:r>
      <w:r>
        <w:rPr>
          <w:rStyle w:val="27"/>
          <w:rFonts w:hint="eastAsia" w:ascii="仿宋" w:eastAsia="仿宋"/>
          <w:b/>
          <w:bCs/>
        </w:rPr>
        <w:t>般公共预算财政拨款基本支出决算表</w:t>
      </w:r>
      <w:bookmarkEnd w:id="117"/>
    </w:p>
    <w:p w14:paraId="1B701753">
      <w:pPr>
        <w:pStyle w:val="3"/>
        <w:rPr>
          <w:rFonts w:ascii="仿宋" w:eastAsia="仿宋"/>
        </w:rPr>
      </w:pPr>
      <w:bookmarkStart w:id="118" w:name="_Toc178176254"/>
      <w:r>
        <w:rPr>
          <w:rStyle w:val="27"/>
          <w:rFonts w:hint="eastAsia" w:ascii="仿宋" w:eastAsia="仿宋"/>
          <w:b/>
          <w:bCs/>
        </w:rPr>
        <w:t>九、</w:t>
      </w:r>
      <w:r>
        <w:rPr>
          <w:rFonts w:hint="eastAsia" w:ascii="仿宋" w:eastAsia="仿宋"/>
          <w:b w:val="0"/>
        </w:rPr>
        <w:t>一</w:t>
      </w:r>
      <w:r>
        <w:rPr>
          <w:rStyle w:val="27"/>
          <w:rFonts w:hint="eastAsia" w:ascii="仿宋" w:eastAsia="仿宋"/>
          <w:b/>
          <w:bCs/>
        </w:rPr>
        <w:t>般公共预算财政拨款项目支出决算表</w:t>
      </w:r>
      <w:bookmarkEnd w:id="118"/>
    </w:p>
    <w:p w14:paraId="5268EBF7">
      <w:pPr>
        <w:pStyle w:val="3"/>
        <w:rPr>
          <w:rFonts w:ascii="仿宋" w:eastAsia="仿宋"/>
        </w:rPr>
      </w:pPr>
      <w:bookmarkStart w:id="119" w:name="_Toc178176255"/>
      <w:r>
        <w:rPr>
          <w:rStyle w:val="27"/>
          <w:rFonts w:hint="eastAsia" w:ascii="仿宋" w:eastAsia="仿宋"/>
          <w:b/>
          <w:bCs/>
        </w:rPr>
        <w:t>十、</w:t>
      </w:r>
      <w:r>
        <w:rPr>
          <w:rFonts w:hint="eastAsia" w:ascii="仿宋" w:eastAsia="仿宋"/>
          <w:b w:val="0"/>
        </w:rPr>
        <w:t>政</w:t>
      </w:r>
      <w:r>
        <w:rPr>
          <w:rStyle w:val="27"/>
          <w:rFonts w:hint="eastAsia" w:ascii="仿宋" w:eastAsia="仿宋"/>
          <w:b/>
          <w:bCs/>
        </w:rPr>
        <w:t>府性基金预算财政拨款收入支出决算表</w:t>
      </w:r>
      <w:bookmarkEnd w:id="119"/>
    </w:p>
    <w:p w14:paraId="1AA98421">
      <w:pPr>
        <w:pStyle w:val="3"/>
        <w:rPr>
          <w:rFonts w:ascii="仿宋" w:eastAsia="仿宋"/>
        </w:rPr>
      </w:pPr>
      <w:bookmarkStart w:id="120" w:name="_Toc178176256"/>
      <w:r>
        <w:rPr>
          <w:rStyle w:val="27"/>
          <w:rFonts w:hint="eastAsia" w:ascii="仿宋" w:eastAsia="仿宋"/>
          <w:b/>
          <w:bCs/>
        </w:rPr>
        <w:t>十一、</w:t>
      </w:r>
      <w:r>
        <w:rPr>
          <w:rFonts w:hint="eastAsia" w:ascii="仿宋" w:eastAsia="仿宋"/>
          <w:b w:val="0"/>
        </w:rPr>
        <w:t>国</w:t>
      </w:r>
      <w:r>
        <w:rPr>
          <w:rStyle w:val="27"/>
          <w:rFonts w:hint="eastAsia" w:ascii="仿宋" w:eastAsia="仿宋"/>
          <w:b/>
          <w:bCs/>
        </w:rPr>
        <w:t>有资本经营预算财政拨款收入支出决算表</w:t>
      </w:r>
      <w:bookmarkEnd w:id="120"/>
    </w:p>
    <w:p w14:paraId="4C9D07EE">
      <w:pPr>
        <w:pStyle w:val="3"/>
        <w:rPr>
          <w:rFonts w:ascii="仿宋" w:eastAsia="仿宋"/>
        </w:rPr>
      </w:pPr>
      <w:bookmarkStart w:id="121" w:name="_Toc178176257"/>
      <w:r>
        <w:rPr>
          <w:rStyle w:val="27"/>
          <w:rFonts w:hint="eastAsia" w:ascii="仿宋" w:eastAsia="仿宋"/>
          <w:b/>
          <w:bCs/>
        </w:rPr>
        <w:t>十二、国有资本经营预算财政拨款支出决算表</w:t>
      </w:r>
      <w:bookmarkEnd w:id="121"/>
    </w:p>
    <w:p w14:paraId="47929372">
      <w:pPr>
        <w:pStyle w:val="3"/>
        <w:rPr>
          <w:rStyle w:val="27"/>
          <w:rFonts w:ascii="仿宋" w:eastAsia="仿宋"/>
          <w:b/>
          <w:bCs/>
        </w:rPr>
      </w:pPr>
      <w:bookmarkStart w:id="122" w:name="_Toc178176258"/>
      <w:r>
        <w:rPr>
          <w:rStyle w:val="27"/>
          <w:rFonts w:hint="eastAsia" w:ascii="仿宋" w:eastAsia="仿宋"/>
          <w:b/>
          <w:bCs/>
        </w:rPr>
        <w:t>十三、财政拨款“三公”经费支出决算表</w:t>
      </w:r>
      <w:bookmarkEnd w:id="122"/>
    </w:p>
    <w:p w14:paraId="609BCCED"/>
    <w:p w14:paraId="285FED05"/>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Lucida Sans">
    <w:panose1 w:val="020B0602030504020204"/>
    <w:charset w:val="01"/>
    <w:family w:val="auto"/>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国标仿宋">
    <w:altName w:val="仿宋"/>
    <w:panose1 w:val="02000500000000000000"/>
    <w:charset w:val="86"/>
    <w:family w:val="auto"/>
    <w:pitch w:val="default"/>
    <w:sig w:usb0="00000000" w:usb1="00000000" w:usb2="00000016" w:usb3="00000000" w:csb0="00060007"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FCF0">
    <w:pPr>
      <w:pStyle w:val="12"/>
      <w:jc w:val="center"/>
    </w:pPr>
    <w:r>
      <w:fldChar w:fldCharType="begin"/>
    </w:r>
    <w:r>
      <w:instrText xml:space="preserve">PAGE   \* MERGEFORMAT</w:instrText>
    </w:r>
    <w:r>
      <w:fldChar w:fldCharType="separate"/>
    </w:r>
    <w:r>
      <w:rPr>
        <w:lang w:val="zh-CN"/>
      </w:rPr>
      <w:t>2</w:t>
    </w:r>
    <w:r>
      <w:fldChar w:fldCharType="end"/>
    </w:r>
  </w:p>
  <w:p w14:paraId="4E4B4E4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1A6C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1429D"/>
    <w:multiLevelType w:val="singleLevel"/>
    <w:tmpl w:val="B9A1429D"/>
    <w:lvl w:ilvl="0" w:tentative="0">
      <w:start w:val="2"/>
      <w:numFmt w:val="chineseCounting"/>
      <w:suff w:val="nothing"/>
      <w:lvlText w:val="（%1）"/>
      <w:lvlJc w:val="left"/>
      <w:pPr>
        <w:ind w:left="0" w:firstLine="0"/>
      </w:pPr>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3FE189D6"/>
    <w:multiLevelType w:val="singleLevel"/>
    <w:tmpl w:val="3FE189D6"/>
    <w:lvl w:ilvl="0" w:tentative="0">
      <w:start w:val="3"/>
      <w:numFmt w:val="chineseCounting"/>
      <w:suff w:val="nothing"/>
      <w:lvlText w:val="（%1）"/>
      <w:lvlJc w:val="left"/>
      <w:pPr>
        <w:ind w:left="0" w:firstLine="0"/>
      </w:pPr>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E09270A"/>
    <w:rsid w:val="57B02495"/>
    <w:rsid w:val="718D57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7"/>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next w:val="1"/>
    <w:qFormat/>
    <w:uiPriority w:val="0"/>
    <w:pPr>
      <w:spacing w:before="30" w:beforeLines="30"/>
    </w:pPr>
    <w:rPr>
      <w:rFonts w:ascii="仿宋_GB2312" w:eastAsia="仿宋_GB2312"/>
      <w:kern w:val="0"/>
      <w:sz w:val="24"/>
      <w:szCs w:val="20"/>
    </w:rPr>
  </w:style>
  <w:style w:type="paragraph" w:styleId="7">
    <w:name w:val="Body Text Indent"/>
    <w:basedOn w:val="1"/>
    <w:qFormat/>
    <w:uiPriority w:val="0"/>
    <w:pPr>
      <w:spacing w:after="120"/>
      <w:ind w:left="200" w:leftChars="200"/>
    </w:pPr>
  </w:style>
  <w:style w:type="paragraph" w:styleId="8">
    <w:name w:val="toc 5"/>
    <w:basedOn w:val="1"/>
    <w:next w:val="1"/>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able of figures"/>
    <w:basedOn w:val="1"/>
    <w:next w:val="1"/>
    <w:qFormat/>
    <w:uiPriority w:val="0"/>
    <w:pPr>
      <w:ind w:left="400" w:leftChars="200" w:hanging="200" w:hangingChars="200"/>
    </w:pPr>
    <w:rPr>
      <w:sz w:val="32"/>
      <w:szCs w:val="21"/>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paragraph" w:styleId="20">
    <w:name w:val="Normal (Web)"/>
    <w:basedOn w:val="1"/>
    <w:qFormat/>
    <w:uiPriority w:val="0"/>
    <w:pPr>
      <w:widowControl/>
      <w:spacing w:before="100" w:beforeAutospacing="1" w:after="100" w:afterAutospacing="1"/>
      <w:jc w:val="left"/>
    </w:pPr>
    <w:rPr>
      <w:rFonts w:ascii="宋体" w:cs="宋体"/>
      <w:kern w:val="0"/>
      <w:sz w:val="24"/>
    </w:rPr>
  </w:style>
  <w:style w:type="paragraph" w:styleId="21">
    <w:name w:val="Body Text First Indent 2"/>
    <w:basedOn w:val="7"/>
    <w:qFormat/>
    <w:uiPriority w:val="0"/>
    <w:pPr>
      <w:widowControl w:val="0"/>
      <w:suppressAutoHyphens/>
      <w:ind w:firstLine="200" w:firstLineChars="200"/>
    </w:pPr>
    <w:rPr>
      <w:rFonts w:ascii="Calibri" w:hAnsi="Calibri"/>
    </w:rPr>
  </w:style>
  <w:style w:type="character" w:styleId="24">
    <w:name w:val="Strong"/>
    <w:basedOn w:val="23"/>
    <w:qFormat/>
    <w:uiPriority w:val="0"/>
    <w:rPr>
      <w:rFonts w:cs="Times New Roman"/>
      <w:b/>
    </w:rPr>
  </w:style>
  <w:style w:type="character" w:styleId="25">
    <w:name w:val="Hyperlink"/>
    <w:basedOn w:val="23"/>
    <w:qFormat/>
    <w:uiPriority w:val="0"/>
    <w:rPr>
      <w:rFonts w:cs="Times New Roman"/>
      <w:color w:val="0000FF"/>
      <w:u w:val="single"/>
    </w:rPr>
  </w:style>
  <w:style w:type="character" w:customStyle="1" w:styleId="26">
    <w:name w:val="heading 1 Char"/>
    <w:basedOn w:val="23"/>
    <w:link w:val="2"/>
    <w:uiPriority w:val="0"/>
    <w:rPr>
      <w:rFonts w:ascii="Times New Roman" w:hAnsi="Times New Roman" w:eastAsia="宋体" w:cs="Times New Roman"/>
      <w:b/>
      <w:bCs/>
      <w:kern w:val="44"/>
      <w:sz w:val="44"/>
      <w:szCs w:val="44"/>
      <w:lang w:val="en-US" w:eastAsia="zh-CN" w:bidi="ar-SA"/>
    </w:rPr>
  </w:style>
  <w:style w:type="character" w:customStyle="1" w:styleId="27">
    <w:name w:val="heading 2 Char"/>
    <w:basedOn w:val="23"/>
    <w:link w:val="3"/>
    <w:uiPriority w:val="0"/>
    <w:rPr>
      <w:rFonts w:ascii="Cambria" w:hAnsi="Cambria" w:eastAsia="宋体" w:cs="Times New Roman"/>
      <w:b/>
      <w:bCs/>
      <w:kern w:val="2"/>
      <w:sz w:val="32"/>
      <w:szCs w:val="32"/>
      <w:lang w:val="en-US" w:eastAsia="zh-CN" w:bidi="ar-SA"/>
    </w:rPr>
  </w:style>
  <w:style w:type="character" w:customStyle="1" w:styleId="28">
    <w:name w:val="Body Text Char"/>
    <w:basedOn w:val="23"/>
    <w:qFormat/>
    <w:uiPriority w:val="0"/>
    <w:rPr>
      <w:rFonts w:ascii="Times New Roman" w:hAnsi="Times New Roman" w:cs="Times New Roman"/>
      <w:sz w:val="24"/>
      <w:szCs w:val="24"/>
    </w:rPr>
  </w:style>
  <w:style w:type="character" w:customStyle="1" w:styleId="29">
    <w:name w:val="Footer Char"/>
    <w:basedOn w:val="23"/>
    <w:qFormat/>
    <w:uiPriority w:val="0"/>
    <w:rPr>
      <w:rFonts w:ascii="Times New Roman" w:hAnsi="Times New Roman" w:cs="Times New Roman"/>
      <w:sz w:val="18"/>
      <w:szCs w:val="18"/>
    </w:rPr>
  </w:style>
  <w:style w:type="character" w:customStyle="1" w:styleId="30">
    <w:name w:val="Header Char"/>
    <w:basedOn w:val="23"/>
    <w:uiPriority w:val="0"/>
    <w:rPr>
      <w:rFonts w:ascii="Times New Roman" w:hAnsi="Times New Roman" w:cs="Times New Roman"/>
      <w:sz w:val="18"/>
      <w:szCs w:val="18"/>
    </w:rPr>
  </w:style>
  <w:style w:type="paragraph" w:customStyle="1" w:styleId="31">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2">
    <w:name w:val="列表段落1"/>
    <w:basedOn w:val="1"/>
    <w:uiPriority w:val="0"/>
    <w:pPr>
      <w:ind w:firstLine="200" w:firstLineChars="200"/>
    </w:pPr>
  </w:style>
  <w:style w:type="paragraph" w:customStyle="1" w:styleId="33">
    <w:name w:val="TOC 标题1"/>
    <w:basedOn w:val="2"/>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2"/>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5">
    <w:name w:val="TOC 标题2"/>
    <w:basedOn w:val="2"/>
    <w:next w:val="1"/>
    <w:uiPriority w:val="0"/>
    <w:pPr>
      <w:keepNext/>
      <w:keepLines/>
      <w:widowControl/>
      <w:spacing w:before="240" w:after="0" w:line="259" w:lineRule="auto"/>
      <w:jc w:val="left"/>
      <w:outlineLvl w:val="9"/>
    </w:pPr>
    <w:rPr>
      <w:rFonts w:ascii="等线 Light" w:eastAsia="等线 Light"/>
      <w:b w:val="0"/>
      <w:bCs w:val="0"/>
      <w:color w:val="2F5496"/>
      <w:kern w:val="0"/>
      <w:sz w:val="32"/>
      <w:szCs w:val="32"/>
    </w:rPr>
  </w:style>
  <w:style w:type="paragraph" w:customStyle="1" w:styleId="36">
    <w:name w:val="WPSOffice手动目录 1"/>
    <w:uiPriority w:val="0"/>
    <w:rPr>
      <w:rFonts w:ascii="Times New Roman" w:hAnsi="Times New Roman" w:eastAsia="宋体" w:cs="Times New Roman"/>
      <w:sz w:val="20"/>
      <w:szCs w:val="20"/>
      <w:lang w:val="en-US" w:eastAsia="zh-CN" w:bidi="ar-SA"/>
    </w:rPr>
  </w:style>
  <w:style w:type="paragraph" w:customStyle="1" w:styleId="37">
    <w:name w:val="WPSOffice手动目录 2"/>
    <w:uiPriority w:val="0"/>
    <w:pPr>
      <w:ind w:left="200" w:leftChars="200"/>
    </w:pPr>
    <w:rPr>
      <w:rFonts w:ascii="Times New Roman" w:hAnsi="Times New Roman" w:eastAsia="宋体" w:cs="Times New Roman"/>
      <w:sz w:val="20"/>
      <w:szCs w:val="20"/>
      <w:lang w:val="en-US" w:eastAsia="zh-CN" w:bidi="ar-SA"/>
    </w:rPr>
  </w:style>
  <w:style w:type="paragraph" w:customStyle="1" w:styleId="38">
    <w:name w:val="WPSOffice手动目录 3"/>
    <w:uiPriority w:val="0"/>
    <w:pPr>
      <w:ind w:left="400" w:leftChars="400"/>
    </w:pPr>
    <w:rPr>
      <w:rFonts w:ascii="Times New Roman" w:hAnsi="Times New Roman" w:eastAsia="宋体" w:cs="Times New Roman"/>
      <w:sz w:val="20"/>
      <w:szCs w:val="20"/>
      <w:lang w:val="en-US" w:eastAsia="zh-CN" w:bidi="ar-SA"/>
    </w:rPr>
  </w:style>
  <w:style w:type="character" w:customStyle="1" w:styleId="39">
    <w:name w:val="bjh-p"/>
    <w:qFormat/>
    <w:uiPriority w:val="0"/>
  </w:style>
  <w:style w:type="paragraph" w:customStyle="1" w:styleId="40">
    <w:name w:val="四号正文"/>
    <w:basedOn w:val="1"/>
    <w:uiPriority w:val="0"/>
    <w:pPr>
      <w:spacing w:line="360" w:lineRule="auto"/>
    </w:pPr>
    <w:rPr>
      <w:rFonts w:ascii="??" w:hAnsi="??"/>
      <w:color w:val="000000"/>
      <w:kern w:val="0"/>
      <w:sz w:val="28"/>
      <w:szCs w:val="21"/>
      <w:lang w:val="zh-CN"/>
    </w:rPr>
  </w:style>
  <w:style w:type="paragraph" w:customStyle="1" w:styleId="41">
    <w:name w:val="标题 5（有编号）（绿盟科技）"/>
    <w:next w:val="1"/>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列1</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2024</c:v>
                </c:pt>
                <c:pt idx="1">
                  <c:v>2023</c:v>
                </c:pt>
              </c:numCache>
            </c:numRef>
          </c:cat>
          <c:val>
            <c:numRef>
              <c:f>'Sheet1'!$B$2:$B$3</c:f>
              <c:numCache>
                <c:formatCode>General</c:formatCode>
                <c:ptCount val="2"/>
                <c:pt idx="0">
                  <c:v>348.06</c:v>
                </c:pt>
                <c:pt idx="1">
                  <c:v>228.6</c:v>
                </c:pt>
              </c:numCache>
            </c:numRef>
          </c:val>
        </c:ser>
        <c:dLbls>
          <c:showLegendKey val="0"/>
          <c:showVal val="1"/>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0"/>
        <c:crossesAt val="1"/>
        <c:crossBetween val="between"/>
      </c:valAx>
      <c:spPr>
        <a:solidFill>
          <a:srgbClr val="FFFFFF"/>
        </a:solidFill>
      </c:spPr>
    </c:plotArea>
    <c:plotVisOnly val="1"/>
    <c:dispBlanksAs val="gap"/>
    <c:showDLblsOverMax val="0"/>
    <c:extLst>
      <c:ext uri="{0b15fc19-7d7d-44ad-8c2d-2c3a37ce22c3}">
        <chartProps xmlns="https://web.wps.cn/et/2018/main" chartId="{cca6b63b-d8b5-4caf-8a4f-1bca5e090445}"/>
      </c:ext>
    </c:extLst>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348.06</a:t>
            </a:r>
            <a:endParaRPr lang="zh-CN"/>
          </a:p>
        </c:rich>
      </c:tx>
      <c:layout>
        <c:manualLayout>
          <c:xMode val="edge"/>
          <c:yMode val="edge"/>
          <c:x val="0.5969224"/>
          <c:y val="0.82997584"/>
        </c:manualLayout>
      </c:layout>
      <c:overlay val="0"/>
      <c:spPr>
        <a:noFill/>
        <a:ln>
          <a:noFill/>
        </a:ln>
      </c:spPr>
    </c:title>
    <c:autoTitleDeleted val="0"/>
    <c:plotArea>
      <c:layout/>
      <c:pieChart>
        <c:varyColors val="1"/>
        <c:ser>
          <c:idx val="0"/>
          <c:order val="0"/>
          <c:tx>
            <c:strRef>
              <c:f>'Sheet1 (2)'!$B$1</c:f>
              <c:strCache>
                <c:ptCount val="1"/>
                <c:pt idx="0">
                  <c:v>348.06</c:v>
                </c:pt>
              </c:strCache>
            </c:strRef>
          </c:tx>
          <c:spPr>
            <a:ln>
              <a:noFill/>
            </a:ln>
          </c:spPr>
          <c:explosion val="0"/>
          <c:dPt>
            <c:idx val="0"/>
            <c:bubble3D val="0"/>
            <c:spPr>
              <a:solidFill>
                <a:srgbClr val="4F81BD"/>
              </a:solidFill>
              <a:ln w="6350">
                <a:solidFill>
                  <a:srgbClr val="FFFFFF"/>
                </a:solidFill>
                <a:prstDash val="solid"/>
              </a:ln>
            </c:spPr>
          </c:dPt>
          <c:dLbls>
            <c:dLbl>
              <c:idx val="0"/>
              <c:layout/>
              <c:numFmt formatCode="General"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Times New Roman" panose="02020603050405020304"/>
                      <a:ea typeface="宋体" panose="02010600030101010101" charset="-122"/>
                      <a:cs typeface="Lucida Sans" panose="020B0602030504020204"/>
                    </a:defRPr>
                  </a:pPr>
                </a:p>
              </c:txPr>
              <c:dLblPos val="outEnd"/>
              <c:showLegendKey val="0"/>
              <c:showVal val="0"/>
              <c:showCatName val="1"/>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Times New Roman" panose="02020603050405020304"/>
                    <a:ea typeface="宋体" panose="02010600030101010101" charset="-122"/>
                    <a:cs typeface="Lucida Sans" panose="020B0602030504020204"/>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numRef>
              <c:f>'Sheet1 (2)'!$A$2</c:f>
              <c:numCache>
                <c:formatCode>General</c:formatCode>
                <c:ptCount val="1"/>
                <c:pt idx="0">
                  <c:v>2024</c:v>
                </c:pt>
              </c:numCache>
            </c:numRef>
          </c:cat>
          <c:val>
            <c:numRef>
              <c:f>Sheet1 (2)!$B$2</c:f>
              <c:numCache>
                <c:formatCode>General</c:formatCode>
                <c:ptCount val="1"/>
                <c:pt idx="0">
                  <c:v>100</c:v>
                </c:pt>
              </c:numCache>
            </c:numRef>
          </c:val>
        </c:ser>
        <c:dLbls>
          <c:showLegendKey val="0"/>
          <c:showVal val="0"/>
          <c:showCatName val="1"/>
          <c:showSerName val="0"/>
          <c:showPercent val="0"/>
          <c:showBubbleSize val="0"/>
          <c:showLeaderLines val="1"/>
        </c:dLbls>
        <c:firstSliceAng val="0"/>
      </c:pieChart>
      <c:spPr>
        <a:noFill/>
        <a:ln>
          <a:noFill/>
        </a:ln>
      </c:spPr>
    </c:plotArea>
    <c:plotVisOnly val="1"/>
    <c:dispBlanksAs val="gap"/>
    <c:showDLblsOverMax val="0"/>
    <c:extLst>
      <c:ext uri="{0b15fc19-7d7d-44ad-8c2d-2c3a37ce22c3}">
        <chartProps xmlns="https://web.wps.cn/et/2018/main" chartId="{6f65062c-7f69-4d66-b1bf-61d6004fd5be}"/>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列1</a:t>
            </a:r>
            <a:endParaRPr lang="zh-CN"/>
          </a:p>
        </c:rich>
      </c:tx>
      <c:layout/>
      <c:overlay val="0"/>
      <c:spPr>
        <a:noFill/>
        <a:ln>
          <a:noFill/>
        </a:ln>
      </c:spPr>
    </c:title>
    <c:autoTitleDeleted val="0"/>
    <c:plotArea>
      <c:layout/>
      <c:pieChart>
        <c:varyColors val="1"/>
        <c:ser>
          <c:idx val="0"/>
          <c:order val="0"/>
          <c:tx>
            <c:strRef>
              <c:f>'Sheet1 (3)'!$B$1</c:f>
              <c:strCache>
                <c:ptCount val="1"/>
                <c:pt idx="0">
                  <c:v>列1</c:v>
                </c:pt>
              </c:strCache>
            </c:strRef>
          </c:tx>
          <c:spPr>
            <a:ln>
              <a:noFill/>
            </a:ln>
          </c:spPr>
          <c:explosion val="0"/>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基本支出</c:v>
                </c:pt>
                <c:pt idx="1">
                  <c:v>项目支出</c:v>
                </c:pt>
              </c:strCache>
            </c:strRef>
          </c:cat>
          <c:val>
            <c:numRef>
              <c:f>'Sheet1 (3)'!$B$2:$B$3</c:f>
              <c:numCache>
                <c:formatCode>General</c:formatCode>
                <c:ptCount val="2"/>
                <c:pt idx="0">
                  <c:v>62.66</c:v>
                </c:pt>
                <c:pt idx="1">
                  <c:v>37.34</c:v>
                </c:pt>
              </c:numCache>
            </c:numRef>
          </c:val>
        </c:ser>
        <c:dLbls>
          <c:showLegendKey val="0"/>
          <c:showVal val="0"/>
          <c:showCatName val="0"/>
          <c:showSerName val="0"/>
          <c:showPercent val="0"/>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extLst>
      <c:ext uri="{0b15fc19-7d7d-44ad-8c2d-2c3a37ce22c3}">
        <chartProps xmlns="https://web.wps.cn/et/2018/main" chartId="{01ec6971-9df7-4e44-b9af-2a3dc850c39b}"/>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(4)'!$B$1</c:f>
              <c:strCache>
                <c:ptCount val="1"/>
                <c:pt idx="0">
                  <c:v>2017</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(4)'!$A$2:$A$3</c:f>
              <c:numCache>
                <c:formatCode>General</c:formatCode>
                <c:ptCount val="2"/>
                <c:pt idx="0">
                  <c:v>2023</c:v>
                </c:pt>
                <c:pt idx="1">
                  <c:v>2024</c:v>
                </c:pt>
              </c:numCache>
            </c:numRef>
          </c:cat>
          <c:val>
            <c:numRef>
              <c:f>'Sheet1 (4)'!$B$2:$B$3</c:f>
              <c:numCache>
                <c:formatCode>General</c:formatCode>
                <c:ptCount val="2"/>
                <c:pt idx="0">
                  <c:v>228.6</c:v>
                </c:pt>
                <c:pt idx="1">
                  <c:v>348.06</c:v>
                </c:pt>
              </c:numCache>
            </c:numRef>
          </c:val>
        </c:ser>
        <c:dLbls>
          <c:showLegendKey val="0"/>
          <c:showVal val="1"/>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0"/>
        <c:crossesAt val="1"/>
        <c:crossBetween val="between"/>
      </c:valAx>
      <c:spPr>
        <a:solidFill>
          <a:srgbClr val="FFFFFF"/>
        </a:solidFill>
      </c:spPr>
    </c:plotArea>
    <c:plotVisOnly val="1"/>
    <c:dispBlanksAs val="gap"/>
    <c:showDLblsOverMax val="0"/>
    <c:extLst>
      <c:ext uri="{0b15fc19-7d7d-44ad-8c2d-2c3a37ce22c3}">
        <chartProps xmlns="https://web.wps.cn/et/2018/main" chartId="{b40d6dd1-4a67-41aa-8831-a2042d501c0a}"/>
      </c:ext>
    </c:extLst>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(5)'!$B$1</c:f>
              <c:strCache>
                <c:ptCount val="1"/>
                <c:pt idx="0">
                  <c:v>支出</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(5)'!$A$2:$A$3</c:f>
              <c:numCache>
                <c:formatCode>General</c:formatCode>
                <c:ptCount val="2"/>
                <c:pt idx="0">
                  <c:v>2023</c:v>
                </c:pt>
                <c:pt idx="1">
                  <c:v>2024</c:v>
                </c:pt>
              </c:numCache>
            </c:numRef>
          </c:cat>
          <c:val>
            <c:numRef>
              <c:f>'Sheet1 (5)'!$B$2:$B$3</c:f>
              <c:numCache>
                <c:formatCode>General</c:formatCode>
                <c:ptCount val="2"/>
                <c:pt idx="0">
                  <c:v>228.6</c:v>
                </c:pt>
                <c:pt idx="1">
                  <c:v>348.06</c:v>
                </c:pt>
              </c:numCache>
            </c:numRef>
          </c:val>
        </c:ser>
        <c:dLbls>
          <c:showLegendKey val="0"/>
          <c:showVal val="1"/>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gap"/>
    <c:showDLblsOverMax val="0"/>
    <c:extLst>
      <c:ext uri="{0b15fc19-7d7d-44ad-8c2d-2c3a37ce22c3}">
        <chartProps xmlns="https://web.wps.cn/et/2018/main" chartId="{709fe745-2a0f-4d20-8e82-cfb6e3c52449}"/>
      </c:ext>
    </c:extLst>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销售额</c:v>
                </c:pt>
              </c:strCache>
            </c:strRef>
          </c:tx>
          <c:spPr>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Lbls>
            <c:numFmt formatCode="0%"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(6)'!$A$2:$A$5</c:f>
              <c:strCache>
                <c:ptCount val="4"/>
                <c:pt idx="0">
                  <c:v>一般公共服务</c:v>
                </c:pt>
                <c:pt idx="1">
                  <c:v>社会保障和就业</c:v>
                </c:pt>
                <c:pt idx="2">
                  <c:v>医疗卫生与计划生育</c:v>
                </c:pt>
                <c:pt idx="3">
                  <c:v>住房保障</c:v>
                </c:pt>
              </c:strCache>
            </c:strRef>
          </c:cat>
          <c:val>
            <c:numRef>
              <c:f>'Sheet1 (6)'!$B$2:$B$5</c:f>
              <c:numCache>
                <c:formatCode>0%</c:formatCode>
                <c:ptCount val="4"/>
                <c:pt idx="0">
                  <c:v>0.8326</c:v>
                </c:pt>
                <c:pt idx="1">
                  <c:v>0.0832</c:v>
                </c:pt>
                <c:pt idx="2">
                  <c:v>0.0367</c:v>
                </c:pt>
                <c:pt idx="3">
                  <c:v>0.0475</c:v>
                </c:pt>
              </c:numCache>
            </c:numRef>
          </c:val>
        </c:ser>
        <c:dLbls>
          <c:showLegendKey val="0"/>
          <c:showVal val="1"/>
          <c:showCatName val="0"/>
          <c:showSerName val="0"/>
          <c:showPercent val="0"/>
          <c:showBubbleSize val="0"/>
          <c:showLeaderLines val="1"/>
        </c:dLbls>
        <c:firstSliceAng val="15"/>
      </c:pieChart>
      <c:spPr>
        <a:noFill/>
        <a:ln>
          <a:noFill/>
        </a:ln>
      </c:spPr>
    </c:plotArea>
    <c:legend>
      <c:legendPos val="r"/>
      <c:layout>
        <c:manualLayout>
          <c:xMode val="edge"/>
          <c:yMode val="edge"/>
          <c:x val="0.58720344"/>
          <c:y val="0.056317657"/>
          <c:w val="0.41279656"/>
          <c:h val="0.94141877"/>
        </c:manualLayout>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extLst>
      <c:ext uri="{0b15fc19-7d7d-44ad-8c2d-2c3a37ce22c3}">
        <chartProps xmlns="https://web.wps.cn/et/2018/main" chartId="{f69e87eb-9934-4742-943e-11a478afa426}"/>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(7)'!$B$1</c:f>
              <c:strCache>
                <c:ptCount val="1"/>
                <c:pt idx="0">
                  <c:v>销售额</c:v>
                </c:pt>
              </c:strCache>
            </c:strRef>
          </c:tx>
          <c:spPr>
            <a:ln>
              <a:noFill/>
            </a:ln>
          </c:spPr>
          <c:explosion val="0"/>
          <c:dPt>
            <c:idx val="0"/>
            <c:bubble3D val="0"/>
            <c:spPr>
              <a:solidFill>
                <a:srgbClr val="4F81BD"/>
              </a:solidFill>
              <a:ln>
                <a:noFill/>
              </a:ln>
            </c:spPr>
          </c:dPt>
          <c:dPt>
            <c:idx val="1"/>
            <c:bubble3D val="0"/>
            <c:spPr>
              <a:solidFill>
                <a:srgbClr val="C0504D"/>
              </a:solidFill>
              <a:ln>
                <a:noFill/>
              </a:ln>
            </c:spPr>
          </c:dPt>
          <c:dLbls>
            <c:numFmt formatCode="0%"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(7)'!$A$2:$A$3</c:f>
              <c:strCache>
                <c:ptCount val="2"/>
                <c:pt idx="0">
                  <c:v>公务接待费</c:v>
                </c:pt>
                <c:pt idx="1">
                  <c:v>公务用车</c:v>
                </c:pt>
              </c:strCache>
            </c:strRef>
          </c:cat>
          <c:val>
            <c:numRef>
              <c:f>'Sheet1 (7)'!$B$2:$B$3</c:f>
              <c:numCache>
                <c:formatCode>0%</c:formatCode>
                <c:ptCount val="2"/>
                <c:pt idx="0">
                  <c:v>0.0721</c:v>
                </c:pt>
                <c:pt idx="1">
                  <c:v>0.9279</c:v>
                </c:pt>
              </c:numCache>
            </c:numRef>
          </c:val>
        </c:ser>
        <c:dLbls>
          <c:showLegendKey val="0"/>
          <c:showVal val="1"/>
          <c:showCatName val="0"/>
          <c:showSerName val="0"/>
          <c:showPercent val="0"/>
          <c:showBubbleSize val="0"/>
          <c:showLeaderLines val="1"/>
        </c:dLbls>
        <c:firstSliceAng val="15"/>
      </c:pieChart>
      <c:spPr>
        <a:noFill/>
        <a:ln>
          <a:noFill/>
        </a:ln>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extLst>
      <c:ext uri="{0b15fc19-7d7d-44ad-8c2d-2c3a37ce22c3}">
        <chartProps xmlns="https://web.wps.cn/et/2018/main" chartId="{c3bc80f2-6383-4bb0-a77b-7fbba9e67dd6}"/>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34</Pages>
  <Words>8166</Words>
  <Characters>8778</Characters>
  <Lines>1509</Lines>
  <Paragraphs>812</Paragraphs>
  <TotalTime>7</TotalTime>
  <ScaleCrop>false</ScaleCrop>
  <LinksUpToDate>false</LinksUpToDate>
  <CharactersWithSpaces>8851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2021-08-09T09:38:00Z</dcterms:created>
  <dc:creator>曹颖</dc:creator>
  <cp:lastModifiedBy>WPS_1585448258</cp:lastModifiedBy>
  <cp:lastPrinted>2024-09-29T17:36:00Z</cp:lastPrinted>
  <dcterms:modified xsi:type="dcterms:W3CDTF">2025-09-19T03:01:45Z</dcterms:modified>
  <dc:title>阿坝州部门决算说明</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F9242F61B8ED4CBF8A69A8B016B513D1</vt:lpwstr>
  </property>
  <property fmtid="{D5CDD505-2E9C-101B-9397-08002B2CF9AE}" pid="4" name="KSOTemplateDocerSaveRecord">
    <vt:lpwstr>eyJoZGlkIjoiM2ZiODY4NWY2MTMyNjBhMmI1NzM2YmM2ZmU3MTUzYjYiLCJ1c2VySWQiOiI5MjkxMzQ1MTUifQ==</vt:lpwstr>
  </property>
</Properties>
</file>