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556E3">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7193"/>
      <w:bookmarkStart w:id="2" w:name="_Toc15396597"/>
      <w:bookmarkStart w:id="3" w:name="_Toc15378441"/>
      <w:bookmarkStart w:id="4" w:name="_Toc15377425"/>
      <w:bookmarkStart w:id="5" w:name="_Toc15306267"/>
    </w:p>
    <w:bookmarkEnd w:id="0"/>
    <w:bookmarkEnd w:id="1"/>
    <w:bookmarkEnd w:id="2"/>
    <w:bookmarkEnd w:id="3"/>
    <w:bookmarkEnd w:id="4"/>
    <w:p w14:paraId="084C8FA9">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77194"/>
      <w:bookmarkStart w:id="8" w:name="_Toc15377426"/>
      <w:bookmarkStart w:id="9" w:name="_Toc15378442"/>
      <w:bookmarkStart w:id="10" w:name="_Toc15396476"/>
      <w:r>
        <w:rPr>
          <w:rFonts w:hint="eastAsia" w:ascii="Times New Roman" w:eastAsia="方正小标宋简体" w:cs="Times New Roman"/>
          <w:color w:val="auto"/>
          <w:kern w:val="2"/>
          <w:sz w:val="44"/>
          <w:szCs w:val="44"/>
          <w:highlight w:val="none"/>
          <w:lang w:val="en-US" w:eastAsia="zh-CN" w:bidi="ar-SA"/>
        </w:rPr>
        <w:t>2025年度</w:t>
      </w:r>
    </w:p>
    <w:p w14:paraId="59EBB0F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阿坝州茂县档案馆单位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0C380F08">
      <w:pPr>
        <w:widowControl/>
        <w:jc w:val="center"/>
        <w:rPr>
          <w:rFonts w:hint="eastAsia" w:ascii="Times New Roman" w:hAnsi="Times New Roman" w:eastAsia="黑体"/>
          <w:color w:val="auto"/>
          <w:sz w:val="48"/>
          <w:szCs w:val="48"/>
          <w:highlight w:val="none"/>
        </w:rPr>
      </w:pPr>
    </w:p>
    <w:p w14:paraId="3005E216">
      <w:pPr>
        <w:widowControl/>
        <w:jc w:val="center"/>
        <w:rPr>
          <w:rFonts w:hint="eastAsia" w:ascii="Times New Roman" w:hAnsi="Times New Roman" w:eastAsia="黑体"/>
          <w:color w:val="auto"/>
          <w:sz w:val="48"/>
          <w:szCs w:val="48"/>
          <w:highlight w:val="none"/>
        </w:rPr>
      </w:pPr>
    </w:p>
    <w:p w14:paraId="5C887271">
      <w:pPr>
        <w:widowControl/>
        <w:jc w:val="center"/>
        <w:rPr>
          <w:rFonts w:hint="eastAsia" w:ascii="Times New Roman" w:hAnsi="Times New Roman" w:eastAsia="黑体"/>
          <w:color w:val="auto"/>
          <w:sz w:val="48"/>
          <w:szCs w:val="48"/>
          <w:highlight w:val="none"/>
        </w:rPr>
      </w:pPr>
    </w:p>
    <w:p w14:paraId="53DB37D2">
      <w:pPr>
        <w:widowControl/>
        <w:jc w:val="center"/>
        <w:rPr>
          <w:rFonts w:hint="eastAsia" w:ascii="Times New Roman" w:hAnsi="Times New Roman" w:eastAsia="黑体"/>
          <w:color w:val="auto"/>
          <w:sz w:val="48"/>
          <w:szCs w:val="48"/>
          <w:highlight w:val="none"/>
        </w:rPr>
      </w:pPr>
    </w:p>
    <w:p w14:paraId="605FDD53">
      <w:pPr>
        <w:widowControl/>
        <w:jc w:val="center"/>
        <w:rPr>
          <w:rFonts w:hint="eastAsia" w:ascii="Times New Roman" w:hAnsi="Times New Roman" w:eastAsia="黑体"/>
          <w:color w:val="auto"/>
          <w:sz w:val="48"/>
          <w:szCs w:val="48"/>
          <w:highlight w:val="none"/>
        </w:rPr>
      </w:pPr>
    </w:p>
    <w:p w14:paraId="525080FE">
      <w:pPr>
        <w:widowControl/>
        <w:jc w:val="center"/>
        <w:rPr>
          <w:rFonts w:hint="eastAsia" w:ascii="Times New Roman" w:hAnsi="Times New Roman" w:eastAsia="黑体"/>
          <w:color w:val="auto"/>
          <w:sz w:val="48"/>
          <w:szCs w:val="48"/>
          <w:highlight w:val="none"/>
        </w:rPr>
      </w:pPr>
    </w:p>
    <w:p w14:paraId="5A240AF7">
      <w:pPr>
        <w:widowControl/>
        <w:jc w:val="center"/>
        <w:rPr>
          <w:rFonts w:hint="eastAsia" w:ascii="Times New Roman" w:hAnsi="Times New Roman" w:eastAsia="黑体"/>
          <w:color w:val="auto"/>
          <w:sz w:val="48"/>
          <w:szCs w:val="48"/>
          <w:highlight w:val="none"/>
        </w:rPr>
      </w:pPr>
    </w:p>
    <w:p w14:paraId="18505DC5">
      <w:pPr>
        <w:widowControl/>
        <w:jc w:val="center"/>
        <w:rPr>
          <w:rFonts w:hint="eastAsia" w:ascii="Times New Roman" w:hAnsi="Times New Roman" w:eastAsia="黑体"/>
          <w:color w:val="auto"/>
          <w:sz w:val="48"/>
          <w:szCs w:val="48"/>
          <w:highlight w:val="none"/>
        </w:rPr>
      </w:pPr>
    </w:p>
    <w:p w14:paraId="42CC00D4">
      <w:pPr>
        <w:widowControl/>
        <w:jc w:val="center"/>
        <w:rPr>
          <w:rFonts w:hint="eastAsia" w:ascii="Times New Roman" w:hAnsi="Times New Roman" w:eastAsia="黑体"/>
          <w:color w:val="auto"/>
          <w:sz w:val="48"/>
          <w:szCs w:val="48"/>
          <w:highlight w:val="none"/>
        </w:rPr>
      </w:pPr>
    </w:p>
    <w:p w14:paraId="5536D546">
      <w:pPr>
        <w:widowControl/>
        <w:jc w:val="center"/>
        <w:rPr>
          <w:rFonts w:hint="eastAsia" w:ascii="Times New Roman" w:hAnsi="Times New Roman" w:eastAsia="黑体"/>
          <w:color w:val="auto"/>
          <w:sz w:val="48"/>
          <w:szCs w:val="48"/>
          <w:highlight w:val="none"/>
        </w:rPr>
      </w:pPr>
    </w:p>
    <w:p w14:paraId="43DCFB8D">
      <w:pPr>
        <w:widowControl/>
        <w:jc w:val="center"/>
        <w:rPr>
          <w:rFonts w:hint="eastAsia" w:ascii="Times New Roman" w:hAnsi="Times New Roman" w:eastAsia="黑体"/>
          <w:color w:val="auto"/>
          <w:sz w:val="48"/>
          <w:szCs w:val="48"/>
          <w:highlight w:val="none"/>
        </w:rPr>
      </w:pPr>
    </w:p>
    <w:p w14:paraId="1CD241E5">
      <w:pPr>
        <w:widowControl/>
        <w:jc w:val="center"/>
        <w:rPr>
          <w:rFonts w:hint="eastAsia" w:ascii="Times New Roman" w:hAnsi="Times New Roman" w:eastAsia="黑体"/>
          <w:color w:val="auto"/>
          <w:sz w:val="48"/>
          <w:szCs w:val="48"/>
          <w:highlight w:val="none"/>
        </w:rPr>
      </w:pPr>
    </w:p>
    <w:p w14:paraId="06A06356">
      <w:pPr>
        <w:widowControl/>
        <w:jc w:val="center"/>
        <w:rPr>
          <w:rFonts w:hint="eastAsia" w:ascii="Times New Roman" w:hAnsi="Times New Roman" w:eastAsia="黑体"/>
          <w:color w:val="auto"/>
          <w:sz w:val="48"/>
          <w:szCs w:val="48"/>
          <w:highlight w:val="none"/>
        </w:rPr>
      </w:pPr>
    </w:p>
    <w:p w14:paraId="1EB847D0">
      <w:pPr>
        <w:widowControl/>
        <w:jc w:val="center"/>
        <w:rPr>
          <w:rFonts w:hint="eastAsia" w:ascii="Times New Roman" w:hAnsi="Times New Roman" w:eastAsia="黑体"/>
          <w:color w:val="auto"/>
          <w:sz w:val="48"/>
          <w:szCs w:val="48"/>
          <w:highlight w:val="none"/>
        </w:rPr>
      </w:pPr>
    </w:p>
    <w:p w14:paraId="11D96779">
      <w:pPr>
        <w:widowControl/>
        <w:jc w:val="center"/>
        <w:rPr>
          <w:rFonts w:hint="eastAsia" w:ascii="Times New Roman" w:hAnsi="Times New Roman" w:eastAsia="黑体"/>
          <w:color w:val="auto"/>
          <w:sz w:val="48"/>
          <w:szCs w:val="48"/>
          <w:highlight w:val="none"/>
        </w:rPr>
      </w:pPr>
    </w:p>
    <w:p w14:paraId="386E0403">
      <w:pPr>
        <w:widowControl/>
        <w:jc w:val="center"/>
        <w:rPr>
          <w:rFonts w:hint="eastAsia" w:ascii="Times New Roman" w:hAnsi="Times New Roman" w:eastAsia="黑体"/>
          <w:color w:val="auto"/>
          <w:sz w:val="48"/>
          <w:szCs w:val="48"/>
          <w:highlight w:val="none"/>
        </w:rPr>
      </w:pPr>
    </w:p>
    <w:p w14:paraId="65AD2377">
      <w:pPr>
        <w:widowControl/>
        <w:jc w:val="center"/>
        <w:rPr>
          <w:rFonts w:hint="eastAsia" w:ascii="Times New Roman" w:hAnsi="Times New Roman" w:eastAsia="黑体"/>
          <w:color w:val="auto"/>
          <w:sz w:val="48"/>
          <w:szCs w:val="48"/>
          <w:highlight w:val="none"/>
        </w:rPr>
      </w:pPr>
    </w:p>
    <w:p w14:paraId="7011CE8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CB8F119">
      <w:pPr>
        <w:widowControl/>
        <w:jc w:val="center"/>
        <w:rPr>
          <w:rFonts w:ascii="Times New Roman" w:hAnsi="Times New Roman" w:eastAsia="黑体" w:cstheme="minorBidi"/>
          <w:color w:val="auto"/>
          <w:sz w:val="28"/>
          <w:szCs w:val="28"/>
          <w:highlight w:val="none"/>
        </w:rPr>
      </w:pPr>
    </w:p>
    <w:p w14:paraId="0765842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26CABAB0">
      <w:pPr>
        <w:rPr>
          <w:rFonts w:ascii="Times New Roman" w:hAnsi="Times New Roman"/>
          <w:color w:val="auto"/>
          <w:highlight w:val="none"/>
        </w:rPr>
      </w:pPr>
    </w:p>
    <w:p w14:paraId="6EA5319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lang w:val="en-US" w:eastAsia="zh-CN"/>
        </w:rPr>
        <w:t>...................................................................4</w:t>
      </w:r>
    </w:p>
    <w:p w14:paraId="78471C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主要</w:t>
      </w:r>
      <w:r>
        <w:rPr>
          <w:rFonts w:hint="eastAsia" w:ascii="Times New Roman" w:hAnsi="Times New Roman" w:eastAsia="仿宋_GB2312" w:cs="仿宋_GB2312"/>
          <w:color w:val="auto"/>
          <w:sz w:val="32"/>
          <w:szCs w:val="32"/>
          <w:highlight w:val="none"/>
          <w:lang w:eastAsia="zh-CN"/>
        </w:rPr>
        <w:t>职责</w:t>
      </w:r>
      <w:r>
        <w:rPr>
          <w:rFonts w:hint="eastAsia" w:eastAsia="仿宋_GB2312" w:cs="仿宋_GB2312"/>
          <w:color w:val="auto"/>
          <w:sz w:val="32"/>
          <w:szCs w:val="32"/>
          <w:highlight w:val="none"/>
          <w:lang w:val="en-US" w:eastAsia="zh-CN"/>
        </w:rPr>
        <w:t>.....................................................................4</w:t>
      </w:r>
    </w:p>
    <w:p w14:paraId="15FBAC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72B752B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lang w:val="en-US" w:eastAsia="zh-CN"/>
        </w:rPr>
        <w:t>..................................6</w:t>
      </w:r>
    </w:p>
    <w:p w14:paraId="3C28B2D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14:paraId="706C30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14:paraId="71E968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24C3AB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4EDA70B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443C24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.....9</w:t>
      </w:r>
    </w:p>
    <w:p w14:paraId="470401C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79D6A67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........................11</w:t>
      </w:r>
    </w:p>
    <w:p w14:paraId="1D1EC1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.....................11</w:t>
      </w:r>
    </w:p>
    <w:p w14:paraId="5C5C635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.........................................11</w:t>
      </w:r>
    </w:p>
    <w:p w14:paraId="0E9708C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.................................................................13</w:t>
      </w:r>
    </w:p>
    <w:p w14:paraId="45AA375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270F051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bookmarkStart w:id="12" w:name="_Toc15377196"/>
      <w:bookmarkStart w:id="13" w:name="_Toc15396599"/>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.........................................................................22</w:t>
      </w:r>
    </w:p>
    <w:p w14:paraId="79D67BF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...................................................22</w:t>
      </w:r>
    </w:p>
    <w:p w14:paraId="685B358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...............................................................22</w:t>
      </w:r>
    </w:p>
    <w:p w14:paraId="1B46A9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...............................................................22</w:t>
      </w:r>
    </w:p>
    <w:p w14:paraId="4605FA8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.....................................22</w:t>
      </w:r>
    </w:p>
    <w:p w14:paraId="1A219EF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.........................................22</w:t>
      </w:r>
    </w:p>
    <w:p w14:paraId="4C03A1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........................22</w:t>
      </w:r>
    </w:p>
    <w:p w14:paraId="472EA7C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................22</w:t>
      </w:r>
    </w:p>
    <w:p w14:paraId="3C974AA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........22</w:t>
      </w:r>
    </w:p>
    <w:p w14:paraId="6E66E1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................22</w:t>
      </w:r>
    </w:p>
    <w:p w14:paraId="02047A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............22</w:t>
      </w:r>
    </w:p>
    <w:p w14:paraId="3042E60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....22</w:t>
      </w:r>
    </w:p>
    <w:p w14:paraId="3E665C4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............22</w:t>
      </w:r>
    </w:p>
    <w:p w14:paraId="377A9E3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.........................22</w:t>
      </w:r>
    </w:p>
    <w:p w14:paraId="7E78C55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58F136FD">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14:paraId="620F3B5B">
      <w:pPr>
        <w:widowControl/>
        <w:jc w:val="left"/>
        <w:rPr>
          <w:rFonts w:ascii="Times New Roman" w:hAnsi="Times New Roman" w:eastAsia="黑体"/>
          <w:color w:val="auto"/>
          <w:sz w:val="32"/>
          <w:szCs w:val="32"/>
          <w:highlight w:val="none"/>
        </w:rPr>
      </w:pPr>
    </w:p>
    <w:p w14:paraId="2CA33EA1">
      <w:pPr>
        <w:pStyle w:val="4"/>
        <w:pageBreakBefore w:val="0"/>
        <w:numPr>
          <w:ilvl w:val="0"/>
          <w:numId w:val="1"/>
        </w:numPr>
        <w:kinsoku/>
        <w:wordWrap/>
        <w:overflowPunct/>
        <w:topLinePunct w:val="0"/>
        <w:autoSpaceDE/>
        <w:autoSpaceDN/>
        <w:bidi w:val="0"/>
        <w:adjustRightInd/>
        <w:spacing w:before="0" w:after="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主要职责</w:t>
      </w:r>
    </w:p>
    <w:p w14:paraId="49275D02">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bookmarkStart w:id="14" w:name="_Toc15377199"/>
      <w:bookmarkStart w:id="15" w:name="_Toc79163854"/>
      <w:bookmarkStart w:id="16" w:name="_Toc79163604"/>
      <w:bookmarkStart w:id="17" w:name="_Toc15378446"/>
      <w:r>
        <w:rPr>
          <w:rFonts w:hint="eastAsia" w:ascii="仿宋" w:hAnsi="仿宋" w:eastAsia="仿宋" w:cs="仿宋"/>
          <w:color w:val="2E2E2E"/>
          <w:sz w:val="32"/>
          <w:szCs w:val="32"/>
        </w:rPr>
        <w:t>1.贯彻实施《中华人民共和国档案法》及档案工作的法律、法规和方针政策，进行行政执法监督；制定实施全县档案事业发展规划和档案工作的规章制度。</w:t>
      </w:r>
    </w:p>
    <w:p w14:paraId="6C87B6C4">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2.监管对国家和社会具有保存价值或应当保密的集体和个人档案。</w:t>
      </w:r>
    </w:p>
    <w:p w14:paraId="489E5CC5">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3.对全县各级机关、团体、企业事业单位和其他组织、重点项目的档案工作进行监督和指导，审查制定县级各专业系统的档案管理办法，组织全县档案信息资源开发工作。</w:t>
      </w:r>
    </w:p>
    <w:p w14:paraId="3BABFE49">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4.集中统一管理县级各机关、团体及其所属单位重要的档案资料，维护档案的完整，确保档案资料的安全。</w:t>
      </w:r>
    </w:p>
    <w:p w14:paraId="3CC98019">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5.负责接收县级机关、团体及其所属单位的档案资料，研究并组织实施馆藏档案的保管、整理、编目、统计、鉴定、解密、利用、开放等工作；征集本县散失的档案资料；做好档案资料的编辑出版工作；推进档案工作的科学管理和现代化建设；为社会各方面提供服务。</w:t>
      </w:r>
    </w:p>
    <w:p w14:paraId="1BDF9442">
      <w:pPr>
        <w:pStyle w:val="16"/>
        <w:pageBreakBefore w:val="0"/>
        <w:shd w:val="clear" w:color="auto" w:fill="FFFFFF"/>
        <w:kinsoku/>
        <w:wordWrap/>
        <w:overflowPunct/>
        <w:topLinePunct w:val="0"/>
        <w:autoSpaceDE/>
        <w:autoSpaceDN/>
        <w:bidi w:val="0"/>
        <w:adjustRightInd/>
        <w:spacing w:before="0" w:beforeAutospacing="0" w:after="0" w:afterAutospacing="0" w:line="576" w:lineRule="exact"/>
        <w:ind w:firstLine="640" w:firstLineChars="200"/>
        <w:jc w:val="both"/>
        <w:textAlignment w:val="auto"/>
        <w:rPr>
          <w:rFonts w:hint="eastAsia" w:ascii="仿宋" w:hAnsi="仿宋" w:eastAsia="仿宋" w:cs="仿宋"/>
          <w:color w:val="2E2E2E"/>
          <w:sz w:val="32"/>
          <w:szCs w:val="32"/>
        </w:rPr>
      </w:pPr>
      <w:r>
        <w:rPr>
          <w:rFonts w:hint="eastAsia" w:ascii="仿宋" w:hAnsi="仿宋" w:eastAsia="仿宋" w:cs="仿宋"/>
          <w:color w:val="2E2E2E"/>
          <w:sz w:val="32"/>
          <w:szCs w:val="32"/>
        </w:rPr>
        <w:t>6.组织并指导全县档案理论和科学技术研究、档案保护、档案教育、档案宣传、档案干部培训和档案专业技术职务评审工作。</w:t>
      </w:r>
    </w:p>
    <w:p w14:paraId="4CF27027">
      <w:pPr>
        <w:pageBreakBefore w:val="0"/>
        <w:kinsoku/>
        <w:wordWrap/>
        <w:overflowPunct/>
        <w:topLinePunct w:val="0"/>
        <w:autoSpaceDE/>
        <w:autoSpaceDN/>
        <w:bidi w:val="0"/>
        <w:adjustRightInd/>
        <w:snapToGrid w:val="0"/>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7.完成县委、县政府、省、州档案局（馆）交办的有关事项。</w:t>
      </w:r>
    </w:p>
    <w:bookmarkEnd w:id="14"/>
    <w:bookmarkEnd w:id="15"/>
    <w:bookmarkEnd w:id="16"/>
    <w:bookmarkEnd w:id="17"/>
    <w:p w14:paraId="42599949">
      <w:pPr>
        <w:pStyle w:val="4"/>
        <w:pageBreakBefore w:val="0"/>
        <w:kinsoku/>
        <w:wordWrap/>
        <w:overflowPunct/>
        <w:topLinePunct w:val="0"/>
        <w:autoSpaceDE/>
        <w:autoSpaceDN/>
        <w:bidi w:val="0"/>
        <w:adjustRightInd/>
        <w:spacing w:before="0" w:after="0"/>
        <w:textAlignment w:val="auto"/>
        <w:rPr>
          <w:rStyle w:val="30"/>
          <w:rFonts w:ascii="Times New Roman" w:hAnsi="Times New Roman"/>
          <w:b w:val="0"/>
          <w:bCs w:val="0"/>
          <w:color w:val="auto"/>
          <w:highlight w:val="none"/>
        </w:rPr>
      </w:pPr>
      <w:bookmarkStart w:id="18" w:name="_Toc15377200"/>
      <w:bookmarkStart w:id="1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8"/>
      <w:bookmarkEnd w:id="19"/>
    </w:p>
    <w:p w14:paraId="0B834649">
      <w:pPr>
        <w:pageBreakBefore w:val="0"/>
        <w:kinsoku/>
        <w:wordWrap/>
        <w:overflowPunct/>
        <w:topLinePunct w:val="0"/>
        <w:autoSpaceDE/>
        <w:autoSpaceDN/>
        <w:bidi w:val="0"/>
        <w:adjustRightInd/>
        <w:ind w:firstLine="800" w:firstLineChars="250"/>
        <w:textAlignment w:val="auto"/>
        <w:rPr>
          <w:rFonts w:hint="eastAsia" w:ascii="Times New Roman" w:hAnsi="Times New Roman" w:eastAsia="仿宋_GB2312" w:cs="仿宋_GB2312"/>
          <w:color w:val="auto"/>
          <w:sz w:val="32"/>
          <w:szCs w:val="32"/>
          <w:highlight w:val="none"/>
        </w:rPr>
      </w:pPr>
      <w:r>
        <w:rPr>
          <w:rFonts w:ascii="仿宋" w:eastAsia="仿宋"/>
          <w:sz w:val="32"/>
          <w:szCs w:val="32"/>
        </w:rPr>
        <w:t>四川省阿坝州茂县</w:t>
      </w:r>
      <w:r>
        <w:rPr>
          <w:rFonts w:hint="eastAsia" w:ascii="仿宋" w:eastAsia="仿宋"/>
          <w:sz w:val="32"/>
          <w:szCs w:val="32"/>
        </w:rPr>
        <w:t>档案馆</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1ADF1E94">
      <w:pPr>
        <w:pageBreakBefore w:val="0"/>
        <w:widowControl/>
        <w:kinsoku/>
        <w:wordWrap/>
        <w:overflowPunct/>
        <w:topLinePunct w:val="0"/>
        <w:autoSpaceDE/>
        <w:autoSpaceDN/>
        <w:bidi w:val="0"/>
        <w:adjustRightInd/>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2B3A846">
      <w:pPr>
        <w:pStyle w:val="3"/>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20"/>
      <w:bookmarkEnd w:id="21"/>
    </w:p>
    <w:p w14:paraId="5A30296D">
      <w:pPr>
        <w:rPr>
          <w:rFonts w:ascii="Times New Roman" w:hAnsi="Times New Roman"/>
          <w:color w:val="auto"/>
          <w:highlight w:val="none"/>
        </w:rPr>
      </w:pPr>
    </w:p>
    <w:p w14:paraId="550E94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p>
    <w:p w14:paraId="532A846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99.61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28.62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：数字档案馆建设费用支出减少。</w:t>
      </w:r>
    </w:p>
    <w:p w14:paraId="506F92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eastAsia="仿宋_GB2312"/>
          <w:color w:val="000000"/>
          <w:sz w:val="32"/>
          <w:szCs w:val="32"/>
        </w:rPr>
        <w:drawing>
          <wp:inline distT="0" distB="0" distL="0" distR="0">
            <wp:extent cx="3790950" cy="1896745"/>
            <wp:effectExtent l="5080" t="4445" r="13970" b="22860"/>
            <wp:docPr id="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D32295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96604"/>
      <w:bookmarkStart w:id="25" w:name="_Toc15377206"/>
      <w:r>
        <w:rPr>
          <w:rFonts w:hint="eastAsia" w:ascii="Times New Roman" w:hAnsi="Times New Roman" w:eastAsia="黑体"/>
          <w:color w:val="auto"/>
          <w:sz w:val="32"/>
          <w:szCs w:val="32"/>
          <w:highlight w:val="none"/>
          <w:lang w:eastAsia="zh-CN"/>
        </w:rPr>
        <w:t>二、收入决算情况说明</w:t>
      </w:r>
      <w:bookmarkEnd w:id="24"/>
      <w:bookmarkEnd w:id="25"/>
    </w:p>
    <w:p w14:paraId="0D3A37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70813DD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eastAsia="仿宋"/>
          <w:color w:val="FF0000"/>
          <w:sz w:val="32"/>
          <w:szCs w:val="32"/>
          <w:lang w:eastAsia="zh-CN"/>
        </w:rPr>
        <w:drawing>
          <wp:inline distT="0" distB="0" distL="114300" distR="114300">
            <wp:extent cx="2971165" cy="1576070"/>
            <wp:effectExtent l="4445" t="4445" r="15240" b="1968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78A0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5"/>
      <w:bookmarkStart w:id="2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p>
    <w:p w14:paraId="474FCBF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248.45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225.44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90.74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23.01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9.26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286D882F">
      <w:pPr>
        <w:ind w:firstLine="525" w:firstLineChars="250"/>
        <w:rPr>
          <w:rFonts w:hint="eastAsia" w:ascii="Times New Roman" w:hAnsi="Times New Roman" w:eastAsia="仿宋_GB2312" w:cs="仿宋_GB2312"/>
          <w:color w:val="auto"/>
          <w:sz w:val="32"/>
          <w:szCs w:val="32"/>
          <w:highlight w:val="none"/>
          <w:lang w:eastAsia="zh-CN"/>
        </w:rPr>
      </w:pPr>
      <w:r>
        <w:rPr>
          <w:rFonts w:hint="eastAsia" w:ascii="仿宋" w:eastAsia="仿宋"/>
          <w:color w:val="000000"/>
          <w:lang w:eastAsia="zh-CN"/>
        </w:rPr>
        <w:drawing>
          <wp:inline distT="0" distB="0" distL="114300" distR="114300">
            <wp:extent cx="3335020" cy="1957070"/>
            <wp:effectExtent l="4445" t="5080" r="13335" b="190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5940B7">
      <w:pPr>
        <w:spacing w:line="600" w:lineRule="exact"/>
        <w:ind w:firstLine="640" w:firstLineChars="200"/>
        <w:outlineLvl w:val="1"/>
        <w:rPr>
          <w:rStyle w:val="30"/>
          <w:rFonts w:ascii="Times New Roman" w:hAnsi="Times New Roman" w:eastAsia="黑体"/>
          <w:b w:val="0"/>
          <w:color w:val="auto"/>
          <w:highlight w:val="none"/>
        </w:rPr>
      </w:pPr>
      <w:bookmarkStart w:id="28" w:name="_Toc15396606"/>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p>
    <w:p w14:paraId="629F3C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99.61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28.62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：数字档案馆建设费用支出减少。</w:t>
      </w:r>
    </w:p>
    <w:p w14:paraId="54C02D2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AC4576E">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color w:val="000000"/>
        </w:rPr>
        <w:drawing>
          <wp:inline distT="0" distB="0" distL="0" distR="0">
            <wp:extent cx="3790950" cy="1896745"/>
            <wp:effectExtent l="0" t="0" r="0" b="0"/>
            <wp:docPr id="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CD08A9">
      <w:pPr>
        <w:spacing w:line="600" w:lineRule="exact"/>
        <w:ind w:firstLine="640" w:firstLineChars="200"/>
        <w:outlineLvl w:val="1"/>
        <w:rPr>
          <w:rStyle w:val="30"/>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p>
    <w:p w14:paraId="3974CB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5037B56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99.61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28.62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：数字档案馆建设费用支出减少。</w:t>
      </w:r>
    </w:p>
    <w:p w14:paraId="10192E59">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000000"/>
          <w:sz w:val="32"/>
          <w:szCs w:val="32"/>
        </w:rPr>
        <w:drawing>
          <wp:inline distT="0" distB="0" distL="0" distR="0">
            <wp:extent cx="2853055" cy="2204085"/>
            <wp:effectExtent l="5080" t="4445" r="18415" b="20320"/>
            <wp:docPr id="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09E53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793E71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189.19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76.15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30.39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12.23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5.01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16.42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6A7BADB">
      <w:pPr>
        <w:keepNext w:val="0"/>
        <w:keepLines w:val="0"/>
        <w:pageBreakBefore w:val="0"/>
        <w:widowControl w:val="0"/>
        <w:kinsoku/>
        <w:wordWrap/>
        <w:overflowPunct/>
        <w:topLinePunct w:val="0"/>
        <w:autoSpaceDE/>
        <w:autoSpaceDN/>
        <w:bidi w:val="0"/>
        <w:adjustRightInd/>
        <w:snapToGrid/>
        <w:spacing w:line="50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ascii="仿宋" w:eastAsia="仿宋"/>
          <w:color w:val="000000"/>
          <w:sz w:val="32"/>
          <w:szCs w:val="32"/>
        </w:rPr>
        <w:drawing>
          <wp:inline distT="0" distB="0" distL="0" distR="0">
            <wp:extent cx="2926080" cy="2319655"/>
            <wp:effectExtent l="5080" t="4445" r="21590" b="19050"/>
            <wp:docPr id="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64C1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47498C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444"/>
      <w:bookmarkStart w:id="36" w:name="_Toc15377213"/>
      <w:bookmarkStart w:id="3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248.45万元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43BBB6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档案事务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189.19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55B80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支出决算为20.26万元，完成预算100%，决算数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BB7B4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支出决算为10.13万元，完成预算100%，决算数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015C58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支出决算为12.45万元，完成预算100%，决算数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C2CE7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住房保障（类）住房改革支出（款）住房公积金（项）：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支出决算为16.42万元，完成预算100%，决算数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1F1E7529">
      <w:pPr>
        <w:tabs>
          <w:tab w:val="right" w:pos="8306"/>
        </w:tabs>
        <w:spacing w:line="600" w:lineRule="exact"/>
        <w:ind w:firstLine="640"/>
        <w:outlineLvl w:val="1"/>
        <w:rPr>
          <w:rStyle w:val="30"/>
          <w:rFonts w:ascii="Times New Roman" w:hAnsi="Times New Roman"/>
          <w:color w:val="auto"/>
          <w:highlight w:val="none"/>
        </w:rPr>
      </w:pPr>
      <w:bookmarkStart w:id="38" w:name="_Toc15377214"/>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r>
        <w:rPr>
          <w:rStyle w:val="30"/>
          <w:rFonts w:ascii="Times New Roman" w:hAnsi="Times New Roman" w:eastAsia="黑体"/>
          <w:b w:val="0"/>
          <w:color w:val="auto"/>
          <w:highlight w:val="none"/>
        </w:rPr>
        <w:tab/>
      </w:r>
    </w:p>
    <w:p w14:paraId="08A542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248.45</w:t>
      </w:r>
      <w:r>
        <w:rPr>
          <w:rFonts w:hint="eastAsia" w:ascii="Times New Roman" w:hAnsi="Times New Roman" w:eastAsia="仿宋_GB2312" w:cs="仿宋_GB2312"/>
          <w:color w:val="auto"/>
          <w:kern w:val="2"/>
          <w:sz w:val="32"/>
          <w:szCs w:val="32"/>
          <w:highlight w:val="none"/>
          <w:lang w:val="en-US" w:eastAsia="zh-CN" w:bidi="ar-SA"/>
        </w:rPr>
        <w:t>万元，其中：</w:t>
      </w:r>
    </w:p>
    <w:p w14:paraId="3AFB94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213.32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12.13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4EAD43F">
      <w:pPr>
        <w:spacing w:line="600" w:lineRule="exact"/>
        <w:ind w:firstLine="640"/>
        <w:outlineLvl w:val="1"/>
        <w:rPr>
          <w:rStyle w:val="30"/>
          <w:rFonts w:ascii="Times New Roman" w:hAnsi="Times New Roman" w:eastAsia="黑体"/>
          <w:b w:val="0"/>
          <w:color w:val="auto"/>
          <w:highlight w:val="none"/>
        </w:rPr>
      </w:pPr>
      <w:bookmarkStart w:id="40" w:name="_Toc15377215"/>
      <w:bookmarkStart w:id="4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b w:val="0"/>
          <w:bCs w:val="0"/>
          <w:color w:val="auto"/>
          <w:highlight w:val="none"/>
        </w:rPr>
        <w:t>“</w:t>
      </w:r>
      <w:r>
        <w:rPr>
          <w:rStyle w:val="30"/>
          <w:rFonts w:hint="eastAsia" w:ascii="Times New Roman" w:hAnsi="Times New Roman" w:eastAsia="黑体"/>
          <w:b w:val="0"/>
          <w:color w:val="auto"/>
          <w:highlight w:val="none"/>
        </w:rPr>
        <w:t>三公”经费支出决算情况说明</w:t>
      </w:r>
      <w:bookmarkEnd w:id="40"/>
      <w:bookmarkEnd w:id="41"/>
    </w:p>
    <w:p w14:paraId="6BBA16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4447156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49.55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：档案工作指导、下乡增加。</w:t>
      </w:r>
    </w:p>
    <w:p w14:paraId="3FEAD33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2E3A7E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3.18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95.78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4.22</w:t>
      </w:r>
      <w:r>
        <w:rPr>
          <w:rFonts w:hint="eastAsia" w:ascii="Times New Roman" w:hAnsi="Times New Roman" w:eastAsia="仿宋_GB2312" w:cs="仿宋_GB2312"/>
          <w:color w:val="auto"/>
          <w:kern w:val="2"/>
          <w:sz w:val="32"/>
          <w:szCs w:val="32"/>
          <w:highlight w:val="none"/>
          <w:lang w:val="en-US" w:eastAsia="zh-CN" w:bidi="ar-SA"/>
        </w:rPr>
        <w:t>%。具体情况如下：</w:t>
      </w:r>
    </w:p>
    <w:p w14:paraId="29CCED11">
      <w:pPr>
        <w:keepNext w:val="0"/>
        <w:keepLines w:val="0"/>
        <w:pageBreakBefore w:val="0"/>
        <w:widowControl w:val="0"/>
        <w:kinsoku/>
        <w:wordWrap/>
        <w:overflowPunct/>
        <w:topLinePunct w:val="0"/>
        <w:autoSpaceDE/>
        <w:autoSpaceDN/>
        <w:bidi w:val="0"/>
        <w:adjustRightInd/>
        <w:snapToGrid/>
        <w:spacing w:line="3000" w:lineRule="exact"/>
        <w:ind w:firstLine="641"/>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ascii="仿宋" w:eastAsia="仿宋"/>
          <w:color w:val="000000"/>
          <w:sz w:val="32"/>
          <w:szCs w:val="32"/>
        </w:rPr>
        <w:drawing>
          <wp:inline distT="0" distB="0" distL="0" distR="0">
            <wp:extent cx="2807970" cy="1562100"/>
            <wp:effectExtent l="4445" t="4445" r="6985" b="14605"/>
            <wp:docPr id="7"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C848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362269D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3.17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1.11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53.88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：档案工作指导、下乡增加。</w:t>
      </w:r>
    </w:p>
    <w:p w14:paraId="15964B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FBADE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3.17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档案工作指导、下乡等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403EB0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0.15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：接待人次减少</w:t>
      </w:r>
      <w:r>
        <w:rPr>
          <w:rFonts w:hint="eastAsia" w:ascii="Times New Roman" w:hAnsi="Times New Roman" w:eastAsia="仿宋_GB2312" w:cs="仿宋_GB2312"/>
          <w:color w:val="auto"/>
          <w:kern w:val="2"/>
          <w:sz w:val="32"/>
          <w:szCs w:val="32"/>
          <w:highlight w:val="none"/>
          <w:lang w:val="en-US" w:eastAsia="zh-CN" w:bidi="ar-SA"/>
        </w:rPr>
        <w:t>。</w:t>
      </w:r>
    </w:p>
    <w:p w14:paraId="0DB150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馆际交流开支</w:t>
      </w:r>
      <w:r>
        <w:rPr>
          <w:rFonts w:hint="eastAsia" w:ascii="Times New Roman" w:hAnsi="Times New Roman" w:eastAsia="仿宋_GB2312" w:cs="仿宋_GB2312"/>
          <w:color w:val="auto"/>
          <w:kern w:val="2"/>
          <w:sz w:val="32"/>
          <w:szCs w:val="32"/>
          <w:highlight w:val="none"/>
          <w:lang w:val="en-US" w:eastAsia="zh-CN" w:bidi="ar-SA"/>
        </w:rPr>
        <w:t>用餐费。国内公务接待</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w:t>
      </w:r>
    </w:p>
    <w:p w14:paraId="3B2E4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1C157BF">
      <w:pPr>
        <w:spacing w:line="600" w:lineRule="exact"/>
        <w:ind w:firstLine="640"/>
        <w:outlineLvl w:val="1"/>
        <w:rPr>
          <w:rStyle w:val="30"/>
          <w:rFonts w:ascii="Times New Roman" w:hAnsi="Times New Roman" w:eastAsia="黑体"/>
          <w:color w:val="auto"/>
          <w:highlight w:val="none"/>
        </w:rPr>
      </w:pPr>
      <w:bookmarkStart w:id="44" w:name="_Toc15396610"/>
      <w:bookmarkStart w:id="45"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4"/>
      <w:bookmarkEnd w:id="45"/>
    </w:p>
    <w:p w14:paraId="08AC139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1E74EB7">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6" w:name="_Toc15396611"/>
      <w:bookmarkStart w:id="4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6"/>
      <w:bookmarkEnd w:id="47"/>
    </w:p>
    <w:p w14:paraId="56C1EB00">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8" w:name="_Toc15396612"/>
      <w:bookmarkStart w:id="49" w:name="_Toc15377221"/>
      <w:r>
        <w:rPr>
          <w:rFonts w:hint="eastAsia" w:eastAsia="仿宋_GB2312" w:cs="仿宋_GB2312"/>
          <w:color w:val="auto"/>
          <w:kern w:val="2"/>
          <w:sz w:val="32"/>
          <w:szCs w:val="32"/>
          <w:highlight w:val="none"/>
          <w:lang w:val="en-US" w:eastAsia="zh-CN" w:bidi="ar-SA"/>
        </w:rPr>
        <w:t>。</w:t>
      </w:r>
    </w:p>
    <w:p w14:paraId="7B52E71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8"/>
      <w:bookmarkEnd w:id="49"/>
    </w:p>
    <w:p w14:paraId="5A44D7D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34C8AFE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茂县档案馆</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12.13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2.87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30.99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：2025年公务用车费用和驻村人员经费增加。</w:t>
      </w:r>
    </w:p>
    <w:p w14:paraId="2917B37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143BF0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184.86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65.16</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119.7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数字档案馆建设</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184.86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73004D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2A6EB5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档案业务指导及下乡等工作。</w:t>
      </w:r>
    </w:p>
    <w:p w14:paraId="10391F8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38FBB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部门预算（含部门预算项目）绩效</w:t>
      </w:r>
      <w:r>
        <w:rPr>
          <w:rFonts w:hint="eastAsia" w:eastAsia="仿宋_GB2312" w:cs="仿宋_GB2312"/>
          <w:color w:val="auto"/>
          <w:kern w:val="2"/>
          <w:sz w:val="32"/>
          <w:szCs w:val="32"/>
          <w:highlight w:val="none"/>
          <w:lang w:val="en-US" w:eastAsia="zh-CN" w:bidi="ar-SA"/>
        </w:rPr>
        <w:t>评价</w:t>
      </w:r>
      <w:r>
        <w:rPr>
          <w:rFonts w:hint="eastAsia" w:ascii="Times New Roman" w:hAnsi="Times New Roman" w:eastAsia="仿宋_GB2312" w:cs="仿宋_GB2312"/>
          <w:color w:val="auto"/>
          <w:kern w:val="2"/>
          <w:sz w:val="32"/>
          <w:szCs w:val="32"/>
          <w:highlight w:val="none"/>
          <w:lang w:val="en-US" w:eastAsia="zh-CN" w:bidi="ar-SA"/>
        </w:rPr>
        <w:t>报告，其中，</w:t>
      </w:r>
      <w:r>
        <w:rPr>
          <w:rFonts w:hint="eastAsia" w:eastAsia="仿宋_GB2312" w:cs="仿宋_GB2312"/>
          <w:color w:val="auto"/>
          <w:kern w:val="2"/>
          <w:sz w:val="32"/>
          <w:szCs w:val="32"/>
          <w:highlight w:val="none"/>
          <w:lang w:val="en-US" w:eastAsia="zh-CN" w:bidi="ar-SA"/>
        </w:rPr>
        <w:t>档案馆</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92</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14:paraId="1DF114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A973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A625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565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231F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BC1B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1B17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33293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96613"/>
      <w:bookmarkStart w:id="5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431D8872">
      <w:pPr>
        <w:spacing w:line="600" w:lineRule="exact"/>
        <w:jc w:val="left"/>
        <w:rPr>
          <w:rFonts w:ascii="Times New Roman" w:hAnsi="Times New Roman"/>
          <w:b/>
          <w:color w:val="auto"/>
          <w:sz w:val="44"/>
          <w:szCs w:val="44"/>
          <w:highlight w:val="none"/>
        </w:rPr>
      </w:pPr>
    </w:p>
    <w:p w14:paraId="2BAEF1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7F1D4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B43B6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25DFC2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D6F7B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E573D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A9AA4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F4008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BC41813">
      <w:pPr>
        <w:spacing w:line="576" w:lineRule="exact"/>
        <w:ind w:firstLine="640" w:firstLineChars="200"/>
        <w:rPr>
          <w:rFonts w:ascii="仿宋" w:eastAsia="仿宋"/>
          <w:color w:val="000000"/>
          <w:sz w:val="32"/>
          <w:szCs w:val="32"/>
        </w:rPr>
      </w:pPr>
      <w:bookmarkStart w:id="55" w:name="_Toc15396614"/>
      <w:bookmarkStart w:id="56" w:name="_Toc15377226"/>
      <w:r>
        <w:rPr>
          <w:rFonts w:hint="eastAsia" w:ascii="仿宋" w:eastAsia="仿宋"/>
          <w:color w:val="000000"/>
          <w:sz w:val="32"/>
          <w:szCs w:val="32"/>
        </w:rPr>
        <w:t>9.一般公共服务（</w:t>
      </w:r>
      <w:r>
        <w:rPr>
          <w:rFonts w:hint="eastAsia" w:ascii="仿宋" w:eastAsia="仿宋"/>
          <w:color w:val="000000"/>
          <w:sz w:val="32"/>
          <w:szCs w:val="32"/>
          <w:lang w:val="en-US" w:eastAsia="zh-CN"/>
        </w:rPr>
        <w:t>类</w:t>
      </w:r>
      <w:r>
        <w:rPr>
          <w:rFonts w:hint="eastAsia" w:ascii="仿宋" w:eastAsia="仿宋"/>
          <w:color w:val="000000"/>
          <w:sz w:val="32"/>
          <w:szCs w:val="32"/>
        </w:rPr>
        <w:t>）档案事务（</w:t>
      </w:r>
      <w:r>
        <w:rPr>
          <w:rFonts w:hint="eastAsia" w:ascii="仿宋" w:eastAsia="仿宋"/>
          <w:color w:val="000000"/>
          <w:sz w:val="32"/>
          <w:szCs w:val="32"/>
          <w:lang w:val="en-US" w:eastAsia="zh-CN"/>
        </w:rPr>
        <w:t>款</w:t>
      </w:r>
      <w:r>
        <w:rPr>
          <w:rFonts w:hint="eastAsia" w:ascii="仿宋" w:eastAsia="仿宋"/>
          <w:color w:val="000000"/>
          <w:sz w:val="32"/>
          <w:szCs w:val="32"/>
        </w:rPr>
        <w:t>）行政运行（</w:t>
      </w:r>
      <w:r>
        <w:rPr>
          <w:rFonts w:hint="eastAsia" w:ascii="仿宋" w:eastAsia="仿宋"/>
          <w:color w:val="000000"/>
          <w:sz w:val="32"/>
          <w:szCs w:val="32"/>
          <w:lang w:val="en-US" w:eastAsia="zh-CN"/>
        </w:rPr>
        <w:t>项</w:t>
      </w:r>
      <w:r>
        <w:rPr>
          <w:rFonts w:hint="eastAsia" w:ascii="仿宋" w:eastAsia="仿宋"/>
          <w:color w:val="000000"/>
          <w:sz w:val="32"/>
          <w:szCs w:val="32"/>
        </w:rPr>
        <w:t>）：</w:t>
      </w:r>
      <w:r>
        <w:rPr>
          <w:rFonts w:hint="eastAsia" w:ascii="仿宋" w:eastAsia="仿宋"/>
          <w:sz w:val="32"/>
          <w:szCs w:val="32"/>
        </w:rPr>
        <w:t>指档案馆工作人员工资和公务开支。</w:t>
      </w:r>
    </w:p>
    <w:p w14:paraId="42273B87">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10.社会保障和就业（</w:t>
      </w:r>
      <w:r>
        <w:rPr>
          <w:rFonts w:hint="eastAsia" w:ascii="仿宋" w:eastAsia="仿宋"/>
          <w:color w:val="000000"/>
          <w:sz w:val="32"/>
          <w:szCs w:val="32"/>
          <w:lang w:val="en-US" w:eastAsia="zh-CN"/>
        </w:rPr>
        <w:t>类</w:t>
      </w:r>
      <w:r>
        <w:rPr>
          <w:rFonts w:hint="eastAsia" w:ascii="仿宋" w:eastAsia="仿宋"/>
          <w:color w:val="000000"/>
          <w:sz w:val="32"/>
          <w:szCs w:val="32"/>
        </w:rPr>
        <w:t>）行政事业单位离退休（</w:t>
      </w:r>
      <w:r>
        <w:rPr>
          <w:rFonts w:hint="eastAsia" w:ascii="仿宋" w:eastAsia="仿宋"/>
          <w:color w:val="000000"/>
          <w:sz w:val="32"/>
          <w:szCs w:val="32"/>
          <w:lang w:val="en-US" w:eastAsia="zh-CN"/>
        </w:rPr>
        <w:t>款</w:t>
      </w:r>
      <w:r>
        <w:rPr>
          <w:rFonts w:hint="eastAsia" w:ascii="仿宋" w:eastAsia="仿宋"/>
          <w:color w:val="000000"/>
          <w:sz w:val="32"/>
          <w:szCs w:val="32"/>
        </w:rPr>
        <w:t>） 机关事业单位基本养老保险缴费支出（</w:t>
      </w:r>
      <w:r>
        <w:rPr>
          <w:rFonts w:hint="eastAsia" w:ascii="仿宋" w:eastAsia="仿宋"/>
          <w:color w:val="000000"/>
          <w:sz w:val="32"/>
          <w:szCs w:val="32"/>
          <w:lang w:val="en-US" w:eastAsia="zh-CN"/>
        </w:rPr>
        <w:t>项</w:t>
      </w:r>
      <w:r>
        <w:rPr>
          <w:rFonts w:hint="eastAsia" w:ascii="仿宋" w:eastAsia="仿宋"/>
          <w:color w:val="000000"/>
          <w:sz w:val="32"/>
          <w:szCs w:val="32"/>
        </w:rPr>
        <w:t>）：指养老保险。</w:t>
      </w:r>
    </w:p>
    <w:p w14:paraId="59F8FC5F">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11.社会保障和就业（</w:t>
      </w:r>
      <w:r>
        <w:rPr>
          <w:rFonts w:hint="eastAsia" w:ascii="仿宋" w:eastAsia="仿宋"/>
          <w:color w:val="000000"/>
          <w:sz w:val="32"/>
          <w:szCs w:val="32"/>
          <w:lang w:val="en-US" w:eastAsia="zh-CN"/>
        </w:rPr>
        <w:t>类</w:t>
      </w:r>
      <w:r>
        <w:rPr>
          <w:rFonts w:hint="eastAsia" w:ascii="仿宋" w:eastAsia="仿宋"/>
          <w:color w:val="000000"/>
          <w:sz w:val="32"/>
          <w:szCs w:val="32"/>
        </w:rPr>
        <w:t>）行政事业单位离退休（</w:t>
      </w:r>
      <w:r>
        <w:rPr>
          <w:rFonts w:hint="eastAsia" w:ascii="仿宋" w:eastAsia="仿宋"/>
          <w:color w:val="000000"/>
          <w:sz w:val="32"/>
          <w:szCs w:val="32"/>
          <w:lang w:val="en-US" w:eastAsia="zh-CN"/>
        </w:rPr>
        <w:t>款</w:t>
      </w:r>
      <w:r>
        <w:rPr>
          <w:rFonts w:hint="eastAsia" w:ascii="仿宋" w:eastAsia="仿宋"/>
          <w:color w:val="000000"/>
          <w:sz w:val="32"/>
          <w:szCs w:val="32"/>
        </w:rPr>
        <w:t>）机关事业单位职业年金缴费支出（</w:t>
      </w:r>
      <w:r>
        <w:rPr>
          <w:rFonts w:hint="eastAsia" w:ascii="仿宋" w:eastAsia="仿宋"/>
          <w:color w:val="000000"/>
          <w:sz w:val="32"/>
          <w:szCs w:val="32"/>
          <w:lang w:val="en-US" w:eastAsia="zh-CN"/>
        </w:rPr>
        <w:t>项</w:t>
      </w:r>
      <w:r>
        <w:rPr>
          <w:rFonts w:hint="eastAsia" w:ascii="仿宋" w:eastAsia="仿宋"/>
          <w:color w:val="000000"/>
          <w:sz w:val="32"/>
          <w:szCs w:val="32"/>
        </w:rPr>
        <w:t>）：职业年金。</w:t>
      </w:r>
    </w:p>
    <w:p w14:paraId="6085C1AE">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12.卫生健康支出（</w:t>
      </w:r>
      <w:r>
        <w:rPr>
          <w:rFonts w:hint="eastAsia" w:ascii="仿宋" w:eastAsia="仿宋"/>
          <w:color w:val="000000"/>
          <w:sz w:val="32"/>
          <w:szCs w:val="32"/>
          <w:lang w:val="en-US" w:eastAsia="zh-CN"/>
        </w:rPr>
        <w:t>类</w:t>
      </w:r>
      <w:r>
        <w:rPr>
          <w:rFonts w:hint="eastAsia" w:ascii="仿宋" w:eastAsia="仿宋"/>
          <w:color w:val="000000"/>
          <w:sz w:val="32"/>
          <w:szCs w:val="32"/>
        </w:rPr>
        <w:t>）行政事业单位医疗（</w:t>
      </w:r>
      <w:r>
        <w:rPr>
          <w:rFonts w:hint="eastAsia" w:ascii="仿宋" w:eastAsia="仿宋"/>
          <w:color w:val="000000"/>
          <w:sz w:val="32"/>
          <w:szCs w:val="32"/>
          <w:lang w:val="en-US" w:eastAsia="zh-CN"/>
        </w:rPr>
        <w:t>款</w:t>
      </w:r>
      <w:r>
        <w:rPr>
          <w:rFonts w:hint="eastAsia" w:ascii="仿宋" w:eastAsia="仿宋"/>
          <w:color w:val="000000"/>
          <w:sz w:val="32"/>
          <w:szCs w:val="32"/>
        </w:rPr>
        <w:t>）行政单位医疗（</w:t>
      </w:r>
      <w:r>
        <w:rPr>
          <w:rFonts w:hint="eastAsia" w:ascii="仿宋" w:eastAsia="仿宋"/>
          <w:color w:val="000000"/>
          <w:sz w:val="32"/>
          <w:szCs w:val="32"/>
          <w:lang w:val="en-US" w:eastAsia="zh-CN"/>
        </w:rPr>
        <w:t>项</w:t>
      </w:r>
      <w:r>
        <w:rPr>
          <w:rFonts w:hint="eastAsia" w:ascii="仿宋" w:eastAsia="仿宋"/>
          <w:color w:val="000000"/>
          <w:sz w:val="32"/>
          <w:szCs w:val="32"/>
        </w:rPr>
        <w:t>）：指行政单位医疗。</w:t>
      </w:r>
    </w:p>
    <w:p w14:paraId="22DED8F0">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13.住房保障支出（</w:t>
      </w:r>
      <w:r>
        <w:rPr>
          <w:rFonts w:hint="eastAsia" w:ascii="仿宋" w:eastAsia="仿宋"/>
          <w:color w:val="000000"/>
          <w:sz w:val="32"/>
          <w:szCs w:val="32"/>
          <w:lang w:val="en-US" w:eastAsia="zh-CN"/>
        </w:rPr>
        <w:t>类</w:t>
      </w:r>
      <w:r>
        <w:rPr>
          <w:rFonts w:hint="eastAsia" w:ascii="仿宋" w:eastAsia="仿宋"/>
          <w:color w:val="000000"/>
          <w:sz w:val="32"/>
          <w:szCs w:val="32"/>
        </w:rPr>
        <w:t>）住房改革支出（</w:t>
      </w:r>
      <w:r>
        <w:rPr>
          <w:rFonts w:hint="eastAsia" w:ascii="仿宋" w:eastAsia="仿宋"/>
          <w:color w:val="000000"/>
          <w:sz w:val="32"/>
          <w:szCs w:val="32"/>
          <w:lang w:val="en-US" w:eastAsia="zh-CN"/>
        </w:rPr>
        <w:t>款</w:t>
      </w:r>
      <w:r>
        <w:rPr>
          <w:rFonts w:hint="eastAsia" w:ascii="仿宋" w:eastAsia="仿宋"/>
          <w:color w:val="000000"/>
          <w:sz w:val="32"/>
          <w:szCs w:val="32"/>
        </w:rPr>
        <w:t>）住房公积金（</w:t>
      </w:r>
      <w:r>
        <w:rPr>
          <w:rFonts w:hint="eastAsia" w:ascii="仿宋" w:eastAsia="仿宋"/>
          <w:color w:val="000000"/>
          <w:sz w:val="32"/>
          <w:szCs w:val="32"/>
          <w:lang w:val="en-US" w:eastAsia="zh-CN"/>
        </w:rPr>
        <w:t>项</w:t>
      </w:r>
      <w:r>
        <w:rPr>
          <w:rFonts w:hint="eastAsia" w:ascii="仿宋" w:eastAsia="仿宋"/>
          <w:color w:val="000000"/>
          <w:sz w:val="32"/>
          <w:szCs w:val="32"/>
        </w:rPr>
        <w:t>）：指住房公积金。</w:t>
      </w:r>
    </w:p>
    <w:p w14:paraId="7731EDB6">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14.基本支出：指为保障机构正常运转、完成日常工作任务而发生的人员支出和公用支出。</w:t>
      </w:r>
    </w:p>
    <w:p w14:paraId="2C9E37F2">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15.项目支出：指在基本支出之外为完成特定行政任务和事业发展目标所发生的支出。</w:t>
      </w:r>
    </w:p>
    <w:p w14:paraId="42FD10F3">
      <w:pPr>
        <w:spacing w:line="576" w:lineRule="exact"/>
        <w:ind w:firstLine="640" w:firstLineChars="200"/>
        <w:rPr>
          <w:rFonts w:ascii="仿宋" w:eastAsia="仿宋"/>
          <w:color w:val="000000"/>
          <w:sz w:val="32"/>
          <w:szCs w:val="32"/>
        </w:rPr>
      </w:pPr>
      <w:r>
        <w:rPr>
          <w:rFonts w:hint="eastAsia" w:ascii="仿宋" w:eastAsia="仿宋"/>
          <w:color w:val="000000"/>
          <w:sz w:val="32"/>
          <w:szCs w:val="32"/>
        </w:rPr>
        <w:t>16.经营支出：指事业单位在专业业务活动及其辅助活动之外开展非独立核算经营活动发生的支出。</w:t>
      </w:r>
    </w:p>
    <w:p w14:paraId="64526457">
      <w:pPr>
        <w:pStyle w:val="27"/>
        <w:spacing w:line="576" w:lineRule="exact"/>
        <w:ind w:firstLine="640" w:firstLineChars="200"/>
        <w:rPr>
          <w:sz w:val="32"/>
          <w:szCs w:val="32"/>
        </w:rPr>
      </w:pPr>
      <w:r>
        <w:rPr>
          <w:rFonts w:hint="eastAsia"/>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04D3B50">
      <w:pPr>
        <w:pStyle w:val="27"/>
        <w:spacing w:line="576" w:lineRule="exact"/>
        <w:ind w:firstLine="640" w:firstLineChars="200"/>
        <w:rPr>
          <w:sz w:val="32"/>
          <w:szCs w:val="32"/>
        </w:rPr>
      </w:pPr>
      <w:r>
        <w:rPr>
          <w:rFonts w:hint="eastAsia"/>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F798CE">
      <w:pPr>
        <w:spacing w:line="600" w:lineRule="exact"/>
        <w:jc w:val="center"/>
        <w:rPr>
          <w:rFonts w:hint="eastAsia" w:ascii="Times New Roman" w:hAnsi="Times New Roman" w:eastAsia="黑体"/>
          <w:color w:val="auto"/>
          <w:sz w:val="44"/>
          <w:szCs w:val="44"/>
          <w:highlight w:val="none"/>
        </w:rPr>
      </w:pPr>
    </w:p>
    <w:p w14:paraId="233B5013">
      <w:pPr>
        <w:spacing w:line="600" w:lineRule="exact"/>
        <w:jc w:val="center"/>
        <w:rPr>
          <w:rFonts w:hint="eastAsia" w:ascii="Times New Roman" w:hAnsi="Times New Roman" w:eastAsia="黑体"/>
          <w:color w:val="auto"/>
          <w:sz w:val="44"/>
          <w:szCs w:val="44"/>
          <w:highlight w:val="none"/>
        </w:rPr>
      </w:pPr>
    </w:p>
    <w:p w14:paraId="345814F1">
      <w:pPr>
        <w:spacing w:line="600" w:lineRule="exact"/>
        <w:jc w:val="center"/>
        <w:rPr>
          <w:rFonts w:hint="eastAsia" w:ascii="Times New Roman" w:hAnsi="Times New Roman" w:eastAsia="黑体"/>
          <w:color w:val="auto"/>
          <w:sz w:val="44"/>
          <w:szCs w:val="44"/>
          <w:highlight w:val="none"/>
        </w:rPr>
      </w:pPr>
    </w:p>
    <w:p w14:paraId="0C6E24AC">
      <w:pPr>
        <w:spacing w:line="600" w:lineRule="exact"/>
        <w:jc w:val="center"/>
        <w:rPr>
          <w:rFonts w:hint="eastAsia" w:ascii="Times New Roman" w:hAnsi="Times New Roman" w:eastAsia="黑体"/>
          <w:color w:val="auto"/>
          <w:sz w:val="44"/>
          <w:szCs w:val="44"/>
          <w:highlight w:val="none"/>
        </w:rPr>
      </w:pPr>
    </w:p>
    <w:p w14:paraId="378A84D7">
      <w:pPr>
        <w:spacing w:line="600" w:lineRule="exact"/>
        <w:jc w:val="center"/>
        <w:rPr>
          <w:rFonts w:hint="eastAsia" w:ascii="Times New Roman" w:hAnsi="Times New Roman" w:eastAsia="黑体"/>
          <w:color w:val="auto"/>
          <w:sz w:val="44"/>
          <w:szCs w:val="44"/>
          <w:highlight w:val="none"/>
        </w:rPr>
      </w:pPr>
    </w:p>
    <w:p w14:paraId="4BF55FE3">
      <w:pPr>
        <w:spacing w:line="600" w:lineRule="exact"/>
        <w:jc w:val="center"/>
        <w:rPr>
          <w:rFonts w:hint="eastAsia" w:ascii="Times New Roman" w:hAnsi="Times New Roman" w:eastAsia="黑体"/>
          <w:color w:val="auto"/>
          <w:sz w:val="44"/>
          <w:szCs w:val="44"/>
          <w:highlight w:val="none"/>
        </w:rPr>
      </w:pPr>
    </w:p>
    <w:p w14:paraId="7D104847">
      <w:pPr>
        <w:spacing w:line="600" w:lineRule="exact"/>
        <w:jc w:val="center"/>
        <w:rPr>
          <w:rFonts w:hint="eastAsia" w:ascii="Times New Roman" w:hAnsi="Times New Roman" w:eastAsia="黑体"/>
          <w:color w:val="auto"/>
          <w:sz w:val="44"/>
          <w:szCs w:val="44"/>
          <w:highlight w:val="none"/>
        </w:rPr>
      </w:pPr>
    </w:p>
    <w:p w14:paraId="2B2191FF">
      <w:pPr>
        <w:spacing w:line="600" w:lineRule="exact"/>
        <w:jc w:val="center"/>
        <w:rPr>
          <w:rFonts w:hint="eastAsia" w:ascii="Times New Roman" w:hAnsi="Times New Roman" w:eastAsia="黑体"/>
          <w:color w:val="auto"/>
          <w:sz w:val="44"/>
          <w:szCs w:val="44"/>
          <w:highlight w:val="none"/>
        </w:rPr>
      </w:pPr>
    </w:p>
    <w:p w14:paraId="59097068">
      <w:pPr>
        <w:spacing w:line="600" w:lineRule="exact"/>
        <w:jc w:val="center"/>
        <w:rPr>
          <w:rFonts w:hint="eastAsia" w:ascii="Times New Roman" w:hAnsi="Times New Roman" w:eastAsia="黑体"/>
          <w:color w:val="auto"/>
          <w:sz w:val="44"/>
          <w:szCs w:val="44"/>
          <w:highlight w:val="none"/>
        </w:rPr>
      </w:pPr>
    </w:p>
    <w:p w14:paraId="22EAC264">
      <w:pPr>
        <w:spacing w:line="600" w:lineRule="exact"/>
        <w:jc w:val="center"/>
        <w:rPr>
          <w:rFonts w:hint="eastAsia" w:ascii="Times New Roman" w:hAnsi="Times New Roman" w:eastAsia="黑体"/>
          <w:color w:val="auto"/>
          <w:sz w:val="44"/>
          <w:szCs w:val="44"/>
          <w:highlight w:val="none"/>
        </w:rPr>
      </w:pPr>
    </w:p>
    <w:p w14:paraId="64494948">
      <w:pPr>
        <w:spacing w:line="600" w:lineRule="exact"/>
        <w:jc w:val="center"/>
        <w:rPr>
          <w:rFonts w:hint="eastAsia" w:ascii="Times New Roman" w:hAnsi="Times New Roman" w:eastAsia="黑体"/>
          <w:color w:val="auto"/>
          <w:sz w:val="44"/>
          <w:szCs w:val="44"/>
          <w:highlight w:val="none"/>
        </w:rPr>
      </w:pPr>
    </w:p>
    <w:p w14:paraId="3A632797">
      <w:pPr>
        <w:spacing w:line="600" w:lineRule="exact"/>
        <w:jc w:val="center"/>
        <w:rPr>
          <w:rFonts w:hint="eastAsia" w:ascii="Times New Roman" w:hAnsi="Times New Roman" w:eastAsia="黑体"/>
          <w:color w:val="auto"/>
          <w:sz w:val="44"/>
          <w:szCs w:val="44"/>
          <w:highlight w:val="none"/>
        </w:rPr>
      </w:pPr>
    </w:p>
    <w:p w14:paraId="6A5B932A">
      <w:pPr>
        <w:spacing w:line="600" w:lineRule="exact"/>
        <w:jc w:val="center"/>
        <w:rPr>
          <w:rFonts w:hint="eastAsia" w:ascii="Times New Roman" w:hAnsi="Times New Roman" w:eastAsia="黑体"/>
          <w:color w:val="auto"/>
          <w:sz w:val="44"/>
          <w:szCs w:val="44"/>
          <w:highlight w:val="none"/>
        </w:rPr>
      </w:pPr>
    </w:p>
    <w:p w14:paraId="1BFA6B49">
      <w:pPr>
        <w:spacing w:line="600" w:lineRule="exact"/>
        <w:jc w:val="center"/>
        <w:rPr>
          <w:rFonts w:hint="eastAsia" w:ascii="Times New Roman" w:hAnsi="Times New Roman" w:eastAsia="黑体"/>
          <w:color w:val="auto"/>
          <w:sz w:val="44"/>
          <w:szCs w:val="44"/>
          <w:highlight w:val="none"/>
        </w:rPr>
      </w:pPr>
    </w:p>
    <w:p w14:paraId="605B8F2E">
      <w:pPr>
        <w:spacing w:line="600" w:lineRule="exact"/>
        <w:jc w:val="center"/>
        <w:rPr>
          <w:rFonts w:hint="eastAsia" w:ascii="Times New Roman" w:hAnsi="Times New Roman" w:eastAsia="黑体"/>
          <w:color w:val="auto"/>
          <w:sz w:val="44"/>
          <w:szCs w:val="44"/>
          <w:highlight w:val="none"/>
        </w:rPr>
      </w:pPr>
    </w:p>
    <w:p w14:paraId="694A939C">
      <w:pPr>
        <w:spacing w:line="600" w:lineRule="exact"/>
        <w:jc w:val="center"/>
        <w:rPr>
          <w:rFonts w:hint="eastAsia" w:ascii="Times New Roman" w:hAnsi="Times New Roman" w:eastAsia="黑体"/>
          <w:color w:val="auto"/>
          <w:sz w:val="44"/>
          <w:szCs w:val="44"/>
          <w:highlight w:val="none"/>
        </w:rPr>
      </w:pPr>
    </w:p>
    <w:p w14:paraId="3CAC5737">
      <w:pPr>
        <w:spacing w:line="600" w:lineRule="exact"/>
        <w:jc w:val="center"/>
        <w:rPr>
          <w:rFonts w:hint="eastAsia" w:ascii="Times New Roman" w:hAnsi="Times New Roman" w:eastAsia="黑体"/>
          <w:color w:val="auto"/>
          <w:sz w:val="44"/>
          <w:szCs w:val="44"/>
          <w:highlight w:val="none"/>
        </w:rPr>
      </w:pPr>
    </w:p>
    <w:p w14:paraId="1D13B704">
      <w:pPr>
        <w:spacing w:line="600" w:lineRule="exact"/>
        <w:jc w:val="center"/>
        <w:rPr>
          <w:rFonts w:hint="eastAsia" w:ascii="Times New Roman" w:hAnsi="Times New Roman" w:eastAsia="黑体"/>
          <w:color w:val="auto"/>
          <w:sz w:val="44"/>
          <w:szCs w:val="44"/>
          <w:highlight w:val="none"/>
        </w:rPr>
      </w:pPr>
    </w:p>
    <w:p w14:paraId="1A9AE29A">
      <w:pPr>
        <w:spacing w:line="600" w:lineRule="exact"/>
        <w:jc w:val="center"/>
        <w:rPr>
          <w:rFonts w:hint="eastAsia" w:ascii="Times New Roman" w:hAnsi="Times New Roman" w:eastAsia="黑体"/>
          <w:color w:val="auto"/>
          <w:sz w:val="44"/>
          <w:szCs w:val="44"/>
          <w:highlight w:val="none"/>
        </w:rPr>
      </w:pPr>
    </w:p>
    <w:p w14:paraId="31F58764">
      <w:pPr>
        <w:spacing w:line="600" w:lineRule="exact"/>
        <w:jc w:val="center"/>
        <w:rPr>
          <w:rFonts w:hint="eastAsia" w:ascii="Times New Roman" w:hAnsi="Times New Roman" w:eastAsia="黑体"/>
          <w:color w:val="auto"/>
          <w:sz w:val="44"/>
          <w:szCs w:val="44"/>
          <w:highlight w:val="none"/>
        </w:rPr>
      </w:pPr>
    </w:p>
    <w:p w14:paraId="7E4C08AB">
      <w:pPr>
        <w:spacing w:line="600" w:lineRule="exact"/>
        <w:jc w:val="center"/>
        <w:rPr>
          <w:rFonts w:hint="eastAsia" w:ascii="Times New Roman" w:hAnsi="Times New Roman" w:eastAsia="黑体"/>
          <w:color w:val="auto"/>
          <w:sz w:val="44"/>
          <w:szCs w:val="44"/>
          <w:highlight w:val="none"/>
        </w:rPr>
      </w:pPr>
    </w:p>
    <w:p w14:paraId="422679BE">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5"/>
    </w:p>
    <w:p w14:paraId="080987E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B22325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E1AF96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6F3F73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单位</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10BAFE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单位基本情况</w:t>
      </w:r>
    </w:p>
    <w:p w14:paraId="65D9F1A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43BC1B37">
      <w:pPr>
        <w:widowControl/>
        <w:adjustRightInd w:val="0"/>
        <w:snapToGrid w:val="0"/>
        <w:spacing w:line="576" w:lineRule="exact"/>
        <w:ind w:firstLine="720"/>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茂县档案馆成立于</w:t>
      </w:r>
      <w:r>
        <w:rPr>
          <w:rFonts w:hint="eastAsia" w:ascii="仿宋_GB2312" w:hAnsi="仿宋_GB2312" w:eastAsia="仿宋_GB2312" w:cs="仿宋_GB2312"/>
          <w:color w:val="000000"/>
          <w:kern w:val="0"/>
          <w:sz w:val="32"/>
          <w:szCs w:val="32"/>
          <w:shd w:val="clear" w:color="auto" w:fill="FFFFFF"/>
        </w:rPr>
        <w:t>1959年1月，1980年4月成立档案局。档案局和档案馆合署办公。1987年，县档案局（馆）划属县政府直属事业单位，作为政府职能部门主管全县档案事业。2011年12月，县档案局列为参照公务员管理单位，编制11人。</w:t>
      </w:r>
      <w:r>
        <w:rPr>
          <w:rFonts w:hint="eastAsia" w:ascii="仿宋_GB2312" w:hAnsi="仿宋_GB2312" w:eastAsia="仿宋_GB2312" w:cs="仿宋_GB2312"/>
          <w:color w:val="000000"/>
          <w:kern w:val="0"/>
          <w:sz w:val="32"/>
          <w:szCs w:val="32"/>
          <w:shd w:val="clear" w:color="auto" w:fill="FFFFFF"/>
          <w:lang w:val="zh-CN"/>
        </w:rPr>
        <w:t>2019年3月机构改革，档案局（馆）分开设立，档案局同县委办合并挂牌，档案馆沿用以前的编制和人员，根据《中共茂县县委机构编制委员会关于印发&lt;茂县档案馆编制事项&gt;的通知》（茂编发〔</w:t>
      </w:r>
      <w:r>
        <w:rPr>
          <w:rFonts w:hint="eastAsia" w:ascii="仿宋_GB2312" w:hAnsi="仿宋_GB2312" w:eastAsia="仿宋_GB2312" w:cs="仿宋_GB2312"/>
          <w:color w:val="000000"/>
          <w:kern w:val="0"/>
          <w:sz w:val="32"/>
          <w:szCs w:val="32"/>
          <w:shd w:val="clear" w:color="auto" w:fill="FFFFFF"/>
          <w:lang w:val="en-US" w:eastAsia="zh-CN"/>
        </w:rPr>
        <w:t>2025</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18</w:t>
      </w:r>
      <w:r>
        <w:rPr>
          <w:rFonts w:hint="eastAsia" w:ascii="仿宋_GB2312" w:hAnsi="仿宋_GB2312" w:eastAsia="仿宋_GB2312" w:cs="仿宋_GB2312"/>
          <w:color w:val="000000"/>
          <w:kern w:val="0"/>
          <w:sz w:val="32"/>
          <w:szCs w:val="32"/>
          <w:shd w:val="clear" w:color="auto" w:fill="FFFFFF"/>
        </w:rPr>
        <w:t>号</w:t>
      </w:r>
      <w:r>
        <w:rPr>
          <w:rFonts w:hint="eastAsia" w:ascii="仿宋_GB2312" w:hAnsi="仿宋_GB2312" w:eastAsia="仿宋_GB2312" w:cs="仿宋_GB2312"/>
          <w:color w:val="000000"/>
          <w:kern w:val="0"/>
          <w:sz w:val="32"/>
          <w:szCs w:val="32"/>
          <w:shd w:val="clear" w:color="auto" w:fill="FFFFFF"/>
          <w:lang w:val="zh-CN"/>
        </w:rPr>
        <w:t>），我馆内设办</w:t>
      </w:r>
      <w:bookmarkStart w:id="71" w:name="_GoBack"/>
      <w:bookmarkEnd w:id="71"/>
      <w:r>
        <w:rPr>
          <w:rFonts w:hint="eastAsia" w:ascii="仿宋_GB2312" w:hAnsi="仿宋_GB2312" w:eastAsia="仿宋_GB2312" w:cs="仿宋_GB2312"/>
          <w:color w:val="000000"/>
          <w:kern w:val="0"/>
          <w:sz w:val="32"/>
          <w:szCs w:val="32"/>
          <w:shd w:val="clear" w:color="auto" w:fill="FFFFFF"/>
          <w:lang w:val="zh-CN"/>
        </w:rPr>
        <w:t>档案宣教和接收征集股、档案保管利用股和档案信息和编研股。</w:t>
      </w:r>
    </w:p>
    <w:p w14:paraId="4E6696F4">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p>
    <w:p w14:paraId="0E97F0A8">
      <w:pPr>
        <w:widowControl/>
        <w:adjustRightInd w:val="0"/>
        <w:snapToGrid w:val="0"/>
        <w:spacing w:line="576" w:lineRule="exact"/>
        <w:ind w:firstLine="720"/>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贯彻执行《中华人民共和国档案法》以及党和国家有关档案工作的方针、政策、按照统一领导、分级管理的原则对全县档案工作实行统筹规划、宏观管理，制定全县档案事业发展规划并组织实施。</w:t>
      </w:r>
    </w:p>
    <w:p w14:paraId="46D58B0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2AA8944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shd w:val="clear" w:color="auto" w:fill="FFFFFF"/>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年末，</w:t>
      </w:r>
      <w:r>
        <w:rPr>
          <w:rFonts w:hint="eastAsia" w:ascii="仿宋_GB2312" w:hAnsi="仿宋_GB2312" w:eastAsia="仿宋_GB2312" w:cs="仿宋_GB2312"/>
          <w:color w:val="000000"/>
          <w:kern w:val="0"/>
          <w:sz w:val="32"/>
          <w:szCs w:val="32"/>
          <w:shd w:val="clear" w:color="auto" w:fill="FFFFFF"/>
          <w:lang w:val="zh-CN"/>
        </w:rPr>
        <w:t>茂县档案馆参照公务员编制</w:t>
      </w: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rPr>
        <w:t>人，</w:t>
      </w:r>
      <w:r>
        <w:rPr>
          <w:rFonts w:hint="eastAsia" w:ascii="仿宋_GB2312" w:hAnsi="仿宋_GB2312" w:eastAsia="仿宋_GB2312" w:cs="仿宋_GB2312"/>
          <w:color w:val="000000"/>
          <w:kern w:val="0"/>
          <w:sz w:val="32"/>
          <w:szCs w:val="32"/>
          <w:shd w:val="clear" w:color="auto" w:fill="FFFFFF"/>
          <w:lang w:eastAsia="zh-CN"/>
        </w:rPr>
        <w:t>年末实有人数</w:t>
      </w:r>
      <w:r>
        <w:rPr>
          <w:rFonts w:hint="eastAsia" w:ascii="仿宋_GB2312" w:hAnsi="仿宋_GB2312" w:eastAsia="仿宋_GB2312" w:cs="仿宋_GB2312"/>
          <w:color w:val="000000"/>
          <w:kern w:val="0"/>
          <w:sz w:val="32"/>
          <w:szCs w:val="32"/>
          <w:shd w:val="clear" w:color="auto" w:fill="FFFFFF"/>
          <w:lang w:val="en-US" w:eastAsia="zh-CN"/>
        </w:rPr>
        <w:t>11人，</w:t>
      </w:r>
      <w:r>
        <w:rPr>
          <w:rFonts w:hint="eastAsia" w:ascii="仿宋_GB2312" w:hAnsi="仿宋_GB2312" w:eastAsia="仿宋_GB2312" w:cs="仿宋_GB2312"/>
          <w:color w:val="000000"/>
          <w:kern w:val="0"/>
          <w:sz w:val="32"/>
          <w:szCs w:val="32"/>
          <w:shd w:val="clear" w:color="auto" w:fill="FFFFFF"/>
        </w:rPr>
        <w:t>其中馆长1名，副馆长1名，</w:t>
      </w:r>
      <w:r>
        <w:rPr>
          <w:rFonts w:hint="eastAsia" w:ascii="仿宋_GB2312" w:hAnsi="仿宋_GB2312" w:eastAsia="仿宋_GB2312" w:cs="仿宋_GB2312"/>
          <w:color w:val="000000"/>
          <w:kern w:val="0"/>
          <w:sz w:val="32"/>
          <w:szCs w:val="32"/>
          <w:shd w:val="clear" w:color="auto" w:fill="FFFFFF"/>
          <w:lang w:eastAsia="zh-CN"/>
        </w:rPr>
        <w:t>一级主任科员</w:t>
      </w:r>
      <w:r>
        <w:rPr>
          <w:rFonts w:hint="eastAsia" w:ascii="仿宋_GB2312" w:hAnsi="仿宋_GB2312" w:eastAsia="仿宋_GB2312" w:cs="仿宋_GB2312"/>
          <w:color w:val="000000"/>
          <w:kern w:val="0"/>
          <w:sz w:val="32"/>
          <w:szCs w:val="32"/>
          <w:shd w:val="clear" w:color="auto" w:fill="FFFFFF"/>
          <w:lang w:val="en-US" w:eastAsia="zh-CN"/>
        </w:rPr>
        <w:t>2名，</w:t>
      </w:r>
      <w:r>
        <w:rPr>
          <w:rFonts w:hint="eastAsia" w:ascii="仿宋_GB2312" w:hAnsi="仿宋_GB2312" w:eastAsia="仿宋_GB2312" w:cs="仿宋_GB2312"/>
          <w:color w:val="000000"/>
          <w:kern w:val="0"/>
          <w:sz w:val="32"/>
          <w:szCs w:val="32"/>
          <w:shd w:val="clear" w:color="auto" w:fill="FFFFFF"/>
        </w:rPr>
        <w:t>二级主任科员</w:t>
      </w: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rPr>
        <w:t>名，三级主任科员</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名，</w:t>
      </w:r>
      <w:r>
        <w:rPr>
          <w:rFonts w:hint="eastAsia" w:ascii="仿宋_GB2312" w:hAnsi="仿宋_GB2312" w:eastAsia="仿宋_GB2312" w:cs="仿宋_GB2312"/>
          <w:color w:val="000000"/>
          <w:kern w:val="0"/>
          <w:sz w:val="32"/>
          <w:szCs w:val="32"/>
          <w:shd w:val="clear" w:color="auto" w:fill="FFFFFF"/>
          <w:lang w:eastAsia="zh-CN"/>
        </w:rPr>
        <w:t>四</w:t>
      </w:r>
      <w:r>
        <w:rPr>
          <w:rFonts w:hint="eastAsia" w:ascii="仿宋_GB2312" w:hAnsi="仿宋_GB2312" w:eastAsia="仿宋_GB2312" w:cs="仿宋_GB2312"/>
          <w:color w:val="000000"/>
          <w:kern w:val="0"/>
          <w:sz w:val="32"/>
          <w:szCs w:val="32"/>
          <w:shd w:val="clear" w:color="auto" w:fill="FFFFFF"/>
        </w:rPr>
        <w:t>级</w:t>
      </w:r>
      <w:r>
        <w:rPr>
          <w:rFonts w:hint="eastAsia" w:ascii="仿宋_GB2312" w:hAnsi="仿宋_GB2312" w:eastAsia="仿宋_GB2312" w:cs="仿宋_GB2312"/>
          <w:color w:val="000000"/>
          <w:kern w:val="0"/>
          <w:sz w:val="32"/>
          <w:szCs w:val="32"/>
          <w:shd w:val="clear" w:color="auto" w:fill="FFFFFF"/>
          <w:lang w:eastAsia="zh-CN"/>
        </w:rPr>
        <w:t>主任</w:t>
      </w:r>
      <w:r>
        <w:rPr>
          <w:rFonts w:hint="eastAsia" w:ascii="仿宋_GB2312" w:hAnsi="仿宋_GB2312" w:eastAsia="仿宋_GB2312" w:cs="仿宋_GB2312"/>
          <w:color w:val="000000"/>
          <w:kern w:val="0"/>
          <w:sz w:val="32"/>
          <w:szCs w:val="32"/>
          <w:shd w:val="clear" w:color="auto" w:fill="FFFFFF"/>
        </w:rPr>
        <w:t>科员1名，</w:t>
      </w:r>
      <w:r>
        <w:rPr>
          <w:rFonts w:hint="eastAsia" w:ascii="仿宋_GB2312" w:hAnsi="仿宋_GB2312" w:eastAsia="仿宋_GB2312" w:cs="仿宋_GB2312"/>
          <w:color w:val="000000"/>
          <w:kern w:val="0"/>
          <w:sz w:val="32"/>
          <w:szCs w:val="32"/>
          <w:shd w:val="clear" w:color="auto" w:fill="FFFFFF"/>
          <w:lang w:eastAsia="zh-CN"/>
        </w:rPr>
        <w:t>一级科员</w:t>
      </w:r>
      <w:r>
        <w:rPr>
          <w:rFonts w:hint="eastAsia" w:ascii="仿宋_GB2312" w:hAnsi="仿宋_GB2312" w:eastAsia="仿宋_GB2312" w:cs="仿宋_GB2312"/>
          <w:color w:val="000000"/>
          <w:kern w:val="0"/>
          <w:sz w:val="32"/>
          <w:szCs w:val="32"/>
          <w:shd w:val="clear" w:color="auto" w:fill="FFFFFF"/>
          <w:lang w:val="en-US" w:eastAsia="zh-CN"/>
        </w:rPr>
        <w:t>1名，</w:t>
      </w:r>
      <w:r>
        <w:rPr>
          <w:rFonts w:hint="eastAsia" w:ascii="仿宋_GB2312" w:hAnsi="仿宋_GB2312" w:eastAsia="仿宋_GB2312" w:cs="仿宋_GB2312"/>
          <w:color w:val="000000"/>
          <w:kern w:val="0"/>
          <w:sz w:val="32"/>
          <w:szCs w:val="32"/>
          <w:shd w:val="clear" w:color="auto" w:fill="FFFFFF"/>
        </w:rPr>
        <w:t>驾驶员1名</w:t>
      </w:r>
      <w:r>
        <w:rPr>
          <w:rFonts w:hint="eastAsia" w:ascii="仿宋" w:hAnsi="仿宋" w:eastAsia="仿宋" w:cs="仿宋"/>
          <w:color w:val="000000"/>
          <w:kern w:val="0"/>
          <w:sz w:val="32"/>
          <w:szCs w:val="32"/>
          <w:shd w:val="clear" w:color="auto" w:fill="FFFFFF"/>
        </w:rPr>
        <w:t>。</w:t>
      </w:r>
    </w:p>
    <w:p w14:paraId="3523AB5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w:t>
      </w:r>
      <w:r>
        <w:rPr>
          <w:rFonts w:hint="eastAsia" w:eastAsia="黑体" w:cs="Times New Roman"/>
          <w:color w:val="000000"/>
          <w:kern w:val="0"/>
          <w:sz w:val="32"/>
          <w:szCs w:val="32"/>
          <w:highlight w:val="none"/>
          <w:shd w:val="clear" w:color="auto" w:fill="FFFFFF"/>
          <w:lang w:val="zh-CN" w:eastAsia="zh-CN"/>
        </w:rPr>
        <w:t>单位</w:t>
      </w:r>
      <w:r>
        <w:rPr>
          <w:rFonts w:hint="default" w:ascii="Times New Roman" w:hAnsi="Times New Roman" w:eastAsia="黑体" w:cs="Times New Roman"/>
          <w:color w:val="000000"/>
          <w:kern w:val="0"/>
          <w:sz w:val="32"/>
          <w:szCs w:val="32"/>
          <w:highlight w:val="none"/>
          <w:shd w:val="clear" w:color="auto" w:fill="FFFFFF"/>
          <w:lang w:val="zh-CN" w:eastAsia="zh-CN"/>
        </w:rPr>
        <w:t>资金收支情况</w:t>
      </w:r>
    </w:p>
    <w:p w14:paraId="326482D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D15DB8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Cs w:val="32"/>
          <w:highlight w:val="none"/>
          <w:shd w:val="clear" w:color="auto" w:fill="FFFFFF"/>
          <w:lang w:val="en-US"/>
        </w:rPr>
      </w:pPr>
      <w:r>
        <w:rPr>
          <w:rFonts w:hint="eastAsia" w:ascii="仿宋_GB2312" w:hAnsi="仿宋_GB2312" w:eastAsia="仿宋_GB2312" w:cs="仿宋_GB2312"/>
          <w:sz w:val="32"/>
          <w:szCs w:val="32"/>
          <w:lang w:val="en-US" w:eastAsia="zh-CN"/>
        </w:rPr>
        <w:t>茂县档案馆2025年年初预算收入438.45万元、决算报表收入438.45万元。</w:t>
      </w:r>
    </w:p>
    <w:p w14:paraId="4F885AAD">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4DE08EA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Cs w:val="32"/>
          <w:lang w:val="zh-CN" w:eastAsia="zh-CN"/>
        </w:rPr>
      </w:pPr>
      <w:r>
        <w:rPr>
          <w:rFonts w:hint="eastAsia" w:ascii="仿宋_GB2312" w:hAnsi="仿宋_GB2312" w:eastAsia="仿宋_GB2312" w:cs="仿宋_GB2312"/>
          <w:color w:val="auto"/>
          <w:kern w:val="2"/>
          <w:sz w:val="32"/>
          <w:szCs w:val="32"/>
          <w:highlight w:val="none"/>
          <w:lang w:val="en-US" w:eastAsia="zh-CN" w:bidi="ar-SA"/>
        </w:rPr>
        <w:t>茂县档案馆</w:t>
      </w:r>
      <w:r>
        <w:rPr>
          <w:rFonts w:hint="eastAsia" w:ascii="仿宋_GB2312" w:hAnsi="仿宋_GB2312" w:eastAsia="仿宋_GB2312" w:cs="仿宋_GB2312"/>
          <w:sz w:val="32"/>
          <w:szCs w:val="32"/>
          <w:lang w:val="en-US" w:eastAsia="zh-CN"/>
        </w:rPr>
        <w:t>2025年年初预算支出438.45万元、决算报表支出438.45万元。</w:t>
      </w:r>
    </w:p>
    <w:p w14:paraId="62AE222A">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72302D4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Times New Roman"/>
          <w:sz w:val="32"/>
          <w:szCs w:val="32"/>
          <w:lang w:val="en-US" w:eastAsia="zh-CN"/>
        </w:rPr>
        <w:t>茂县档案馆</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7FC766C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w:t>
      </w:r>
      <w:r>
        <w:rPr>
          <w:rFonts w:hint="eastAsia" w:eastAsia="黑体" w:cs="Times New Roman"/>
          <w:color w:val="000000"/>
          <w:kern w:val="0"/>
          <w:sz w:val="32"/>
          <w:szCs w:val="32"/>
          <w:highlight w:val="none"/>
          <w:shd w:val="clear" w:color="auto" w:fill="FFFFFF"/>
          <w:lang w:val="zh-CN" w:eastAsia="zh-CN"/>
        </w:rPr>
        <w:t>单位</w:t>
      </w:r>
      <w:r>
        <w:rPr>
          <w:rFonts w:hint="default" w:ascii="Times New Roman" w:hAnsi="Times New Roman" w:eastAsia="黑体" w:cs="Times New Roman"/>
          <w:color w:val="000000"/>
          <w:kern w:val="0"/>
          <w:sz w:val="32"/>
          <w:szCs w:val="32"/>
          <w:highlight w:val="none"/>
          <w:shd w:val="clear" w:color="auto" w:fill="FFFFFF"/>
          <w:lang w:val="zh-CN" w:eastAsia="zh-CN"/>
        </w:rPr>
        <w:t>预算绩效分析</w:t>
      </w:r>
    </w:p>
    <w:p w14:paraId="20CE88F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单位</w:t>
      </w:r>
      <w:r>
        <w:rPr>
          <w:rFonts w:hint="eastAsia" w:ascii="Times New Roman" w:hAnsi="Times New Roman" w:eastAsia="楷体_GB2312" w:cs="Times New Roman"/>
          <w:b/>
          <w:bCs/>
          <w:color w:val="000000"/>
          <w:kern w:val="0"/>
          <w:sz w:val="32"/>
          <w:szCs w:val="32"/>
          <w:highlight w:val="none"/>
          <w:shd w:val="clear" w:color="auto" w:fill="FFFFFF"/>
          <w:lang w:val="zh-CN"/>
        </w:rPr>
        <w:t>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37A0EA1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eastAsia="仿宋_GB2312" w:cs="仿宋_GB2312"/>
          <w:color w:val="auto"/>
          <w:kern w:val="2"/>
          <w:sz w:val="32"/>
          <w:szCs w:val="32"/>
          <w:highlight w:val="none"/>
          <w:lang w:val="zh-CN" w:eastAsia="zh-CN" w:bidi="ar-SA"/>
        </w:rPr>
        <w:t>单位</w:t>
      </w:r>
      <w:r>
        <w:rPr>
          <w:rFonts w:hint="eastAsia" w:ascii="Times New Roman" w:hAnsi="Times New Roman" w:eastAsia="仿宋_GB2312" w:cs="仿宋_GB2312"/>
          <w:color w:val="auto"/>
          <w:kern w:val="2"/>
          <w:sz w:val="32"/>
          <w:szCs w:val="32"/>
          <w:highlight w:val="none"/>
          <w:lang w:val="zh-CN" w:eastAsia="zh-CN" w:bidi="ar-SA"/>
        </w:rPr>
        <w:t>整体绩效目标中选定3-5个核心职能目标，</w:t>
      </w:r>
      <w:r>
        <w:rPr>
          <w:rFonts w:hint="eastAsia" w:eastAsia="仿宋_GB2312" w:cs="仿宋_GB2312"/>
          <w:color w:val="auto"/>
          <w:kern w:val="2"/>
          <w:sz w:val="32"/>
          <w:szCs w:val="32"/>
          <w:highlight w:val="none"/>
          <w:lang w:val="zh-CN" w:eastAsia="zh-CN" w:bidi="ar-SA"/>
        </w:rPr>
        <w:t>我们进行了全面的绩效分析</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通过对比实际完成情况与预设目标，整体目标完成率达到</w:t>
      </w:r>
      <w:r>
        <w:rPr>
          <w:rFonts w:hint="eastAsia" w:eastAsia="仿宋_GB2312" w:cs="仿宋_GB2312"/>
          <w:color w:val="auto"/>
          <w:kern w:val="2"/>
          <w:sz w:val="32"/>
          <w:szCs w:val="32"/>
          <w:highlight w:val="none"/>
          <w:lang w:val="en-US" w:eastAsia="zh-CN" w:bidi="ar-SA"/>
        </w:rPr>
        <w:t>100%，超过预期目标。</w:t>
      </w:r>
    </w:p>
    <w:p w14:paraId="5EC1F3E7">
      <w:pPr>
        <w:widowControl/>
        <w:numPr>
          <w:ilvl w:val="0"/>
          <w:numId w:val="0"/>
        </w:num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预算管理。</w:t>
      </w:r>
      <w:r>
        <w:rPr>
          <w:rFonts w:hint="eastAsia" w:ascii="仿宋_GB2312" w:hAnsi="仿宋_GB2312" w:eastAsia="仿宋_GB2312" w:cs="仿宋_GB2312"/>
          <w:sz w:val="32"/>
          <w:szCs w:val="32"/>
          <w:lang w:val="zh-CN" w:eastAsia="zh-CN"/>
        </w:rPr>
        <w:t>在预算管理方面，我们重点分析了预算编制质量，预算编制质量得到了显著提升、支出执行进度符合预期，预算年终结余控制在合理范围内，未出现大额结余或超支情况。同时，我们严格执行一般性支出控制政策，有效降低了非必要支出</w:t>
      </w:r>
      <w:r>
        <w:rPr>
          <w:rFonts w:hint="eastAsia" w:ascii="仿宋_GB2312" w:hAnsi="仿宋_GB2312" w:eastAsia="仿宋_GB2312" w:cs="仿宋_GB2312"/>
          <w:color w:val="000000"/>
          <w:kern w:val="0"/>
          <w:sz w:val="32"/>
          <w:szCs w:val="32"/>
          <w:shd w:val="clear" w:color="auto" w:fill="FFFFFF"/>
          <w:lang w:val="zh-CN"/>
        </w:rPr>
        <w:t>。</w:t>
      </w:r>
    </w:p>
    <w:p w14:paraId="264439B0">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zh-CN" w:eastAsia="zh-CN"/>
        </w:rPr>
        <w:t>财务管理。</w:t>
      </w:r>
      <w:r>
        <w:rPr>
          <w:rFonts w:hint="eastAsia" w:ascii="仿宋_GB2312" w:hAnsi="仿宋_GB2312" w:eastAsia="仿宋_GB2312" w:cs="仿宋_GB2312"/>
          <w:sz w:val="32"/>
          <w:szCs w:val="32"/>
          <w:lang w:val="zh-CN" w:eastAsia="zh-CN"/>
        </w:rPr>
        <w:t>围绕财务管理制度、财务岗位设置以及资金使用等方面进行了规范，并严格执行了绩效分析。通过这一系列措施，确保了财务管理的科学性和规范性。财务管理制度的完善和绩效分析的实施，有助于提升资金使用的效率和透明度，减少不必要的支出，确保财务健康。</w:t>
      </w:r>
    </w:p>
    <w:p w14:paraId="01B80908">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lang w:val="zh-CN" w:eastAsia="zh-CN"/>
        </w:rPr>
        <w:t>资产管理。</w:t>
      </w:r>
      <w:r>
        <w:rPr>
          <w:rFonts w:hint="eastAsia" w:ascii="仿宋_GB2312" w:hAnsi="仿宋_GB2312" w:eastAsia="仿宋_GB2312" w:cs="仿宋_GB2312"/>
          <w:sz w:val="32"/>
          <w:szCs w:val="32"/>
          <w:lang w:val="zh-CN" w:eastAsia="zh-CN"/>
        </w:rPr>
        <w:t>围绕资产变化率、资产利用率和资产盘活率进行了绩效分析。这些指标直接关联到资产的运营效率和价值实现。通过绩效分析，能够及时了解资产的使用情况和价值变化，从而采取相应措施提高资产利用率和盘活率。这有助于优化资产配置，提升整体资产价值。</w:t>
      </w:r>
    </w:p>
    <w:p w14:paraId="32A9C70A">
      <w:pPr>
        <w:widowControl/>
        <w:numPr>
          <w:ilvl w:val="0"/>
          <w:numId w:val="0"/>
        </w:numPr>
        <w:adjustRightInd w:val="0"/>
        <w:snapToGrid w:val="0"/>
        <w:spacing w:line="578" w:lineRule="exact"/>
        <w:ind w:firstLine="643" w:firstLineChars="200"/>
        <w:contextualSpacing/>
        <w:jc w:val="lef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lang w:val="zh-CN" w:eastAsia="zh-CN"/>
        </w:rPr>
        <w:t>采购管理。</w:t>
      </w:r>
      <w:r>
        <w:rPr>
          <w:rFonts w:hint="eastAsia" w:ascii="仿宋_GB2312" w:hAnsi="仿宋_GB2312" w:eastAsia="仿宋_GB2312" w:cs="仿宋_GB2312"/>
          <w:sz w:val="32"/>
          <w:szCs w:val="32"/>
          <w:highlight w:val="none"/>
          <w:lang w:val="zh-CN" w:eastAsia="zh-CN"/>
        </w:rPr>
        <w:t>提高效率和节约资金，通过整合采购项目线上、线下流转审核程序，优化采购流程，实现全流程电子化，加强采购预算编制、采购活动组织、政策功能落实等内容的审核，严格防范采购项目增加隐形债务风险。此外，通过开展专项整治，全面提升采购治理水平，规范采购代理机构行为，强化采购监督管理水平，确保采购活动的透明度和效率。</w:t>
      </w:r>
    </w:p>
    <w:p w14:paraId="41EE4D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w:t>
      </w:r>
      <w:r>
        <w:rPr>
          <w:rFonts w:hint="eastAsia" w:eastAsia="楷体_GB2312" w:cs="Times New Roman"/>
          <w:b/>
          <w:bCs/>
          <w:color w:val="000000"/>
          <w:kern w:val="0"/>
          <w:sz w:val="32"/>
          <w:szCs w:val="32"/>
          <w:highlight w:val="none"/>
          <w:shd w:val="clear" w:color="auto" w:fill="FFFFFF"/>
          <w:lang w:val="zh-CN"/>
        </w:rPr>
        <w:t>单位</w:t>
      </w:r>
      <w:r>
        <w:rPr>
          <w:rFonts w:hint="default" w:ascii="Times New Roman" w:hAnsi="Times New Roman" w:eastAsia="楷体_GB2312" w:cs="Times New Roman"/>
          <w:b/>
          <w:bCs/>
          <w:color w:val="000000"/>
          <w:kern w:val="0"/>
          <w:sz w:val="32"/>
          <w:szCs w:val="32"/>
          <w:highlight w:val="none"/>
          <w:shd w:val="clear" w:color="auto" w:fill="FFFFFF"/>
          <w:lang w:val="zh-CN"/>
        </w:rPr>
        <w:t>预算项目绩效分析</w:t>
      </w:r>
    </w:p>
    <w:p w14:paraId="6D2B426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293A553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213.01</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CB33E49">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仿宋_GB2312" w:hAnsi="仿宋_GB2312" w:eastAsia="仿宋_GB2312" w:cs="仿宋_GB2312"/>
          <w:sz w:val="32"/>
          <w:szCs w:val="32"/>
        </w:rPr>
        <w:t>项目依据年度</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履职职责、年度工作重点及财政预算管理相关规定设立，项目立项依据充分、合规必要。项目预算编制科学合理，贴合单位年度业务工作实际需求，立项程序规范，资金测算有据可依，能够有效保障单位日常履职、业务开展及专项工作落地实施。</w:t>
      </w:r>
    </w:p>
    <w:p w14:paraId="4EF08331">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rPr>
        <w:t>项目严格按照年度预算批复及财经管理制度规范执行，资金拨付、使用流程合规严谨，专款专用，无挤占、挪用、超范围支出等情况。项目实施过程管控到位，进度推进有序，能够结合年度工作节点稳步落实各项任务，预算执行整体平稳规范，资金使用安全高效。</w:t>
      </w:r>
    </w:p>
    <w:p w14:paraId="1F27B459">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仿宋_GB2312" w:hAnsi="仿宋_GB2312" w:eastAsia="仿宋_GB2312" w:cs="仿宋_GB2312"/>
          <w:sz w:val="32"/>
          <w:szCs w:val="32"/>
        </w:rPr>
        <w:t>本年度项目顺利完成既定年度工作任务，较好达成预算绩效目标。通过项目资金保障，有效支撑了单位日常运转、业务开展、档案管理、党建及专项工作推进，服务保障能力持续提升，社会效益、履职效益良好，圆满完成年度绩效工作目标。</w:t>
      </w:r>
    </w:p>
    <w:p w14:paraId="286092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498A2CF2">
      <w:pPr>
        <w:numPr>
          <w:ilvl w:val="0"/>
          <w:numId w:val="0"/>
        </w:numPr>
        <w:snapToGrid w:val="0"/>
        <w:spacing w:line="6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eastAsia="zh-CN"/>
        </w:rPr>
        <w:t>绩效自评结果将作为以后年度</w:t>
      </w:r>
      <w:r>
        <w:rPr>
          <w:rFonts w:hint="eastAsia" w:ascii="仿宋_GB2312" w:hAnsi="仿宋_GB2312" w:eastAsia="仿宋_GB2312" w:cs="仿宋_GB2312"/>
          <w:sz w:val="32"/>
          <w:szCs w:val="32"/>
          <w:lang w:val="en-US" w:eastAsia="zh-CN"/>
        </w:rPr>
        <w:t>项目立项和经费支持的重要依据，也作为财政部门对单位项目预算的重要参考。</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绩效自评结果公开将按照财政部门的统一要求，对绩效评价情况予以公开。</w:t>
      </w:r>
    </w:p>
    <w:p w14:paraId="3ECAC47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72C2D7D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3D088C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en-US" w:eastAsia="zh-CN" w:bidi="ar"/>
        </w:rPr>
      </w:pPr>
      <w:r>
        <w:rPr>
          <w:rFonts w:hint="eastAsia" w:ascii="仿宋_GB2312" w:hAnsi="仿宋_GB2312" w:eastAsia="仿宋_GB2312" w:cs="仿宋_GB2312"/>
          <w:sz w:val="32"/>
          <w:szCs w:val="32"/>
          <w:lang w:val="zh-CN" w:eastAsia="zh-CN"/>
        </w:rPr>
        <w:t>档案馆</w:t>
      </w:r>
      <w:r>
        <w:rPr>
          <w:rFonts w:hint="eastAsia" w:ascii="仿宋_GB2312" w:hAnsi="仿宋_GB2312" w:eastAsia="仿宋_GB2312" w:cs="仿宋_GB2312"/>
          <w:sz w:val="32"/>
          <w:szCs w:val="32"/>
          <w:lang w:val="en-US" w:eastAsia="zh-CN"/>
        </w:rPr>
        <w:t>认真做好年度财政资金的预算编制工作，在资金使用和管理方面，进一步强化资金统筹，优化结构，明确开支范围，细化资金用途，</w:t>
      </w:r>
      <w:r>
        <w:rPr>
          <w:rFonts w:hint="eastAsia" w:ascii="仿宋_GB2312" w:hAnsi="仿宋_GB2312" w:eastAsia="仿宋_GB2312" w:cs="仿宋_GB2312"/>
          <w:color w:val="000000"/>
          <w:kern w:val="0"/>
          <w:sz w:val="32"/>
          <w:szCs w:val="32"/>
          <w:shd w:val="clear" w:color="auto" w:fill="FFFFFF"/>
          <w:lang w:val="zh-CN"/>
        </w:rPr>
        <w:t>坚持为人民服务宗旨，提升档案服务功能；坚持以市场经济为导向，提升企业市场竞争力；坚持稳中求进的工作基调，推进档案馆综合改革发展，取得了较好的成效。</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年茂县档案馆整体支出绩效评价自查自评结果良好</w:t>
      </w:r>
      <w:r>
        <w:rPr>
          <w:rFonts w:hint="eastAsia" w:ascii="仿宋_GB2312" w:hAnsi="仿宋_GB2312" w:eastAsia="仿宋_GB2312" w:cs="仿宋_GB2312"/>
          <w:color w:val="000000"/>
          <w:kern w:val="0"/>
          <w:sz w:val="32"/>
          <w:szCs w:val="32"/>
          <w:shd w:val="clear" w:color="auto" w:fill="FFFFFF"/>
          <w:lang w:val="en-US" w:eastAsia="zh-CN"/>
        </w:rPr>
        <w:t>。</w:t>
      </w:r>
      <w:r>
        <w:rPr>
          <w:rFonts w:hint="eastAsia" w:ascii="仿宋_GB2312" w:hAnsi="仿宋_GB2312" w:eastAsia="仿宋_GB2312" w:cs="仿宋_GB2312"/>
          <w:sz w:val="32"/>
          <w:szCs w:val="32"/>
          <w:lang w:val="en-US" w:eastAsia="zh-CN"/>
        </w:rPr>
        <w:t>整体上完成了年初设定的绩效目标，保障了单位的正常运转，降低了运行成本，促进了社会和谐稳定，充分发挥了财政资金的经济效益、社会效益。</w:t>
      </w:r>
    </w:p>
    <w:p w14:paraId="0DCF1C5D">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480A383D">
      <w:pPr>
        <w:keepNext w:val="0"/>
        <w:keepLines w:val="0"/>
        <w:pageBreakBefore w:val="0"/>
        <w:widowControl/>
        <w:kinsoku/>
        <w:wordWrap/>
        <w:overflowPunct/>
        <w:topLinePunct w:val="0"/>
        <w:autoSpaceDE/>
        <w:autoSpaceDN/>
        <w:bidi w:val="0"/>
        <w:adjustRightInd w:val="0"/>
        <w:snapToGrid w:val="0"/>
        <w:spacing w:line="578" w:lineRule="exact"/>
        <w:ind w:firstLine="608" w:firstLineChars="200"/>
        <w:contextualSpacing/>
        <w:jc w:val="left"/>
        <w:textAlignment w:val="auto"/>
        <w:outlineLvl w:val="9"/>
        <w:rPr>
          <w:rFonts w:hint="eastAsia" w:ascii="仿宋_GB2312" w:hAnsi="仿宋_GB2312" w:eastAsia="仿宋" w:cs="仿宋_GB2312"/>
          <w:w w:val="95"/>
          <w:kern w:val="0"/>
          <w:sz w:val="32"/>
          <w:szCs w:val="32"/>
        </w:rPr>
      </w:pPr>
      <w:r>
        <w:rPr>
          <w:rFonts w:hint="eastAsia" w:ascii="仿宋_GB2312" w:hAnsi="仿宋_GB2312" w:eastAsia="仿宋" w:cs="仿宋_GB2312"/>
          <w:w w:val="95"/>
          <w:kern w:val="0"/>
          <w:sz w:val="32"/>
          <w:szCs w:val="32"/>
        </w:rPr>
        <w:t>预算绩效观念不深入，思想认识有误区。对预算绩效管理的认知不到位，存在“两轻两重”的惯性思维，重视资金分配而忽视资金使用效率。专业人员匮乏，规范管理有盲点。预算绩效管理工作需要具备专业素养和实战经验的人力资源，但</w:t>
      </w:r>
      <w:r>
        <w:rPr>
          <w:rFonts w:hint="eastAsia" w:ascii="仿宋_GB2312" w:hAnsi="仿宋_GB2312" w:eastAsia="仿宋" w:cs="仿宋_GB2312"/>
          <w:w w:val="95"/>
          <w:kern w:val="0"/>
          <w:sz w:val="32"/>
          <w:szCs w:val="32"/>
          <w:lang w:eastAsia="zh-CN"/>
        </w:rPr>
        <w:t>我馆</w:t>
      </w:r>
      <w:r>
        <w:rPr>
          <w:rFonts w:hint="eastAsia" w:ascii="仿宋_GB2312" w:hAnsi="仿宋_GB2312" w:eastAsia="仿宋" w:cs="仿宋_GB2312"/>
          <w:w w:val="95"/>
          <w:kern w:val="0"/>
          <w:sz w:val="32"/>
          <w:szCs w:val="32"/>
        </w:rPr>
        <w:t>专业人员的缺乏导致管理存在盲点。</w:t>
      </w:r>
    </w:p>
    <w:p w14:paraId="201C90C0">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2E5D2E8A">
      <w:pPr>
        <w:spacing w:line="578" w:lineRule="exact"/>
        <w:ind w:firstLine="608" w:firstLineChars="200"/>
        <w:contextualSpacing/>
        <w:rPr>
          <w:rFonts w:hint="eastAsia" w:ascii="仿宋_GB2312" w:hAnsi="仿宋_GB2312" w:eastAsia="仿宋" w:cs="仿宋_GB2312"/>
          <w:w w:val="95"/>
          <w:kern w:val="0"/>
          <w:sz w:val="32"/>
          <w:szCs w:val="32"/>
        </w:rPr>
      </w:pPr>
      <w:r>
        <w:rPr>
          <w:rFonts w:hint="eastAsia" w:ascii="仿宋_GB2312" w:hAnsi="仿宋_GB2312" w:eastAsia="仿宋" w:cs="仿宋_GB2312"/>
          <w:w w:val="95"/>
          <w:kern w:val="0"/>
          <w:sz w:val="32"/>
          <w:szCs w:val="32"/>
        </w:rPr>
        <w:t>加强宣传教育，通过召开会议、举办业务讲座等多种形式，提高</w:t>
      </w:r>
      <w:r>
        <w:rPr>
          <w:rFonts w:hint="eastAsia" w:ascii="仿宋_GB2312" w:hAnsi="仿宋_GB2312" w:eastAsia="仿宋" w:cs="仿宋_GB2312"/>
          <w:w w:val="95"/>
          <w:kern w:val="0"/>
          <w:sz w:val="32"/>
          <w:szCs w:val="32"/>
          <w:lang w:eastAsia="zh-CN"/>
        </w:rPr>
        <w:t>我馆</w:t>
      </w:r>
      <w:r>
        <w:rPr>
          <w:rFonts w:hint="eastAsia" w:ascii="仿宋_GB2312" w:hAnsi="仿宋_GB2312" w:eastAsia="仿宋" w:cs="仿宋_GB2312"/>
          <w:w w:val="95"/>
          <w:kern w:val="0"/>
          <w:sz w:val="32"/>
          <w:szCs w:val="32"/>
        </w:rPr>
        <w:t>领导和财务人员</w:t>
      </w:r>
      <w:r>
        <w:rPr>
          <w:rFonts w:hint="eastAsia" w:ascii="仿宋_GB2312" w:hAnsi="仿宋_GB2312" w:eastAsia="仿宋" w:cs="仿宋_GB2312"/>
          <w:w w:val="95"/>
          <w:kern w:val="0"/>
          <w:sz w:val="32"/>
          <w:szCs w:val="32"/>
          <w:lang w:eastAsia="zh-CN"/>
        </w:rPr>
        <w:t>、项目人员</w:t>
      </w:r>
      <w:r>
        <w:rPr>
          <w:rFonts w:hint="eastAsia" w:ascii="仿宋_GB2312" w:hAnsi="仿宋_GB2312" w:eastAsia="仿宋" w:cs="仿宋_GB2312"/>
          <w:w w:val="95"/>
          <w:kern w:val="0"/>
          <w:sz w:val="32"/>
          <w:szCs w:val="32"/>
        </w:rPr>
        <w:t>的预算绩效管理意识，确保绩效理念深入人心。提升专业能力，通过培训和教育，提高预算单位财务人员</w:t>
      </w:r>
      <w:r>
        <w:rPr>
          <w:rFonts w:hint="eastAsia" w:ascii="仿宋_GB2312" w:hAnsi="仿宋_GB2312" w:eastAsia="仿宋" w:cs="仿宋_GB2312"/>
          <w:w w:val="95"/>
          <w:kern w:val="0"/>
          <w:sz w:val="32"/>
          <w:szCs w:val="32"/>
          <w:lang w:eastAsia="zh-CN"/>
        </w:rPr>
        <w:t>和项目人员</w:t>
      </w:r>
      <w:r>
        <w:rPr>
          <w:rFonts w:hint="eastAsia" w:ascii="仿宋_GB2312" w:hAnsi="仿宋_GB2312" w:eastAsia="仿宋" w:cs="仿宋_GB2312"/>
          <w:w w:val="95"/>
          <w:kern w:val="0"/>
          <w:sz w:val="32"/>
          <w:szCs w:val="32"/>
        </w:rPr>
        <w:t>的专业素养，确保管理工作的高效执行。</w:t>
      </w:r>
    </w:p>
    <w:p w14:paraId="6C60FA4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3DE288BC">
      <w:pPr>
        <w:rPr>
          <w:rFonts w:hint="eastAsia" w:ascii="Times New Roman" w:hAnsi="Times New Roman" w:eastAsia="黑体" w:cs="黑体"/>
          <w:color w:val="auto"/>
          <w:kern w:val="0"/>
          <w:sz w:val="32"/>
          <w:szCs w:val="32"/>
          <w:highlight w:val="none"/>
          <w:shd w:val="clear" w:color="auto" w:fill="FFFFFF"/>
          <w:lang w:val="zh-CN"/>
        </w:rPr>
      </w:pPr>
    </w:p>
    <w:p w14:paraId="41619C61">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661FD4AC">
      <w:pPr>
        <w:rPr>
          <w:rFonts w:hint="default" w:ascii="Times New Roman" w:hAnsi="Times New Roman" w:eastAsia="仿宋_GB2312" w:cs="Times New Roman"/>
          <w:b w:val="0"/>
          <w:bCs w:val="0"/>
          <w:kern w:val="0"/>
          <w:position w:val="0"/>
          <w:sz w:val="32"/>
          <w:szCs w:val="32"/>
          <w:highlight w:val="none"/>
          <w:lang w:val="en-US" w:eastAsia="zh-CN" w:bidi="ar-SA"/>
        </w:rPr>
      </w:pPr>
    </w:p>
    <w:p w14:paraId="0088CA74">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5111AA29">
      <w:pPr>
        <w:rPr>
          <w:rFonts w:hint="default" w:ascii="Times New Roman" w:hAnsi="Times New Roman" w:eastAsia="仿宋_GB2312" w:cs="Times New Roman"/>
          <w:b w:val="0"/>
          <w:bCs w:val="0"/>
          <w:kern w:val="0"/>
          <w:position w:val="0"/>
          <w:sz w:val="32"/>
          <w:szCs w:val="32"/>
          <w:highlight w:val="none"/>
          <w:lang w:val="en-US" w:eastAsia="zh-CN" w:bidi="ar-SA"/>
        </w:rPr>
      </w:pPr>
    </w:p>
    <w:p w14:paraId="399B1480">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CC593F8">
      <w:pPr>
        <w:rPr>
          <w:rFonts w:hint="default" w:ascii="Times New Roman" w:hAnsi="Times New Roman" w:eastAsia="仿宋_GB2312" w:cs="Times New Roman"/>
          <w:b w:val="0"/>
          <w:bCs w:val="0"/>
          <w:kern w:val="0"/>
          <w:position w:val="0"/>
          <w:sz w:val="32"/>
          <w:szCs w:val="32"/>
          <w:highlight w:val="none"/>
          <w:lang w:val="en-US" w:eastAsia="zh-CN" w:bidi="ar-SA"/>
        </w:rPr>
      </w:pPr>
    </w:p>
    <w:p w14:paraId="051CD1AF">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2A0F80FA">
      <w:pPr>
        <w:rPr>
          <w:rFonts w:hint="default" w:ascii="Times New Roman" w:hAnsi="Times New Roman" w:eastAsia="仿宋_GB2312" w:cs="Times New Roman"/>
          <w:b w:val="0"/>
          <w:bCs w:val="0"/>
          <w:kern w:val="0"/>
          <w:position w:val="0"/>
          <w:sz w:val="32"/>
          <w:szCs w:val="32"/>
          <w:highlight w:val="none"/>
          <w:lang w:val="en-US" w:eastAsia="zh-CN" w:bidi="ar-SA"/>
        </w:rPr>
      </w:pPr>
    </w:p>
    <w:p w14:paraId="65509B61">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DAB986E">
      <w:pPr>
        <w:rPr>
          <w:rFonts w:hint="default" w:ascii="Times New Roman" w:hAnsi="Times New Roman" w:eastAsia="仿宋_GB2312" w:cs="Times New Roman"/>
          <w:b w:val="0"/>
          <w:bCs w:val="0"/>
          <w:kern w:val="0"/>
          <w:position w:val="0"/>
          <w:sz w:val="32"/>
          <w:szCs w:val="32"/>
          <w:highlight w:val="none"/>
          <w:lang w:val="en-US" w:eastAsia="zh-CN" w:bidi="ar-SA"/>
        </w:rPr>
      </w:pPr>
    </w:p>
    <w:p w14:paraId="5EEA08E7">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38315012">
      <w:pPr>
        <w:rPr>
          <w:rFonts w:hint="default" w:ascii="Times New Roman" w:hAnsi="Times New Roman" w:eastAsia="仿宋_GB2312" w:cs="Times New Roman"/>
          <w:b w:val="0"/>
          <w:bCs w:val="0"/>
          <w:kern w:val="0"/>
          <w:position w:val="0"/>
          <w:sz w:val="32"/>
          <w:szCs w:val="32"/>
          <w:highlight w:val="none"/>
          <w:lang w:val="en-US" w:eastAsia="zh-CN" w:bidi="ar-SA"/>
        </w:rPr>
      </w:pPr>
    </w:p>
    <w:p w14:paraId="7B87ADE9">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FB7A4C7">
      <w:pPr>
        <w:pStyle w:val="2"/>
        <w:rPr>
          <w:rFonts w:hint="default"/>
          <w:lang w:val="en-US" w:eastAsia="zh-CN"/>
        </w:rPr>
      </w:pPr>
    </w:p>
    <w:p w14:paraId="2FC1FDEE">
      <w:pPr>
        <w:rPr>
          <w:rFonts w:hint="default"/>
          <w:lang w:val="en-US" w:eastAsia="zh-CN"/>
        </w:rPr>
      </w:pPr>
    </w:p>
    <w:p w14:paraId="6146554E">
      <w:pPr>
        <w:widowControl/>
        <w:jc w:val="center"/>
        <w:rPr>
          <w:rFonts w:hint="eastAsia" w:ascii="Times New Roman" w:hAnsi="Times New Roman" w:eastAsia="仿宋"/>
          <w:b w:val="0"/>
          <w:color w:val="auto"/>
          <w:highlight w:val="none"/>
        </w:rPr>
      </w:pPr>
      <w:bookmarkStart w:id="5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6"/>
      <w:bookmarkEnd w:id="57"/>
      <w:bookmarkStart w:id="58" w:name="_Toc15396619"/>
    </w:p>
    <w:p w14:paraId="3F534FB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87B1A8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14:paraId="3BB183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14:paraId="0DA3F4C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14:paraId="4916BA5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14:paraId="0B2E870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14:paraId="67B1B17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14:paraId="4851EE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14:paraId="33E466E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14:paraId="4998441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14:paraId="2455183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14:paraId="41A9A5A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8CCA1C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14:paraId="6D8E97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14:paraId="730CB70F">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6C1F">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3B5A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3A3B5A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98EB5F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C35C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BB370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3BB370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81FD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75934B"/>
    <w:multiLevelType w:val="singleLevel"/>
    <w:tmpl w:val="B575934B"/>
    <w:lvl w:ilvl="0" w:tentative="0">
      <w:start w:val="2"/>
      <w:numFmt w:val="chineseCounting"/>
      <w:suff w:val="nothing"/>
      <w:lvlText w:val="（%1）"/>
      <w:lvlJc w:val="left"/>
      <w:rPr>
        <w:rFonts w:hint="eastAsia"/>
      </w:rPr>
    </w:lvl>
  </w:abstractNum>
  <w:abstractNum w:abstractNumId="1">
    <w:nsid w:val="BFEFB303"/>
    <w:multiLevelType w:val="singleLevel"/>
    <w:tmpl w:val="BFEFB303"/>
    <w:lvl w:ilvl="0" w:tentative="0">
      <w:start w:val="2"/>
      <w:numFmt w:val="chineseCounting"/>
      <w:suff w:val="nothing"/>
      <w:lvlText w:val="（%1）"/>
      <w:lvlJc w:val="left"/>
      <w:rPr>
        <w:rFonts w:hint="eastAsia"/>
      </w:rPr>
    </w:lvl>
  </w:abstractNum>
  <w:abstractNum w:abstractNumId="2">
    <w:nsid w:val="FF5F2946"/>
    <w:multiLevelType w:val="singleLevel"/>
    <w:tmpl w:val="FF5F2946"/>
    <w:lvl w:ilvl="0" w:tentative="0">
      <w:start w:val="1"/>
      <w:numFmt w:val="chineseCounting"/>
      <w:suff w:val="nothing"/>
      <w:lvlText w:val="%1、"/>
      <w:lvlJc w:val="left"/>
      <w:rPr>
        <w:rFonts w:hint="eastAsia"/>
      </w:rPr>
    </w:lvl>
  </w:abstractNum>
  <w:abstractNum w:abstractNumId="3">
    <w:nsid w:val="7BFFEDAC"/>
    <w:multiLevelType w:val="singleLevel"/>
    <w:tmpl w:val="7BFFEDAC"/>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5B7C5D4"/>
    <w:rsid w:val="260F557C"/>
    <w:rsid w:val="27CB68B6"/>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584ED"/>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7EA624"/>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91D3D"/>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DFC54"/>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D6D12"/>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8DFF7B8C"/>
    <w:rsid w:val="99FF2014"/>
    <w:rsid w:val="9BFF54D5"/>
    <w:rsid w:val="A6DD0D7F"/>
    <w:rsid w:val="ADC6F725"/>
    <w:rsid w:val="B7CF06AB"/>
    <w:rsid w:val="B7CFA926"/>
    <w:rsid w:val="B7F8786B"/>
    <w:rsid w:val="BABB6AA1"/>
    <w:rsid w:val="BB2F4199"/>
    <w:rsid w:val="BBE73496"/>
    <w:rsid w:val="BD079C78"/>
    <w:rsid w:val="BD733540"/>
    <w:rsid w:val="BF3735D5"/>
    <w:rsid w:val="BF7F09AC"/>
    <w:rsid w:val="BFD475C3"/>
    <w:rsid w:val="BFDE5EA6"/>
    <w:rsid w:val="BFEBEE51"/>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EFEDDF34"/>
    <w:rsid w:val="F2BEBCB8"/>
    <w:rsid w:val="F36FB518"/>
    <w:rsid w:val="F3DE1A04"/>
    <w:rsid w:val="F3F722E5"/>
    <w:rsid w:val="F6578AA6"/>
    <w:rsid w:val="FA5F1E70"/>
    <w:rsid w:val="FA5FDB97"/>
    <w:rsid w:val="FB7F486A"/>
    <w:rsid w:val="FBFF5B2E"/>
    <w:rsid w:val="FD7FFE2B"/>
    <w:rsid w:val="FDEE196B"/>
    <w:rsid w:val="FDFE6575"/>
    <w:rsid w:val="FEDFDDC2"/>
    <w:rsid w:val="FEED32F6"/>
    <w:rsid w:val="FEF781DD"/>
    <w:rsid w:val="FEFB2B4C"/>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收、支决算总计变动情况图</c:v>
                </c:pt>
              </c:strCache>
            </c:strRef>
          </c:tx>
          <c:spPr>
            <a:solidFill>
              <a:schemeClr val="accent1"/>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348.06</c:v>
                </c:pt>
                <c:pt idx="1">
                  <c:v>248.45</c:v>
                </c:pt>
              </c:numCache>
            </c:numRef>
          </c:val>
        </c:ser>
        <c:dLbls>
          <c:showLegendKey val="0"/>
          <c:showVal val="1"/>
          <c:showCatName val="0"/>
          <c:showSerName val="0"/>
          <c:showPercent val="0"/>
          <c:showBubbleSize val="0"/>
        </c:dLbls>
        <c:gapWidth val="246"/>
        <c:overlap val="100"/>
        <c:axId val="109566976"/>
        <c:axId val="109713664"/>
      </c:barChart>
      <c:catAx>
        <c:axId val="1095669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713664"/>
        <c:crosses val="autoZero"/>
        <c:auto val="1"/>
        <c:lblAlgn val="ctr"/>
        <c:lblOffset val="100"/>
        <c:noMultiLvlLbl val="0"/>
      </c:catAx>
      <c:valAx>
        <c:axId val="10971366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56697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c5a90e-e08b-4cdb-a090-c6c05f7b66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248.45</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 收入决算结构图</c:v>
                </c:pt>
              </c:strCache>
            </c:strRef>
          </c:cat>
          <c:val>
            <c:numRef>
              <c:f>Sheet1!$B$2</c:f>
              <c:numCache>
                <c:formatCode>General</c:formatCode>
                <c:ptCount val="1"/>
                <c:pt idx="0">
                  <c:v>100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45800384697585"/>
          <c:y val="0.7917002417405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fa790f-ed6d-40eb-867a-3a53b36dce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5209444021325"/>
          <c:y val="0.82576249188838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90.74</c:v>
                </c:pt>
                <c:pt idx="1">
                  <c:v>9.26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3245430312262"/>
          <c:y val="0.09863724853990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2e3c2a-746b-4736-b7c9-7cae0c14b5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902177554438861"/>
          <c:y val="0.169400736524941"/>
          <c:w val="0.872931323283082"/>
          <c:h val="0.517040508871778"/>
        </c:manualLayout>
      </c:layout>
      <c:barChart>
        <c:barDir val="col"/>
        <c:grouping val="stacked"/>
        <c:varyColors val="0"/>
        <c:ser>
          <c:idx val="0"/>
          <c:order val="0"/>
          <c:tx>
            <c:strRef>
              <c:f>'Sheet1 (4)'!$B$1</c:f>
              <c:strCache>
                <c:ptCount val="1"/>
                <c:pt idx="0">
                  <c:v>财政拨款收、支决算总计变动情况</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(4)'!$A$2:$A$3</c:f>
              <c:numCache>
                <c:formatCode>General</c:formatCode>
                <c:ptCount val="2"/>
                <c:pt idx="0">
                  <c:v>2025</c:v>
                </c:pt>
                <c:pt idx="1">
                  <c:v>2024</c:v>
                </c:pt>
              </c:numCache>
            </c:numRef>
          </c:cat>
          <c:val>
            <c:numRef>
              <c:f>'Sheet1 (4)'!$B$2:$B$3</c:f>
              <c:numCache>
                <c:formatCode>General</c:formatCode>
                <c:ptCount val="2"/>
                <c:pt idx="0">
                  <c:v>248.45</c:v>
                </c:pt>
                <c:pt idx="1">
                  <c:v>348.06</c:v>
                </c:pt>
              </c:numCache>
            </c:numRef>
          </c:val>
        </c:ser>
        <c:dLbls>
          <c:showLegendKey val="0"/>
          <c:showVal val="1"/>
          <c:showCatName val="0"/>
          <c:showSerName val="0"/>
          <c:showPercent val="0"/>
          <c:showBubbleSize val="0"/>
        </c:dLbls>
        <c:gapWidth val="246"/>
        <c:overlap val="100"/>
        <c:axId val="138386816"/>
        <c:axId val="145395712"/>
      </c:barChart>
      <c:catAx>
        <c:axId val="1383868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395712"/>
        <c:crosses val="autoZero"/>
        <c:auto val="1"/>
        <c:lblAlgn val="ctr"/>
        <c:lblOffset val="100"/>
        <c:noMultiLvlLbl val="0"/>
      </c:catAx>
      <c:valAx>
        <c:axId val="1453957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38681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ff5cca-73a4-421a-a7ab-308e06aeaf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stacked"/>
        <c:varyColors val="0"/>
        <c:ser>
          <c:idx val="0"/>
          <c:order val="0"/>
          <c:tx>
            <c:strRef>
              <c:f>'Sheet1 (5)'!$B$1</c:f>
              <c:strCache>
                <c:ptCount val="1"/>
                <c:pt idx="0">
                  <c:v>一般公共预算财政拨款支出决算变动情况</c:v>
                </c:pt>
              </c:strCache>
            </c:strRef>
          </c:tx>
          <c:spPr>
            <a:solidFill>
              <a:schemeClr val="accent1"/>
            </a:solidFill>
            <a:ln>
              <a:solidFill>
                <a:schemeClr val="bg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 (5)'!$A$2:$A$3</c:f>
              <c:numCache>
                <c:formatCode>General</c:formatCode>
                <c:ptCount val="2"/>
                <c:pt idx="0">
                  <c:v>2025</c:v>
                </c:pt>
                <c:pt idx="1">
                  <c:v>2024</c:v>
                </c:pt>
              </c:numCache>
            </c:numRef>
          </c:cat>
          <c:val>
            <c:numRef>
              <c:f>'Sheet1 (5)'!$B$2:$B$3</c:f>
              <c:numCache>
                <c:formatCode>General</c:formatCode>
                <c:ptCount val="2"/>
                <c:pt idx="0">
                  <c:v>248.45</c:v>
                </c:pt>
                <c:pt idx="1">
                  <c:v>348.06</c:v>
                </c:pt>
              </c:numCache>
            </c:numRef>
          </c:val>
        </c:ser>
        <c:dLbls>
          <c:showLegendKey val="0"/>
          <c:showVal val="1"/>
          <c:showCatName val="0"/>
          <c:showSerName val="0"/>
          <c:showPercent val="0"/>
          <c:showBubbleSize val="0"/>
        </c:dLbls>
        <c:gapWidth val="246"/>
        <c:overlap val="100"/>
        <c:axId val="200432256"/>
        <c:axId val="200455296"/>
      </c:barChart>
      <c:catAx>
        <c:axId val="20043225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55296"/>
        <c:crosses val="autoZero"/>
        <c:auto val="1"/>
        <c:lblAlgn val="ctr"/>
        <c:lblOffset val="100"/>
        <c:noMultiLvlLbl val="0"/>
      </c:catAx>
      <c:valAx>
        <c:axId val="20045529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32256"/>
        <c:crossesAt val="1"/>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2755f8a-1f21-404b-886f-fa07db6d07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5451388888889"/>
          <c:y val="0.792499315630988"/>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770052083333333"/>
          <c:y val="0.126666666666667"/>
          <c:w val="0.470555555555556"/>
          <c:h val="0.746666666666667"/>
        </c:manualLayout>
      </c:layout>
      <c:pieChart>
        <c:varyColors val="1"/>
        <c:ser>
          <c:idx val="0"/>
          <c:order val="0"/>
          <c:tx>
            <c:strRef>
              <c:f>'Sheet1 (6)'!$B$1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 (6)'!$A$2:$A$5</c:f>
              <c:strCache>
                <c:ptCount val="4"/>
                <c:pt idx="0">
                  <c:v>一般公共服务</c:v>
                </c:pt>
                <c:pt idx="1">
                  <c:v>社会保障和就业</c:v>
                </c:pt>
                <c:pt idx="2">
                  <c:v>医疗卫生与计划生育</c:v>
                </c:pt>
                <c:pt idx="3">
                  <c:v>住房保障</c:v>
                </c:pt>
              </c:strCache>
            </c:strRef>
          </c:cat>
          <c:val>
            <c:numRef>
              <c:f>'Sheet1 (6)'!$B$2:$B$5</c:f>
              <c:numCache>
                <c:formatCode>0%</c:formatCode>
                <c:ptCount val="4"/>
                <c:pt idx="0">
                  <c:v>0.7615</c:v>
                </c:pt>
                <c:pt idx="1">
                  <c:v>0.1223</c:v>
                </c:pt>
                <c:pt idx="2">
                  <c:v>0.0501</c:v>
                </c:pt>
                <c:pt idx="3">
                  <c:v>0.0661</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t"/>
      <c:layout>
        <c:manualLayout>
          <c:xMode val="edge"/>
          <c:yMode val="edge"/>
          <c:x val="0.646484375"/>
          <c:y val="0.00821242814125376"/>
          <c:w val="0.334852430555556"/>
          <c:h val="0.5212154393649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0d4520e-60f1-4898-8cc2-0ffa006b18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200"/>
              <a:t>财政拨款“三公”经费支出结构</a:t>
            </a:r>
            <a:endParaRPr sz="1200"/>
          </a:p>
        </c:rich>
      </c:tx>
      <c:layout>
        <c:manualLayout>
          <c:xMode val="edge"/>
          <c:yMode val="edge"/>
          <c:x val="0.107643600180914"/>
          <c:y val="0.822357723577236"/>
        </c:manualLayout>
      </c:layout>
      <c:overlay val="0"/>
      <c:spPr>
        <a:noFill/>
        <a:ln>
          <a:noFill/>
        </a:ln>
        <a:effectLst/>
      </c:spPr>
    </c:title>
    <c:autoTitleDeleted val="0"/>
    <c:plotArea>
      <c:layout/>
      <c:pieChart>
        <c:varyColors val="1"/>
        <c:ser>
          <c:idx val="0"/>
          <c:order val="0"/>
          <c:tx>
            <c:strRef>
              <c:f>'Sheet1 (7)'!$B$1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 (7)'!$A$2:$A$3</c:f>
              <c:strCache>
                <c:ptCount val="2"/>
                <c:pt idx="0">
                  <c:v>公务接待费</c:v>
                </c:pt>
                <c:pt idx="1">
                  <c:v>公务用车</c:v>
                </c:pt>
              </c:strCache>
            </c:strRef>
          </c:cat>
          <c:val>
            <c:numRef>
              <c:f>'Sheet1 (7)'!$B$2:$B$3</c:f>
              <c:numCache>
                <c:formatCode>0%</c:formatCode>
                <c:ptCount val="2"/>
                <c:pt idx="0">
                  <c:v>0.0422</c:v>
                </c:pt>
                <c:pt idx="1">
                  <c:v>0.9578</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b"/>
      <c:layout>
        <c:manualLayout>
          <c:xMode val="edge"/>
          <c:yMode val="edge"/>
          <c:x val="0.276910900045228"/>
          <c:y val="0.084146341463414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fe3f2e7-d00f-4159-a019-b0cc543745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1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1299</Words>
  <Characters>7410</Characters>
  <Lines>61</Lines>
  <Paragraphs>17</Paragraphs>
  <TotalTime>0</TotalTime>
  <ScaleCrop>false</ScaleCrop>
  <LinksUpToDate>false</LinksUpToDate>
  <CharactersWithSpaces>8692</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企业用户_20135518</cp:lastModifiedBy>
  <cp:lastPrinted>2026-09-04T15:37:00Z</cp:lastPrinted>
  <dcterms:modified xsi:type="dcterms:W3CDTF">2026-09-04T10:48:07Z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3BF536824C220DA3E40E8B68BA118B1C_42</vt:lpwstr>
  </property>
</Properties>
</file>