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bookmarkStart w:id="0" w:name="_Toc15377193"/>
      <w:bookmarkStart w:id="1" w:name="_Toc15378441"/>
      <w:bookmarkStart w:id="2" w:name="_Toc15396597"/>
      <w:bookmarkStart w:id="3" w:name="_Toc15377425"/>
      <w:bookmarkStart w:id="4" w:name="_Toc15396475"/>
      <w:bookmarkStart w:id="5" w:name="_Toc15306267"/>
    </w:p>
    <w:p>
      <w:pPr>
        <w:pStyle w:val="7"/>
        <w:keepNext w:val="0"/>
        <w:keepLines w:val="0"/>
        <w:pageBreakBefore w:val="0"/>
        <w:widowControl w:val="0"/>
        <w:kinsoku/>
        <w:wordWrap/>
        <w:overflowPunct/>
        <w:topLinePunct w:val="0"/>
        <w:autoSpaceDE/>
        <w:autoSpaceDN/>
        <w:bidi w:val="0"/>
        <w:adjustRightInd/>
        <w:snapToGrid/>
        <w:spacing w:line="276" w:lineRule="auto"/>
        <w:ind w:firstLine="0"/>
        <w:textAlignment w:val="auto"/>
        <w:rPr>
          <w:rFonts w:hint="eastAsia" w:ascii="思源黑体 CN Normal" w:hAnsi="思源黑体 CN Normal" w:eastAsia="思源黑体 CN Normal" w:cs="思源黑体 CN Normal"/>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2023</w:t>
      </w:r>
      <w:r>
        <w:rPr>
          <w:rFonts w:ascii="方正小标宋简体" w:hAnsi="方正小标宋简体" w:eastAsia="方正小标宋简体" w:cs="方正小标宋简体"/>
          <w:color w:val="000000"/>
          <w:sz w:val="44"/>
          <w:highlight w:val="none"/>
          <w:u w:color="auto"/>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6" w:name="_Toc15377194"/>
      <w:bookmarkStart w:id="7" w:name="_Toc15377426"/>
      <w:bookmarkStart w:id="8" w:name="_Toc15396476"/>
      <w:bookmarkStart w:id="9" w:name="_Toc15378442"/>
      <w:bookmarkStart w:id="10" w:name="_Toc15306268"/>
      <w:bookmarkStart w:id="11" w:name="_Toc15396598"/>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阿坝州茂县凤仪镇人民政府（本级）</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思源黑体 CN Normal" w:hAnsi="思源黑体 CN Normal" w:eastAsia="思源黑体 CN Normal" w:cs="思源黑体 CN Normal"/>
          <w:b w:val="0"/>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sz w:val="44"/>
          <w:highlight w:val="none"/>
          <w:u w:color="auto"/>
        </w:rPr>
        <w:t>单位决算</w:t>
      </w:r>
      <w:bookmarkEnd w:id="6"/>
      <w:bookmarkEnd w:id="7"/>
      <w:bookmarkEnd w:id="8"/>
      <w:bookmarkEnd w:id="9"/>
      <w:bookmarkEnd w:id="10"/>
      <w:bookmarkEnd w:id="11"/>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7"/>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第一部分</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第二部分</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18</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7"/>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4"/>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pPr>
        <w:pStyle w:val="4"/>
        <w:jc w:val="center"/>
        <w:rPr>
          <w:rFonts w:hint="eastAsia" w:ascii="黑体" w:hAnsi="黑体" w:eastAsia="黑体" w:cs="黑体"/>
          <w:b w:val="0"/>
          <w:bCs w:val="0"/>
        </w:rPr>
      </w:pPr>
      <w:r>
        <w:rPr>
          <w:rFonts w:hint="eastAsia" w:ascii="黑体" w:hAnsi="黑体" w:eastAsia="黑体" w:cs="黑体"/>
          <w:b w:val="0"/>
          <w:bCs w:val="0"/>
        </w:rPr>
        <w:t>第一部分</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pPr>
        <w:pStyle w:val="5"/>
        <w:ind w:firstLine="640" w:firstLineChars="200"/>
        <w:rPr>
          <w:rFonts w:hint="eastAsia" w:ascii="黑体" w:hAnsi="黑体" w:eastAsia="黑体" w:cs="黑体"/>
          <w:b w:val="0"/>
          <w:bCs/>
          <w:color w:val="000000"/>
          <w:lang w:val="en-US" w:eastAsia="zh-CN"/>
        </w:rPr>
      </w:pPr>
      <w:bookmarkStart w:id="15" w:name="_Toc15377197"/>
      <w:bookmarkStart w:id="16" w:name="_Toc113981010"/>
      <w:bookmarkStart w:id="17" w:name="_Toc111208496"/>
      <w:bookmarkStart w:id="18" w:name="_Toc28564"/>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主要职责</w:t>
      </w:r>
    </w:p>
    <w:bookmarkEnd w:id="20"/>
    <w:bookmarkEnd w:id="21"/>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bookmarkStart w:id="22" w:name="_Toc113981011"/>
      <w:bookmarkStart w:id="23" w:name="_Toc111208497"/>
      <w:bookmarkStart w:id="24" w:name="_Toc22056"/>
      <w:bookmarkStart w:id="25" w:name="_Toc15377200"/>
      <w:r>
        <w:rPr>
          <w:rFonts w:hint="eastAsia" w:ascii="仿宋_GB2312" w:hAnsi="仿宋_GB2312" w:eastAsia="仿宋_GB2312" w:cs="仿宋_GB2312"/>
          <w:color w:val="000000"/>
          <w:sz w:val="32"/>
          <w:szCs w:val="32"/>
        </w:rPr>
        <w:t>1.贯彻执行党和国家的路线方针政策和上级党委、政府各项决策部署，以及本级党员代表大会（党员大会）人民代表大会的决议决定。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3.领导镇政权机关、群团组织和其他各类组织，加强指导和规范，支持和保证这些机关和组织依照国家法律法规以及各自章程履行职责。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8.优化公共服务。推进服务型政府建设，组织实施并优化教育、卫生健康、文化、民政、社会保障、退役军人事务等各项公共服务。</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9.负责辖区范围内的应急管理、社会稳定、安全生产、生态环境保护、社会信用体系建设和审批服务便民化等作。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10.负责辖区农村经营管理体系建设工作。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11.完成县委、县人民政府交办的其他任务。</w:t>
      </w:r>
    </w:p>
    <w:p>
      <w:pPr>
        <w:pStyle w:val="5"/>
        <w:ind w:firstLine="640" w:firstLineChars="200"/>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凤仪镇人民政府属于行政单位，下属行政单位0个，其中内设机构9个，（1）茂县凤仪镇党政办公室，（2）茂县凤仪镇党建办公室，（3）维护稳定办公室，（4）经济发展和乡村振兴办公室，（5）社会事务和应急管理办公室，（6）综合行政执法办公室，（7）财经审查工作办公室，（8）生态环境办公室，（9）村镇规划建设管理办公室。</w:t>
      </w:r>
    </w:p>
    <w:p>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pPr>
        <w:pStyle w:val="4"/>
        <w:jc w:val="center"/>
        <w:rPr>
          <w:rFonts w:hint="eastAsia" w:ascii="黑体" w:hAnsi="黑体" w:eastAsia="黑体" w:cs="黑体"/>
          <w:b w:val="0"/>
          <w:bCs w:val="0"/>
        </w:rPr>
      </w:pPr>
      <w:bookmarkStart w:id="26" w:name="_Toc111208498"/>
      <w:bookmarkStart w:id="27" w:name="_Toc9058"/>
      <w:r>
        <w:rPr>
          <w:rFonts w:hint="eastAsia" w:ascii="黑体" w:hAnsi="黑体" w:eastAsia="黑体" w:cs="黑体"/>
          <w:b w:val="0"/>
          <w:bCs w:val="0"/>
        </w:rPr>
        <w:t>第二部分</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pPr>
        <w:pStyle w:val="5"/>
        <w:ind w:firstLine="640" w:firstLineChars="200"/>
        <w:rPr>
          <w:rFonts w:hint="eastAsia" w:ascii="黑体" w:hAnsi="黑体" w:eastAsia="黑体" w:cs="黑体"/>
          <w:b w:val="0"/>
          <w:bCs/>
          <w:color w:val="000000"/>
        </w:rPr>
      </w:pPr>
      <w:bookmarkStart w:id="28" w:name="_Toc15377205"/>
      <w:bookmarkStart w:id="29" w:name="_Toc111208499"/>
      <w:bookmarkStart w:id="30" w:name="_Toc19710"/>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u w:color="auto"/>
        </w:rPr>
        <w:t>年度收、支总计均为4846.77</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u w:color="auto"/>
        </w:rPr>
        <w:t>增加1468.67万元，增加43.48%。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主要变动原因是我镇人员增加，人员经费支出增加；项目资金增加</w:t>
      </w:r>
      <w:r>
        <w:rPr>
          <w:rFonts w:hint="eastAsia" w:ascii="仿宋_GB2312" w:hAnsi="仿宋_GB2312" w:eastAsia="仿宋_GB2312" w:cs="仿宋_GB2312"/>
          <w:color w:val="000000"/>
          <w:sz w:val="32"/>
          <w:szCs w:val="32"/>
          <w:lang w:eastAsia="zh-CN"/>
        </w:rPr>
        <w:t>。</w:t>
      </w:r>
    </w:p>
    <w:p>
      <w:pPr>
        <w:pStyle w:val="7"/>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5"/>
        <w:ind w:firstLine="640" w:firstLineChars="200"/>
        <w:rPr>
          <w:rFonts w:hint="eastAsia" w:ascii="黑体" w:hAnsi="黑体" w:eastAsia="黑体" w:cs="黑体"/>
          <w:bCs w:val="0"/>
          <w:color w:val="000000"/>
        </w:rPr>
      </w:pPr>
      <w:bookmarkStart w:id="31" w:name="_Toc15377206"/>
      <w:bookmarkStart w:id="32" w:name="_Toc8125"/>
      <w:bookmarkStart w:id="33" w:name="_Toc111208500"/>
      <w:r>
        <w:rPr>
          <w:rFonts w:hint="eastAsia" w:ascii="黑体" w:hAnsi="黑体" w:eastAsia="黑体" w:cs="黑体"/>
          <w:b w:val="0"/>
          <w:bCs/>
          <w:color w:val="000000"/>
        </w:rPr>
        <w:t>二、收入决算情况说明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本年收入合计4846.77万元</w:t>
      </w:r>
      <w:r>
        <w:rPr>
          <w:rFonts w:hint="eastAsia" w:ascii="仿宋_GB2312" w:hAnsi="仿宋_GB2312" w:eastAsia="仿宋_GB2312" w:cs="仿宋_GB2312"/>
          <w:color w:val="000000"/>
          <w:sz w:val="32"/>
          <w:szCs w:val="32"/>
          <w:lang w:val="en-US" w:eastAsia="zh-CN"/>
        </w:rPr>
        <w:t>，其中:一般公共预算财政拨款收入4802.93万元，占99.10%；政府性基金预算财政拨款收入43.85万元，占0.90%</w:t>
      </w:r>
      <w:r>
        <w:rPr>
          <w:rFonts w:hint="eastAsia" w:ascii="仿宋_GB2312" w:hAnsi="仿宋_GB2312" w:eastAsia="仿宋_GB2312" w:cs="仿宋_GB2312"/>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5"/>
        <w:ind w:firstLine="640" w:firstLineChars="200"/>
        <w:rPr>
          <w:rFonts w:hint="eastAsia" w:ascii="黑体" w:hAnsi="黑体" w:eastAsia="黑体" w:cs="黑体"/>
          <w:b w:val="0"/>
          <w:bCs/>
          <w:color w:val="000000"/>
        </w:rPr>
      </w:pPr>
      <w:bookmarkStart w:id="34" w:name="_Toc111208501"/>
      <w:bookmarkStart w:id="35" w:name="_Toc15377207"/>
      <w:bookmarkStart w:id="36" w:name="_Toc28283"/>
      <w:r>
        <w:rPr>
          <w:rFonts w:hint="eastAsia" w:ascii="黑体" w:hAnsi="黑体" w:eastAsia="黑体" w:cs="黑体"/>
          <w:b w:val="0"/>
          <w:bCs/>
          <w:color w:val="000000"/>
        </w:rPr>
        <w:t>三、支出决算情况说明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本年支出合计4846.77万元</w:t>
      </w:r>
      <w:r>
        <w:rPr>
          <w:rFonts w:hint="eastAsia" w:ascii="仿宋_GB2312" w:hAnsi="仿宋_GB2312" w:eastAsia="仿宋_GB2312" w:cs="仿宋_GB2312"/>
          <w:color w:val="000000"/>
          <w:sz w:val="32"/>
          <w:szCs w:val="32"/>
          <w:lang w:val="en-US" w:eastAsia="zh-CN"/>
        </w:rPr>
        <w:t>，其中:基本支出2432.96万元，占50.20%；项目支出2413.82万元，占49.80%</w:t>
      </w:r>
      <w:r>
        <w:rPr>
          <w:rFonts w:hint="eastAsia" w:ascii="仿宋_GB2312" w:hAnsi="仿宋_GB2312" w:eastAsia="仿宋_GB2312" w:cs="仿宋_GB2312"/>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2908935"/>
            <wp:effectExtent l="4445" t="4445" r="6350" b="203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5"/>
        <w:ind w:firstLine="640" w:firstLineChars="200"/>
        <w:rPr>
          <w:rFonts w:hint="eastAsia" w:ascii="黑体" w:hAnsi="黑体" w:eastAsia="黑体" w:cs="黑体"/>
          <w:b w:val="0"/>
          <w:bCs/>
          <w:color w:val="000000"/>
        </w:rPr>
      </w:pPr>
      <w:bookmarkStart w:id="37" w:name="_Toc111208502"/>
      <w:bookmarkStart w:id="38" w:name="_Toc15377208"/>
      <w:bookmarkStart w:id="39" w:name="_Toc19521"/>
      <w:r>
        <w:rPr>
          <w:rFonts w:hint="eastAsia" w:ascii="黑体" w:hAnsi="黑体" w:eastAsia="黑体" w:cs="黑体"/>
          <w:b w:val="0"/>
          <w:bCs/>
          <w:color w:val="000000"/>
        </w:rPr>
        <w:t>四、财政拨款收入支出决算总体情况说明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rPr>
        <w:t>4846.77万元。与2022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rPr>
        <w:t>增加1468.67万元，增加43.48%。</w:t>
      </w:r>
    </w:p>
    <w:p>
      <w:pPr>
        <w:pStyle w:val="7"/>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主要变动原因是我镇人员增加，人员经费支出增加；项目资金增加</w:t>
      </w:r>
      <w:r>
        <w:rPr>
          <w:rFonts w:hint="eastAsia" w:ascii="仿宋_GB2312" w:hAnsi="仿宋_GB2312" w:eastAsia="仿宋_GB2312" w:cs="仿宋_GB2312"/>
          <w:color w:val="000000"/>
          <w:sz w:val="32"/>
          <w:szCs w:val="32"/>
          <w:lang w:eastAsia="zh-CN"/>
        </w:rPr>
        <w:t>。</w:t>
      </w:r>
    </w:p>
    <w:p>
      <w:pPr>
        <w:pStyle w:val="7"/>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5"/>
        <w:ind w:firstLine="640" w:firstLineChars="200"/>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szCs w:val="32"/>
          <w:u w:color="auto"/>
        </w:rPr>
        <w:t>4802.93万元，占本年支出合计的99.10%。与2022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szCs w:val="32"/>
          <w:u w:color="auto"/>
        </w:rPr>
        <w:t>增加1713.76万元，增加55.48%。主要变动原因是我镇人员增加，人员经费支出增加；项目资金增加</w:t>
      </w:r>
      <w:r>
        <w:rPr>
          <w:rFonts w:hint="eastAsia" w:ascii="仿宋_GB2312" w:hAnsi="仿宋_GB2312" w:eastAsia="仿宋_GB2312" w:cs="仿宋_GB2312"/>
          <w:color w:val="000000"/>
          <w:sz w:val="32"/>
          <w:szCs w:val="32"/>
          <w:u w:color="auto"/>
          <w:lang w:eastAsia="zh-CN"/>
        </w:rPr>
        <w:t>。</w:t>
      </w:r>
    </w:p>
    <w:p>
      <w:pPr>
        <w:pStyle w:val="7"/>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2858770"/>
            <wp:effectExtent l="4445" t="4445" r="508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4802.93万元，主要用于以下方面:一般公共服务支出2091.62万元，占43.55%；社会保障和就业支出414.38万元，占8.63%；卫生健康支出137.96万元，占2.87%；农林水支出1991.49万元，占41.46%；住房保障支出167.47万元，占3.49%。</w:t>
      </w:r>
    </w:p>
    <w:p>
      <w:pPr>
        <w:pStyle w:val="7"/>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665095"/>
            <wp:effectExtent l="4445" t="4445" r="571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bookmarkStart w:id="46" w:name="_Toc15377444"/>
      <w:bookmarkStart w:id="47" w:name="_Toc15378460"/>
      <w:bookmarkStart w:id="48" w:name="_Toc15377213"/>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一般公共预算支出决算数为4802.93万元，完成预算100%。其中：</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一般公共服务支出（类）人大事务（款）代表工作（项）:支出决算11.98万元，完成预算100%。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2.一般公共服务支出（类）政府办公厅（室）及相关机构事务（款）行政运行（项）:支出决算1818.80万元，完成预算100%。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3.一般公共服务支出（类）政府办公厅（室）及相关机构事务（款）其他政府办公厅（室）及相关机构事务支出（项）:支出决算168.26万元，完成预算100%。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4.一般公共服务支出（类）民族事务（款）其他民族事务支出（项）:支出决算92.57万元，完成预算100%。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5.社会保障和就业支出（类）民政管理事务（款）基层政权建设和社区治理（项）:支出决算105.56万元，完成预算100%。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6.社会保障和就业支出（类）行政事业单位养老支出（款）机关事业单位基本养老保险缴费支出（项）:支出决算205.81万元，完成预算100%。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社会保障和就业支出（类）行政事业单位养老支出（款）机关事业单位职业年金缴费支出（项）:支出决算102.91万元，完成预算100%。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社会保障和就业支出（类）残疾人事业（款）其他残疾人事业支出（项）:支出决算0.10万元，完成预算100%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9.卫生健康支出（类）行政事业单位医疗（款）行政单位医疗（项）:支出决算137.96万元，完成预算100%。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10.农林水支出（类）农业农村（款）对高校毕业生到基层任职补助（项）:支出决算5.00万元，完成预算100%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11.农林水支出（类）巩固脱贫攻坚成果衔接乡村振兴（款）农村基础设施建设（项）:支出决算393.01万元，完成预算100%。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12.农林水支出（类）巩固脱贫攻坚成果衔接乡村振兴（款）其他巩固脱贫攻坚成果衔接乡村振兴支出（项）:支出决算1024.44万元，完成预算100%。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13.农林水支出（类）农村综合改革（款）对村民委员会和村党支部的补助（项）:支出决算569.04万元，完成预算100%。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14.住房保障支出（类）住房改革支出（款）住房公积金（项）:支出决算163.01万元，完成预算100%。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15.住房保障支出（类）住房改革支出（款）购房补贴（项）:支出决算4.46万元，完成预算100%。</w:t>
      </w:r>
    </w:p>
    <w:p>
      <w:pPr>
        <w:pStyle w:val="5"/>
        <w:ind w:firstLine="640" w:firstLineChars="200"/>
        <w:rPr>
          <w:rFonts w:hint="eastAsia" w:ascii="黑体" w:hAnsi="黑体" w:eastAsia="黑体" w:cs="黑体"/>
          <w:b w:val="0"/>
          <w:color w:val="000000"/>
        </w:rPr>
      </w:pPr>
      <w:bookmarkStart w:id="49" w:name="_Toc15377214"/>
      <w:bookmarkStart w:id="50" w:name="_Toc111208504"/>
      <w:bookmarkStart w:id="51" w:name="_Toc31578"/>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一般公共预算财政拨款基本支出2432.96万元，其中：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2357.33万元，主要包括：基本工资488.69万元、津贴补贴514.05万元、奖金579.89万元、机关事业单位基本养老保险缴费205.81万元、职业年金缴费102.91万元、职工基本医疗保险缴费137.96万元、其他社会保障缴费37.80万元、住房公积金163.01万元、医疗费23.11万元、抚恤金23.06万元、生活补助79.99万元、医疗费补助0.96万元、奖励金0.09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公用经费75.62万元，主要包括：办公费32.98万元、水费0.36万元、电费6.83万元、邮电费1.95万元、差旅费23.95万元、租赁费1.20万元、公务用车运行维护费8.35万元。</w:t>
      </w:r>
    </w:p>
    <w:p>
      <w:pPr>
        <w:pStyle w:val="5"/>
        <w:ind w:firstLine="640" w:firstLineChars="200"/>
        <w:rPr>
          <w:rFonts w:hint="eastAsia" w:ascii="黑体" w:hAnsi="黑体" w:eastAsia="黑体" w:cs="黑体"/>
          <w:b w:val="0"/>
          <w:bCs/>
          <w:color w:val="000000"/>
        </w:rPr>
      </w:pPr>
      <w:bookmarkStart w:id="52" w:name="_Toc6614"/>
      <w:bookmarkStart w:id="53" w:name="_Toc111208505"/>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“三公”经费财政拨款支出决算为8.35万元，完成预算100.00%，较上年度增加0.99万元，增加13.41%。决算数与预算数持平。</w:t>
      </w:r>
      <w:bookmarkStart w:id="56"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“三公”经费财政拨款支出8.35万元，因公出国（境）费支出决算</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；公务用车购置及运行维护费支出决算8.35万元，占100.00%；公务接待费支出决算</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。具体情况如下：</w:t>
      </w:r>
    </w:p>
    <w:p>
      <w:pPr>
        <w:pStyle w:val="7"/>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。全年安排因公出国（境）团组0次，出国（境）0人。因公出国（境）支出决算比2022年增加</w:t>
      </w:r>
      <w:r>
        <w:rPr>
          <w:rFonts w:hint="eastAsia" w:ascii="仿宋_GB2312" w:hAnsi="仿宋_GB2312" w:eastAsia="仿宋_GB2312" w:cs="仿宋_GB2312"/>
          <w:color w:val="000000"/>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rPr>
        <w:t>8.35万元,完成预算100.00%。公务用车购置及运行维护费支出决算比2022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增加0.99万元，增加13.41%。主要原因是我镇2023年公务用车维护费增加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 w:hAnsi="仿宋" w:eastAsia="仿宋" w:cs="仿宋"/>
          <w:b/>
          <w:bCs/>
          <w:color w:val="000000"/>
          <w:sz w:val="32"/>
          <w:szCs w:val="32"/>
        </w:rPr>
        <w:t>公务用车购置支出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。全年按规定更新购置公务用车1辆，其中：轿车0辆、金额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，越野车0辆、金额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，载客汽车0辆、金额</w:t>
      </w:r>
      <w:r>
        <w:rPr>
          <w:rFonts w:hint="eastAsia" w:ascii="仿宋_GB2312" w:hAnsi="仿宋_GB2312" w:eastAsia="仿宋_GB2312" w:cs="仿宋_GB2312"/>
          <w:color w:val="000000"/>
          <w:sz w:val="32"/>
          <w:szCs w:val="32"/>
          <w:lang w:eastAsia="zh-CN"/>
        </w:rPr>
        <w:t>0万元、其他车型</w:t>
      </w:r>
      <w:r>
        <w:rPr>
          <w:rFonts w:hint="eastAsia" w:ascii="仿宋_GB2312" w:hAnsi="仿宋_GB2312" w:eastAsia="仿宋_GB2312" w:cs="仿宋_GB2312"/>
          <w:color w:val="000000"/>
          <w:sz w:val="32"/>
          <w:szCs w:val="32"/>
          <w:lang w:val="en-US" w:eastAsia="zh-CN"/>
        </w:rPr>
        <w:t>1辆，金额23.59万元，为捐赠消防车</w:t>
      </w:r>
      <w:r>
        <w:rPr>
          <w:rFonts w:hint="eastAsia" w:ascii="仿宋_GB2312" w:hAnsi="仿宋_GB2312" w:eastAsia="仿宋_GB2312" w:cs="仿宋_GB2312"/>
          <w:color w:val="000000"/>
          <w:sz w:val="32"/>
          <w:szCs w:val="32"/>
        </w:rPr>
        <w:t>。截至2023年12月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，单位共有公务用车2辆，其中：轿车1辆、越野车0辆、载客汽车0辆</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rPr>
        <w:t>8.35</w:t>
      </w:r>
      <w:r>
        <w:rPr>
          <w:rFonts w:hint="eastAsia" w:ascii="仿宋_GB2312" w:hAnsi="仿宋_GB2312" w:eastAsia="仿宋_GB2312" w:cs="仿宋_GB2312"/>
          <w:color w:val="000000"/>
          <w:sz w:val="32"/>
          <w:u w:color="auto"/>
        </w:rPr>
        <w:t>万元。主要用于我镇2023年</w:t>
      </w:r>
      <w:r>
        <w:rPr>
          <w:rFonts w:hint="eastAsia" w:ascii="仿宋_GB2312" w:hAnsi="仿宋_GB2312" w:eastAsia="仿宋_GB2312" w:cs="仿宋_GB2312"/>
          <w:color w:val="000000"/>
          <w:sz w:val="32"/>
          <w:u w:color="auto"/>
          <w:lang w:eastAsia="zh-CN"/>
        </w:rPr>
        <w:t>下村开展各项工作所需</w:t>
      </w:r>
      <w:r>
        <w:rPr>
          <w:rFonts w:hint="eastAsia" w:ascii="仿宋_GB2312" w:hAnsi="仿宋_GB2312" w:eastAsia="仿宋_GB2312" w:cs="仿宋_GB2312"/>
          <w:color w:val="000000"/>
          <w:sz w:val="32"/>
          <w:u w:color="auto"/>
        </w:rPr>
        <w:t>的公务用车燃料费、维修费、过路费、保险费等支出</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u w:color="auto"/>
        </w:rPr>
        <w:t>。公务接待费支出决算比2022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eastAsia="zh-CN"/>
        </w:rPr>
        <w:t>0万元</w:t>
      </w:r>
      <w:bookmarkStart w:id="57" w:name="_Toc15377218"/>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，国内公务接待0批次，0人次，共计支出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pStyle w:val="7"/>
        <w:keepNext w:val="0"/>
        <w:keepLines w:val="0"/>
        <w:pageBreakBefore w:val="0"/>
        <w:widowControl w:val="0"/>
        <w:kinsoku/>
        <w:wordWrap/>
        <w:overflowPunct/>
        <w:topLinePunct w:val="0"/>
        <w:autoSpaceDE/>
        <w:autoSpaceDN/>
        <w:bidi w:val="0"/>
        <w:adjustRightInd/>
        <w:snapToGrid/>
        <w:spacing w:line="576" w:lineRule="exact"/>
        <w:ind w:firstLine="680"/>
        <w:textAlignment w:val="auto"/>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外事接待0批次，0人次（不包括陪同人员），共计支出</w:t>
      </w:r>
      <w:r>
        <w:rPr>
          <w:rFonts w:hint="eastAsia" w:ascii="仿宋_GB2312" w:hAnsi="仿宋_GB2312" w:eastAsia="仿宋_GB2312" w:cs="仿宋_GB2312"/>
          <w:color w:val="000000"/>
          <w:sz w:val="32"/>
          <w:u w:color="auto"/>
          <w:lang w:eastAsia="zh-CN"/>
        </w:rPr>
        <w:t>0万元</w:t>
      </w:r>
      <w:r>
        <w:rPr>
          <w:rFonts w:hint="eastAsia" w:ascii="仿宋_GB2312" w:hAnsi="仿宋_GB2312" w:eastAsia="仿宋_GB2312" w:cs="仿宋_GB2312"/>
          <w:color w:val="000000"/>
          <w:sz w:val="32"/>
          <w:u w:color="auto"/>
        </w:rPr>
        <w:t>。</w:t>
      </w:r>
    </w:p>
    <w:p>
      <w:pPr>
        <w:pStyle w:val="5"/>
        <w:ind w:firstLine="640" w:firstLineChars="200"/>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u w:color="auto"/>
        </w:rPr>
        <w:t>43.85万元。</w:t>
      </w:r>
      <w:bookmarkStart w:id="60" w:name="_Toc15377219"/>
    </w:p>
    <w:p>
      <w:pPr>
        <w:pStyle w:val="5"/>
        <w:ind w:firstLine="640" w:firstLineChars="200"/>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pStyle w:val="5"/>
        <w:ind w:firstLine="640" w:firstLineChars="200"/>
        <w:rPr>
          <w:rFonts w:hint="eastAsia" w:ascii="黑体" w:hAnsi="黑体" w:eastAsia="黑体" w:cs="黑体"/>
          <w:b w:val="0"/>
          <w:bCs/>
          <w:color w:val="000000"/>
        </w:rPr>
      </w:pPr>
      <w:bookmarkStart w:id="63" w:name="_Toc18455"/>
      <w:bookmarkStart w:id="64" w:name="_Toc15377221"/>
      <w:bookmarkStart w:id="65" w:name="_Toc111208508"/>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rPr>
        <w:t>75.62万元，比2022年减少0.0</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万元，减少0.03%。主要原因是我镇工作经费支出减少。</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，政府采购支出总额857.14万元，其中：政府采购货物支出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、政府采购工程支出857.14万元、政府采购服务支出</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。授予中小企业合同金额857.14万元，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szCs w:val="32"/>
        </w:rPr>
        <w:t>100.00%,其中：授予小微企业合同金额</w:t>
      </w:r>
      <w:r>
        <w:rPr>
          <w:rFonts w:hint="eastAsia" w:ascii="仿宋_GB2312" w:hAnsi="仿宋_GB2312" w:eastAsia="仿宋_GB2312" w:cs="仿宋_GB2312"/>
          <w:color w:val="000000"/>
          <w:sz w:val="32"/>
          <w:szCs w:val="32"/>
          <w:lang w:eastAsia="zh-CN"/>
        </w:rPr>
        <w:t>0万元</w:t>
      </w:r>
      <w:r>
        <w:rPr>
          <w:rFonts w:hint="eastAsia" w:ascii="仿宋_GB2312" w:hAnsi="仿宋_GB2312" w:eastAsia="仿宋_GB2312" w:cs="仿宋_GB2312"/>
          <w:color w:val="000000"/>
          <w:sz w:val="32"/>
          <w:szCs w:val="32"/>
        </w:rPr>
        <w:t>。</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截至2023年12月31日，共有车辆2辆，其中：主要领导干部用车0辆、机要通信用车0辆、应急保障用车2辆、其他用车0辆。单价100万元以上专用设备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0台（套）。</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根据预算绩效管理要求，本单位在2023年度预算编制阶段，组织对</w:t>
      </w:r>
      <w:r>
        <w:rPr>
          <w:rFonts w:hint="eastAsia" w:ascii="仿宋_GB2312" w:hAnsi="仿宋_GB2312" w:eastAsia="仿宋_GB2312" w:cs="仿宋_GB2312"/>
          <w:color w:val="000000"/>
          <w:sz w:val="32"/>
          <w:szCs w:val="32"/>
          <w:lang w:val="en-US" w:eastAsia="zh-CN"/>
        </w:rPr>
        <w:t>凤仪镇村级办公费</w:t>
      </w:r>
      <w:r>
        <w:rPr>
          <w:rFonts w:hint="eastAsia" w:ascii="仿宋_GB2312" w:hAnsi="仿宋_GB2312" w:eastAsia="仿宋_GB2312" w:cs="仿宋_GB2312"/>
          <w:color w:val="000000"/>
          <w:sz w:val="32"/>
          <w:szCs w:val="32"/>
        </w:rPr>
        <w:t>项目等</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个项目开展了预算事前绩效评估，对</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个项目编制了绩效目标，预算执行过程中，选取</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个项目开展绩效监控，组织对</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个项目开展绩效自评，绩效自评表详见第四部分附件。</w:t>
      </w: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4"/>
        <w:jc w:val="center"/>
        <w:rPr>
          <w:rFonts w:hint="eastAsia" w:ascii="黑体" w:hAnsi="黑体" w:eastAsia="黑体" w:cs="黑体"/>
          <w:b w:val="0"/>
          <w:bCs w:val="0"/>
        </w:rPr>
      </w:pPr>
      <w:bookmarkStart w:id="69" w:name="_Toc111208509"/>
      <w:bookmarkStart w:id="70" w:name="_Toc18122"/>
      <w:bookmarkStart w:id="71" w:name="_Toc15377225"/>
      <w:r>
        <w:rPr>
          <w:rFonts w:hint="eastAsia" w:ascii="黑体" w:hAnsi="黑体" w:eastAsia="黑体" w:cs="黑体"/>
          <w:b w:val="0"/>
          <w:bCs w:val="0"/>
        </w:rPr>
        <w:t>第三部分名词解释</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5.使用非财政拨款结余（含专用结余）：指事业单位使用以前年度积累的非财政拨款结余弥补当年收支差额的金额。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9.一般公共服务支出（类）人大事务（款）代表工作（项）:反映人大代表开展各类视察等方面的支出。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25.项目支出：指在基本支出之外为完成特定行政任务和事业发展目标所发生的支出。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sz w:val="32"/>
          <w:szCs w:val="32"/>
        </w:rPr>
        <w:t>29.财政应返还额度：为行政事业单位会计核算科目，用于核算实行国库集中支付的行政事业单位应收财政返还的资金额度。</w:t>
      </w:r>
    </w:p>
    <w:p>
      <w:pPr>
        <w:widowControl/>
        <w:jc w:val="left"/>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pPr>
        <w:pStyle w:val="4"/>
        <w:jc w:val="center"/>
        <w:rPr>
          <w:rFonts w:hint="eastAsia" w:ascii="仿宋" w:hAnsi="仿宋" w:eastAsia="仿宋" w:cs="仿宋"/>
          <w:sz w:val="32"/>
          <w:szCs w:val="32"/>
          <w:lang w:eastAsia="zh-CN"/>
        </w:rPr>
      </w:pPr>
      <w:bookmarkStart w:id="72" w:name="_Toc111208510"/>
      <w:bookmarkStart w:id="73" w:name="_Toc25539"/>
      <w:r>
        <w:rPr>
          <w:rFonts w:hint="eastAsia" w:ascii="黑体" w:hAnsi="黑体" w:eastAsia="黑体" w:cs="黑体"/>
          <w:b w:val="0"/>
          <w:bCs w:val="0"/>
        </w:rPr>
        <w:t>第四部分附件</w:t>
      </w:r>
      <w:bookmarkEnd w:id="72"/>
      <w:bookmarkEnd w:id="73"/>
    </w:p>
    <w:tbl>
      <w:tblPr>
        <w:tblStyle w:val="19"/>
        <w:tblpPr w:leftFromText="180" w:rightFromText="180" w:vertAnchor="text" w:horzAnchor="page" w:tblpX="1152" w:tblpY="153"/>
        <w:tblOverlap w:val="never"/>
        <w:tblW w:w="9645" w:type="dxa"/>
        <w:tblInd w:w="0" w:type="dxa"/>
        <w:tblLayout w:type="autofit"/>
        <w:tblCellMar>
          <w:top w:w="0" w:type="dxa"/>
          <w:left w:w="0" w:type="dxa"/>
          <w:bottom w:w="0" w:type="dxa"/>
          <w:right w:w="0" w:type="dxa"/>
        </w:tblCellMar>
      </w:tblPr>
      <w:tblGrid>
        <w:gridCol w:w="570"/>
        <w:gridCol w:w="1079"/>
        <w:gridCol w:w="1543"/>
        <w:gridCol w:w="1393"/>
        <w:gridCol w:w="520"/>
        <w:gridCol w:w="584"/>
        <w:gridCol w:w="524"/>
        <w:gridCol w:w="944"/>
        <w:gridCol w:w="505"/>
        <w:gridCol w:w="456"/>
        <w:gridCol w:w="1527"/>
      </w:tblGrid>
      <w:tr>
        <w:trPr>
          <w:trHeight w:val="90" w:hRule="atLeast"/>
        </w:trPr>
        <w:tc>
          <w:tcPr>
            <w:tcW w:w="964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74" w:name="_Toc79163635"/>
            <w:bookmarkStart w:id="75" w:name="_Toc111208512"/>
            <w:bookmarkStart w:id="76" w:name="_Toc79163885"/>
            <w:bookmarkStart w:id="77" w:name="_Toc21200"/>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51322323T000009461722-茂县凤仪镇人大工作经费</w:t>
            </w:r>
          </w:p>
        </w:tc>
      </w:tr>
      <w:tr>
        <w:trPr>
          <w:trHeight w:val="512"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44"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茂县凤仪镇人大工作经费主要内容是：凤仪镇人大工作经费12万元，用于凤仪镇人大代表活动经费、人大主席团工作经费、人代会工作经费等，确保凤仪镇人大工作有序开展。</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用于凤仪镇人大代表活动经费、人大主席团工作经费、人代会工作经费等，确保凤仪镇人大工作有序开展。</w:t>
            </w:r>
          </w:p>
        </w:tc>
      </w:tr>
      <w:tr>
        <w:trPr>
          <w:trHeight w:val="64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11.98</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确保凤仪镇人大工作有序开展</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trPr>
        <w:tc>
          <w:tcPr>
            <w:tcW w:w="715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tbl>
      <w:tblPr>
        <w:tblStyle w:val="19"/>
        <w:tblW w:w="10000" w:type="dxa"/>
        <w:jc w:val="center"/>
        <w:tblLayout w:type="fixed"/>
        <w:tblCellMar>
          <w:top w:w="0" w:type="dxa"/>
          <w:left w:w="0" w:type="dxa"/>
          <w:bottom w:w="0" w:type="dxa"/>
          <w:right w:w="0" w:type="dxa"/>
        </w:tblCellMar>
      </w:tblPr>
      <w:tblGrid>
        <w:gridCol w:w="821"/>
        <w:gridCol w:w="1232"/>
        <w:gridCol w:w="810"/>
        <w:gridCol w:w="1784"/>
        <w:gridCol w:w="456"/>
        <w:gridCol w:w="928"/>
        <w:gridCol w:w="685"/>
        <w:gridCol w:w="984"/>
        <w:gridCol w:w="791"/>
        <w:gridCol w:w="686"/>
        <w:gridCol w:w="823"/>
      </w:tblGrid>
      <w:tr>
        <w:trPr>
          <w:trHeight w:val="683" w:hRule="atLeast"/>
          <w:jc w:val="center"/>
        </w:trPr>
        <w:tc>
          <w:tcPr>
            <w:tcW w:w="100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354" w:hRule="atLeast"/>
          <w:jc w:val="center"/>
        </w:trPr>
        <w:tc>
          <w:tcPr>
            <w:tcW w:w="205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47"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51322324T000010114570-梨园村委会活动室院坝硬化建设帮扶资金</w:t>
            </w:r>
          </w:p>
        </w:tc>
      </w:tr>
      <w:tr>
        <w:trPr>
          <w:trHeight w:val="683" w:hRule="atLeast"/>
          <w:jc w:val="center"/>
        </w:trPr>
        <w:tc>
          <w:tcPr>
            <w:tcW w:w="20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84"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354"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133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6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凤仪镇梨园村委会活动室院坝硬化建设帮扶资金共计38678.15元，其中硬化需要购买商混35318.15元，人工3360元。完善梨园村基础设施，为人民群众活动提供了场地，丰富了人民群众的文化生活。</w:t>
            </w:r>
          </w:p>
        </w:tc>
        <w:tc>
          <w:tcPr>
            <w:tcW w:w="32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lang w:val="en-US" w:eastAsia="zh-CN"/>
              </w:rPr>
            </w:pPr>
            <w:r>
              <w:rPr>
                <w:rFonts w:hint="eastAsia" w:ascii="黑体" w:hAnsi="黑体" w:eastAsia="黑体" w:cs="黑体"/>
                <w:i w:val="0"/>
                <w:color w:val="000000"/>
                <w:sz w:val="18"/>
                <w:szCs w:val="18"/>
                <w:u w:val="none"/>
                <w:lang w:val="en-US" w:eastAsia="zh-CN"/>
              </w:rPr>
              <w:t>完成</w:t>
            </w:r>
            <w:r>
              <w:rPr>
                <w:rFonts w:ascii="宋体" w:hAnsi="宋体" w:eastAsia="宋体" w:cs="宋体"/>
                <w:i w:val="0"/>
                <w:color w:val="000000"/>
                <w:kern w:val="0"/>
                <w:sz w:val="18"/>
                <w:szCs w:val="18"/>
                <w:u w:val="none"/>
                <w:lang w:val="en-US" w:eastAsia="zh-CN" w:bidi="ar"/>
              </w:rPr>
              <w:t>凤仪镇梨园村委会活动室院坝硬化建设</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47"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黑体" w:hAnsi="黑体" w:eastAsia="黑体" w:cs="黑体"/>
                <w:i w:val="0"/>
                <w:color w:val="000000"/>
                <w:sz w:val="18"/>
                <w:szCs w:val="18"/>
                <w:u w:val="none"/>
                <w:lang w:val="en-US" w:eastAsia="zh-CN"/>
              </w:rPr>
              <w:t>完成</w:t>
            </w:r>
            <w:r>
              <w:rPr>
                <w:rFonts w:ascii="宋体" w:hAnsi="宋体" w:eastAsia="宋体" w:cs="宋体"/>
                <w:i w:val="0"/>
                <w:color w:val="000000"/>
                <w:kern w:val="0"/>
                <w:sz w:val="18"/>
                <w:szCs w:val="18"/>
                <w:u w:val="none"/>
                <w:lang w:val="en-US" w:eastAsia="zh-CN" w:bidi="ar"/>
              </w:rPr>
              <w:t>凤仪镇梨园村委会活动室院坝硬化建设</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r>
      <w:tr>
        <w:trPr>
          <w:trHeight w:val="683"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83"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项目完成合格率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133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完善梨园村基础设施，为人民群众活动提供了场地，丰富了人民群众的文化生活。</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进一步完善</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进一步完善</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1011"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83"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项目总投入</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3.87</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万</w:t>
            </w:r>
            <w:r>
              <w:rPr>
                <w:rFonts w:ascii="宋体" w:hAnsi="宋体" w:eastAsia="宋体" w:cs="宋体"/>
                <w:i w:val="0"/>
                <w:color w:val="000000"/>
                <w:kern w:val="0"/>
                <w:sz w:val="18"/>
                <w:szCs w:val="18"/>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3.87</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54"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1011"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梨园村委会活动室院坝硬化建设帮扶资金用于梨园村村委会活动室院坝硬化，为人民群众活动提供了场地，丰富了人民群众的文化生活。经费的管理和使用，坚持公平、公开、公正的原则。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354"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365"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1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771" w:tblpY="517"/>
        <w:tblOverlap w:val="never"/>
        <w:tblW w:w="9868" w:type="dxa"/>
        <w:tblInd w:w="0" w:type="dxa"/>
        <w:tblLayout w:type="autofit"/>
        <w:tblCellMar>
          <w:top w:w="0" w:type="dxa"/>
          <w:left w:w="0" w:type="dxa"/>
          <w:bottom w:w="0" w:type="dxa"/>
          <w:right w:w="0" w:type="dxa"/>
        </w:tblCellMar>
      </w:tblPr>
      <w:tblGrid>
        <w:gridCol w:w="877"/>
        <w:gridCol w:w="1373"/>
        <w:gridCol w:w="1570"/>
        <w:gridCol w:w="2008"/>
        <w:gridCol w:w="460"/>
        <w:gridCol w:w="523"/>
        <w:gridCol w:w="836"/>
        <w:gridCol w:w="445"/>
        <w:gridCol w:w="400"/>
        <w:gridCol w:w="1376"/>
      </w:tblGrid>
      <w:tr>
        <w:trPr>
          <w:trHeight w:val="90" w:hRule="atLeast"/>
        </w:trPr>
        <w:tc>
          <w:tcPr>
            <w:tcW w:w="9868" w:type="dxa"/>
            <w:gridSpan w:val="1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90" w:hRule="atLeast"/>
        </w:trPr>
        <w:tc>
          <w:tcPr>
            <w:tcW w:w="225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618" w:type="dxa"/>
            <w:gridSpan w:val="8"/>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51322323T000009417448-凤仪镇“情暖茂县、家园共建”红色家园党员志愿服务项目</w:t>
            </w:r>
          </w:p>
        </w:tc>
      </w:tr>
      <w:tr>
        <w:trPr>
          <w:trHeight w:val="90" w:hRule="atLeast"/>
        </w:trPr>
        <w:tc>
          <w:tcPr>
            <w:tcW w:w="2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36"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2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按照《关于实施“情暖茂县、家园共建”红色家园党员志愿服务项目的建议方案》，凤仪镇在内南社区困难党员陈树安，南桥村困难党员李志</w:t>
            </w:r>
            <w:r>
              <w:rPr>
                <w:rFonts w:hint="default" w:ascii="宋体" w:hAnsi="宋体" w:cs="宋体"/>
                <w:i w:val="0"/>
                <w:color w:val="000000"/>
                <w:kern w:val="0"/>
                <w:sz w:val="18"/>
                <w:szCs w:val="18"/>
                <w:u w:val="none"/>
                <w:lang w:eastAsia="zh-CN" w:bidi="ar"/>
              </w:rPr>
              <w:t>,</w:t>
            </w:r>
            <w:r>
              <w:rPr>
                <w:rFonts w:ascii="宋体" w:hAnsi="宋体" w:eastAsia="宋体" w:cs="宋体"/>
                <w:i w:val="0"/>
                <w:color w:val="000000"/>
                <w:kern w:val="0"/>
                <w:sz w:val="18"/>
                <w:szCs w:val="18"/>
                <w:u w:val="none"/>
                <w:lang w:val="en-US" w:eastAsia="zh-CN" w:bidi="ar"/>
              </w:rPr>
              <w:t>家中实施家庭环境提升改善项目。该项目能发挥各级党组织，党员的奉献精神，有效提升困难群众生活质量，改善生活环境，真正做好资源共享和先势互补。</w:t>
            </w:r>
          </w:p>
        </w:tc>
        <w:tc>
          <w:tcPr>
            <w:tcW w:w="30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凤仪镇在内南社区困难党员陈树安，南桥村困难党员李志</w:t>
            </w:r>
            <w:r>
              <w:rPr>
                <w:rFonts w:hint="default" w:ascii="宋体" w:hAnsi="宋体" w:cs="宋体"/>
                <w:i w:val="0"/>
                <w:color w:val="000000"/>
                <w:kern w:val="0"/>
                <w:sz w:val="18"/>
                <w:szCs w:val="18"/>
                <w:u w:val="none"/>
                <w:lang w:eastAsia="zh-CN" w:bidi="ar"/>
              </w:rPr>
              <w:t>,</w:t>
            </w:r>
            <w:bookmarkStart w:id="91" w:name="_GoBack"/>
            <w:bookmarkEnd w:id="91"/>
            <w:r>
              <w:rPr>
                <w:rFonts w:ascii="宋体" w:hAnsi="宋体" w:eastAsia="宋体" w:cs="宋体"/>
                <w:i w:val="0"/>
                <w:color w:val="000000"/>
                <w:kern w:val="0"/>
                <w:sz w:val="18"/>
                <w:szCs w:val="18"/>
                <w:u w:val="none"/>
                <w:lang w:val="en-US" w:eastAsia="zh-CN" w:bidi="ar"/>
              </w:rPr>
              <w:t>家中实施家庭环境提升改善项目。该项目能发挥各级党组织，党员的奉献精神，有效提升困难群众生活质量，改善生活环境，真正做好资源共享和先势互补。</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1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该项目能发挥各级党组织，党员的奉献精神，有效提升困难群众生活质量，改善生活环境，真正做好资源共享和先势互补。</w:t>
            </w: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3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trPr>
        <w:tc>
          <w:tcPr>
            <w:tcW w:w="8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志愿服务项目受益党员人数</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提升困难群众生活质量，改善生活环境。</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进一步提升</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764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3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情暖茂县、家园共建”红色家园党员志愿服务项目管理做到管理规范，操作阳光透明，运行有序高效，态度优质，群众满意度高。在项目管理上，通过逐步规范申报审批支付程序，确保资金高效运转。在资金管理上，严格按照财务制度，确保了资金及时到位和使用。有效提升困难家庭居住环境，使受益家庭满意率达到100%。</w:t>
            </w:r>
          </w:p>
        </w:tc>
      </w:tr>
      <w:tr>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position w:val="0"/>
                <w:sz w:val="18"/>
                <w:szCs w:val="18"/>
                <w:u w:val="none"/>
                <w:lang w:val="en-US" w:eastAsia="zh-CN" w:bidi="ar"/>
              </w:rPr>
              <w:t>无</w:t>
            </w:r>
            <w:r>
              <w:rPr>
                <w:rFonts w:hint="eastAsia" w:ascii="宋体" w:hAnsi="宋体" w:cs="宋体"/>
                <w:i w:val="0"/>
                <w:color w:val="000000"/>
                <w:kern w:val="0"/>
                <w:position w:val="0"/>
                <w:sz w:val="18"/>
                <w:szCs w:val="18"/>
                <w:u w:val="none"/>
                <w:lang w:val="en-US" w:eastAsia="zh-CN" w:bidi="ar"/>
              </w:rPr>
              <w:t>。</w:t>
            </w:r>
          </w:p>
        </w:tc>
      </w:tr>
      <w:tr>
        <w:trPr>
          <w:trHeight w:val="90" w:hRule="atLeast"/>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position w:val="0"/>
                <w:sz w:val="18"/>
                <w:szCs w:val="18"/>
                <w:u w:val="none"/>
                <w:lang w:val="en-US" w:eastAsia="zh-CN" w:bidi="ar"/>
              </w:rPr>
            </w:pPr>
            <w:r>
              <w:rPr>
                <w:rFonts w:hint="eastAsia" w:ascii="宋体" w:hAnsi="宋体" w:eastAsia="宋体" w:cs="宋体"/>
                <w:i w:val="0"/>
                <w:color w:val="000000"/>
                <w:kern w:val="0"/>
                <w:position w:val="0"/>
                <w:sz w:val="18"/>
                <w:szCs w:val="18"/>
                <w:u w:val="none"/>
                <w:lang w:val="en-US" w:eastAsia="zh-CN" w:bidi="ar"/>
              </w:rPr>
              <w:t>改进措施</w:t>
            </w:r>
          </w:p>
        </w:tc>
        <w:tc>
          <w:tcPr>
            <w:tcW w:w="899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position w:val="0"/>
                <w:sz w:val="18"/>
                <w:szCs w:val="18"/>
                <w:u w:val="none"/>
                <w:lang w:val="en-US" w:eastAsia="zh-CN" w:bidi="ar"/>
              </w:rPr>
            </w:pPr>
            <w:r>
              <w:rPr>
                <w:rFonts w:hint="eastAsia" w:ascii="宋体" w:hAnsi="宋体" w:eastAsia="宋体" w:cs="宋体"/>
                <w:i w:val="0"/>
                <w:color w:val="000000"/>
                <w:kern w:val="0"/>
                <w:position w:val="0"/>
                <w:sz w:val="18"/>
                <w:szCs w:val="18"/>
                <w:u w:val="none"/>
                <w:lang w:val="en-US" w:eastAsia="zh-CN" w:bidi="ar"/>
              </w:rPr>
              <w:t>无</w:t>
            </w:r>
            <w:r>
              <w:rPr>
                <w:rFonts w:hint="eastAsia" w:ascii="宋体" w:hAnsi="宋体" w:cs="宋体"/>
                <w:i w:val="0"/>
                <w:color w:val="000000"/>
                <w:kern w:val="0"/>
                <w:position w:val="0"/>
                <w:sz w:val="18"/>
                <w:szCs w:val="18"/>
                <w:u w:val="none"/>
                <w:lang w:val="en-US" w:eastAsia="zh-CN" w:bidi="ar"/>
              </w:rPr>
              <w:t>。</w:t>
            </w:r>
          </w:p>
        </w:tc>
      </w:tr>
    </w:tbl>
    <w:p>
      <w:pPr>
        <w:pStyle w:val="2"/>
        <w:ind w:left="0" w:leftChars="0" w:firstLine="0" w:firstLineChars="0"/>
      </w:pPr>
    </w:p>
    <w:tbl>
      <w:tblPr>
        <w:tblStyle w:val="19"/>
        <w:tblW w:w="10620" w:type="dxa"/>
        <w:jc w:val="center"/>
        <w:tblLayout w:type="fixed"/>
        <w:tblCellMar>
          <w:top w:w="0" w:type="dxa"/>
          <w:left w:w="0" w:type="dxa"/>
          <w:bottom w:w="0" w:type="dxa"/>
          <w:right w:w="0" w:type="dxa"/>
        </w:tblCellMar>
      </w:tblPr>
      <w:tblGrid>
        <w:gridCol w:w="868"/>
        <w:gridCol w:w="951"/>
        <w:gridCol w:w="849"/>
        <w:gridCol w:w="2082"/>
        <w:gridCol w:w="673"/>
        <w:gridCol w:w="855"/>
        <w:gridCol w:w="317"/>
        <w:gridCol w:w="601"/>
        <w:gridCol w:w="1325"/>
        <w:gridCol w:w="495"/>
        <w:gridCol w:w="794"/>
        <w:gridCol w:w="810"/>
      </w:tblGrid>
      <w:tr>
        <w:trPr>
          <w:trHeight w:val="90" w:hRule="atLeast"/>
          <w:jc w:val="center"/>
        </w:trPr>
        <w:tc>
          <w:tcPr>
            <w:tcW w:w="10620"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90" w:hRule="atLeast"/>
          <w:jc w:val="center"/>
        </w:trPr>
        <w:tc>
          <w:tcPr>
            <w:tcW w:w="18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80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51322324T000010656837-凤仪镇人居环境整治提升</w:t>
            </w:r>
          </w:p>
        </w:tc>
      </w:tr>
      <w:tr>
        <w:trPr>
          <w:trHeight w:val="90" w:hRule="atLeast"/>
          <w:jc w:val="center"/>
        </w:trPr>
        <w:tc>
          <w:tcPr>
            <w:tcW w:w="18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2243" w:type="dxa"/>
            <w:gridSpan w:val="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9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34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4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人居环境整治提升120万元：用于凤仪镇辖区环境卫生管护维护、垃圾清理及转运、河道卫生清扫管护、日常维护。通过开展乡村环境卫生整合整治全面改变脏乱差现象，落实长效管理机制，达到环境整洁、村容美观、生态良好、乡风文明的总体目标。</w:t>
            </w:r>
          </w:p>
        </w:tc>
        <w:tc>
          <w:tcPr>
            <w:tcW w:w="434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用于凤仪镇辖区环境卫生管护维护、垃圾清理及转运、河道卫生清扫管护、日常维护。通过开展乡村环境卫生整合整治全面改变脏乱差现象，落实长效管理机制，达到环境整洁、村容美观、生态良好、乡风文明的总体目标。</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801"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通过项目实施可确保凤仪镇城区及城乡结合部环境清洁，美化凤仪镇乃至茂县整体形象，改善生产生活环境，为新农村、经济、生态环境的可持续发展提供保障。 </w:t>
            </w:r>
          </w:p>
          <w:p>
            <w:pPr>
              <w:rPr>
                <w:rFonts w:hint="eastAsia" w:ascii="宋体" w:hAnsi="宋体" w:eastAsia="宋体" w:cs="宋体"/>
                <w:i w:val="0"/>
                <w:color w:val="000000"/>
                <w:sz w:val="18"/>
                <w:szCs w:val="18"/>
                <w:u w:val="none"/>
              </w:rPr>
            </w:pP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8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4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保护生态环境，减少环境污染、落实镇村生态管护职能职责。</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进一步提高</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达到村容美观、生态良好、乡风文明的总体目标。</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进一步提高</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项目资金投入</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8521"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r>
              <w:rPr>
                <w:rFonts w:hint="eastAsia" w:ascii="宋体" w:hAnsi="宋体" w:eastAsia="宋体" w:cs="宋体"/>
                <w:i w:val="0"/>
                <w:color w:val="000000"/>
                <w:kern w:val="0"/>
                <w:sz w:val="18"/>
                <w:szCs w:val="18"/>
                <w:u w:val="none"/>
                <w:lang w:val="en-US" w:eastAsia="zh-CN" w:bidi="ar"/>
              </w:rPr>
              <w:t>00</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通过项目实施可确保凤仪镇城区及城乡结合部环境清洁，美化凤仪镇乃至茂县整体形象，改善生产生活环境，为新农村、经济、生态环境的可持续发展提供保障。 </w:t>
            </w: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存在问题</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752"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866" w:tblpY="393"/>
        <w:tblOverlap w:val="never"/>
        <w:tblW w:w="10460" w:type="dxa"/>
        <w:tblInd w:w="0" w:type="dxa"/>
        <w:tblLayout w:type="autofit"/>
        <w:tblCellMar>
          <w:top w:w="0" w:type="dxa"/>
          <w:left w:w="0" w:type="dxa"/>
          <w:bottom w:w="0" w:type="dxa"/>
          <w:right w:w="0" w:type="dxa"/>
        </w:tblCellMar>
      </w:tblPr>
      <w:tblGrid>
        <w:gridCol w:w="836"/>
        <w:gridCol w:w="1065"/>
        <w:gridCol w:w="1127"/>
        <w:gridCol w:w="1633"/>
        <w:gridCol w:w="873"/>
        <w:gridCol w:w="633"/>
        <w:gridCol w:w="570"/>
        <w:gridCol w:w="1023"/>
        <w:gridCol w:w="547"/>
        <w:gridCol w:w="494"/>
        <w:gridCol w:w="1659"/>
      </w:tblGrid>
      <w:tr>
        <w:trPr>
          <w:trHeight w:val="479" w:hRule="atLeast"/>
        </w:trPr>
        <w:tc>
          <w:tcPr>
            <w:tcW w:w="1046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trPr>
        <w:tc>
          <w:tcPr>
            <w:tcW w:w="190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559"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51322323T000009861511-</w:t>
            </w:r>
            <w:r>
              <w:rPr>
                <w:rFonts w:hint="eastAsia" w:ascii="宋体" w:hAnsi="宋体" w:eastAsia="宋体" w:cs="宋体"/>
                <w:i w:val="0"/>
                <w:color w:val="000000"/>
                <w:kern w:val="0"/>
                <w:sz w:val="18"/>
                <w:szCs w:val="18"/>
                <w:u w:val="none"/>
                <w:lang w:val="en-US" w:eastAsia="zh-CN" w:bidi="ar"/>
              </w:rPr>
              <w:t>凤仪镇坪头村人居环境整治项目</w:t>
            </w:r>
          </w:p>
        </w:tc>
      </w:tr>
      <w:tr>
        <w:trPr>
          <w:trHeight w:val="215" w:hRule="atLeast"/>
        </w:trPr>
        <w:tc>
          <w:tcPr>
            <w:tcW w:w="19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23"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项目基本情况</w:t>
            </w: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1.项目年度目标完成情况</w:t>
            </w: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7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113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483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四川茂县宝山吉鱼水电开发有限公司捐赠我镇</w:t>
            </w:r>
            <w:r>
              <w:rPr>
                <w:rFonts w:hint="eastAsia" w:ascii="宋体" w:hAnsi="宋体" w:eastAsia="宋体" w:cs="宋体"/>
                <w:i w:val="0"/>
                <w:color w:val="000000"/>
                <w:kern w:val="0"/>
                <w:sz w:val="18"/>
                <w:szCs w:val="18"/>
                <w:u w:val="none"/>
                <w:lang w:val="en-US" w:eastAsia="zh-CN" w:bidi="ar"/>
              </w:rPr>
              <w:t>坪头村38678.15</w:t>
            </w:r>
            <w:r>
              <w:rPr>
                <w:rFonts w:ascii="宋体" w:hAnsi="宋体" w:eastAsia="宋体" w:cs="宋体"/>
                <w:i w:val="0"/>
                <w:color w:val="000000"/>
                <w:kern w:val="0"/>
                <w:sz w:val="18"/>
                <w:szCs w:val="18"/>
                <w:u w:val="none"/>
                <w:lang w:val="en-US" w:eastAsia="zh-CN" w:bidi="ar"/>
              </w:rPr>
              <w:t>元，用于我镇</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人居环境整治。包括：废弃果蔬、生活垃圾、建渣等清理转运、以确保区域内环境整治。一方面美化了村容村貌，为新农村建设打下基础，另一方面促进</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旅游发展、群众增收。</w:t>
            </w:r>
          </w:p>
        </w:tc>
        <w:tc>
          <w:tcPr>
            <w:tcW w:w="37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用于坪头村</w:t>
            </w:r>
            <w:r>
              <w:rPr>
                <w:rFonts w:ascii="宋体" w:hAnsi="宋体" w:eastAsia="宋体" w:cs="宋体"/>
                <w:i w:val="0"/>
                <w:color w:val="000000"/>
                <w:kern w:val="0"/>
                <w:sz w:val="18"/>
                <w:szCs w:val="18"/>
                <w:u w:val="none"/>
                <w:lang w:val="en-US" w:eastAsia="zh-CN" w:bidi="ar"/>
              </w:rPr>
              <w:t>废弃果蔬、生活垃圾、建渣等清理转运、以确保区域内环境整治</w:t>
            </w:r>
            <w:r>
              <w:rPr>
                <w:rFonts w:hint="eastAsia" w:ascii="宋体" w:hAnsi="宋体" w:eastAsia="宋体" w:cs="宋体"/>
                <w:i w:val="0"/>
                <w:color w:val="000000"/>
                <w:kern w:val="0"/>
                <w:sz w:val="18"/>
                <w:szCs w:val="18"/>
                <w:u w:val="none"/>
                <w:lang w:val="en-US" w:eastAsia="zh-CN" w:bidi="ar"/>
              </w:rPr>
              <w:t>。</w:t>
            </w:r>
          </w:p>
        </w:tc>
      </w:tr>
      <w:tr>
        <w:trPr>
          <w:trHeight w:val="70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2.项目实施内容及过程概述</w:t>
            </w:r>
          </w:p>
        </w:tc>
        <w:tc>
          <w:tcPr>
            <w:tcW w:w="855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凤仪镇坪头村人居环境整治项目用于废弃果蔬、生活垃圾、建渣等清理转运、以确保区域内环境整治。一方面美化了村容村貌，为新农村建设打下基础，另一方面促进坪头村旅游发展、群众增收。</w:t>
            </w:r>
          </w:p>
          <w:p>
            <w:pPr>
              <w:rPr>
                <w:rFonts w:hint="eastAsia" w:ascii="宋体" w:hAnsi="宋体" w:eastAsia="宋体" w:cs="宋体"/>
                <w:i w:val="0"/>
                <w:color w:val="000000"/>
                <w:sz w:val="18"/>
                <w:szCs w:val="18"/>
                <w:u w:val="none"/>
              </w:rPr>
            </w:pPr>
          </w:p>
        </w:tc>
      </w:tr>
      <w:tr>
        <w:trPr>
          <w:trHeight w:val="361"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p>
        </w:tc>
      </w:tr>
      <w:tr>
        <w:trPr>
          <w:trHeight w:val="162"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trPr>
        <w:tc>
          <w:tcPr>
            <w:tcW w:w="8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旅游发展、群众增收。</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美化</w:t>
            </w:r>
            <w:r>
              <w:rPr>
                <w:rFonts w:hint="eastAsia" w:ascii="宋体" w:hAnsi="宋体" w:eastAsia="宋体" w:cs="宋体"/>
                <w:i w:val="0"/>
                <w:color w:val="000000"/>
                <w:kern w:val="0"/>
                <w:sz w:val="18"/>
                <w:szCs w:val="18"/>
                <w:u w:val="none"/>
                <w:lang w:val="en-US" w:eastAsia="zh-CN" w:bidi="ar"/>
              </w:rPr>
              <w:t>坪头村</w:t>
            </w:r>
            <w:r>
              <w:rPr>
                <w:rFonts w:ascii="宋体" w:hAnsi="宋体" w:eastAsia="宋体" w:cs="宋体"/>
                <w:i w:val="0"/>
                <w:color w:val="000000"/>
                <w:kern w:val="0"/>
                <w:sz w:val="18"/>
                <w:szCs w:val="18"/>
                <w:u w:val="none"/>
                <w:lang w:val="en-US" w:eastAsia="zh-CN" w:bidi="ar"/>
              </w:rPr>
              <w:t>村容村貌，为新农村建设打下基础。</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有所提升</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836"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8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92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716"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凤仪镇坪头村人居环境整治项目用于废弃果蔬、生活垃圾、建渣等清理转运、以确保区域内环境整治。经费的管理和使用，坚持公平、公开、公正的原则。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337"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263" w:hRule="atLeast"/>
        </w:trPr>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24"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tbl>
      <w:tblPr>
        <w:tblStyle w:val="19"/>
        <w:tblpPr w:leftFromText="180" w:rightFromText="180" w:vertAnchor="text" w:horzAnchor="page" w:tblpX="847" w:tblpY="129"/>
        <w:tblOverlap w:val="never"/>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1215"/>
        <w:gridCol w:w="888"/>
        <w:gridCol w:w="1362"/>
        <w:gridCol w:w="456"/>
        <w:gridCol w:w="750"/>
        <w:gridCol w:w="668"/>
        <w:gridCol w:w="999"/>
        <w:gridCol w:w="1000"/>
        <w:gridCol w:w="100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0233" w:type="dxa"/>
            <w:gridSpan w:val="11"/>
            <w:noWrap w:val="0"/>
            <w:vAlign w:val="center"/>
          </w:tcPr>
          <w:p>
            <w:pPr>
              <w:keepNext w:val="0"/>
              <w:keepLines w:val="0"/>
              <w:widowControl/>
              <w:suppressLineNumbers w:val="0"/>
              <w:jc w:val="center"/>
              <w:textAlignment w:val="center"/>
              <w:rPr>
                <w:rFonts w:ascii="黑体" w:hAnsi="宋体" w:eastAsia="黑体" w:cs="黑体"/>
                <w:color w:val="000000"/>
                <w:sz w:val="30"/>
                <w:szCs w:val="30"/>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10" w:type="dxa"/>
            <w:gridSpan w:val="2"/>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项目名称</w:t>
            </w:r>
          </w:p>
        </w:tc>
        <w:tc>
          <w:tcPr>
            <w:tcW w:w="8123" w:type="dxa"/>
            <w:gridSpan w:val="9"/>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51322324T000011123524-凤仪镇护栏维修项目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110" w:type="dxa"/>
            <w:gridSpan w:val="2"/>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主管部门</w:t>
            </w:r>
          </w:p>
        </w:tc>
        <w:tc>
          <w:tcPr>
            <w:tcW w:w="4124" w:type="dxa"/>
            <w:gridSpan w:val="5"/>
            <w:noWrap w:val="0"/>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茂县凤仪镇人民政府</w:t>
            </w:r>
          </w:p>
        </w:tc>
        <w:tc>
          <w:tcPr>
            <w:tcW w:w="999" w:type="dxa"/>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黑体" w:hAnsi="黑体" w:eastAsia="黑体" w:cs="黑体"/>
                <w:i w:val="0"/>
                <w:color w:val="000000"/>
                <w:kern w:val="0"/>
                <w:sz w:val="18"/>
                <w:szCs w:val="18"/>
                <w:u w:val="none"/>
                <w:lang w:val="en-US" w:eastAsia="zh-CN" w:bidi="ar"/>
              </w:rPr>
              <w:t>实施单位 （盖章）</w:t>
            </w:r>
          </w:p>
        </w:tc>
        <w:tc>
          <w:tcPr>
            <w:tcW w:w="3000" w:type="dxa"/>
            <w:gridSpan w:val="3"/>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restart"/>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项目基本情况</w:t>
            </w:r>
          </w:p>
        </w:tc>
        <w:tc>
          <w:tcPr>
            <w:tcW w:w="1215" w:type="dxa"/>
            <w:vMerge w:val="restart"/>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1.项目年度目标完成情况</w:t>
            </w:r>
          </w:p>
        </w:tc>
        <w:tc>
          <w:tcPr>
            <w:tcW w:w="4124" w:type="dxa"/>
            <w:gridSpan w:val="5"/>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项目年度目标</w:t>
            </w:r>
          </w:p>
        </w:tc>
        <w:tc>
          <w:tcPr>
            <w:tcW w:w="3999" w:type="dxa"/>
            <w:gridSpan w:val="4"/>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4" w:hRule="atLeast"/>
        </w:trPr>
        <w:tc>
          <w:tcPr>
            <w:tcW w:w="895" w:type="dxa"/>
            <w:vMerge w:val="continue"/>
            <w:noWrap w:val="0"/>
            <w:vAlign w:val="center"/>
          </w:tcPr>
          <w:p>
            <w:pPr>
              <w:rPr>
                <w:rFonts w:ascii="宋体" w:hAnsi="宋体" w:eastAsia="宋体" w:cs="宋体"/>
                <w:color w:val="000000"/>
                <w:sz w:val="24"/>
                <w:szCs w:val="24"/>
              </w:rPr>
            </w:pPr>
          </w:p>
        </w:tc>
        <w:tc>
          <w:tcPr>
            <w:tcW w:w="1215" w:type="dxa"/>
            <w:vMerge w:val="continue"/>
            <w:noWrap w:val="0"/>
            <w:vAlign w:val="center"/>
          </w:tcPr>
          <w:p>
            <w:pPr>
              <w:rPr>
                <w:rFonts w:ascii="宋体" w:hAnsi="宋体" w:eastAsia="宋体" w:cs="宋体"/>
                <w:i w:val="0"/>
                <w:color w:val="000000"/>
                <w:kern w:val="0"/>
                <w:sz w:val="18"/>
                <w:szCs w:val="18"/>
                <w:u w:val="none"/>
                <w:lang w:val="en-US" w:eastAsia="zh-CN" w:bidi="ar"/>
              </w:rPr>
            </w:pPr>
          </w:p>
        </w:tc>
        <w:tc>
          <w:tcPr>
            <w:tcW w:w="4124" w:type="dxa"/>
            <w:gridSpan w:val="5"/>
            <w:noWrap w:val="0"/>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凤仪镇护栏维修项目95000元，护栏维修112米。完善我镇基础设施，保障岷江河两岸行人安全。</w:t>
            </w:r>
          </w:p>
        </w:tc>
        <w:tc>
          <w:tcPr>
            <w:tcW w:w="3999" w:type="dxa"/>
            <w:gridSpan w:val="4"/>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凤仪镇护栏维修项目95000元，护栏维修112米。完善我镇基础设施，保障岷江河两岸行人安全。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2.项目实施内容及过程概述</w:t>
            </w:r>
          </w:p>
        </w:tc>
        <w:tc>
          <w:tcPr>
            <w:tcW w:w="8123" w:type="dxa"/>
            <w:gridSpan w:val="9"/>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zh-CN" w:eastAsia="zh-CN" w:bidi="ar"/>
              </w:rPr>
              <w:t>凤仪镇护栏维修项目护栏维修112米，</w:t>
            </w:r>
            <w:r>
              <w:rPr>
                <w:rFonts w:hint="eastAsia" w:ascii="宋体" w:hAnsi="宋体" w:eastAsia="宋体" w:cs="宋体"/>
                <w:i w:val="0"/>
                <w:color w:val="000000"/>
                <w:kern w:val="0"/>
                <w:sz w:val="18"/>
                <w:szCs w:val="18"/>
                <w:u w:val="none"/>
                <w:lang w:val="en-US" w:eastAsia="zh-CN" w:bidi="ar"/>
              </w:rPr>
              <w:t>项目于2023年内完成实施，并完成资金支付。</w:t>
            </w:r>
            <w:r>
              <w:rPr>
                <w:rFonts w:hint="eastAsia" w:ascii="宋体" w:hAnsi="宋体" w:eastAsia="宋体" w:cs="宋体"/>
                <w:i w:val="0"/>
                <w:color w:val="000000"/>
                <w:kern w:val="0"/>
                <w:sz w:val="18"/>
                <w:szCs w:val="18"/>
                <w:u w:val="none"/>
                <w:lang w:val="zh-CN" w:eastAsia="zh-CN" w:bidi="ar"/>
              </w:rPr>
              <w:t>凤仪镇护栏维修项目护栏</w:t>
            </w:r>
            <w:r>
              <w:rPr>
                <w:rFonts w:hint="eastAsia" w:ascii="宋体" w:hAnsi="宋体" w:eastAsia="宋体" w:cs="宋体"/>
                <w:i w:val="0"/>
                <w:color w:val="000000"/>
                <w:kern w:val="0"/>
                <w:sz w:val="18"/>
                <w:szCs w:val="18"/>
                <w:u w:val="none"/>
                <w:lang w:val="en-US" w:eastAsia="zh-CN" w:bidi="ar"/>
              </w:rPr>
              <w:t>项目的实施完善了我镇基础设施，保障了岷江河两岸行人安全。</w:t>
            </w:r>
          </w:p>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restart"/>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预算执行情况（10分）</w:t>
            </w: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年度预算数（万元）</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年初预算</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1874" w:type="dxa"/>
            <w:gridSpan w:val="3"/>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预算执行数</w:t>
            </w:r>
          </w:p>
        </w:tc>
        <w:tc>
          <w:tcPr>
            <w:tcW w:w="999"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预算执行率</w:t>
            </w:r>
          </w:p>
        </w:tc>
        <w:tc>
          <w:tcPr>
            <w:tcW w:w="1000"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权重</w:t>
            </w:r>
          </w:p>
        </w:tc>
        <w:tc>
          <w:tcPr>
            <w:tcW w:w="1000" w:type="dxa"/>
            <w:noWrap w:val="0"/>
            <w:vAlign w:val="center"/>
          </w:tcPr>
          <w:p>
            <w:pPr>
              <w:keepNext w:val="0"/>
              <w:keepLines w:val="0"/>
              <w:widowControl/>
              <w:suppressLineNumbers w:val="0"/>
              <w:jc w:val="center"/>
              <w:textAlignment w:val="center"/>
              <w:rPr>
                <w:rFonts w:ascii="Wingdings 2" w:hAnsi="Wingdings 2" w:eastAsia="Wingdings 2" w:cs="Wingdings 2"/>
                <w:color w:val="000000"/>
                <w:sz w:val="24"/>
                <w:szCs w:val="24"/>
              </w:rPr>
            </w:pPr>
            <w:r>
              <w:rPr>
                <w:rFonts w:ascii="宋体" w:hAnsi="宋体" w:eastAsia="宋体" w:cs="宋体"/>
                <w:i w:val="0"/>
                <w:color w:val="000000"/>
                <w:kern w:val="0"/>
                <w:sz w:val="18"/>
                <w:szCs w:val="18"/>
                <w:u w:val="none"/>
                <w:lang w:val="en-US" w:eastAsia="zh-CN" w:bidi="ar"/>
              </w:rPr>
              <w:t>得分</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总额</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9.50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9.50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1000" w:type="dxa"/>
            <w:noWrap w:val="0"/>
            <w:vAlign w:val="center"/>
          </w:tcPr>
          <w:p>
            <w:pPr>
              <w:jc w:val="cente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w:t>
            </w:r>
          </w:p>
        </w:tc>
        <w:tc>
          <w:tcPr>
            <w:tcW w:w="1000" w:type="dxa"/>
            <w:vMerge w:val="restart"/>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其中：财政资金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9.50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9.50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财政专户管理资金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0.00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单位资金</w:t>
            </w:r>
          </w:p>
        </w:tc>
        <w:tc>
          <w:tcPr>
            <w:tcW w:w="888"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362"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874" w:type="dxa"/>
            <w:gridSpan w:val="3"/>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0.00</w:t>
            </w:r>
          </w:p>
        </w:tc>
        <w:tc>
          <w:tcPr>
            <w:tcW w:w="999"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0.00%</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其他资金</w:t>
            </w:r>
          </w:p>
        </w:tc>
        <w:tc>
          <w:tcPr>
            <w:tcW w:w="888" w:type="dxa"/>
            <w:noWrap w:val="0"/>
            <w:vAlign w:val="center"/>
          </w:tcPr>
          <w:p>
            <w:pPr>
              <w:jc w:val="center"/>
            </w:pPr>
          </w:p>
        </w:tc>
        <w:tc>
          <w:tcPr>
            <w:tcW w:w="1362" w:type="dxa"/>
            <w:noWrap w:val="0"/>
            <w:vAlign w:val="center"/>
          </w:tcPr>
          <w:p>
            <w:pPr>
              <w:jc w:val="center"/>
            </w:pPr>
          </w:p>
        </w:tc>
        <w:tc>
          <w:tcPr>
            <w:tcW w:w="1874" w:type="dxa"/>
            <w:gridSpan w:val="3"/>
            <w:noWrap w:val="0"/>
            <w:vAlign w:val="center"/>
          </w:tcPr>
          <w:p>
            <w:pPr>
              <w:jc w:val="center"/>
              <w:rPr>
                <w:rFonts w:ascii="宋体" w:hAnsi="宋体" w:eastAsia="宋体" w:cs="宋体"/>
                <w:color w:val="000000"/>
                <w:sz w:val="24"/>
                <w:szCs w:val="24"/>
              </w:rPr>
            </w:pPr>
          </w:p>
        </w:tc>
        <w:tc>
          <w:tcPr>
            <w:tcW w:w="999" w:type="dxa"/>
            <w:noWrap w:val="0"/>
            <w:vAlign w:val="center"/>
          </w:tcPr>
          <w:p>
            <w:pPr>
              <w:jc w:val="center"/>
            </w:pP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noWrap w:val="0"/>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00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895" w:type="dxa"/>
            <w:vMerge w:val="restart"/>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绩效指标（90分）</w:t>
            </w: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一级指标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二级指标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三级指标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指标性质</w:t>
            </w:r>
          </w:p>
        </w:tc>
        <w:tc>
          <w:tcPr>
            <w:tcW w:w="75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指标值</w:t>
            </w:r>
          </w:p>
        </w:tc>
        <w:tc>
          <w:tcPr>
            <w:tcW w:w="66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度量单位</w:t>
            </w:r>
          </w:p>
        </w:tc>
        <w:tc>
          <w:tcPr>
            <w:tcW w:w="999"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完成值</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权重</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得分</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质量指标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项目验收合格率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时效指标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项目完工及时率</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产出指标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数量指标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护栏维修长度</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112</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米</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112</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效益指标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可持续影响指标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项目持续受益年限</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年</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效益指标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社会效益指标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完善我镇基础设施，保障岷江河两岸行人安全。</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定性</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进一步完善</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p>
        </w:tc>
        <w:tc>
          <w:tcPr>
            <w:tcW w:w="999"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进一步完善</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满意度指标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服务对象满意度指标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受益群众满意度</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95</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895" w:type="dxa"/>
            <w:vMerge w:val="continue"/>
            <w:noWrap w:val="0"/>
            <w:vAlign w:val="center"/>
          </w:tcPr>
          <w:p>
            <w:pPr>
              <w:jc w:val="center"/>
              <w:rPr>
                <w:rFonts w:ascii="宋体" w:hAnsi="宋体" w:eastAsia="宋体" w:cs="宋体"/>
                <w:color w:val="000000"/>
                <w:sz w:val="24"/>
                <w:szCs w:val="24"/>
              </w:rPr>
            </w:pPr>
          </w:p>
        </w:tc>
        <w:tc>
          <w:tcPr>
            <w:tcW w:w="121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成本指标</w:t>
            </w:r>
          </w:p>
        </w:tc>
        <w:tc>
          <w:tcPr>
            <w:tcW w:w="888"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经济成本指标</w:t>
            </w:r>
          </w:p>
        </w:tc>
        <w:tc>
          <w:tcPr>
            <w:tcW w:w="136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凤仪镇护栏维修项目预算资金</w:t>
            </w:r>
          </w:p>
        </w:tc>
        <w:tc>
          <w:tcPr>
            <w:tcW w:w="45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w:t>
            </w:r>
          </w:p>
        </w:tc>
        <w:tc>
          <w:tcPr>
            <w:tcW w:w="75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9.5</w:t>
            </w:r>
          </w:p>
        </w:tc>
        <w:tc>
          <w:tcPr>
            <w:tcW w:w="668"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万元</w:t>
            </w:r>
          </w:p>
        </w:tc>
        <w:tc>
          <w:tcPr>
            <w:tcW w:w="999"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233" w:type="dxa"/>
            <w:gridSpan w:val="8"/>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合计</w:t>
            </w:r>
          </w:p>
        </w:tc>
        <w:tc>
          <w:tcPr>
            <w:tcW w:w="1000"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00"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noWrap w:val="0"/>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color w:val="000000"/>
                <w:kern w:val="0"/>
                <w:sz w:val="18"/>
                <w:szCs w:val="18"/>
                <w:u w:val="none"/>
                <w:lang w:val="en-US" w:eastAsia="zh-CN" w:bidi="ar"/>
              </w:rPr>
              <w:t>评价结论</w:t>
            </w:r>
          </w:p>
        </w:tc>
        <w:tc>
          <w:tcPr>
            <w:tcW w:w="9338" w:type="dxa"/>
            <w:gridSpan w:val="10"/>
            <w:noWrap w:val="0"/>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zh-CN" w:eastAsia="zh-CN" w:bidi="ar"/>
              </w:rPr>
              <w:t>凤仪镇护栏维修项目护栏维修112米，</w:t>
            </w:r>
            <w:r>
              <w:rPr>
                <w:rFonts w:hint="eastAsia" w:ascii="宋体" w:hAnsi="宋体" w:eastAsia="宋体" w:cs="宋体"/>
                <w:i w:val="0"/>
                <w:color w:val="000000"/>
                <w:kern w:val="0"/>
                <w:sz w:val="18"/>
                <w:szCs w:val="18"/>
                <w:u w:val="none"/>
                <w:lang w:val="en-US" w:eastAsia="zh-CN" w:bidi="ar"/>
              </w:rPr>
              <w:t>项目于2023年内完成实施，并完成资金支付。</w:t>
            </w:r>
            <w:r>
              <w:rPr>
                <w:rFonts w:hint="eastAsia" w:ascii="宋体" w:hAnsi="宋体" w:eastAsia="宋体" w:cs="宋体"/>
                <w:i w:val="0"/>
                <w:color w:val="000000"/>
                <w:kern w:val="0"/>
                <w:sz w:val="18"/>
                <w:szCs w:val="18"/>
                <w:u w:val="none"/>
                <w:lang w:val="zh-CN" w:eastAsia="zh-CN" w:bidi="ar"/>
              </w:rPr>
              <w:t>凤仪镇护栏维修项目护栏</w:t>
            </w:r>
            <w:r>
              <w:rPr>
                <w:rFonts w:hint="eastAsia" w:ascii="宋体" w:hAnsi="宋体" w:eastAsia="宋体" w:cs="宋体"/>
                <w:i w:val="0"/>
                <w:color w:val="000000"/>
                <w:kern w:val="0"/>
                <w:sz w:val="18"/>
                <w:szCs w:val="18"/>
                <w:u w:val="none"/>
                <w:lang w:val="en-US" w:eastAsia="zh-CN" w:bidi="ar"/>
              </w:rPr>
              <w:t>项目的实施完善了我镇基础设施，保障了岷江河两岸行人安全。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存在问题</w:t>
            </w:r>
          </w:p>
        </w:tc>
        <w:tc>
          <w:tcPr>
            <w:tcW w:w="9338"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95" w:type="dxa"/>
            <w:noWrap w:val="0"/>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改进措施</w:t>
            </w:r>
          </w:p>
        </w:tc>
        <w:tc>
          <w:tcPr>
            <w:tcW w:w="9338" w:type="dxa"/>
            <w:gridSpan w:val="10"/>
            <w:noWrap w:val="0"/>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tbl>
      <w:tblPr>
        <w:tblStyle w:val="19"/>
        <w:tblpPr w:leftFromText="180" w:rightFromText="180" w:vertAnchor="text" w:horzAnchor="page" w:tblpX="772" w:tblpY="202"/>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0"/>
        <w:gridCol w:w="1770"/>
        <w:gridCol w:w="1413"/>
        <w:gridCol w:w="1867"/>
        <w:gridCol w:w="653"/>
        <w:gridCol w:w="790"/>
        <w:gridCol w:w="451"/>
        <w:gridCol w:w="815"/>
        <w:gridCol w:w="436"/>
        <w:gridCol w:w="3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500" w:type="dxa"/>
            <w:gridSpan w:val="11"/>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360" w:type="dxa"/>
            <w:gridSpan w:val="2"/>
            <w:noWrap w:val="0"/>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i w:val="0"/>
                <w:color w:val="000000"/>
                <w:sz w:val="30"/>
                <w:szCs w:val="30"/>
                <w:u w:val="none"/>
              </w:rPr>
            </w:pPr>
            <w:r>
              <w:rPr>
                <w:rFonts w:ascii="宋体" w:hAnsi="宋体" w:eastAsia="宋体" w:cs="宋体"/>
                <w:i w:val="0"/>
                <w:color w:val="000000"/>
                <w:kern w:val="0"/>
                <w:sz w:val="18"/>
                <w:szCs w:val="18"/>
                <w:u w:val="none"/>
                <w:lang w:val="en-US" w:eastAsia="zh-CN" w:bidi="ar"/>
              </w:rPr>
              <w:t>项目名称</w:t>
            </w:r>
          </w:p>
        </w:tc>
        <w:tc>
          <w:tcPr>
            <w:tcW w:w="8140" w:type="dxa"/>
            <w:gridSpan w:val="9"/>
            <w:noWrap w:val="0"/>
            <w:tcMar>
              <w:top w:w="15" w:type="dxa"/>
              <w:left w:w="15" w:type="dxa"/>
              <w:right w:w="15" w:type="dxa"/>
            </w:tcMar>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51322324T000010185551-凤仪镇办公楼安全维修经费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2360" w:type="dxa"/>
            <w:gridSpan w:val="2"/>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174" w:type="dxa"/>
            <w:gridSpan w:val="5"/>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15" w:type="dxa"/>
            <w:noWrap w:val="0"/>
            <w:tcMar>
              <w:top w:w="15" w:type="dxa"/>
              <w:left w:w="15" w:type="dxa"/>
              <w:right w:w="15" w:type="dxa"/>
            </w:tcMar>
            <w:vAlign w:val="center"/>
          </w:tcPr>
          <w:p>
            <w:pPr>
              <w:keepNext w:val="0"/>
              <w:keepLines w:val="0"/>
              <w:widowControl/>
              <w:suppressLineNumbers w:val="0"/>
              <w:jc w:val="left"/>
              <w:textAlignment w:val="center"/>
            </w:pPr>
            <w:r>
              <w:rPr>
                <w:rFonts w:hint="eastAsia" w:ascii="黑体" w:hAnsi="黑体" w:eastAsia="黑体" w:cs="黑体"/>
                <w:i w:val="0"/>
                <w:color w:val="000000"/>
                <w:kern w:val="0"/>
                <w:sz w:val="18"/>
                <w:szCs w:val="18"/>
                <w:u w:val="none"/>
                <w:lang w:val="en-US" w:eastAsia="zh-CN" w:bidi="ar"/>
              </w:rPr>
              <w:t>实施单位 （盖章）</w:t>
            </w:r>
          </w:p>
        </w:tc>
        <w:tc>
          <w:tcPr>
            <w:tcW w:w="2151" w:type="dxa"/>
            <w:gridSpan w:val="3"/>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70"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174" w:type="dxa"/>
            <w:gridSpan w:val="5"/>
            <w:noWrap w:val="0"/>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66" w:type="dxa"/>
            <w:gridSpan w:val="4"/>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continue"/>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1770" w:type="dxa"/>
            <w:vMerge w:val="continue"/>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5174" w:type="dxa"/>
            <w:gridSpan w:val="5"/>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凤仪镇办公楼安全维修经费27万元，因凤仪镇办公大楼年久失修，楼顶存在破损及漏水等问题，存在较大安全隐患。现对我镇办公楼进行安全维修。该项目的实施能改造我镇办公条件，更好的服务人民群众。</w:t>
            </w:r>
          </w:p>
        </w:tc>
        <w:tc>
          <w:tcPr>
            <w:tcW w:w="2966" w:type="dxa"/>
            <w:gridSpan w:val="4"/>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w:t>
            </w:r>
            <w:r>
              <w:rPr>
                <w:rFonts w:ascii="宋体" w:hAnsi="宋体" w:eastAsia="宋体" w:cs="宋体"/>
                <w:i w:val="0"/>
                <w:color w:val="000000"/>
                <w:kern w:val="0"/>
                <w:sz w:val="18"/>
                <w:szCs w:val="18"/>
                <w:u w:val="none"/>
                <w:lang w:val="en-US" w:eastAsia="zh-CN" w:bidi="ar"/>
              </w:rPr>
              <w:t>对我镇办公楼进行安全维修。该项目的实施能改造我镇办公条件，更好的服务人民群众。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590" w:type="dxa"/>
            <w:vMerge w:val="continue"/>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140" w:type="dxa"/>
            <w:gridSpan w:val="9"/>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zh-CN" w:eastAsia="zh-CN" w:bidi="ar"/>
              </w:rPr>
              <w:t>凤仪镇办公楼安全维修经费</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我镇办公条件，更好的服务人民群众。</w:t>
            </w:r>
          </w:p>
          <w:p>
            <w:pPr>
              <w:rPr>
                <w:rFonts w:hint="eastAsia" w:ascii="黑体" w:hAnsi="黑体" w:eastAsia="黑体" w:cs="黑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59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预算执行数</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预算执行率</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322"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59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93" w:type="dxa"/>
            <w:noWrap w:val="0"/>
            <w:tcMar>
              <w:top w:w="15" w:type="dxa"/>
              <w:left w:w="15" w:type="dxa"/>
              <w:right w:w="15" w:type="dxa"/>
            </w:tcMar>
            <w:vAlign w:val="center"/>
          </w:tcPr>
          <w:p>
            <w:pPr>
              <w:jc w:val="cente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w:t>
            </w:r>
          </w:p>
        </w:tc>
        <w:tc>
          <w:tcPr>
            <w:tcW w:w="1322" w:type="dxa"/>
            <w:vMerge w:val="restart"/>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26.26</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26.26</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0.00</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94" w:type="dxa"/>
            <w:gridSpan w:val="3"/>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13"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867"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894" w:type="dxa"/>
            <w:gridSpan w:val="3"/>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815"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322" w:type="dxa"/>
            <w:vMerge w:val="continue"/>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59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二级指标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三级指标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指标性质</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指标值</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15"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3"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322" w:type="dxa"/>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59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770"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vMerge w:val="continue"/>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项目完工及时率</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该项目的实施能改造我镇办公条件，更好的服务人民群众。</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451" w:type="dxa"/>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进一步保障</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职工满意度</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95</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10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590" w:type="dxa"/>
            <w:vMerge w:val="continue"/>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13"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867"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项目预算金额</w:t>
            </w:r>
          </w:p>
        </w:tc>
        <w:tc>
          <w:tcPr>
            <w:tcW w:w="65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27</w:t>
            </w:r>
          </w:p>
        </w:tc>
        <w:tc>
          <w:tcPr>
            <w:tcW w:w="451"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15" w:type="dxa"/>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26.26</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3"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ascii="宋体" w:hAnsi="宋体" w:eastAsia="宋体" w:cs="宋体"/>
                <w:i w:val="0"/>
                <w:color w:val="000000"/>
                <w:kern w:val="0"/>
                <w:sz w:val="18"/>
                <w:szCs w:val="18"/>
                <w:u w:val="none"/>
                <w:lang w:val="en-US" w:eastAsia="zh-CN" w:bidi="ar"/>
              </w:rPr>
              <w:t>20</w:t>
            </w:r>
          </w:p>
        </w:tc>
        <w:tc>
          <w:tcPr>
            <w:tcW w:w="1322" w:type="dxa"/>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349" w:type="dxa"/>
            <w:gridSpan w:val="8"/>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6" w:type="dxa"/>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100</w:t>
            </w:r>
          </w:p>
        </w:tc>
        <w:tc>
          <w:tcPr>
            <w:tcW w:w="393" w:type="dxa"/>
            <w:noWrap w:val="0"/>
            <w:tcMar>
              <w:top w:w="15" w:type="dxa"/>
              <w:left w:w="15" w:type="dxa"/>
              <w:right w:w="15" w:type="dxa"/>
            </w:tcMar>
            <w:vAlign w:val="center"/>
          </w:tcPr>
          <w:p>
            <w:pPr>
              <w:rPr>
                <w:rFonts w:hint="default" w:eastAsia="宋体"/>
                <w:lang w:val="en-US" w:eastAsia="zh-CN"/>
              </w:rPr>
            </w:pPr>
            <w:r>
              <w:rPr>
                <w:rFonts w:hint="eastAsia" w:ascii="宋体" w:hAnsi="宋体" w:eastAsia="宋体" w:cs="宋体"/>
                <w:i w:val="0"/>
                <w:color w:val="000000"/>
                <w:kern w:val="0"/>
                <w:sz w:val="18"/>
                <w:szCs w:val="18"/>
                <w:u w:val="none"/>
                <w:lang w:val="en-US" w:eastAsia="zh-CN" w:bidi="ar"/>
              </w:rPr>
              <w:t>100</w:t>
            </w:r>
          </w:p>
        </w:tc>
        <w:tc>
          <w:tcPr>
            <w:tcW w:w="1322" w:type="dxa"/>
            <w:noWrap w:val="0"/>
            <w:tcMar>
              <w:top w:w="15" w:type="dxa"/>
              <w:left w:w="15" w:type="dxa"/>
              <w:right w:w="15" w:type="dxa"/>
            </w:tcMar>
            <w:vAlign w:val="center"/>
          </w:tcPr>
          <w:p>
            <w:pP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存在问题</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590" w:type="dxa"/>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改进措施</w:t>
            </w:r>
          </w:p>
        </w:tc>
        <w:tc>
          <w:tcPr>
            <w:tcW w:w="9910" w:type="dxa"/>
            <w:gridSpan w:val="10"/>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tbl>
      <w:tblPr>
        <w:tblStyle w:val="19"/>
        <w:tblW w:w="10020" w:type="dxa"/>
        <w:tblInd w:w="-992" w:type="dxa"/>
        <w:tblLayout w:type="autofit"/>
        <w:tblCellMar>
          <w:top w:w="0" w:type="dxa"/>
          <w:left w:w="0" w:type="dxa"/>
          <w:bottom w:w="0" w:type="dxa"/>
          <w:right w:w="0" w:type="dxa"/>
        </w:tblCellMar>
      </w:tblPr>
      <w:tblGrid>
        <w:gridCol w:w="218"/>
        <w:gridCol w:w="340"/>
        <w:gridCol w:w="1251"/>
        <w:gridCol w:w="434"/>
        <w:gridCol w:w="613"/>
        <w:gridCol w:w="430"/>
        <w:gridCol w:w="299"/>
        <w:gridCol w:w="827"/>
        <w:gridCol w:w="535"/>
        <w:gridCol w:w="428"/>
        <w:gridCol w:w="603"/>
        <w:gridCol w:w="380"/>
        <w:gridCol w:w="167"/>
        <w:gridCol w:w="404"/>
        <w:gridCol w:w="860"/>
        <w:gridCol w:w="153"/>
        <w:gridCol w:w="328"/>
        <w:gridCol w:w="86"/>
        <w:gridCol w:w="348"/>
        <w:gridCol w:w="47"/>
        <w:gridCol w:w="733"/>
        <w:gridCol w:w="536"/>
      </w:tblGrid>
      <w:tr>
        <w:trPr>
          <w:gridBefore w:val="1"/>
          <w:gridAfter w:val="1"/>
          <w:wBefore w:w="218" w:type="dxa"/>
          <w:wAfter w:w="536" w:type="dxa"/>
          <w:trHeight w:val="90" w:hRule="atLeast"/>
        </w:trPr>
        <w:tc>
          <w:tcPr>
            <w:tcW w:w="9266" w:type="dxa"/>
            <w:gridSpan w:val="2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gridBefore w:val="1"/>
          <w:gridAfter w:val="1"/>
          <w:wBefore w:w="218" w:type="dxa"/>
          <w:wAfter w:w="536" w:type="dxa"/>
          <w:trHeight w:val="90" w:hRule="atLeast"/>
        </w:trPr>
        <w:tc>
          <w:tcPr>
            <w:tcW w:w="263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628" w:type="dxa"/>
            <w:gridSpan w:val="1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51322323T000009859950-凤仪镇安办实战化运行工作经费</w:t>
            </w:r>
          </w:p>
        </w:tc>
      </w:tr>
      <w:tr>
        <w:trPr>
          <w:gridBefore w:val="1"/>
          <w:gridAfter w:val="1"/>
          <w:wBefore w:w="218" w:type="dxa"/>
          <w:wAfter w:w="536" w:type="dxa"/>
          <w:trHeight w:val="90" w:hRule="atLeast"/>
        </w:trPr>
        <w:tc>
          <w:tcPr>
            <w:tcW w:w="263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264"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6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5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66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县镇安全实战化运行工作方案》（茂安办〔2023〕89号）文件，安排我镇安办实战化运行工作经费5.00万元，主要用于我镇安办日常工作保障，宣传支出、应急物资采购等，保障我镇安全生产、消防安全、道路交通安全、食品安全、维护辖区平安。</w:t>
            </w:r>
          </w:p>
        </w:tc>
        <w:tc>
          <w:tcPr>
            <w:tcW w:w="295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主要用于我镇安办日常工作保障，宣传支出、应急物资采购等，保障我镇安全生产、消防安全、道路交通安全、食品安全、维护辖区平安。</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628"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zh-CN" w:eastAsia="zh-CN" w:bidi="ar"/>
              </w:rPr>
              <w:t>凤仪镇安办实战化运行</w:t>
            </w:r>
            <w:r>
              <w:rPr>
                <w:rFonts w:hint="eastAsia" w:ascii="宋体" w:hAnsi="宋体" w:eastAsia="宋体" w:cs="宋体"/>
                <w:i w:val="0"/>
                <w:color w:val="000000"/>
                <w:kern w:val="0"/>
                <w:sz w:val="18"/>
                <w:szCs w:val="18"/>
                <w:u w:val="none"/>
                <w:lang w:val="en-US" w:eastAsia="zh-CN" w:bidi="ar"/>
              </w:rPr>
              <w:t>项目用于制作及购买凤仪镇安全生产资料。</w:t>
            </w: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8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8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gridBefore w:val="1"/>
          <w:gridAfter w:val="1"/>
          <w:wBefore w:w="218" w:type="dxa"/>
          <w:wAfter w:w="536" w:type="dxa"/>
          <w:trHeight w:val="90" w:hRule="atLeast"/>
        </w:trPr>
        <w:tc>
          <w:tcPr>
            <w:tcW w:w="15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项目完成年限</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保障我镇安全生产、消防安全、道路交通安全、食品安全、维护辖区平安。</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进一步提升</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进一步提升</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78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7571"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4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78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凤仪镇安办实战化运行工作经费保障我镇安全生产、消防安全、道路交通安全、食品安全、维护辖区平安。经费的管理和使用，坚持公平、公开、公正的原则。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iCs/>
                <w:color w:val="000000"/>
                <w:sz w:val="16"/>
                <w:szCs w:val="16"/>
                <w:u w:val="none"/>
                <w:lang w:eastAsia="zh-CN"/>
              </w:rPr>
            </w:pPr>
            <w:r>
              <w:rPr>
                <w:rFonts w:hint="eastAsia" w:ascii="仿宋" w:hAnsi="仿宋" w:eastAsia="仿宋" w:cs="仿宋"/>
                <w:i w:val="0"/>
                <w:iCs/>
                <w:color w:val="000000"/>
                <w:sz w:val="16"/>
                <w:szCs w:val="16"/>
                <w:u w:val="none"/>
                <w:lang w:eastAsia="zh-CN"/>
              </w:rPr>
              <w:t>无。</w:t>
            </w:r>
          </w:p>
        </w:tc>
      </w:tr>
      <w:tr>
        <w:trPr>
          <w:gridBefore w:val="1"/>
          <w:gridAfter w:val="1"/>
          <w:wBefore w:w="218" w:type="dxa"/>
          <w:wAfter w:w="536" w:type="dxa"/>
          <w:trHeight w:val="90" w:hRule="atLeast"/>
        </w:trPr>
        <w:tc>
          <w:tcPr>
            <w:tcW w:w="15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75"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iCs/>
                <w:color w:val="000000"/>
                <w:sz w:val="16"/>
                <w:szCs w:val="16"/>
                <w:u w:val="none"/>
                <w:lang w:eastAsia="zh-CN"/>
              </w:rPr>
            </w:pPr>
            <w:r>
              <w:rPr>
                <w:rFonts w:hint="eastAsia" w:ascii="仿宋" w:hAnsi="仿宋" w:eastAsia="仿宋" w:cs="仿宋"/>
                <w:i w:val="0"/>
                <w:iCs/>
                <w:color w:val="000000"/>
                <w:sz w:val="16"/>
                <w:szCs w:val="16"/>
                <w:u w:val="none"/>
                <w:lang w:eastAsia="zh-CN"/>
              </w:rPr>
              <w:t>无。</w:t>
            </w:r>
          </w:p>
        </w:tc>
      </w:tr>
      <w:tr>
        <w:trPr>
          <w:trHeight w:val="90" w:hRule="atLeast"/>
          <w:jc w:val="center"/>
        </w:trPr>
        <w:tc>
          <w:tcPr>
            <w:tcW w:w="10020" w:type="dxa"/>
            <w:gridSpan w:val="2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90" w:hRule="atLeast"/>
          <w:jc w:val="center"/>
        </w:trPr>
        <w:tc>
          <w:tcPr>
            <w:tcW w:w="2243"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b/>
                <w:i w:val="0"/>
                <w:color w:val="000000"/>
                <w:sz w:val="30"/>
                <w:szCs w:val="30"/>
                <w:u w:val="none"/>
              </w:rPr>
            </w:pPr>
            <w:r>
              <w:rPr>
                <w:rFonts w:ascii="宋体" w:hAnsi="宋体" w:eastAsia="宋体" w:cs="宋体"/>
                <w:i w:val="0"/>
                <w:color w:val="000000"/>
                <w:kern w:val="0"/>
                <w:sz w:val="18"/>
                <w:szCs w:val="18"/>
                <w:u w:val="none"/>
                <w:lang w:val="en-US" w:eastAsia="zh-CN" w:bidi="ar"/>
              </w:rPr>
              <w:t>项目名称</w:t>
            </w:r>
          </w:p>
        </w:tc>
        <w:tc>
          <w:tcPr>
            <w:tcW w:w="7777" w:type="dxa"/>
            <w:gridSpan w:val="1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ascii="宋体" w:hAnsi="宋体" w:eastAsia="宋体" w:cs="宋体"/>
                <w:i w:val="0"/>
                <w:color w:val="000000"/>
                <w:kern w:val="0"/>
                <w:sz w:val="18"/>
                <w:szCs w:val="18"/>
                <w:u w:val="none"/>
                <w:lang w:val="en-US" w:eastAsia="zh-CN" w:bidi="ar"/>
              </w:rPr>
              <w:t>51322323T000009402939-凤仪镇2023年居家养老服务补助资金</w:t>
            </w:r>
          </w:p>
        </w:tc>
      </w:tr>
      <w:tr>
        <w:trPr>
          <w:trHeight w:val="90" w:hRule="atLeast"/>
          <w:jc w:val="center"/>
        </w:trPr>
        <w:tc>
          <w:tcPr>
            <w:tcW w:w="2243"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86"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01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pPr>
            <w:r>
              <w:rPr>
                <w:rFonts w:hint="eastAsia" w:ascii="黑体" w:hAnsi="黑体" w:eastAsia="黑体" w:cs="黑体"/>
                <w:i w:val="0"/>
                <w:color w:val="000000"/>
                <w:kern w:val="0"/>
                <w:sz w:val="18"/>
                <w:szCs w:val="18"/>
                <w:u w:val="none"/>
                <w:lang w:val="en-US" w:eastAsia="zh-CN" w:bidi="ar"/>
              </w:rPr>
              <w:t>实施单位 （盖章）</w:t>
            </w:r>
          </w:p>
        </w:tc>
        <w:tc>
          <w:tcPr>
            <w:tcW w:w="2078" w:type="dxa"/>
            <w:gridSpan w:val="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86"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eastAsia="宋体" w:cs="宋体"/>
                <w:i w:val="0"/>
                <w:color w:val="000000"/>
                <w:sz w:val="18"/>
                <w:szCs w:val="18"/>
                <w:u w:val="none"/>
              </w:rPr>
            </w:pPr>
          </w:p>
        </w:tc>
        <w:tc>
          <w:tcPr>
            <w:tcW w:w="4686"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民政局关于下达2023年养老服务业发展资金的函》（茂民函〔2023〕25号）茂县民政局下达凤仪镇2023年养老服务业发展资金280500元。为积极应对日益严峻的老龄化趋势，解决不断增长的居家养老服务要求与当前供给能力不足的矛盾，全面推进居家养老，保障凤仪镇居家养老可持续发展，为全镇老年人提供居家养老服务。</w:t>
            </w:r>
          </w:p>
        </w:tc>
        <w:tc>
          <w:tcPr>
            <w:tcW w:w="309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w:t>
            </w:r>
            <w:r>
              <w:rPr>
                <w:rFonts w:hint="eastAsia" w:ascii="宋体" w:hAnsi="宋体" w:eastAsia="宋体" w:cs="宋体"/>
                <w:i w:val="0"/>
                <w:color w:val="000000"/>
                <w:kern w:val="0"/>
                <w:sz w:val="18"/>
                <w:szCs w:val="18"/>
                <w:u w:val="none"/>
                <w:lang w:val="zh-CN" w:eastAsia="zh-CN" w:bidi="ar"/>
              </w:rPr>
              <w:t>积极应对日益严峻的老龄化趋势，解决</w:t>
            </w:r>
            <w:r>
              <w:rPr>
                <w:rFonts w:hint="eastAsia" w:ascii="宋体" w:hAnsi="宋体" w:eastAsia="宋体" w:cs="宋体"/>
                <w:i w:val="0"/>
                <w:color w:val="000000"/>
                <w:kern w:val="0"/>
                <w:sz w:val="18"/>
                <w:szCs w:val="18"/>
                <w:u w:val="none"/>
                <w:lang w:val="en-US" w:eastAsia="zh-CN" w:bidi="ar"/>
              </w:rPr>
              <w:t>了</w:t>
            </w:r>
            <w:r>
              <w:rPr>
                <w:rFonts w:hint="eastAsia" w:ascii="宋体" w:hAnsi="宋体" w:eastAsia="宋体" w:cs="宋体"/>
                <w:i w:val="0"/>
                <w:color w:val="000000"/>
                <w:kern w:val="0"/>
                <w:sz w:val="18"/>
                <w:szCs w:val="18"/>
                <w:u w:val="none"/>
                <w:lang w:val="zh-CN" w:eastAsia="zh-CN" w:bidi="ar"/>
              </w:rPr>
              <w:t>不断增长的居家养老服务要求与当前供给能力不足的矛盾，全面推进居家养老，保障凤仪镇居家养老可持续发展，为全镇老年人提供居家养老服务。</w:t>
            </w:r>
          </w:p>
          <w:p>
            <w:pPr>
              <w:keepNext w:val="0"/>
              <w:keepLines w:val="0"/>
              <w:widowControl/>
              <w:suppressLineNumbers w:val="0"/>
              <w:jc w:val="left"/>
              <w:textAlignment w:val="center"/>
              <w:rPr>
                <w:rFonts w:hint="eastAsia" w:ascii="黑体" w:hAnsi="黑体" w:eastAsia="黑体" w:cs="黑体"/>
                <w:i w:val="0"/>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77" w:type="dxa"/>
            <w:gridSpan w:val="1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对我镇935位80岁以上困难家庭失能老人、独居老人机60岁以上残疾老人进行了服务。</w:t>
            </w:r>
          </w:p>
        </w:tc>
      </w:tr>
      <w:tr>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调整后预算数</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预算执行数</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预算执行率</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原因</w:t>
            </w: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26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28.05</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28.05</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0.00</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251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w:t>
            </w:r>
          </w:p>
        </w:tc>
        <w:tc>
          <w:tcPr>
            <w:tcW w:w="126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55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二级指标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三级指标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指标性质</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指标值</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权重</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得分</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服务人群合格率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20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资金使用合格率</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20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20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86"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居家养老服务发挥作用</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高</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按时完成服务</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2023年12月前完成服务</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2023年12月前完成服务</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对老年人日益增加的养老服务需求</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进一步满足老年人养老服务需求</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进一步满足老年人养老服务需求</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居家养老服务可持续性</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i w:val="0"/>
                <w:color w:val="000000"/>
                <w:sz w:val="18"/>
                <w:szCs w:val="18"/>
                <w:u w:val="none"/>
              </w:rPr>
            </w:pP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55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1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居家养老服务质量满意度</w:t>
            </w:r>
          </w:p>
        </w:tc>
        <w:tc>
          <w:tcPr>
            <w:tcW w:w="9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95</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r>
              <w:rPr>
                <w:rFonts w:ascii="宋体" w:hAnsi="宋体" w:eastAsia="宋体" w:cs="宋体"/>
                <w:i w:val="0"/>
                <w:color w:val="000000"/>
                <w:kern w:val="0"/>
                <w:sz w:val="18"/>
                <w:szCs w:val="18"/>
                <w:u w:val="none"/>
                <w:lang w:val="en-US" w:eastAsia="zh-CN" w:bidi="ar"/>
              </w:rPr>
              <w:t>10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kern w:val="2"/>
                <w:sz w:val="32"/>
                <w:szCs w:val="32"/>
                <w:lang w:val="en-US" w:eastAsia="zh-CN" w:bidi="ar-SA"/>
              </w:rPr>
            </w:pPr>
            <w:r>
              <w:rPr>
                <w:rFonts w:ascii="宋体" w:hAnsi="宋体" w:eastAsia="宋体" w:cs="宋体"/>
                <w:i w:val="0"/>
                <w:color w:val="000000"/>
                <w:kern w:val="0"/>
                <w:sz w:val="18"/>
                <w:szCs w:val="18"/>
                <w:u w:val="none"/>
                <w:lang w:val="en-US" w:eastAsia="zh-CN" w:bidi="ar"/>
              </w:rPr>
              <w:t>10</w:t>
            </w:r>
          </w:p>
        </w:tc>
        <w:tc>
          <w:tcPr>
            <w:tcW w:w="126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794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2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rPr>
          <w:trHeight w:val="90"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w:t>
            </w:r>
            <w:r>
              <w:rPr>
                <w:rFonts w:hint="eastAsia" w:ascii="宋体" w:hAnsi="宋体" w:eastAsia="宋体" w:cs="宋体"/>
                <w:i w:val="0"/>
                <w:color w:val="000000"/>
                <w:kern w:val="0"/>
                <w:sz w:val="18"/>
                <w:szCs w:val="18"/>
                <w:u w:val="none"/>
                <w:lang w:val="zh-CN" w:eastAsia="zh-CN" w:bidi="ar"/>
              </w:rPr>
              <w:t>积极应对日益严峻的老龄化趋势，解决</w:t>
            </w:r>
            <w:r>
              <w:rPr>
                <w:rFonts w:hint="eastAsia" w:ascii="宋体" w:hAnsi="宋体" w:eastAsia="宋体" w:cs="宋体"/>
                <w:i w:val="0"/>
                <w:color w:val="000000"/>
                <w:kern w:val="0"/>
                <w:sz w:val="18"/>
                <w:szCs w:val="18"/>
                <w:u w:val="none"/>
                <w:lang w:val="en-US" w:eastAsia="zh-CN" w:bidi="ar"/>
              </w:rPr>
              <w:t>了</w:t>
            </w:r>
            <w:r>
              <w:rPr>
                <w:rFonts w:hint="eastAsia" w:ascii="宋体" w:hAnsi="宋体" w:eastAsia="宋体" w:cs="宋体"/>
                <w:i w:val="0"/>
                <w:color w:val="000000"/>
                <w:kern w:val="0"/>
                <w:sz w:val="18"/>
                <w:szCs w:val="18"/>
                <w:u w:val="none"/>
                <w:lang w:val="zh-CN" w:eastAsia="zh-CN" w:bidi="ar"/>
              </w:rPr>
              <w:t>不断增长的居家养老服务要求与当前供给能力不足的矛盾，全面推进居家养老，保障凤仪镇居家养老可持续发展，为全镇老年人提供居家养老服务。</w:t>
            </w:r>
          </w:p>
        </w:tc>
      </w:tr>
      <w:tr>
        <w:trPr>
          <w:trHeight w:val="98"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90" w:hRule="atLeast"/>
          <w:jc w:val="center"/>
        </w:trPr>
        <w:tc>
          <w:tcPr>
            <w:tcW w:w="55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改进措施</w:t>
            </w:r>
          </w:p>
        </w:tc>
        <w:tc>
          <w:tcPr>
            <w:tcW w:w="9462"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pPr w:leftFromText="180" w:rightFromText="180" w:vertAnchor="text" w:horzAnchor="page" w:tblpX="808" w:tblpY="390"/>
        <w:tblOverlap w:val="never"/>
        <w:tblW w:w="10200" w:type="dxa"/>
        <w:tblInd w:w="0" w:type="dxa"/>
        <w:tblLayout w:type="autofit"/>
        <w:tblCellMar>
          <w:top w:w="0" w:type="dxa"/>
          <w:left w:w="0" w:type="dxa"/>
          <w:bottom w:w="0" w:type="dxa"/>
          <w:right w:w="0" w:type="dxa"/>
        </w:tblCellMar>
      </w:tblPr>
      <w:tblGrid>
        <w:gridCol w:w="570"/>
        <w:gridCol w:w="1168"/>
        <w:gridCol w:w="1543"/>
        <w:gridCol w:w="1857"/>
        <w:gridCol w:w="520"/>
        <w:gridCol w:w="585"/>
        <w:gridCol w:w="524"/>
        <w:gridCol w:w="944"/>
        <w:gridCol w:w="505"/>
        <w:gridCol w:w="456"/>
        <w:gridCol w:w="1528"/>
      </w:tblGrid>
      <w:tr>
        <w:trPr>
          <w:trHeight w:val="512" w:hRule="atLeast"/>
        </w:trPr>
        <w:tc>
          <w:tcPr>
            <w:tcW w:w="102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left="0" w:leftChars="0" w:firstLine="426" w:firstLineChars="0"/>
              <w:jc w:val="center"/>
              <w:rPr>
                <w:rFonts w:ascii="宋体" w:hAnsi="宋体" w:eastAsia="宋体" w:cs="宋体"/>
                <w:i w:val="0"/>
                <w:color w:val="000000"/>
                <w:kern w:val="0"/>
                <w:sz w:val="18"/>
                <w:szCs w:val="18"/>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512" w:hRule="atLeast"/>
        </w:trPr>
        <w:tc>
          <w:tcPr>
            <w:tcW w:w="173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项目名称</w:t>
            </w:r>
          </w:p>
        </w:tc>
        <w:tc>
          <w:tcPr>
            <w:tcW w:w="8462"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凤仪镇村（社区）残协工作经费</w:t>
            </w:r>
          </w:p>
        </w:tc>
      </w:tr>
      <w:tr>
        <w:trPr>
          <w:trHeight w:val="512" w:hRule="atLeast"/>
        </w:trPr>
        <w:tc>
          <w:tcPr>
            <w:tcW w:w="173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02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trPr>
        <w:tc>
          <w:tcPr>
            <w:tcW w:w="57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68"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029" w:type="dxa"/>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3"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2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根据（茂残联〔2023〕5号）文件，进一步加强村（社区）残疾人工作 ，全面提升基层残疾人组织服务能力和管理科学化水平，更好的为残疾人做好服务，安排凤仪镇残协工作经费2万元。</w:t>
            </w:r>
          </w:p>
        </w:tc>
        <w:tc>
          <w:tcPr>
            <w:tcW w:w="3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462"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0.5</w:t>
            </w:r>
          </w:p>
        </w:tc>
        <w:tc>
          <w:tcPr>
            <w:tcW w:w="15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0.10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微软雅黑" w:hAnsi="微软雅黑" w:eastAsia="微软雅黑" w:cs="微软雅黑"/>
                <w:i/>
                <w:color w:val="000000"/>
                <w:sz w:val="16"/>
                <w:szCs w:val="16"/>
                <w:u w:val="none"/>
                <w:lang w:val="en-US" w:eastAsia="zh-CN"/>
              </w:rPr>
            </w:pPr>
            <w:r>
              <w:rPr>
                <w:rFonts w:hint="eastAsia" w:ascii="宋体" w:hAnsi="宋体" w:eastAsia="宋体" w:cs="宋体"/>
                <w:i w:val="0"/>
                <w:color w:val="000000"/>
                <w:kern w:val="0"/>
                <w:sz w:val="18"/>
                <w:szCs w:val="18"/>
                <w:u w:val="none"/>
                <w:lang w:val="en-US" w:eastAsia="zh-CN" w:bidi="ar"/>
              </w:rPr>
              <w:t>该资金未完成支付</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2023</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更好为残疾人做好服务</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加强残联组织建设</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有所提高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trPr>
        <w:tc>
          <w:tcPr>
            <w:tcW w:w="7711"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81.5</w:t>
            </w:r>
          </w:p>
        </w:tc>
        <w:tc>
          <w:tcPr>
            <w:tcW w:w="15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进一步加强村（社区）残疾人工作 ，全面提升基层残疾人组织服务能力和管理科学化水平，更好的为残疾人做好服务，</w:t>
            </w:r>
          </w:p>
        </w:tc>
      </w:tr>
      <w:tr>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63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tbl>
      <w:tblPr>
        <w:tblStyle w:val="19"/>
        <w:tblW w:w="10500" w:type="dxa"/>
        <w:jc w:val="center"/>
        <w:tblLayout w:type="autofit"/>
        <w:tblCellMar>
          <w:top w:w="0" w:type="dxa"/>
          <w:left w:w="0" w:type="dxa"/>
          <w:bottom w:w="0" w:type="dxa"/>
          <w:right w:w="0" w:type="dxa"/>
        </w:tblCellMar>
      </w:tblPr>
      <w:tblGrid>
        <w:gridCol w:w="747"/>
        <w:gridCol w:w="1044"/>
        <w:gridCol w:w="1121"/>
        <w:gridCol w:w="1261"/>
        <w:gridCol w:w="701"/>
        <w:gridCol w:w="669"/>
        <w:gridCol w:w="469"/>
        <w:gridCol w:w="1121"/>
        <w:gridCol w:w="1121"/>
        <w:gridCol w:w="1121"/>
        <w:gridCol w:w="1125"/>
      </w:tblGrid>
      <w:tr>
        <w:trPr>
          <w:trHeight w:val="672" w:hRule="atLeast"/>
          <w:jc w:val="center"/>
        </w:trPr>
        <w:tc>
          <w:tcPr>
            <w:tcW w:w="1050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349" w:hRule="atLeast"/>
          <w:jc w:val="center"/>
        </w:trPr>
        <w:tc>
          <w:tcPr>
            <w:tcW w:w="179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8709"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51322323T000009209144-基层组织活动和公共服务运行经费</w:t>
            </w:r>
          </w:p>
        </w:tc>
      </w:tr>
      <w:tr>
        <w:trPr>
          <w:trHeight w:val="672" w:hRule="atLeast"/>
          <w:jc w:val="center"/>
        </w:trPr>
        <w:tc>
          <w:tcPr>
            <w:tcW w:w="1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1121"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3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349"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4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228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2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2023年基层组织活动和公共服务运行经费：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c>
          <w:tcPr>
            <w:tcW w:w="44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用于我镇</w:t>
            </w:r>
            <w:r>
              <w:rPr>
                <w:rFonts w:ascii="宋体" w:hAnsi="宋体" w:eastAsia="宋体" w:cs="宋体"/>
                <w:i w:val="0"/>
                <w:color w:val="000000"/>
                <w:kern w:val="0"/>
                <w:sz w:val="18"/>
                <w:szCs w:val="18"/>
                <w:u w:val="none"/>
                <w:lang w:val="en-US" w:eastAsia="zh-CN" w:bidi="ar"/>
              </w:rPr>
              <w:t>包括网格员工资、协管员工资、发药员工资，购置防雹弹、环境卫生整治、地质灾害应急处置等</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保障各村运行能力，为进一步提升我镇各村（社区）组织活动和公共服务运行经费保障能力，巩固党在基层的执政基础。</w:t>
            </w:r>
          </w:p>
        </w:tc>
      </w:tr>
      <w:tr>
        <w:trPr>
          <w:trHeight w:val="996"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870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我镇共有16个村（4个社区），</w:t>
            </w:r>
            <w:r>
              <w:rPr>
                <w:rFonts w:hint="eastAsia" w:ascii="宋体" w:hAnsi="宋体" w:eastAsia="宋体" w:cs="宋体"/>
                <w:i w:val="0"/>
                <w:color w:val="000000"/>
                <w:kern w:val="0"/>
                <w:sz w:val="18"/>
                <w:szCs w:val="18"/>
                <w:u w:val="none"/>
                <w:lang w:val="zh-CN" w:eastAsia="zh-CN" w:bidi="ar"/>
              </w:rPr>
              <w:t>按每个村</w:t>
            </w:r>
            <w:r>
              <w:rPr>
                <w:rFonts w:hint="eastAsia" w:ascii="宋体" w:hAnsi="宋体" w:eastAsia="宋体" w:cs="宋体"/>
                <w:i w:val="0"/>
                <w:color w:val="000000"/>
                <w:kern w:val="0"/>
                <w:sz w:val="18"/>
                <w:szCs w:val="18"/>
                <w:u w:val="none"/>
                <w:lang w:val="en-US" w:eastAsia="zh-CN" w:bidi="ar"/>
              </w:rPr>
              <w:t>14.7</w:t>
            </w:r>
            <w:r>
              <w:rPr>
                <w:rFonts w:hint="eastAsia" w:ascii="宋体" w:hAnsi="宋体" w:eastAsia="宋体" w:cs="宋体"/>
                <w:i w:val="0"/>
                <w:color w:val="000000"/>
                <w:kern w:val="0"/>
                <w:sz w:val="18"/>
                <w:szCs w:val="18"/>
                <w:u w:val="none"/>
                <w:lang w:val="zh-CN" w:eastAsia="zh-CN" w:bidi="ar"/>
              </w:rPr>
              <w:t>万元下达</w:t>
            </w:r>
            <w:r>
              <w:rPr>
                <w:rFonts w:hint="eastAsia" w:ascii="宋体" w:hAnsi="宋体" w:eastAsia="宋体" w:cs="宋体"/>
                <w:i w:val="0"/>
                <w:color w:val="000000"/>
                <w:kern w:val="0"/>
                <w:sz w:val="18"/>
                <w:szCs w:val="18"/>
                <w:u w:val="none"/>
                <w:lang w:val="en-US" w:eastAsia="zh-CN" w:bidi="ar"/>
              </w:rPr>
              <w:t>资金，共计294.00万元。用于保障村级组织办公及基础设施维护。</w:t>
            </w:r>
          </w:p>
          <w:p>
            <w:pPr>
              <w:rPr>
                <w:rFonts w:hint="eastAsia" w:ascii="宋体" w:hAnsi="宋体" w:eastAsia="宋体" w:cs="宋体"/>
                <w:i w:val="0"/>
                <w:color w:val="000000"/>
                <w:sz w:val="18"/>
                <w:szCs w:val="18"/>
                <w:u w:val="none"/>
              </w:rPr>
            </w:pPr>
          </w:p>
        </w:tc>
      </w:tr>
      <w:tr>
        <w:trPr>
          <w:trHeight w:val="834"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41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294</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11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r>
              <w:rPr>
                <w:rFonts w:hint="eastAsia" w:ascii="宋体" w:hAnsi="宋体" w:eastAsia="宋体" w:cs="宋体"/>
                <w:i w:val="0"/>
                <w:color w:val="000000"/>
                <w:kern w:val="0"/>
                <w:sz w:val="18"/>
                <w:szCs w:val="18"/>
                <w:u w:val="none"/>
                <w:lang w:val="en-US" w:eastAsia="zh-CN" w:bidi="ar"/>
              </w:rPr>
              <w:t>工程实施较慢、报账进度慢</w:t>
            </w: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4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49"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672" w:hRule="atLeast"/>
          <w:jc w:val="center"/>
        </w:trPr>
        <w:tc>
          <w:tcPr>
            <w:tcW w:w="7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725"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凤仪镇村（社区）数量</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725"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确保各村（社区）运行</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2"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96" w:hRule="atLeast"/>
          <w:jc w:val="center"/>
        </w:trPr>
        <w:tc>
          <w:tcPr>
            <w:tcW w:w="7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基层组织活动和公共服务运行经费</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297</w:t>
            </w:r>
          </w:p>
        </w:tc>
        <w:tc>
          <w:tcPr>
            <w:tcW w:w="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169.77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工程实施较慢、报账进度慢</w:t>
            </w:r>
          </w:p>
        </w:tc>
      </w:tr>
      <w:tr>
        <w:trPr>
          <w:trHeight w:val="349" w:hRule="atLeast"/>
          <w:jc w:val="center"/>
        </w:trPr>
        <w:tc>
          <w:tcPr>
            <w:tcW w:w="713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凤仪镇基层组织活动和公共服务运行经费工程实施较慢、报账进度慢。</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753"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凤仪镇党委政府督促村两委会实施农村公共服务运行维护工程，未完成的村（社区）在保障工程质量的情况下加快工程进度，报账资料不完善的村（社区）督促其按照要求完善报账资料。</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640" w:type="dxa"/>
        <w:jc w:val="center"/>
        <w:tblLayout w:type="autofit"/>
        <w:tblCellMar>
          <w:top w:w="0" w:type="dxa"/>
          <w:left w:w="0" w:type="dxa"/>
          <w:bottom w:w="0" w:type="dxa"/>
          <w:right w:w="0" w:type="dxa"/>
        </w:tblCellMar>
      </w:tblPr>
      <w:tblGrid>
        <w:gridCol w:w="685"/>
        <w:gridCol w:w="958"/>
        <w:gridCol w:w="1029"/>
        <w:gridCol w:w="1157"/>
        <w:gridCol w:w="642"/>
        <w:gridCol w:w="613"/>
        <w:gridCol w:w="434"/>
        <w:gridCol w:w="969"/>
        <w:gridCol w:w="1089"/>
        <w:gridCol w:w="1029"/>
        <w:gridCol w:w="1035"/>
      </w:tblGrid>
      <w:tr>
        <w:trPr>
          <w:trHeight w:val="90" w:hRule="atLeast"/>
          <w:jc w:val="center"/>
        </w:trPr>
        <w:tc>
          <w:tcPr>
            <w:tcW w:w="964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rPr>
          <w:trHeight w:val="90" w:hRule="atLeast"/>
          <w:jc w:val="center"/>
        </w:trPr>
        <w:tc>
          <w:tcPr>
            <w:tcW w:w="164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7" w:type="dxa"/>
            <w:gridSpan w:val="9"/>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51322323T000009209144-</w:t>
            </w:r>
            <w:r>
              <w:rPr>
                <w:rFonts w:hint="eastAsia" w:ascii="宋体" w:hAnsi="宋体" w:eastAsia="宋体" w:cs="宋体"/>
                <w:i w:val="0"/>
                <w:color w:val="000000"/>
                <w:kern w:val="0"/>
                <w:sz w:val="18"/>
                <w:szCs w:val="18"/>
                <w:u w:val="none"/>
                <w:lang w:val="en-US" w:eastAsia="zh-CN" w:bidi="ar"/>
              </w:rPr>
              <w:t>2022年凤仪镇基层组织活动和公共服务运行经费</w:t>
            </w:r>
          </w:p>
        </w:tc>
      </w:tr>
      <w:tr>
        <w:trPr>
          <w:trHeight w:val="90" w:hRule="atLeast"/>
          <w:jc w:val="center"/>
        </w:trPr>
        <w:tc>
          <w:tcPr>
            <w:tcW w:w="16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969"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1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w:t>
            </w:r>
            <w:r>
              <w:rPr>
                <w:rFonts w:hint="eastAsia" w:ascii="宋体" w:hAnsi="宋体" w:eastAsia="宋体" w:cs="宋体"/>
                <w:i w:val="0"/>
                <w:color w:val="000000"/>
                <w:kern w:val="0"/>
                <w:sz w:val="18"/>
                <w:szCs w:val="18"/>
                <w:u w:val="none"/>
                <w:lang w:val="en-US" w:eastAsia="zh-CN" w:bidi="ar"/>
              </w:rPr>
              <w:t>2022年2022年凤仪镇基层组织活动和公共服务运行经费</w:t>
            </w:r>
            <w:r>
              <w:rPr>
                <w:rFonts w:ascii="宋体" w:hAnsi="宋体" w:eastAsia="宋体" w:cs="宋体"/>
                <w:i w:val="0"/>
                <w:color w:val="000000"/>
                <w:kern w:val="0"/>
                <w:sz w:val="18"/>
                <w:szCs w:val="18"/>
                <w:u w:val="none"/>
                <w:lang w:val="en-US" w:eastAsia="zh-CN" w:bidi="ar"/>
              </w:rPr>
              <w:t>：主要用于凤仪镇各村（社区）组织活动经费及各村（社区）运行运行维护费（包括网格员工资、协管员工资、发药员工资，购置防雹弹、环境卫生整治、地质灾害应急处置等）。保障各村运行能力，为进一步提升我镇各村（社区）组织活动和公共服务运行经费保障能力，巩固党在基层的执政基础。</w:t>
            </w:r>
          </w:p>
        </w:tc>
        <w:tc>
          <w:tcPr>
            <w:tcW w:w="41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用于我镇</w:t>
            </w:r>
            <w:r>
              <w:rPr>
                <w:rFonts w:ascii="宋体" w:hAnsi="宋体" w:eastAsia="宋体" w:cs="宋体"/>
                <w:i w:val="0"/>
                <w:color w:val="000000"/>
                <w:kern w:val="0"/>
                <w:sz w:val="18"/>
                <w:szCs w:val="18"/>
                <w:u w:val="none"/>
                <w:lang w:val="en-US" w:eastAsia="zh-CN" w:bidi="ar"/>
              </w:rPr>
              <w:t>包括网格员工资、协管员工资、发药员工资，购置防雹弹、环境卫生整治、地质灾害应急处置等</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保障各村运行能力，为进一步提升我镇各村（社区）组织活动和公共服务运行经费保障能力，巩固党在基层的执政基础。</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7"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我镇共有16个村（4个社区），共计13</w:t>
            </w:r>
            <w:r>
              <w:rPr>
                <w:rFonts w:hint="eastAsia" w:ascii="宋体" w:hAnsi="宋体" w:cs="宋体"/>
                <w:i w:val="0"/>
                <w:color w:val="000000"/>
                <w:kern w:val="0"/>
                <w:sz w:val="18"/>
                <w:szCs w:val="18"/>
                <w:u w:val="none"/>
                <w:lang w:val="en-US" w:eastAsia="zh-CN" w:bidi="ar"/>
              </w:rPr>
              <w:t>0万元</w:t>
            </w:r>
            <w:r>
              <w:rPr>
                <w:rFonts w:hint="eastAsia" w:ascii="宋体" w:hAnsi="宋体" w:eastAsia="宋体" w:cs="宋体"/>
                <w:i w:val="0"/>
                <w:color w:val="000000"/>
                <w:kern w:val="0"/>
                <w:sz w:val="18"/>
                <w:szCs w:val="18"/>
                <w:u w:val="none"/>
                <w:lang w:val="en-US" w:eastAsia="zh-CN" w:bidi="ar"/>
              </w:rPr>
              <w:t>。用于保障村级组织办公及基础设施维护。</w:t>
            </w:r>
          </w:p>
          <w:p>
            <w:pPr>
              <w:rPr>
                <w:rFonts w:hint="eastAsia" w:ascii="宋体" w:hAnsi="宋体" w:eastAsia="宋体" w:cs="宋体"/>
                <w:i w:val="0"/>
                <w:color w:val="000000"/>
                <w:sz w:val="18"/>
                <w:szCs w:val="18"/>
                <w:u w:val="none"/>
              </w:rPr>
            </w:pP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9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凤仪镇村（社区）数量</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确保各村（社区）运行</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进一步保障</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基层组织活动和公共服务运行经费</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130</w:t>
            </w:r>
          </w:p>
        </w:tc>
        <w:tc>
          <w:tcPr>
            <w:tcW w:w="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万元</w:t>
            </w:r>
          </w:p>
        </w:tc>
        <w:tc>
          <w:tcPr>
            <w:tcW w:w="9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129.50</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90" w:hRule="atLeast"/>
          <w:jc w:val="center"/>
        </w:trPr>
        <w:tc>
          <w:tcPr>
            <w:tcW w:w="648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9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613"/>
        <w:gridCol w:w="1491"/>
        <w:gridCol w:w="1335"/>
        <w:gridCol w:w="521"/>
        <w:gridCol w:w="1020"/>
        <w:gridCol w:w="521"/>
        <w:gridCol w:w="870"/>
        <w:gridCol w:w="505"/>
        <w:gridCol w:w="456"/>
        <w:gridCol w:w="960"/>
      </w:tblGrid>
      <w:tr>
        <w:trPr>
          <w:trHeight w:val="50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359"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67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51322322T000007063579-凤仪镇蓝店坡村、静州村污水管网建设项目</w:t>
            </w:r>
          </w:p>
        </w:tc>
      </w:tr>
      <w:tr>
        <w:trPr>
          <w:trHeight w:val="512" w:hRule="atLeast"/>
          <w:jc w:val="center"/>
        </w:trPr>
        <w:tc>
          <w:tcPr>
            <w:tcW w:w="22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135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8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预计资金66万元；静州村污水管网建设：PE管道（φ200）84米，路面恢复及池子维修等，预计资金6万元。该项目的实施完善我镇蓝店坡村、静州村基础设施，促进经济发展。对蓝店坡村、静州村生活污水进行收集和管理，有效的保护和改善生态环境，有利于生态环境可持续发展。</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黑体" w:hAnsi="黑体" w:eastAsia="黑体" w:cs="黑体"/>
                <w:i w:val="0"/>
                <w:color w:val="000000"/>
                <w:sz w:val="18"/>
                <w:szCs w:val="18"/>
                <w:u w:val="none"/>
                <w:lang w:val="en-US"/>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蓝店坡村污水管网建设：双壁波纹管（φ600）352米，PE管道（φ400）412米，及路面恢复污水井建设等；静州村污水管网建设：PE管道（φ200）84米，路面恢复及池子维修等</w:t>
            </w:r>
            <w:r>
              <w:rPr>
                <w:rFonts w:hint="eastAsia" w:ascii="宋体" w:hAnsi="宋体" w:eastAsia="宋体" w:cs="宋体"/>
                <w:i w:val="0"/>
                <w:color w:val="000000"/>
                <w:kern w:val="0"/>
                <w:sz w:val="18"/>
                <w:szCs w:val="18"/>
                <w:u w:val="none"/>
                <w:lang w:val="en-US" w:eastAsia="zh-CN" w:bidi="ar"/>
              </w:rPr>
              <w:t>。</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7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蓝店坡村污水管网建设：双壁波纹管（φ600）352米，PE管道（φ400）412米，及路面恢复污水井建设等；静州村污水管网建设：PE管道（φ200）84米，路面恢复及池子维修等</w:t>
            </w:r>
            <w:r>
              <w:rPr>
                <w:rFonts w:hint="eastAsia" w:ascii="宋体" w:hAnsi="宋体" w:eastAsia="宋体" w:cs="宋体"/>
                <w:i w:val="0"/>
                <w:color w:val="000000"/>
                <w:kern w:val="0"/>
                <w:sz w:val="18"/>
                <w:szCs w:val="18"/>
                <w:u w:val="none"/>
                <w:lang w:val="en-US" w:eastAsia="zh-CN" w:bidi="ar"/>
              </w:rPr>
              <w:t>。.</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69.44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项目完工及时率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完善我镇蓝店坡村、静州村基础设施</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保护和改善生态环境，有利于生态环境可持续发展</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项目成本</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69.44</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完善我镇蓝店坡村、静州村基础设施，促进经济发展。对蓝店坡村、静州村生活污水进行收集和管理，有效的保护和改善生态环境，有利于生态环境可持续发展。</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728"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lang w:val="en-US" w:eastAsia="zh-CN"/>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54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51322324T000010428507-茂县2023年度第三批省级财政衔接资金凤仪镇“羌脆李”农田灌溉绿色防控建设项目</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4"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农田灌溉：PEΦ110管道、PEΦ63管道10000米。2.沟渠2000米。3.蓄水池30座。4.绿色防控：太阳能杀虫灯30盏、粘虫黄板40000张。5.山地轨道运输车5公里。6.混凝土挡土墙建设（c20）：320立方米。7.产业便桥：C25钢筋混凝土：4座。8.Φ1200cm管涵：12.5米。</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152.57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蓄水池</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产业便桥：C25钢筋混凝土</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粘虫黄板</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Φ1200cm管涵</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PEΦ110管道</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山地轨道运输车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PEΦ63管道</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太阳能杀虫灯</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盏</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沟渠</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混凝土挡土墙建设（c20）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立方米</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完成及时率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增加受益农户经济收入</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0.3</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资金使用无重大违规违纪问题</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受益建档立卡贫困人口数</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农户、受益群众对该项目的满意度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切实发挥项目资金效益，为了提升人居环境治理，增强农业生产发展，提高生活水平。实施面源污染整治、产业道路、防洪沟，改善基础设施条件，提升村民经济效益</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40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540"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51322324T000010429745-茂县2023年度第三批省级财政衔接资金凤仪镇“羌脆李”基地配套产业道路提升建设项目</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22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项目实施后预计能提升南庄村、壳壳寨村约11150亩“羌脆李”品质，每亩预计增收100元。可带动带动当地村民参与建设预计可带动60余人参与务工，可获得劳务报酬预计120/人天，农田灌溉保障基本产出不受影响，轨道运输预计能降低农户运输成本500元/户年，杀虫灯、黄板等生物防治增加青脆李品质农户即增加经济效益，使得产业结构更加合理产业链更加完善并辐射带动周边群众，给村民带来更好的经济收益，促进社会稳定。</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南庄村、壳壳村地处岷江干旱河谷地带，道路交通、农田灌溉等产业配套设施虽经脱贫攻坚期间进行了补短提升，但还未满足目前生产需求制约了产业的快速发展，加之受到不可抗拒自然灾害的影响，道路通畅程度低导致农户运输成本增高，蓄水保灌抗旱能力不足农业风险较大。</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项目实施后预计能提升南庄村、壳壳寨村约11150亩“羌脆李”品质，每亩预计增收100元。可带动带动当地村民参与建设预计可带动60余人参与务工，可获得劳务报酬预计120/人天，农田灌溉保障基本产出不受影响，轨道运输预计能降低农户运输成本500元/户年，杀虫灯、黄板等生物防治增加青脆李品质农户即增加经济效益，使得产业结构更加合理产业链更加完善并辐射带动周边群众，给村民带来更好的经济收益，促进社会稳定。</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（1）产业路提升建设16.2公里：（2）面源污染整治：36000平方米。（3）防洪沟：混凝土C20防洪沟400米1720立方米。</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375.96</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面源污染整治</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36000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产业路建设</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防洪沟</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600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产业路提升：C30压印混凝土路面（淡黄色）</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3000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完成及时率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增加受益农户经济收入</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受益建档立卡贫困户人口数</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7</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资金使用无重大违规违纪问题</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使用年限</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农户、受益群众对该项目的满意度</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jc w:val="center"/>
        </w:trPr>
        <w:tc>
          <w:tcPr>
            <w:tcW w:w="6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切实发挥项目资金效益，为了提升人居环境治理，增强农业生产发展，提高生活水平。实施面源污染整治、产业道路、防洪沟，改善基础设施条件，提升村民经济效益</w:t>
            </w:r>
          </w:p>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iCs/>
                <w:color w:val="000000"/>
                <w:sz w:val="16"/>
                <w:szCs w:val="16"/>
                <w:u w:val="none"/>
              </w:rPr>
            </w:pPr>
            <w:r>
              <w:rPr>
                <w:rFonts w:hint="eastAsia" w:ascii="微软雅黑" w:hAnsi="微软雅黑" w:eastAsia="微软雅黑" w:cs="微软雅黑"/>
                <w:i w:val="0"/>
                <w:iCs/>
                <w:color w:val="000000"/>
                <w:kern w:val="0"/>
                <w:sz w:val="16"/>
                <w:szCs w:val="16"/>
                <w:u w:val="none"/>
                <w:lang w:val="en-US" w:eastAsia="zh-CN" w:bidi="ar"/>
              </w:rPr>
              <w:t>无。</w:t>
            </w:r>
          </w:p>
        </w:tc>
      </w:tr>
    </w:tbl>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p>
      <w:pPr>
        <w:pStyle w:val="2"/>
        <w:ind w:left="0" w:leftChars="0" w:firstLine="0" w:firstLineChars="0"/>
        <w:jc w:val="center"/>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42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51322323T000009807812-凤仪镇坪头村养老服务能力提升</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年度目标完成情况</w:t>
            </w:r>
          </w:p>
        </w:tc>
      </w:tr>
      <w:tr>
        <w:trPr>
          <w:trHeight w:val="308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州财库〔2023〕13号文件安排凤仪镇坪头村养老服务能力提升20.00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钢架彩钢棚建设及装修装饰、线路改造、设备购置、建渣清理。</w:t>
            </w: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78.98%</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78.98%</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67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补助标准</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万元/个</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养老公共服务提升行政村数</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服务人群合格率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资金使用合格率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按时完成服务</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对老年人日益增加的养老服务需求</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有所提升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养老服务可持续性</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持续实施</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持续实施</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养老服务质量满意度</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ascii="宋体" w:hAnsi="宋体" w:eastAsia="宋体" w:cs="宋体"/>
                <w:i w:val="0"/>
                <w:color w:val="000000"/>
                <w:kern w:val="0"/>
                <w:sz w:val="18"/>
                <w:szCs w:val="18"/>
                <w:u w:val="none"/>
                <w:lang w:val="en-US" w:eastAsia="zh-CN" w:bidi="ar"/>
              </w:rPr>
              <w:t>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tbl>
      <w:tblPr>
        <w:tblStyle w:val="19"/>
        <w:tblW w:w="9975" w:type="dxa"/>
        <w:jc w:val="center"/>
        <w:tblLayout w:type="autofit"/>
        <w:tblCellMar>
          <w:top w:w="0" w:type="dxa"/>
          <w:left w:w="0" w:type="dxa"/>
          <w:bottom w:w="0" w:type="dxa"/>
          <w:right w:w="0" w:type="dxa"/>
        </w:tblCellMar>
      </w:tblPr>
      <w:tblGrid>
        <w:gridCol w:w="683"/>
        <w:gridCol w:w="1739"/>
        <w:gridCol w:w="1365"/>
        <w:gridCol w:w="1335"/>
        <w:gridCol w:w="521"/>
        <w:gridCol w:w="1020"/>
        <w:gridCol w:w="521"/>
        <w:gridCol w:w="870"/>
        <w:gridCol w:w="505"/>
        <w:gridCol w:w="456"/>
        <w:gridCol w:w="960"/>
      </w:tblGrid>
      <w:tr>
        <w:trPr>
          <w:trHeight w:val="520" w:hRule="atLeast"/>
          <w:jc w:val="center"/>
        </w:trPr>
        <w:tc>
          <w:tcPr>
            <w:tcW w:w="997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5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51322323T000009749567-2023年农村公路养护资金</w:t>
            </w:r>
          </w:p>
        </w:tc>
      </w:tr>
      <w:tr>
        <w:trPr>
          <w:trHeight w:val="512" w:hRule="atLeast"/>
          <w:jc w:val="center"/>
        </w:trPr>
        <w:tc>
          <w:tcPr>
            <w:tcW w:w="242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w:t>
            </w:r>
          </w:p>
        </w:tc>
        <w:tc>
          <w:tcPr>
            <w:tcW w:w="87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茂县凤仪镇人民政府（行政）</w:t>
            </w:r>
          </w:p>
        </w:tc>
      </w:tr>
      <w:tr>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7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76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年度目标完成情况</w:t>
            </w:r>
          </w:p>
        </w:tc>
      </w:tr>
      <w:tr>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2"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根据茂县交通运输局文件，我镇村道养护42.742公里，安排我镇农村公路养护资金6.4113万元。保障我镇村道畅通，方便群众出行，保障农副产品运输。</w:t>
            </w:r>
          </w:p>
        </w:tc>
        <w:tc>
          <w:tcPr>
            <w:tcW w:w="2791"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保障我镇村道畅通，方便群众出行，保障农副产品运输。</w:t>
            </w:r>
          </w:p>
        </w:tc>
      </w:tr>
      <w:tr>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53"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2023年农村公路养护资金</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保障我镇</w:t>
            </w: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村道畅通，方便群众出行，保障农副产品运输。</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6.41</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06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凤仪镇村道养护里程</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42.742</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公里</w:t>
            </w:r>
          </w:p>
        </w:tc>
        <w:tc>
          <w:tcPr>
            <w:tcW w:w="8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项目验收及时率</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100</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67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保障我镇村道畅通，方便群众出行，保障农副产品运输</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进一步保障</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进一步保障</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受益群众满意度</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ascii="宋体" w:hAnsi="宋体" w:eastAsia="宋体" w:cs="宋体"/>
                <w:i w:val="0"/>
                <w:color w:val="000000"/>
                <w:kern w:val="0"/>
                <w:sz w:val="18"/>
                <w:szCs w:val="18"/>
                <w:u w:val="none"/>
                <w:lang w:val="en-US" w:eastAsia="zh-CN" w:bidi="ar"/>
              </w:rPr>
              <w:t>95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jc w:val="center"/>
        </w:trPr>
        <w:tc>
          <w:tcPr>
            <w:tcW w:w="8054"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jc w:val="center"/>
        </w:trPr>
        <w:tc>
          <w:tcPr>
            <w:tcW w:w="6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292" w:type="dxa"/>
            <w:gridSpan w:val="1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zh-CN" w:eastAsia="zh-CN" w:bidi="ar"/>
              </w:rPr>
            </w:pPr>
            <w:r>
              <w:rPr>
                <w:rFonts w:hint="eastAsia" w:ascii="宋体" w:hAnsi="宋体" w:eastAsia="宋体" w:cs="宋体"/>
                <w:i w:val="0"/>
                <w:color w:val="000000"/>
                <w:kern w:val="0"/>
                <w:sz w:val="18"/>
                <w:szCs w:val="18"/>
                <w:u w:val="none"/>
                <w:lang w:val="zh-CN" w:eastAsia="zh-CN" w:bidi="ar"/>
              </w:rPr>
              <w:t>2023年农村公路养护资金</w:t>
            </w:r>
            <w:r>
              <w:rPr>
                <w:rFonts w:hint="eastAsia" w:ascii="宋体" w:hAnsi="宋体" w:eastAsia="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zh-CN" w:eastAsia="zh-CN" w:bidi="ar"/>
              </w:rPr>
              <w:t>实施能</w:t>
            </w:r>
            <w:r>
              <w:rPr>
                <w:rFonts w:hint="eastAsia" w:ascii="宋体" w:hAnsi="宋体" w:eastAsia="宋体" w:cs="宋体"/>
                <w:i w:val="0"/>
                <w:color w:val="000000"/>
                <w:kern w:val="0"/>
                <w:sz w:val="18"/>
                <w:szCs w:val="18"/>
                <w:u w:val="none"/>
                <w:lang w:val="en-US" w:eastAsia="zh-CN" w:bidi="ar"/>
              </w:rPr>
              <w:t>改善</w:t>
            </w:r>
            <w:r>
              <w:rPr>
                <w:rFonts w:hint="eastAsia" w:ascii="宋体" w:hAnsi="宋体" w:eastAsia="宋体" w:cs="宋体"/>
                <w:i w:val="0"/>
                <w:color w:val="000000"/>
                <w:kern w:val="0"/>
                <w:sz w:val="18"/>
                <w:szCs w:val="18"/>
                <w:u w:val="none"/>
                <w:lang w:val="zh-CN" w:eastAsia="zh-CN" w:bidi="ar"/>
              </w:rPr>
              <w:t>保障我镇</w:t>
            </w:r>
            <w:r>
              <w:rPr>
                <w:rFonts w:hint="eastAsia" w:ascii="宋体" w:hAnsi="宋体" w:eastAsia="宋体" w:cs="宋体"/>
                <w:i w:val="0"/>
                <w:color w:val="000000"/>
                <w:kern w:val="0"/>
                <w:sz w:val="18"/>
                <w:szCs w:val="18"/>
                <w:u w:val="none"/>
                <w:lang w:val="en-US" w:eastAsia="zh-CN" w:bidi="ar"/>
              </w:rPr>
              <w:t>石鼓村</w:t>
            </w:r>
            <w:r>
              <w:rPr>
                <w:rFonts w:hint="eastAsia" w:ascii="宋体" w:hAnsi="宋体" w:eastAsia="宋体" w:cs="宋体"/>
                <w:i w:val="0"/>
                <w:color w:val="000000"/>
                <w:kern w:val="0"/>
                <w:sz w:val="18"/>
                <w:szCs w:val="18"/>
                <w:u w:val="none"/>
                <w:lang w:val="zh-CN" w:eastAsia="zh-CN" w:bidi="ar"/>
              </w:rPr>
              <w:t>村道畅通，方便群众出行，保障农副产品运输。</w:t>
            </w:r>
          </w:p>
          <w:p>
            <w:pPr>
              <w:rPr>
                <w:rFonts w:hint="eastAsia" w:ascii="微软雅黑" w:hAnsi="微软雅黑" w:eastAsia="微软雅黑" w:cs="微软雅黑"/>
                <w:i/>
                <w:color w:val="000000"/>
                <w:sz w:val="16"/>
                <w:szCs w:val="16"/>
                <w:u w:val="none"/>
              </w:rPr>
            </w:pPr>
          </w:p>
        </w:tc>
      </w:tr>
      <w:tr>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r>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29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无。</w:t>
            </w:r>
          </w:p>
        </w:tc>
      </w:tr>
    </w:tbl>
    <w:p>
      <w:pPr>
        <w:pStyle w:val="2"/>
        <w:ind w:left="0" w:leftChars="0" w:firstLine="0" w:firstLineChars="0"/>
        <w:jc w:val="both"/>
      </w:pPr>
    </w:p>
    <w:p>
      <w:pPr>
        <w:rPr>
          <w:rStyle w:val="37"/>
          <w:rFonts w:hint="eastAsia" w:ascii="黑体" w:hAnsi="黑体" w:eastAsia="黑体"/>
          <w:b w:val="0"/>
          <w:color w:val="auto"/>
          <w:highlight w:val="none"/>
        </w:rPr>
      </w:pPr>
      <w:r>
        <w:rPr>
          <w:rStyle w:val="37"/>
          <w:rFonts w:hint="eastAsia" w:ascii="黑体" w:hAnsi="黑体" w:eastAsia="黑体"/>
          <w:b w:val="0"/>
          <w:color w:val="auto"/>
          <w:highlight w:val="none"/>
        </w:rPr>
        <w:br w:type="page"/>
      </w:r>
    </w:p>
    <w:p>
      <w:pPr>
        <w:suppressAutoHyphens/>
        <w:bidi w:val="0"/>
        <w:spacing w:line="600" w:lineRule="exact"/>
        <w:jc w:val="center"/>
        <w:outlineLvl w:val="0"/>
        <w:rPr>
          <w:rFonts w:hint="eastAsia" w:ascii="思源黑体 CN Normal" w:hAnsi="思源黑体 CN Normal" w:eastAsia="思源黑体 CN Normal" w:cs="思源黑体 CN Normal"/>
          <w:b w:val="0"/>
          <w:bCs w:val="0"/>
          <w:sz w:val="44"/>
          <w:szCs w:val="44"/>
        </w:rPr>
      </w:pPr>
      <w:r>
        <w:rPr>
          <w:rStyle w:val="37"/>
          <w:rFonts w:hint="eastAsia" w:ascii="黑体" w:hAnsi="黑体" w:eastAsia="黑体"/>
          <w:b w:val="0"/>
          <w:color w:val="auto"/>
          <w:sz w:val="44"/>
          <w:szCs w:val="44"/>
          <w:highlight w:val="none"/>
        </w:rPr>
        <w:t>第五部分附表</w:t>
      </w:r>
      <w:bookmarkEnd w:id="74"/>
      <w:bookmarkEnd w:id="75"/>
      <w:bookmarkEnd w:id="76"/>
      <w:bookmarkEnd w:id="77"/>
    </w:p>
    <w:p>
      <w:pPr>
        <w:pStyle w:val="5"/>
        <w:ind w:firstLine="640" w:firstLineChars="200"/>
        <w:rPr>
          <w:rFonts w:hint="eastAsia" w:ascii="仿宋_GB2312" w:hAnsi="仿宋_GB2312" w:eastAsia="仿宋_GB2312" w:cs="仿宋_GB2312"/>
          <w:b w:val="0"/>
          <w:bCs/>
          <w:color w:val="000000"/>
        </w:rPr>
      </w:pPr>
      <w:bookmarkStart w:id="78" w:name="_Toc16431"/>
      <w:r>
        <w:rPr>
          <w:rFonts w:hint="eastAsia" w:ascii="仿宋_GB2312" w:hAnsi="仿宋_GB2312" w:eastAsia="仿宋_GB2312" w:cs="仿宋_GB2312"/>
          <w:b w:val="0"/>
          <w:bCs/>
          <w:color w:val="000000"/>
        </w:rPr>
        <w:t>一、收入支出决算总表</w:t>
      </w:r>
      <w:bookmarkEnd w:id="78"/>
    </w:p>
    <w:p>
      <w:pPr>
        <w:pStyle w:val="5"/>
        <w:ind w:firstLine="640" w:firstLineChars="200"/>
        <w:rPr>
          <w:rFonts w:hint="eastAsia" w:ascii="仿宋_GB2312" w:hAnsi="仿宋_GB2312" w:eastAsia="仿宋_GB2312" w:cs="仿宋_GB2312"/>
          <w:b w:val="0"/>
          <w:bCs/>
          <w:color w:val="000000"/>
        </w:rPr>
      </w:pPr>
      <w:bookmarkStart w:id="79" w:name="_Toc25389"/>
      <w:r>
        <w:rPr>
          <w:rFonts w:hint="eastAsia" w:ascii="仿宋_GB2312" w:hAnsi="仿宋_GB2312" w:eastAsia="仿宋_GB2312" w:cs="仿宋_GB2312"/>
          <w:b w:val="0"/>
          <w:bCs/>
          <w:color w:val="000000"/>
        </w:rPr>
        <w:t>二、收入决算表</w:t>
      </w:r>
      <w:bookmarkEnd w:id="79"/>
    </w:p>
    <w:p>
      <w:pPr>
        <w:pStyle w:val="5"/>
        <w:ind w:firstLine="640" w:firstLineChars="200"/>
        <w:rPr>
          <w:rFonts w:hint="eastAsia" w:ascii="仿宋_GB2312" w:hAnsi="仿宋_GB2312" w:eastAsia="仿宋_GB2312" w:cs="仿宋_GB2312"/>
          <w:b w:val="0"/>
          <w:bCs/>
          <w:color w:val="000000"/>
        </w:rPr>
      </w:pPr>
      <w:bookmarkStart w:id="80" w:name="_Toc10450"/>
      <w:r>
        <w:rPr>
          <w:rFonts w:hint="eastAsia" w:ascii="仿宋_GB2312" w:hAnsi="仿宋_GB2312" w:eastAsia="仿宋_GB2312" w:cs="仿宋_GB2312"/>
          <w:b w:val="0"/>
          <w:bCs/>
          <w:color w:val="000000"/>
        </w:rPr>
        <w:t>三、支出决算表</w:t>
      </w:r>
      <w:bookmarkEnd w:id="80"/>
    </w:p>
    <w:p>
      <w:pPr>
        <w:pStyle w:val="5"/>
        <w:ind w:firstLine="640" w:firstLineChars="200"/>
        <w:rPr>
          <w:rFonts w:hint="eastAsia" w:ascii="仿宋_GB2312" w:hAnsi="仿宋_GB2312" w:eastAsia="仿宋_GB2312" w:cs="仿宋_GB2312"/>
          <w:b w:val="0"/>
          <w:bCs/>
          <w:color w:val="000000"/>
        </w:rPr>
      </w:pPr>
      <w:bookmarkStart w:id="81" w:name="_Toc15415"/>
      <w:r>
        <w:rPr>
          <w:rFonts w:hint="eastAsia" w:ascii="仿宋_GB2312" w:hAnsi="仿宋_GB2312" w:eastAsia="仿宋_GB2312" w:cs="仿宋_GB2312"/>
          <w:b w:val="0"/>
          <w:bCs/>
          <w:color w:val="000000"/>
        </w:rPr>
        <w:t>四、财政拨款收入支出决算总表</w:t>
      </w:r>
      <w:bookmarkEnd w:id="81"/>
    </w:p>
    <w:p>
      <w:pPr>
        <w:pStyle w:val="5"/>
        <w:ind w:firstLine="640" w:firstLineChars="200"/>
        <w:rPr>
          <w:rFonts w:hint="eastAsia" w:ascii="仿宋_GB2312" w:hAnsi="仿宋_GB2312" w:eastAsia="仿宋_GB2312" w:cs="仿宋_GB2312"/>
          <w:b w:val="0"/>
          <w:bCs/>
          <w:color w:val="000000"/>
        </w:rPr>
      </w:pPr>
      <w:bookmarkStart w:id="82" w:name="_Toc17530"/>
      <w:r>
        <w:rPr>
          <w:rFonts w:hint="eastAsia" w:ascii="仿宋_GB2312" w:hAnsi="仿宋_GB2312" w:eastAsia="仿宋_GB2312" w:cs="仿宋_GB2312"/>
          <w:b w:val="0"/>
          <w:bCs/>
          <w:color w:val="000000"/>
        </w:rPr>
        <w:t>五、财政拨款支出决算明细表</w:t>
      </w:r>
      <w:bookmarkEnd w:id="82"/>
    </w:p>
    <w:p>
      <w:pPr>
        <w:pStyle w:val="5"/>
        <w:ind w:firstLine="640" w:firstLineChars="200"/>
        <w:rPr>
          <w:rFonts w:hint="eastAsia" w:ascii="仿宋_GB2312" w:hAnsi="仿宋_GB2312" w:eastAsia="仿宋_GB2312" w:cs="仿宋_GB2312"/>
          <w:b w:val="0"/>
          <w:bCs/>
          <w:color w:val="000000"/>
        </w:rPr>
      </w:pPr>
      <w:bookmarkStart w:id="83" w:name="_Toc22032"/>
      <w:r>
        <w:rPr>
          <w:rFonts w:hint="eastAsia" w:ascii="仿宋_GB2312" w:hAnsi="仿宋_GB2312" w:eastAsia="仿宋_GB2312" w:cs="仿宋_GB2312"/>
          <w:b w:val="0"/>
          <w:bCs/>
          <w:color w:val="000000"/>
        </w:rPr>
        <w:t>六、一般公共预算财政拨款支出决算表</w:t>
      </w:r>
      <w:bookmarkEnd w:id="83"/>
    </w:p>
    <w:p>
      <w:pPr>
        <w:pStyle w:val="5"/>
        <w:ind w:firstLine="640" w:firstLineChars="200"/>
        <w:rPr>
          <w:rFonts w:hint="eastAsia" w:ascii="仿宋_GB2312" w:hAnsi="仿宋_GB2312" w:eastAsia="仿宋_GB2312" w:cs="仿宋_GB2312"/>
          <w:b w:val="0"/>
          <w:bCs/>
          <w:color w:val="000000"/>
        </w:rPr>
      </w:pPr>
      <w:bookmarkStart w:id="84" w:name="_Toc3364"/>
      <w:r>
        <w:rPr>
          <w:rFonts w:hint="eastAsia" w:ascii="仿宋_GB2312" w:hAnsi="仿宋_GB2312" w:eastAsia="仿宋_GB2312" w:cs="仿宋_GB2312"/>
          <w:b w:val="0"/>
          <w:bCs/>
          <w:color w:val="000000"/>
        </w:rPr>
        <w:t>七、一般公共预算财政拨款支出决算明细表</w:t>
      </w:r>
      <w:bookmarkEnd w:id="84"/>
    </w:p>
    <w:p>
      <w:pPr>
        <w:pStyle w:val="5"/>
        <w:ind w:firstLine="640" w:firstLineChars="200"/>
        <w:rPr>
          <w:rFonts w:hint="eastAsia" w:ascii="仿宋_GB2312" w:hAnsi="仿宋_GB2312" w:eastAsia="仿宋_GB2312" w:cs="仿宋_GB2312"/>
          <w:b w:val="0"/>
          <w:bCs/>
          <w:color w:val="000000"/>
        </w:rPr>
      </w:pPr>
      <w:bookmarkStart w:id="85" w:name="_Toc9110"/>
      <w:r>
        <w:rPr>
          <w:rFonts w:hint="eastAsia" w:ascii="仿宋_GB2312" w:hAnsi="仿宋_GB2312" w:eastAsia="仿宋_GB2312" w:cs="仿宋_GB2312"/>
          <w:b w:val="0"/>
          <w:bCs/>
          <w:color w:val="000000"/>
        </w:rPr>
        <w:t>八、一般公共预算财政拨款基本支出决算表</w:t>
      </w:r>
      <w:bookmarkEnd w:id="85"/>
    </w:p>
    <w:p>
      <w:pPr>
        <w:pStyle w:val="5"/>
        <w:ind w:firstLine="640" w:firstLineChars="200"/>
        <w:rPr>
          <w:rFonts w:hint="eastAsia" w:ascii="仿宋_GB2312" w:hAnsi="仿宋_GB2312" w:eastAsia="仿宋_GB2312" w:cs="仿宋_GB2312"/>
          <w:b w:val="0"/>
          <w:bCs/>
          <w:color w:val="000000"/>
        </w:rPr>
      </w:pPr>
      <w:bookmarkStart w:id="86" w:name="_Toc28582"/>
      <w:r>
        <w:rPr>
          <w:rFonts w:hint="eastAsia" w:ascii="仿宋_GB2312" w:hAnsi="仿宋_GB2312" w:eastAsia="仿宋_GB2312" w:cs="仿宋_GB2312"/>
          <w:b w:val="0"/>
          <w:bCs/>
          <w:color w:val="000000"/>
        </w:rPr>
        <w:t>九、一般公共预算财政拨款项目支出决算表</w:t>
      </w:r>
      <w:bookmarkEnd w:id="86"/>
    </w:p>
    <w:p>
      <w:pPr>
        <w:pStyle w:val="5"/>
        <w:ind w:firstLine="640" w:firstLineChars="200"/>
        <w:rPr>
          <w:rFonts w:hint="eastAsia" w:ascii="仿宋_GB2312" w:hAnsi="仿宋_GB2312" w:eastAsia="仿宋_GB2312" w:cs="仿宋_GB2312"/>
          <w:b w:val="0"/>
          <w:bCs/>
          <w:color w:val="000000"/>
        </w:rPr>
      </w:pPr>
      <w:bookmarkStart w:id="87" w:name="_Toc22001"/>
      <w:r>
        <w:rPr>
          <w:rFonts w:hint="eastAsia" w:ascii="仿宋_GB2312" w:hAnsi="仿宋_GB2312" w:eastAsia="仿宋_GB2312" w:cs="仿宋_GB2312"/>
          <w:b w:val="0"/>
          <w:bCs/>
          <w:color w:val="000000"/>
        </w:rPr>
        <w:t>十、政府性基金预算财政拨款收入支出决算表</w:t>
      </w:r>
      <w:bookmarkEnd w:id="87"/>
    </w:p>
    <w:p>
      <w:pPr>
        <w:pStyle w:val="5"/>
        <w:ind w:firstLine="640" w:firstLineChars="200"/>
        <w:rPr>
          <w:rFonts w:hint="eastAsia" w:ascii="仿宋_GB2312" w:hAnsi="仿宋_GB2312" w:eastAsia="仿宋_GB2312" w:cs="仿宋_GB2312"/>
          <w:b w:val="0"/>
          <w:bCs/>
          <w:color w:val="000000"/>
        </w:rPr>
      </w:pPr>
      <w:bookmarkStart w:id="88" w:name="_Toc6538"/>
      <w:r>
        <w:rPr>
          <w:rFonts w:hint="eastAsia" w:ascii="仿宋_GB2312" w:hAnsi="仿宋_GB2312" w:eastAsia="仿宋_GB2312" w:cs="仿宋_GB2312"/>
          <w:b w:val="0"/>
          <w:bCs/>
          <w:color w:val="000000"/>
        </w:rPr>
        <w:t>十一、国有资本经营预算财政拨款收入支出决算表</w:t>
      </w:r>
      <w:bookmarkEnd w:id="88"/>
    </w:p>
    <w:p>
      <w:pPr>
        <w:pStyle w:val="5"/>
        <w:ind w:firstLine="640" w:firstLineChars="200"/>
        <w:rPr>
          <w:rFonts w:hint="eastAsia" w:ascii="仿宋_GB2312" w:hAnsi="仿宋_GB2312" w:eastAsia="仿宋_GB2312" w:cs="仿宋_GB2312"/>
          <w:b w:val="0"/>
          <w:bCs/>
          <w:color w:val="000000"/>
        </w:rPr>
      </w:pPr>
      <w:bookmarkStart w:id="89" w:name="_Toc10625"/>
      <w:r>
        <w:rPr>
          <w:rFonts w:hint="eastAsia" w:ascii="仿宋_GB2312" w:hAnsi="仿宋_GB2312" w:eastAsia="仿宋_GB2312" w:cs="仿宋_GB2312"/>
          <w:b w:val="0"/>
          <w:bCs/>
          <w:color w:val="000000"/>
        </w:rPr>
        <w:t>十二、国有资本经营预算财政拨款支出决算表</w:t>
      </w:r>
      <w:bookmarkEnd w:id="89"/>
    </w:p>
    <w:p>
      <w:pPr>
        <w:pStyle w:val="5"/>
        <w:ind w:firstLine="640" w:firstLineChars="200"/>
        <w:rPr>
          <w:rFonts w:hint="eastAsia" w:ascii="仿宋_GB2312" w:hAnsi="仿宋_GB2312" w:eastAsia="仿宋_GB2312" w:cs="仿宋_GB2312"/>
          <w:b w:val="0"/>
          <w:bCs/>
          <w:color w:val="000000"/>
        </w:rPr>
      </w:pPr>
      <w:bookmarkStart w:id="90" w:name="_Toc28356"/>
      <w:r>
        <w:rPr>
          <w:rFonts w:hint="eastAsia" w:ascii="仿宋_GB2312" w:hAnsi="仿宋_GB2312" w:eastAsia="仿宋_GB2312" w:cs="仿宋_GB2312"/>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xZWIxZGQ2YTk0MTg1MDRkMzU5OGU2OGZiZWZlYz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017322"/>
    <w:rsid w:val="012F3CEB"/>
    <w:rsid w:val="01B354EA"/>
    <w:rsid w:val="01CF32DE"/>
    <w:rsid w:val="01D74DB7"/>
    <w:rsid w:val="01D86637"/>
    <w:rsid w:val="01F04616"/>
    <w:rsid w:val="03547F3F"/>
    <w:rsid w:val="037A757D"/>
    <w:rsid w:val="03F359AA"/>
    <w:rsid w:val="045647CC"/>
    <w:rsid w:val="0463543B"/>
    <w:rsid w:val="048D6B52"/>
    <w:rsid w:val="04A56E6E"/>
    <w:rsid w:val="04D45254"/>
    <w:rsid w:val="04D550AF"/>
    <w:rsid w:val="04DD4865"/>
    <w:rsid w:val="051A6F96"/>
    <w:rsid w:val="05C25E8C"/>
    <w:rsid w:val="067B57E2"/>
    <w:rsid w:val="069227DA"/>
    <w:rsid w:val="06951176"/>
    <w:rsid w:val="07001BE1"/>
    <w:rsid w:val="07267DE7"/>
    <w:rsid w:val="088F55D5"/>
    <w:rsid w:val="089C4B49"/>
    <w:rsid w:val="09081517"/>
    <w:rsid w:val="091B747D"/>
    <w:rsid w:val="092E626A"/>
    <w:rsid w:val="09A572B6"/>
    <w:rsid w:val="0A19737C"/>
    <w:rsid w:val="0A652BC2"/>
    <w:rsid w:val="0B7218AA"/>
    <w:rsid w:val="0B99373B"/>
    <w:rsid w:val="0BA37CB5"/>
    <w:rsid w:val="0D0429D6"/>
    <w:rsid w:val="0D093B48"/>
    <w:rsid w:val="0D322E51"/>
    <w:rsid w:val="0D6C338E"/>
    <w:rsid w:val="0DB37F58"/>
    <w:rsid w:val="0E6D2010"/>
    <w:rsid w:val="0EC00B7E"/>
    <w:rsid w:val="0F0A5EF6"/>
    <w:rsid w:val="0F1A028E"/>
    <w:rsid w:val="0F5E6610"/>
    <w:rsid w:val="0FB52B86"/>
    <w:rsid w:val="0FDB629D"/>
    <w:rsid w:val="0FFD0B0D"/>
    <w:rsid w:val="103747CF"/>
    <w:rsid w:val="103F4D68"/>
    <w:rsid w:val="10675755"/>
    <w:rsid w:val="10A06571"/>
    <w:rsid w:val="10C055FF"/>
    <w:rsid w:val="116A6D7C"/>
    <w:rsid w:val="11761AF6"/>
    <w:rsid w:val="11761B20"/>
    <w:rsid w:val="11851C0B"/>
    <w:rsid w:val="11D56DF6"/>
    <w:rsid w:val="11ED6591"/>
    <w:rsid w:val="11F85D8C"/>
    <w:rsid w:val="12D70244"/>
    <w:rsid w:val="13245F86"/>
    <w:rsid w:val="13367661"/>
    <w:rsid w:val="133F0D07"/>
    <w:rsid w:val="136F089E"/>
    <w:rsid w:val="13D81ACD"/>
    <w:rsid w:val="14925CB2"/>
    <w:rsid w:val="14B622A5"/>
    <w:rsid w:val="14D728AA"/>
    <w:rsid w:val="15F1786F"/>
    <w:rsid w:val="1665477F"/>
    <w:rsid w:val="16BB723D"/>
    <w:rsid w:val="17283764"/>
    <w:rsid w:val="17BC7656"/>
    <w:rsid w:val="17EA348C"/>
    <w:rsid w:val="17EA64CC"/>
    <w:rsid w:val="1840212F"/>
    <w:rsid w:val="184656CF"/>
    <w:rsid w:val="18EE3199"/>
    <w:rsid w:val="193C261A"/>
    <w:rsid w:val="19934117"/>
    <w:rsid w:val="19943114"/>
    <w:rsid w:val="19DE22C0"/>
    <w:rsid w:val="1A0604F1"/>
    <w:rsid w:val="1AB026BC"/>
    <w:rsid w:val="1ABB32B6"/>
    <w:rsid w:val="1B787B60"/>
    <w:rsid w:val="1BF70747"/>
    <w:rsid w:val="1C06153F"/>
    <w:rsid w:val="1C986C96"/>
    <w:rsid w:val="1D1C2D5C"/>
    <w:rsid w:val="1D7371C3"/>
    <w:rsid w:val="1DDC2BB3"/>
    <w:rsid w:val="1E34479D"/>
    <w:rsid w:val="1EF81F78"/>
    <w:rsid w:val="1F620905"/>
    <w:rsid w:val="1FAF738E"/>
    <w:rsid w:val="1FD12B34"/>
    <w:rsid w:val="201A6AB0"/>
    <w:rsid w:val="203B66A0"/>
    <w:rsid w:val="206D278F"/>
    <w:rsid w:val="20EB1A8B"/>
    <w:rsid w:val="211A679A"/>
    <w:rsid w:val="21253DA0"/>
    <w:rsid w:val="213353E6"/>
    <w:rsid w:val="213F5C05"/>
    <w:rsid w:val="215A6C10"/>
    <w:rsid w:val="22857975"/>
    <w:rsid w:val="23902475"/>
    <w:rsid w:val="23FA0B3C"/>
    <w:rsid w:val="240371BF"/>
    <w:rsid w:val="2435534E"/>
    <w:rsid w:val="244017F7"/>
    <w:rsid w:val="24534F10"/>
    <w:rsid w:val="24DF6C66"/>
    <w:rsid w:val="25355D17"/>
    <w:rsid w:val="253D03DB"/>
    <w:rsid w:val="253F66D1"/>
    <w:rsid w:val="25A20B86"/>
    <w:rsid w:val="25B1070F"/>
    <w:rsid w:val="25DD571A"/>
    <w:rsid w:val="265C1D1F"/>
    <w:rsid w:val="26BB36DB"/>
    <w:rsid w:val="271C5A93"/>
    <w:rsid w:val="276F1834"/>
    <w:rsid w:val="27B459F9"/>
    <w:rsid w:val="27C51E91"/>
    <w:rsid w:val="280173B2"/>
    <w:rsid w:val="28072F22"/>
    <w:rsid w:val="28513369"/>
    <w:rsid w:val="28BF6D42"/>
    <w:rsid w:val="28C822A0"/>
    <w:rsid w:val="292E058E"/>
    <w:rsid w:val="29FD04D3"/>
    <w:rsid w:val="2AE33423"/>
    <w:rsid w:val="2C1E1BB4"/>
    <w:rsid w:val="2CAE1BBE"/>
    <w:rsid w:val="2CCF04B2"/>
    <w:rsid w:val="2DF079DB"/>
    <w:rsid w:val="2E4C04E0"/>
    <w:rsid w:val="2E67588F"/>
    <w:rsid w:val="2F3E191F"/>
    <w:rsid w:val="2F633134"/>
    <w:rsid w:val="2F803D16"/>
    <w:rsid w:val="2FEE50F3"/>
    <w:rsid w:val="2FF22B1D"/>
    <w:rsid w:val="30CB71E3"/>
    <w:rsid w:val="30DC365F"/>
    <w:rsid w:val="30E36C85"/>
    <w:rsid w:val="3180524D"/>
    <w:rsid w:val="31810DA9"/>
    <w:rsid w:val="31903F88"/>
    <w:rsid w:val="319F7F4E"/>
    <w:rsid w:val="31AC1C27"/>
    <w:rsid w:val="31B72CAD"/>
    <w:rsid w:val="32004B5E"/>
    <w:rsid w:val="323A1C2F"/>
    <w:rsid w:val="329448A6"/>
    <w:rsid w:val="32BB6DE3"/>
    <w:rsid w:val="32F45598"/>
    <w:rsid w:val="331A1D5C"/>
    <w:rsid w:val="33204932"/>
    <w:rsid w:val="33447C07"/>
    <w:rsid w:val="33AE2032"/>
    <w:rsid w:val="345D075E"/>
    <w:rsid w:val="35244754"/>
    <w:rsid w:val="361C390A"/>
    <w:rsid w:val="36444CAC"/>
    <w:rsid w:val="36455341"/>
    <w:rsid w:val="364D41F6"/>
    <w:rsid w:val="36FD0156"/>
    <w:rsid w:val="3753318A"/>
    <w:rsid w:val="37F91C46"/>
    <w:rsid w:val="38207F4E"/>
    <w:rsid w:val="38CF6B70"/>
    <w:rsid w:val="38F8371D"/>
    <w:rsid w:val="39226F5F"/>
    <w:rsid w:val="39902098"/>
    <w:rsid w:val="39FD5F33"/>
    <w:rsid w:val="3A3A0F35"/>
    <w:rsid w:val="3A4E1148"/>
    <w:rsid w:val="3AF15A98"/>
    <w:rsid w:val="3B7E652C"/>
    <w:rsid w:val="3C8D2F9D"/>
    <w:rsid w:val="3CA46AF1"/>
    <w:rsid w:val="3CC86CCC"/>
    <w:rsid w:val="3CE0510E"/>
    <w:rsid w:val="3D0E3B71"/>
    <w:rsid w:val="3D145A6E"/>
    <w:rsid w:val="3D1927CA"/>
    <w:rsid w:val="3D1E4B3E"/>
    <w:rsid w:val="3D6F2272"/>
    <w:rsid w:val="3D8344ED"/>
    <w:rsid w:val="3E03620E"/>
    <w:rsid w:val="3E343C22"/>
    <w:rsid w:val="3EF96FF4"/>
    <w:rsid w:val="3F512FA9"/>
    <w:rsid w:val="3F7C601F"/>
    <w:rsid w:val="3FAC4683"/>
    <w:rsid w:val="3FB11C9A"/>
    <w:rsid w:val="3FEA5DFB"/>
    <w:rsid w:val="40035B02"/>
    <w:rsid w:val="401C35B7"/>
    <w:rsid w:val="4119235A"/>
    <w:rsid w:val="41677310"/>
    <w:rsid w:val="418D1865"/>
    <w:rsid w:val="42096AB2"/>
    <w:rsid w:val="422C2C46"/>
    <w:rsid w:val="42310E70"/>
    <w:rsid w:val="4251506E"/>
    <w:rsid w:val="42B75819"/>
    <w:rsid w:val="43140575"/>
    <w:rsid w:val="43684120"/>
    <w:rsid w:val="4427252A"/>
    <w:rsid w:val="444F07DA"/>
    <w:rsid w:val="44601E28"/>
    <w:rsid w:val="472E4611"/>
    <w:rsid w:val="475E72DC"/>
    <w:rsid w:val="47F514AF"/>
    <w:rsid w:val="4839282C"/>
    <w:rsid w:val="484752C1"/>
    <w:rsid w:val="48FD5F50"/>
    <w:rsid w:val="48FD75BD"/>
    <w:rsid w:val="49243056"/>
    <w:rsid w:val="494C4A06"/>
    <w:rsid w:val="4970701E"/>
    <w:rsid w:val="4A113668"/>
    <w:rsid w:val="4A745623"/>
    <w:rsid w:val="4B187071"/>
    <w:rsid w:val="4B2B2DCB"/>
    <w:rsid w:val="4B6A5BC2"/>
    <w:rsid w:val="4B6D2BD3"/>
    <w:rsid w:val="4C7555EC"/>
    <w:rsid w:val="4D135D42"/>
    <w:rsid w:val="4D5654E6"/>
    <w:rsid w:val="4D846266"/>
    <w:rsid w:val="4D8D78A2"/>
    <w:rsid w:val="4DDF0B4C"/>
    <w:rsid w:val="4DF123A8"/>
    <w:rsid w:val="4E290981"/>
    <w:rsid w:val="4E4D24E4"/>
    <w:rsid w:val="4E832A53"/>
    <w:rsid w:val="4E9361D0"/>
    <w:rsid w:val="4E9E44C2"/>
    <w:rsid w:val="4EA8259A"/>
    <w:rsid w:val="4EBC1A30"/>
    <w:rsid w:val="4F073684"/>
    <w:rsid w:val="4F395B30"/>
    <w:rsid w:val="4F3B530F"/>
    <w:rsid w:val="4F6F7A34"/>
    <w:rsid w:val="4FD74194"/>
    <w:rsid w:val="4FDA49F5"/>
    <w:rsid w:val="5058366F"/>
    <w:rsid w:val="50AE413E"/>
    <w:rsid w:val="50D3720A"/>
    <w:rsid w:val="51E1640E"/>
    <w:rsid w:val="51EE42CA"/>
    <w:rsid w:val="52195E38"/>
    <w:rsid w:val="52302EF2"/>
    <w:rsid w:val="526E48F5"/>
    <w:rsid w:val="52D3015E"/>
    <w:rsid w:val="52ED6284"/>
    <w:rsid w:val="5322283B"/>
    <w:rsid w:val="532B0C13"/>
    <w:rsid w:val="535C0653"/>
    <w:rsid w:val="53BA6F17"/>
    <w:rsid w:val="53BE2B80"/>
    <w:rsid w:val="53E42E85"/>
    <w:rsid w:val="54136CE6"/>
    <w:rsid w:val="541505F1"/>
    <w:rsid w:val="54992FD0"/>
    <w:rsid w:val="55872E29"/>
    <w:rsid w:val="5637264E"/>
    <w:rsid w:val="56D0674C"/>
    <w:rsid w:val="57D23F06"/>
    <w:rsid w:val="58BA52C3"/>
    <w:rsid w:val="58BC5D23"/>
    <w:rsid w:val="59177DCC"/>
    <w:rsid w:val="59E040FC"/>
    <w:rsid w:val="59E11CD3"/>
    <w:rsid w:val="5A857BDE"/>
    <w:rsid w:val="5B2A4567"/>
    <w:rsid w:val="5B5419FF"/>
    <w:rsid w:val="5BE202EA"/>
    <w:rsid w:val="5CE95B0C"/>
    <w:rsid w:val="5CFA7F1D"/>
    <w:rsid w:val="5D4B0BE0"/>
    <w:rsid w:val="5D577E65"/>
    <w:rsid w:val="5D6F6B2F"/>
    <w:rsid w:val="5E016438"/>
    <w:rsid w:val="5E2506F8"/>
    <w:rsid w:val="5E5E7F75"/>
    <w:rsid w:val="5EA316D6"/>
    <w:rsid w:val="5ECE1AC8"/>
    <w:rsid w:val="5EF556B7"/>
    <w:rsid w:val="5F3A07D2"/>
    <w:rsid w:val="5F593A88"/>
    <w:rsid w:val="5F9C5723"/>
    <w:rsid w:val="5FE356D0"/>
    <w:rsid w:val="5FF901AE"/>
    <w:rsid w:val="60651EAC"/>
    <w:rsid w:val="608C1C3B"/>
    <w:rsid w:val="60BB3927"/>
    <w:rsid w:val="6200749A"/>
    <w:rsid w:val="620F0B35"/>
    <w:rsid w:val="6240022D"/>
    <w:rsid w:val="62A42EE2"/>
    <w:rsid w:val="62F14F12"/>
    <w:rsid w:val="630D013F"/>
    <w:rsid w:val="63347FC4"/>
    <w:rsid w:val="63604CB9"/>
    <w:rsid w:val="63A70B3A"/>
    <w:rsid w:val="64A36D0B"/>
    <w:rsid w:val="64C656C1"/>
    <w:rsid w:val="64F77166"/>
    <w:rsid w:val="65201386"/>
    <w:rsid w:val="657F4183"/>
    <w:rsid w:val="658466A7"/>
    <w:rsid w:val="6596487B"/>
    <w:rsid w:val="65DF63C9"/>
    <w:rsid w:val="662A7F2C"/>
    <w:rsid w:val="66627873"/>
    <w:rsid w:val="66D65FFA"/>
    <w:rsid w:val="67731D96"/>
    <w:rsid w:val="67C24194"/>
    <w:rsid w:val="67C85BCD"/>
    <w:rsid w:val="67EB36EB"/>
    <w:rsid w:val="68DA2DB6"/>
    <w:rsid w:val="69725134"/>
    <w:rsid w:val="6A427FA9"/>
    <w:rsid w:val="6B4666B6"/>
    <w:rsid w:val="6BA86459"/>
    <w:rsid w:val="6BB306BC"/>
    <w:rsid w:val="6C3311BD"/>
    <w:rsid w:val="6CC85DA9"/>
    <w:rsid w:val="6D2A5F93"/>
    <w:rsid w:val="6D8F2D6B"/>
    <w:rsid w:val="6DB91990"/>
    <w:rsid w:val="6DC31436"/>
    <w:rsid w:val="6E6F4E2B"/>
    <w:rsid w:val="6ECB49CF"/>
    <w:rsid w:val="6ECB5A2B"/>
    <w:rsid w:val="6F806E0F"/>
    <w:rsid w:val="70202A42"/>
    <w:rsid w:val="70ED3F4C"/>
    <w:rsid w:val="72227D09"/>
    <w:rsid w:val="72E476B5"/>
    <w:rsid w:val="72F22338"/>
    <w:rsid w:val="73327580"/>
    <w:rsid w:val="733572FD"/>
    <w:rsid w:val="73BE3A62"/>
    <w:rsid w:val="746C7E4B"/>
    <w:rsid w:val="74A84B75"/>
    <w:rsid w:val="750E6C6B"/>
    <w:rsid w:val="755E374E"/>
    <w:rsid w:val="75884CEA"/>
    <w:rsid w:val="7589009F"/>
    <w:rsid w:val="75B310E7"/>
    <w:rsid w:val="75B318F4"/>
    <w:rsid w:val="75DE0C83"/>
    <w:rsid w:val="761A4623"/>
    <w:rsid w:val="76377F56"/>
    <w:rsid w:val="764B35A7"/>
    <w:rsid w:val="769E6A57"/>
    <w:rsid w:val="77B238DE"/>
    <w:rsid w:val="78A4106B"/>
    <w:rsid w:val="78CF5C65"/>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 w:val="FF3327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Normal Indent"/>
    <w:basedOn w:val="1"/>
    <w:unhideWhenUsed/>
    <w:qFormat/>
    <w:uiPriority w:val="99"/>
    <w:pPr>
      <w:ind w:firstLine="680"/>
    </w:pPr>
  </w:style>
  <w:style w:type="paragraph" w:styleId="8">
    <w:name w:val="annotation text"/>
    <w:basedOn w:val="1"/>
    <w:semiHidden/>
    <w:unhideWhenUsed/>
    <w:qFormat/>
    <w:uiPriority w:val="99"/>
    <w:pPr>
      <w:jc w:val="left"/>
    </w:pPr>
  </w:style>
  <w:style w:type="paragraph" w:styleId="9">
    <w:name w:val="Body Text"/>
    <w:basedOn w:val="1"/>
    <w:link w:val="30"/>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9"/>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4"/>
    <w:qFormat/>
    <w:uiPriority w:val="9"/>
    <w:rPr>
      <w:rFonts w:ascii="Times New Roman" w:hAnsi="Times New Roman"/>
      <w:b/>
      <w:bCs/>
      <w:kern w:val="44"/>
      <w:sz w:val="44"/>
      <w:szCs w:val="44"/>
    </w:rPr>
  </w:style>
  <w:style w:type="character" w:customStyle="1" w:styleId="33">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6"/>
    <w:qFormat/>
    <w:uiPriority w:val="9"/>
    <w:rPr>
      <w:rFonts w:ascii="Times New Roman" w:hAnsi="Times New Roman"/>
      <w:b/>
      <w:bCs/>
      <w:kern w:val="2"/>
      <w:sz w:val="32"/>
      <w:szCs w:val="32"/>
    </w:rPr>
  </w:style>
  <w:style w:type="character" w:customStyle="1" w:styleId="37">
    <w:name w:val="标题 1 Char"/>
    <w:basedOn w:val="20"/>
    <w:link w:val="4"/>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{3378.1,4846.77}</c:f>
              <c:numCache>
                <c:formatCode>General</c:formatCode>
                <c:ptCount val="2"/>
                <c:pt idx="0">
                  <c:v>3378.1</c:v>
                </c:pt>
                <c:pt idx="1">
                  <c:v>4846.77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{4802.93,43.85}</c:f>
              <c:numCache>
                <c:formatCode>General</c:formatCode>
                <c:ptCount val="2"/>
                <c:pt idx="0">
                  <c:v>4802.93</c:v>
                </c:pt>
                <c:pt idx="1">
                  <c:v>43.85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solidFill>
                  <a:schemeClr val="tx1"/>
                </a:solidFill>
              </a:rPr>
              <a:t>支出决算结构图</a:t>
            </a:r>
            <a:endParaRPr lang="en-US" sz="1100">
              <a:solidFill>
                <a:schemeClr val="tx1"/>
              </a:solidFill>
            </a:endParaRPr>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{2432.96,2413.82}</c:f>
              <c:numCache>
                <c:formatCode>General</c:formatCode>
                <c:ptCount val="2"/>
                <c:pt idx="0">
                  <c:v>2432.96</c:v>
                </c:pt>
                <c:pt idx="1">
                  <c:v>2413.82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spPr>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prstDash val="solid"/>
      <a:round/>
    </a:ln>
    <a:effectLst/>
  </c:spPr>
  <c:txPr>
    <a:bodyPr/>
    <a:lstStyle/>
    <a:p>
      <a:pPr>
        <a:defRPr lang="zh-CN">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{3378.1,4846.77}</c:f>
              <c:numCache>
                <c:formatCode>General</c:formatCode>
                <c:ptCount val="2"/>
                <c:pt idx="0">
                  <c:v>3378.1</c:v>
                </c:pt>
                <c:pt idx="1">
                  <c:v>4846.77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{3089.17}</c:f>
              <c:numCache>
                <c:formatCode>General</c:formatCode>
                <c:ptCount val="1"/>
                <c:pt idx="0">
                  <c:v>3089.17</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{4802.93}</c:f>
              <c:numCache>
                <c:formatCode>General</c:formatCode>
                <c:ptCount val="1"/>
                <c:pt idx="0">
                  <c:v>4802.93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{2091.62,414.38,137.96,1991.49,167.47}</c:f>
              <c:numCache>
                <c:formatCode>General</c:formatCode>
                <c:ptCount val="5"/>
                <c:pt idx="0">
                  <c:v>2091.62</c:v>
                </c:pt>
                <c:pt idx="1">
                  <c:v>414.38</c:v>
                </c:pt>
                <c:pt idx="2">
                  <c:v>137.96</c:v>
                </c:pt>
                <c:pt idx="3">
                  <c:v>1991.49</c:v>
                </c:pt>
                <c:pt idx="4">
                  <c:v>167.47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20122</Words>
  <Characters>23227</Characters>
  <Lines>48</Lines>
  <Paragraphs>13</Paragraphs>
  <TotalTime>2</TotalTime>
  <ScaleCrop>false</ScaleCrop>
  <LinksUpToDate>false</LinksUpToDate>
  <CharactersWithSpaces>23395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2023-08-18T23:28:00Z</dcterms:created>
  <dc:creator>pjf</dc:creator>
  <cp:lastModifiedBy>user</cp:lastModifiedBy>
  <cp:lastPrinted>2021-09-27T00:39:00Z</cp:lastPrinted>
  <dcterms:modified xsi:type="dcterms:W3CDTF">2025-04-25T15:03:25Z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20B5B8F93EFB426C87F2BE1F5CD79225_13</vt:lpwstr>
  </property>
</Properties>
</file>