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BBC4D">
      <w:pPr>
        <w:pStyle w:val="7"/>
        <w:pageBreakBefore w:val="0"/>
        <w:kinsoku/>
        <w:wordWrap/>
        <w:overflowPunct/>
        <w:topLinePunct w:val="0"/>
        <w:autoSpaceDE/>
        <w:autoSpaceDN/>
        <w:bidi w:val="0"/>
        <w:spacing w:line="576" w:lineRule="exact"/>
        <w:textAlignment w:val="auto"/>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425"/>
      <w:bookmarkStart w:id="2" w:name="_Toc15306267"/>
      <w:bookmarkStart w:id="3" w:name="_Toc15377193"/>
      <w:bookmarkStart w:id="4" w:name="_Toc15396475"/>
      <w:bookmarkStart w:id="5" w:name="_Toc15378441"/>
    </w:p>
    <w:p w14:paraId="690605AA">
      <w:pPr>
        <w:pStyle w:val="7"/>
        <w:pageBreakBefore w:val="0"/>
        <w:kinsoku/>
        <w:wordWrap/>
        <w:overflowPunct/>
        <w:topLinePunct w:val="0"/>
        <w:autoSpaceDE/>
        <w:autoSpaceDN/>
        <w:bidi w:val="0"/>
        <w:spacing w:line="576" w:lineRule="exact"/>
        <w:textAlignment w:val="auto"/>
        <w:rPr>
          <w:rFonts w:hint="eastAsia" w:ascii="Times New Roman" w:hAnsi="Times New Roman" w:eastAsia="方正小标宋简体" w:cs="Times New Roman"/>
          <w:color w:val="auto"/>
          <w:kern w:val="2"/>
          <w:sz w:val="72"/>
          <w:szCs w:val="72"/>
          <w:highlight w:val="none"/>
          <w:lang w:val="en-US" w:eastAsia="zh-CN" w:bidi="ar-SA"/>
        </w:rPr>
      </w:pPr>
    </w:p>
    <w:p w14:paraId="459EDE13">
      <w:pPr>
        <w:pStyle w:val="7"/>
        <w:pageBreakBefore w:val="0"/>
        <w:kinsoku/>
        <w:wordWrap/>
        <w:overflowPunct/>
        <w:topLinePunct w:val="0"/>
        <w:autoSpaceDE/>
        <w:autoSpaceDN/>
        <w:bidi w:val="0"/>
        <w:spacing w:line="576" w:lineRule="exact"/>
        <w:textAlignment w:val="auto"/>
        <w:rPr>
          <w:rFonts w:hint="eastAsia" w:ascii="Times New Roman" w:hAnsi="Times New Roman" w:eastAsia="方正小标宋简体" w:cs="Times New Roman"/>
          <w:color w:val="auto"/>
          <w:kern w:val="2"/>
          <w:sz w:val="72"/>
          <w:szCs w:val="72"/>
          <w:highlight w:val="none"/>
          <w:lang w:val="en-US" w:eastAsia="zh-CN" w:bidi="ar-SA"/>
        </w:rPr>
      </w:pPr>
    </w:p>
    <w:p w14:paraId="1469C13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年度</w:t>
      </w:r>
    </w:p>
    <w:p w14:paraId="24D9165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6" w:name="_Toc15396476"/>
      <w:bookmarkStart w:id="7" w:name="_Toc15377194"/>
      <w:bookmarkStart w:id="8" w:name="_Toc15306268"/>
      <w:bookmarkStart w:id="9" w:name="_Toc15377426"/>
      <w:bookmarkStart w:id="10" w:name="_Toc15396598"/>
      <w:bookmarkStart w:id="11" w:name="_Toc15378442"/>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阿坝州</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茂县凤仪镇人民政府（事业）</w:t>
      </w:r>
    </w:p>
    <w:p w14:paraId="17EC26A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单位决算</w:t>
      </w:r>
      <w:bookmarkEnd w:id="6"/>
      <w:bookmarkEnd w:id="7"/>
      <w:bookmarkEnd w:id="8"/>
      <w:bookmarkEnd w:id="9"/>
      <w:bookmarkEnd w:id="10"/>
      <w:bookmarkEnd w:id="11"/>
    </w:p>
    <w:p w14:paraId="775AFE98">
      <w:pPr>
        <w:pageBreakBefore w:val="0"/>
        <w:kinsoku/>
        <w:wordWrap/>
        <w:overflowPunct/>
        <w:topLinePunct w:val="0"/>
        <w:autoSpaceDE/>
        <w:autoSpaceDN/>
        <w:bidi w:val="0"/>
        <w:spacing w:line="576" w:lineRule="exact"/>
        <w:jc w:val="center"/>
        <w:textAlignment w:val="auto"/>
        <w:outlineLvl w:val="9"/>
        <w:rPr>
          <w:rFonts w:ascii="Times New Roman" w:hAnsi="Times New Roman" w:eastAsia="方正小标宋简体"/>
          <w:color w:val="auto"/>
          <w:sz w:val="72"/>
          <w:szCs w:val="72"/>
          <w:highlight w:val="none"/>
        </w:rPr>
      </w:pPr>
    </w:p>
    <w:p w14:paraId="259D6646">
      <w:pPr>
        <w:pStyle w:val="2"/>
        <w:pageBreakBefore w:val="0"/>
        <w:kinsoku/>
        <w:wordWrap/>
        <w:overflowPunct/>
        <w:topLinePunct w:val="0"/>
        <w:autoSpaceDE/>
        <w:autoSpaceDN/>
        <w:bidi w:val="0"/>
        <w:spacing w:line="576" w:lineRule="exact"/>
        <w:textAlignment w:val="auto"/>
        <w:outlineLvl w:val="9"/>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titlePg/>
          <w:docGrid w:type="lines" w:linePitch="312" w:charSpace="0"/>
        </w:sectPr>
      </w:pPr>
    </w:p>
    <w:p w14:paraId="6AE499AD">
      <w:pPr>
        <w:pageBreakBefore w:val="0"/>
        <w:kinsoku/>
        <w:wordWrap/>
        <w:overflowPunct/>
        <w:topLinePunct w:val="0"/>
        <w:autoSpaceDE/>
        <w:autoSpaceDN/>
        <w:bidi w:val="0"/>
        <w:spacing w:line="576" w:lineRule="exact"/>
        <w:textAlignment w:val="auto"/>
        <w:rPr>
          <w:rFonts w:ascii="Times New Roman" w:hAnsi="Times New Roman"/>
        </w:rPr>
      </w:pPr>
    </w:p>
    <w:bookmarkEnd w:id="0"/>
    <w:bookmarkEnd w:id="1"/>
    <w:bookmarkEnd w:id="2"/>
    <w:bookmarkEnd w:id="3"/>
    <w:bookmarkEnd w:id="4"/>
    <w:bookmarkEnd w:id="5"/>
    <w:p w14:paraId="4D890BC7">
      <w:pPr>
        <w:pageBreakBefore w:val="0"/>
        <w:widowControl/>
        <w:kinsoku/>
        <w:wordWrap/>
        <w:overflowPunct/>
        <w:topLinePunct w:val="0"/>
        <w:autoSpaceDE/>
        <w:autoSpaceDN/>
        <w:bidi w:val="0"/>
        <w:spacing w:line="576" w:lineRule="exact"/>
        <w:jc w:val="center"/>
        <w:textAlignment w:val="auto"/>
        <w:rPr>
          <w:rFonts w:hint="eastAsia"/>
        </w:rPr>
      </w:pPr>
      <w:r>
        <w:rPr>
          <w:rFonts w:hint="eastAsia" w:ascii="Times New Roman" w:hAnsi="Times New Roman" w:eastAsia="黑体"/>
          <w:color w:val="auto"/>
          <w:sz w:val="48"/>
          <w:szCs w:val="48"/>
          <w:highlight w:val="none"/>
        </w:rPr>
        <w:t>目录</w:t>
      </w:r>
    </w:p>
    <w:p w14:paraId="3489E12A">
      <w:pPr>
        <w:pStyle w:val="14"/>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公开时间：20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sdt>
      <w:sdtPr>
        <w:rPr>
          <w:rFonts w:hint="eastAsia" w:ascii="仿宋_GB2312" w:hAnsi="仿宋_GB2312" w:eastAsia="仿宋_GB2312" w:cs="仿宋_GB2312"/>
          <w:kern w:val="2"/>
          <w:sz w:val="32"/>
          <w:szCs w:val="32"/>
          <w:lang w:val="en-US" w:eastAsia="zh-CN" w:bidi="ar-SA"/>
        </w:rPr>
        <w:id w:val="147475360"/>
        <w15:color w:val="DBDBDB"/>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14:paraId="4630D636">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_Toc29265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第一部分</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bCs w:val="0"/>
              <w:sz w:val="32"/>
              <w:szCs w:val="32"/>
              <w:highlight w:val="none"/>
            </w:rPr>
            <w:t>概况</w:t>
          </w:r>
          <w:r>
            <w:rPr>
              <w:rFonts w:hint="eastAsia" w:ascii="仿宋_GB2312" w:hAnsi="仿宋_GB2312" w:eastAsia="仿宋_GB2312" w:cs="仿宋_GB2312"/>
              <w:bCs w:val="0"/>
              <w:sz w:val="32"/>
              <w:szCs w:val="32"/>
              <w:highlight w:val="none"/>
              <w:lang w:val="en-US"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4910932">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_Toc9718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val="en-US" w:eastAsia="zh-CN"/>
            </w:rPr>
            <w:t>第二部分  2024年度部门决算情况说明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_Toc9718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C0ADED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_Toc21385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651DC30">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_Toc26364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_Toc26364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12529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_Toc14098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_Toc14098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CF173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_Toc19121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CB8769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2FF1A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_Toc6221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_Toc6221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0424F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_Toc7307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DAB594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_Toc20268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_Toc20268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717B5E0">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99917E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_Toc7648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9D24E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_Toc6013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部分</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F652E42">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_Toc21476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第四部分</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55BE255">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_Toc14684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F4D48E">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_Toc20190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_Toc20190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738A2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_Toc15051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29EF4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_Toc14108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814CB0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_Toc29071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12180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_Toc9455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85AA2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A0BE17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_Toc30858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_Toc30858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AC22E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_Toc22759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3A0529">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3B055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_Toc18683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_Toc18683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8D745C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_Toc8663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十一、国有资本经营预算</w:t>
          </w:r>
          <w:r>
            <w:rPr>
              <w:rFonts w:hint="eastAsia" w:ascii="仿宋_GB2312" w:hAnsi="仿宋_GB2312" w:eastAsia="仿宋_GB2312" w:cs="仿宋_GB2312"/>
              <w:bCs w:val="0"/>
              <w:sz w:val="32"/>
              <w:szCs w:val="32"/>
              <w:lang w:eastAsia="zh-CN"/>
            </w:rPr>
            <w:t>财政拨款收入</w:t>
          </w:r>
          <w:r>
            <w:rPr>
              <w:rFonts w:hint="eastAsia" w:ascii="仿宋_GB2312" w:hAnsi="仿宋_GB2312" w:eastAsia="仿宋_GB2312" w:cs="仿宋_GB2312"/>
              <w:bCs w:val="0"/>
              <w:sz w:val="32"/>
              <w:szCs w:val="32"/>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_Toc8663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1ACB2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十二、</w:t>
          </w:r>
          <w:r>
            <w:rPr>
              <w:rFonts w:hint="eastAsia" w:ascii="仿宋_GB2312" w:hAnsi="仿宋_GB2312" w:eastAsia="仿宋_GB2312" w:cs="仿宋_GB2312"/>
              <w:bCs w:val="0"/>
              <w:sz w:val="32"/>
              <w:szCs w:val="32"/>
              <w:lang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A044A6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_Toc29307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十三、</w:t>
          </w:r>
          <w:r>
            <w:rPr>
              <w:rFonts w:hint="eastAsia" w:ascii="仿宋_GB2312" w:hAnsi="仿宋_GB2312" w:eastAsia="仿宋_GB2312" w:cs="仿宋_GB2312"/>
              <w:bCs w:val="0"/>
              <w:sz w:val="32"/>
              <w:szCs w:val="32"/>
              <w:lang w:eastAsia="zh-CN"/>
            </w:rPr>
            <w:t>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76344A5">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sdtContent>
    </w:sdt>
    <w:p w14:paraId="6743FDC5">
      <w:pPr>
        <w:pStyle w:val="3"/>
        <w:pageBreakBefore w:val="0"/>
        <w:widowControl w:val="0"/>
        <w:kinsoku/>
        <w:wordWrap/>
        <w:overflowPunct/>
        <w:topLinePunct w:val="0"/>
        <w:autoSpaceDE/>
        <w:autoSpaceDN/>
        <w:bidi w:val="0"/>
        <w:adjustRightInd/>
        <w:snapToGrid/>
        <w:spacing w:line="576" w:lineRule="exact"/>
        <w:jc w:val="both"/>
        <w:textAlignment w:val="auto"/>
        <w:outlineLvl w:val="0"/>
        <w:rPr>
          <w:rFonts w:hint="eastAsia" w:ascii="仿宋_GB2312" w:hAnsi="仿宋_GB2312" w:eastAsia="仿宋_GB2312" w:cs="仿宋_GB2312"/>
          <w:b w:val="0"/>
          <w:color w:val="auto"/>
          <w:sz w:val="32"/>
          <w:szCs w:val="32"/>
          <w:highlight w:val="none"/>
        </w:rPr>
        <w:sectPr>
          <w:footerReference r:id="rId7" w:type="default"/>
          <w:pgSz w:w="11906" w:h="16838"/>
          <w:pgMar w:top="1440" w:right="1800" w:bottom="1440" w:left="1800" w:header="851" w:footer="992" w:gutter="0"/>
          <w:pgNumType w:fmt="decimal"/>
          <w:cols w:space="425" w:num="1"/>
          <w:docGrid w:type="lines" w:linePitch="312" w:charSpace="0"/>
        </w:sectPr>
      </w:pPr>
      <w:bookmarkStart w:id="12" w:name="_Toc20964"/>
      <w:bookmarkStart w:id="13" w:name="_Toc13725"/>
    </w:p>
    <w:p w14:paraId="43D59010">
      <w:pPr>
        <w:pStyle w:val="3"/>
        <w:pageBreakBefore w:val="0"/>
        <w:kinsoku/>
        <w:wordWrap/>
        <w:overflowPunct/>
        <w:topLinePunct w:val="0"/>
        <w:autoSpaceDE/>
        <w:autoSpaceDN/>
        <w:bidi w:val="0"/>
        <w:adjustRightInd/>
        <w:snapToGrid/>
        <w:spacing w:line="572" w:lineRule="exact"/>
        <w:jc w:val="center"/>
        <w:textAlignment w:val="auto"/>
        <w:outlineLvl w:val="0"/>
        <w:rPr>
          <w:rStyle w:val="31"/>
          <w:rFonts w:hint="eastAsia" w:ascii="方正小标宋简体" w:hAnsi="方正小标宋简体" w:eastAsia="方正小标宋简体" w:cs="方正小标宋简体"/>
          <w:b/>
          <w:bCs w:val="0"/>
          <w:color w:val="auto"/>
          <w:highlight w:val="none"/>
        </w:rPr>
      </w:pPr>
      <w:bookmarkStart w:id="14" w:name="_Toc29265"/>
      <w:r>
        <w:rPr>
          <w:rFonts w:hint="eastAsia" w:ascii="方正小标宋简体" w:hAnsi="方正小标宋简体" w:eastAsia="方正小标宋简体" w:cs="方正小标宋简体"/>
          <w:b w:val="0"/>
          <w:color w:val="auto"/>
          <w:highlight w:val="none"/>
        </w:rPr>
        <w:t>第一部分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lang w:eastAsia="zh-CN"/>
        </w:rPr>
        <w:t>单位</w:t>
      </w:r>
      <w:r>
        <w:rPr>
          <w:rStyle w:val="31"/>
          <w:rFonts w:hint="eastAsia" w:ascii="方正小标宋简体" w:hAnsi="方正小标宋简体" w:eastAsia="方正小标宋简体" w:cs="方正小标宋简体"/>
          <w:b w:val="0"/>
          <w:bCs w:val="0"/>
          <w:color w:val="auto"/>
          <w:highlight w:val="none"/>
        </w:rPr>
        <w:t>概况</w:t>
      </w:r>
      <w:bookmarkEnd w:id="12"/>
      <w:bookmarkEnd w:id="13"/>
      <w:bookmarkEnd w:id="14"/>
    </w:p>
    <w:p w14:paraId="208863D9">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eastAsia" w:ascii="黑体" w:hAnsi="黑体" w:eastAsia="黑体" w:cs="黑体"/>
          <w:sz w:val="32"/>
          <w:szCs w:val="32"/>
          <w:highlight w:val="none"/>
          <w:lang w:val="en-US" w:eastAsia="zh-CN"/>
        </w:rPr>
      </w:pPr>
      <w:bookmarkStart w:id="15" w:name="_Toc15396600"/>
      <w:bookmarkStart w:id="16" w:name="_Toc15377197"/>
      <w:bookmarkStart w:id="17" w:name="_Toc3029"/>
      <w:bookmarkStart w:id="18" w:name="_Toc9418"/>
      <w:bookmarkStart w:id="19" w:name="_Toc18018"/>
      <w:r>
        <w:rPr>
          <w:rFonts w:hint="eastAsia" w:ascii="黑体" w:hAnsi="黑体" w:eastAsia="黑体" w:cs="黑体"/>
          <w:sz w:val="32"/>
          <w:szCs w:val="32"/>
          <w:highlight w:val="none"/>
        </w:rPr>
        <w:t>一、</w:t>
      </w:r>
      <w:bookmarkEnd w:id="15"/>
      <w:bookmarkEnd w:id="16"/>
      <w:bookmarkEnd w:id="17"/>
      <w:bookmarkEnd w:id="18"/>
      <w:bookmarkEnd w:id="19"/>
      <w:bookmarkStart w:id="20" w:name="_Toc15378445"/>
      <w:bookmarkStart w:id="21" w:name="_Toc15377198"/>
      <w:r>
        <w:rPr>
          <w:rFonts w:hint="eastAsia" w:ascii="黑体" w:hAnsi="黑体" w:eastAsia="黑体" w:cs="黑体"/>
          <w:sz w:val="32"/>
          <w:szCs w:val="32"/>
          <w:highlight w:val="none"/>
          <w:lang w:val="en-US" w:eastAsia="zh-CN"/>
        </w:rPr>
        <w:t>主要职责</w:t>
      </w:r>
      <w:bookmarkEnd w:id="20"/>
      <w:bookmarkEnd w:id="21"/>
    </w:p>
    <w:p w14:paraId="3A3813AA">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贯彻执行党和国家的路线方针政策和上级党委、政府各项决策部署，以及本级党员代表大会（党员大会）、人民代表大会的决议决定。</w:t>
      </w:r>
    </w:p>
    <w:p w14:paraId="235DB68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讨论和决定本镇经济建设、政治建设、文化建设、社会建设、生态文明建设和党的建设以及乡村振兴中的重大问题。需由镇政权机关或者集体经济组织决定的重要事项，经镇</w:t>
      </w:r>
      <w:r>
        <w:rPr>
          <w:rFonts w:hint="default" w:ascii="Times New Roman" w:hAnsi="Times New Roman" w:eastAsia="仿宋_GB2312" w:cs="Times New Roman"/>
          <w:sz w:val="32"/>
          <w:szCs w:val="32"/>
          <w:highlight w:val="none"/>
          <w:lang w:val="en-US" w:eastAsia="zh-CN"/>
        </w:rPr>
        <w:t>党委研究讨论后，由镇政权机关或者集体经济组织依照法律和</w:t>
      </w:r>
      <w:r>
        <w:rPr>
          <w:rFonts w:hint="default" w:ascii="Times New Roman" w:hAnsi="Times New Roman" w:eastAsia="仿宋_GB2312" w:cs="Times New Roman"/>
          <w:sz w:val="32"/>
          <w:szCs w:val="32"/>
          <w:highlight w:val="none"/>
        </w:rPr>
        <w:t>有关规定作出决定。</w:t>
      </w:r>
    </w:p>
    <w:p w14:paraId="33A53A7C">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领导镇政权机关、群团组织和其他各类组织，加强指导和规范，支持和保证这些机关和组织依照国家法律法规以及各自章程履行职责。</w:t>
      </w:r>
    </w:p>
    <w:p w14:paraId="782B66A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14:paraId="3A4D293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按照干部管理权限，负责对干部的教育、培训、选拔、考核和监督工作。协助管理上级有关部门驻镇单位的干部。做好人才服务和引进工作。</w:t>
      </w:r>
    </w:p>
    <w:p w14:paraId="249C69EE">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14:paraId="7EFBC14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强化基层治理。负责本辖区社会治理，加强社会主义民主法治建设和精神文明建设，加快推进基层社会治理体系</w:t>
      </w:r>
      <w:r>
        <w:rPr>
          <w:rFonts w:hint="default" w:ascii="Times New Roman" w:hAnsi="Times New Roman" w:eastAsia="仿宋_GB2312" w:cs="Times New Roman"/>
          <w:sz w:val="32"/>
          <w:szCs w:val="32"/>
          <w:highlight w:val="none"/>
          <w:lang w:val="en-US" w:eastAsia="zh-CN"/>
        </w:rPr>
        <w:t>和治理能力现代化；指导村（社区）委会建设，健全自治平</w:t>
      </w:r>
      <w:r>
        <w:rPr>
          <w:rFonts w:hint="default" w:ascii="Times New Roman" w:hAnsi="Times New Roman" w:eastAsia="仿宋_GB2312" w:cs="Times New Roman"/>
          <w:sz w:val="32"/>
          <w:szCs w:val="32"/>
          <w:highlight w:val="none"/>
        </w:rPr>
        <w:t>台，组织群众和单位参与村（社区）委会建设和管理。</w:t>
      </w:r>
    </w:p>
    <w:p w14:paraId="7E5EB0F0">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优化公共服务。推进服务型政府建设，组织实施并优化教育、卫生健康、文化、民政、社会保障、退役军人事务等各项公共服务。</w:t>
      </w:r>
    </w:p>
    <w:p w14:paraId="0E8004A7">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负责辖区范围内的应急管理、社会稳定、安全生产、生态环境保护、社会信用体系建设和审批服务便民化等工作。</w:t>
      </w:r>
    </w:p>
    <w:p w14:paraId="0715AE06">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负责辖区内农村经营管理体系建设工作。</w:t>
      </w:r>
    </w:p>
    <w:p w14:paraId="15731370">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完成县委、县政府交办的其他任务。</w:t>
      </w:r>
      <w:bookmarkStart w:id="22" w:name="_Toc21816"/>
      <w:bookmarkStart w:id="23" w:name="_Toc6117"/>
      <w:bookmarkStart w:id="24" w:name="_Toc15396601"/>
      <w:bookmarkStart w:id="25" w:name="_Toc15377200"/>
      <w:bookmarkStart w:id="26" w:name="_Toc30390"/>
    </w:p>
    <w:p w14:paraId="0B6A273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二、机构设置</w:t>
      </w:r>
      <w:bookmarkEnd w:id="22"/>
      <w:bookmarkEnd w:id="23"/>
      <w:bookmarkEnd w:id="24"/>
      <w:bookmarkEnd w:id="25"/>
      <w:bookmarkEnd w:id="26"/>
    </w:p>
    <w:p w14:paraId="0DD3163F">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茂县凤仪镇人民政府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事业</w:t>
      </w:r>
      <w:r>
        <w:rPr>
          <w:rFonts w:hint="eastAsia" w:ascii="Times New Roman" w:hAnsi="Times New Roman" w:eastAsia="仿宋_GB2312" w:cs="Times New Roman"/>
          <w:sz w:val="32"/>
          <w:szCs w:val="32"/>
          <w:highlight w:val="none"/>
          <w:lang w:eastAsia="zh-CN"/>
        </w:rPr>
        <w:t>）是茂县凤仪镇人民政府</w:t>
      </w:r>
      <w:r>
        <w:rPr>
          <w:rFonts w:hint="default" w:ascii="Times New Roman" w:hAnsi="Times New Roman" w:eastAsia="仿宋_GB2312" w:cs="Times New Roman"/>
          <w:sz w:val="32"/>
          <w:szCs w:val="32"/>
          <w:highlight w:val="none"/>
        </w:rPr>
        <w:t>下属二级预算单位，茂县凤仪镇人民政府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事业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无下设机构。</w:t>
      </w:r>
      <w:bookmarkStart w:id="27" w:name="_Toc15396602"/>
      <w:bookmarkStart w:id="28" w:name="_Toc2418"/>
      <w:bookmarkStart w:id="29" w:name="_Toc15377204"/>
      <w:bookmarkStart w:id="30" w:name="_Toc5991"/>
      <w:bookmarkStart w:id="31" w:name="_Toc15191"/>
    </w:p>
    <w:p w14:paraId="4D745C7D">
      <w:pPr>
        <w:pStyle w:val="3"/>
        <w:pageBreakBefore w:val="0"/>
        <w:widowControl w:val="0"/>
        <w:numPr>
          <w:ilvl w:val="0"/>
          <w:numId w:val="0"/>
        </w:numPr>
        <w:kinsoku/>
        <w:wordWrap/>
        <w:overflowPunct/>
        <w:topLinePunct w:val="0"/>
        <w:autoSpaceDE/>
        <w:autoSpaceDN/>
        <w:bidi w:val="0"/>
        <w:adjustRightInd/>
        <w:spacing w:before="0" w:after="0" w:line="520" w:lineRule="exact"/>
        <w:jc w:val="both"/>
        <w:textAlignment w:val="auto"/>
        <w:rPr>
          <w:rFonts w:hint="eastAsia" w:ascii="方正小标宋简体" w:hAnsi="方正小标宋简体" w:eastAsia="方正小标宋简体" w:cs="方正小标宋简体"/>
          <w:b w:val="0"/>
          <w:color w:val="auto"/>
          <w:highlight w:val="none"/>
          <w:lang w:val="en-US" w:eastAsia="zh-CN"/>
        </w:rPr>
      </w:pPr>
      <w:bookmarkStart w:id="32" w:name="_Toc9718"/>
    </w:p>
    <w:p w14:paraId="7BFB26E6">
      <w:pPr>
        <w:rPr>
          <w:rFonts w:hint="eastAsia" w:ascii="方正小标宋简体" w:hAnsi="方正小标宋简体" w:eastAsia="方正小标宋简体" w:cs="方正小标宋简体"/>
          <w:b w:val="0"/>
          <w:color w:val="auto"/>
          <w:highlight w:val="none"/>
          <w:lang w:val="en-US" w:eastAsia="zh-CN"/>
        </w:rPr>
      </w:pPr>
    </w:p>
    <w:p w14:paraId="07F63755">
      <w:pPr>
        <w:pStyle w:val="3"/>
        <w:pageBreakBefore w:val="0"/>
        <w:widowControl w:val="0"/>
        <w:numPr>
          <w:ilvl w:val="0"/>
          <w:numId w:val="0"/>
        </w:numPr>
        <w:kinsoku/>
        <w:wordWrap/>
        <w:overflowPunct/>
        <w:topLinePunct w:val="0"/>
        <w:autoSpaceDE/>
        <w:autoSpaceDN/>
        <w:bidi w:val="0"/>
        <w:adjustRightInd/>
        <w:spacing w:before="0" w:after="0" w:line="520" w:lineRule="exact"/>
        <w:jc w:val="both"/>
        <w:textAlignment w:val="auto"/>
        <w:rPr>
          <w:rFonts w:hint="eastAsia" w:ascii="方正小标宋简体" w:hAnsi="方正小标宋简体" w:eastAsia="方正小标宋简体" w:cs="方正小标宋简体"/>
          <w:b w:val="0"/>
          <w:color w:val="auto"/>
          <w:highlight w:val="none"/>
          <w:lang w:val="en-US" w:eastAsia="zh-CN"/>
        </w:rPr>
      </w:pPr>
    </w:p>
    <w:p w14:paraId="22D85A74">
      <w:pPr>
        <w:pStyle w:val="3"/>
        <w:pageBreakBefore w:val="0"/>
        <w:widowControl w:val="0"/>
        <w:numPr>
          <w:ilvl w:val="0"/>
          <w:numId w:val="0"/>
        </w:numPr>
        <w:kinsoku/>
        <w:wordWrap/>
        <w:overflowPunct/>
        <w:topLinePunct w:val="0"/>
        <w:autoSpaceDE/>
        <w:autoSpaceDN/>
        <w:bidi w:val="0"/>
        <w:adjustRightInd/>
        <w:spacing w:before="0" w:after="0" w:line="520" w:lineRule="exact"/>
        <w:jc w:val="center"/>
        <w:textAlignment w:val="auto"/>
        <w:rPr>
          <w:rFonts w:hint="eastAsia" w:ascii="方正小标宋简体" w:hAnsi="方正小标宋简体" w:eastAsia="方正小标宋简体" w:cs="方正小标宋简体"/>
          <w:b w:val="0"/>
          <w:color w:val="auto"/>
          <w:highlight w:val="none"/>
          <w:lang w:val="en-US" w:eastAsia="zh-CN"/>
        </w:rPr>
      </w:pPr>
      <w:bookmarkStart w:id="184" w:name="_GoBack"/>
      <w:bookmarkEnd w:id="184"/>
      <w:r>
        <w:rPr>
          <w:rFonts w:hint="eastAsia" w:ascii="方正小标宋简体" w:hAnsi="方正小标宋简体" w:eastAsia="方正小标宋简体" w:cs="方正小标宋简体"/>
          <w:b w:val="0"/>
          <w:color w:val="auto"/>
          <w:highlight w:val="none"/>
          <w:lang w:val="en-US" w:eastAsia="zh-CN"/>
        </w:rPr>
        <w:t>第二部分  2024年度部门决算情况说明</w:t>
      </w:r>
      <w:bookmarkEnd w:id="27"/>
      <w:bookmarkEnd w:id="28"/>
      <w:bookmarkEnd w:id="29"/>
      <w:bookmarkEnd w:id="30"/>
      <w:bookmarkEnd w:id="31"/>
      <w:bookmarkEnd w:id="32"/>
    </w:p>
    <w:p w14:paraId="1BB409FC">
      <w:pPr>
        <w:pageBreakBefore w:val="0"/>
        <w:widowControl w:val="0"/>
        <w:numPr>
          <w:ilvl w:val="0"/>
          <w:numId w:val="0"/>
        </w:numPr>
        <w:kinsoku/>
        <w:wordWrap/>
        <w:overflowPunct/>
        <w:topLinePunct w:val="0"/>
        <w:autoSpaceDE/>
        <w:autoSpaceDN/>
        <w:bidi w:val="0"/>
        <w:adjustRightInd/>
        <w:spacing w:line="520" w:lineRule="exact"/>
        <w:textAlignment w:val="auto"/>
      </w:pPr>
    </w:p>
    <w:p w14:paraId="5C198987">
      <w:pPr>
        <w:pStyle w:val="3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outlineLvl w:val="0"/>
        <w:rPr>
          <w:rStyle w:val="32"/>
          <w:rFonts w:hint="eastAsia" w:ascii="Times New Roman" w:hAnsi="Times New Roman" w:eastAsia="黑体"/>
          <w:b w:val="0"/>
          <w:color w:val="auto"/>
          <w:highlight w:val="none"/>
        </w:rPr>
      </w:pPr>
      <w:bookmarkStart w:id="33" w:name="_Toc15396603"/>
      <w:bookmarkStart w:id="34" w:name="_Toc779"/>
      <w:bookmarkStart w:id="35" w:name="_Toc21385"/>
      <w:bookmarkStart w:id="36" w:name="_Toc15377205"/>
      <w:bookmarkStart w:id="37" w:name="_Toc24259"/>
      <w:bookmarkStart w:id="38" w:name="_Toc20234"/>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33"/>
      <w:bookmarkEnd w:id="34"/>
      <w:bookmarkEnd w:id="35"/>
      <w:bookmarkEnd w:id="36"/>
      <w:bookmarkEnd w:id="37"/>
      <w:bookmarkEnd w:id="38"/>
    </w:p>
    <w:p w14:paraId="54FF5E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eastAsia" w:eastAsia="仿宋_GB2312" w:cs="Times New Roman"/>
          <w:color w:val="auto"/>
          <w:sz w:val="32"/>
          <w:szCs w:val="32"/>
          <w:highlight w:val="none"/>
          <w:lang w:eastAsia="zh-CN"/>
        </w:rPr>
        <w:t>1026.00万元</w:t>
      </w:r>
      <w:r>
        <w:rPr>
          <w:rFonts w:hint="default" w:ascii="Times New Roman" w:hAnsi="Times New Roman" w:eastAsia="仿宋_GB2312" w:cs="Times New Roman"/>
          <w:color w:val="auto"/>
          <w:sz w:val="32"/>
          <w:szCs w:val="32"/>
          <w:highlight w:val="none"/>
        </w:rPr>
        <w:t>。与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57.42</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5.9</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主要变动原因是：</w:t>
      </w:r>
      <w:r>
        <w:rPr>
          <w:rFonts w:hint="default" w:ascii="Times New Roman" w:hAnsi="Times New Roman" w:eastAsia="仿宋_GB2312" w:cs="Times New Roman"/>
          <w:color w:val="auto"/>
          <w:sz w:val="32"/>
          <w:szCs w:val="32"/>
          <w:highlight w:val="none"/>
        </w:rPr>
        <w:t>我镇202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年事业单位人员增加，人员经费及办公经费增加</w:t>
      </w:r>
      <w:r>
        <w:rPr>
          <w:rFonts w:hint="default" w:ascii="Times New Roman" w:hAnsi="Times New Roman" w:eastAsia="仿宋_GB2312" w:cs="Times New Roman"/>
          <w:color w:val="auto"/>
          <w:sz w:val="32"/>
          <w:szCs w:val="32"/>
          <w:highlight w:val="none"/>
          <w:lang w:eastAsia="zh-CN"/>
        </w:rPr>
        <w:t>。</w:t>
      </w:r>
    </w:p>
    <w:p w14:paraId="597A51D2">
      <w:pPr>
        <w:pStyle w:val="12"/>
        <w:pageBreakBefore w:val="0"/>
        <w:widowControl w:val="0"/>
        <w:kinsoku/>
        <w:wordWrap/>
        <w:overflowPunct/>
        <w:topLinePunct w:val="0"/>
        <w:autoSpaceDE/>
        <w:autoSpaceDN/>
        <w:bidi w:val="0"/>
        <w:adjustRightInd/>
        <w:spacing w:line="520" w:lineRule="exact"/>
        <w:jc w:val="both"/>
        <w:textAlignment w:val="auto"/>
        <w:rPr>
          <w:rFonts w:hint="eastAsia" w:ascii="Times New Roman" w:hAnsi="Times New Roman" w:eastAsia="仿宋_GB2312" w:cs="仿宋_GB2312"/>
          <w:color w:val="auto"/>
          <w:sz w:val="32"/>
          <w:szCs w:val="32"/>
          <w:highlight w:val="none"/>
          <w:lang w:eastAsia="zh-CN"/>
        </w:rPr>
      </w:pPr>
      <w:r>
        <w:rPr>
          <w:rFonts w:hint="eastAsia" w:ascii="思源黑体 CN Normal" w:hAnsi="思源黑体 CN Normal" w:eastAsia="思源黑体 CN Normal" w:cs="思源黑体 CN Normal"/>
        </w:rPr>
        <w:drawing>
          <wp:anchor distT="0" distB="0" distL="114300" distR="114300" simplePos="0" relativeHeight="251659264" behindDoc="0" locked="0" layoutInCell="1" allowOverlap="1">
            <wp:simplePos x="0" y="0"/>
            <wp:positionH relativeFrom="column">
              <wp:posOffset>345440</wp:posOffset>
            </wp:positionH>
            <wp:positionV relativeFrom="paragraph">
              <wp:posOffset>20320</wp:posOffset>
            </wp:positionV>
            <wp:extent cx="4565650" cy="2621915"/>
            <wp:effectExtent l="4445" t="4445" r="20955" b="21590"/>
            <wp:wrapNone/>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97BB958">
      <w:pPr>
        <w:pStyle w:val="3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textAlignment w:val="auto"/>
        <w:outlineLvl w:val="9"/>
        <w:rPr>
          <w:rFonts w:hint="eastAsia" w:ascii="思源黑体 CN Normal" w:hAnsi="思源黑体 CN Normal" w:eastAsia="思源黑体 CN Normal" w:cs="思源黑体 CN Normal"/>
        </w:rPr>
      </w:pPr>
    </w:p>
    <w:p w14:paraId="456968DC">
      <w:pPr>
        <w:pStyle w:val="3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textAlignment w:val="auto"/>
        <w:outlineLvl w:val="9"/>
        <w:rPr>
          <w:rFonts w:hint="eastAsia" w:ascii="思源黑体 CN Normal" w:hAnsi="思源黑体 CN Normal" w:eastAsia="思源黑体 CN Normal" w:cs="思源黑体 CN Normal"/>
        </w:rPr>
      </w:pPr>
    </w:p>
    <w:p w14:paraId="046B7971">
      <w:pPr>
        <w:pStyle w:val="3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textAlignment w:val="auto"/>
        <w:outlineLvl w:val="9"/>
        <w:rPr>
          <w:rFonts w:hint="eastAsia" w:ascii="思源黑体 CN Normal" w:hAnsi="思源黑体 CN Normal" w:eastAsia="思源黑体 CN Normal" w:cs="思源黑体 CN Normal"/>
        </w:rPr>
      </w:pPr>
    </w:p>
    <w:p w14:paraId="7C490A01">
      <w:pPr>
        <w:pStyle w:val="3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textAlignment w:val="auto"/>
        <w:outlineLvl w:val="9"/>
        <w:rPr>
          <w:rFonts w:hint="eastAsia" w:ascii="思源黑体 CN Normal" w:hAnsi="思源黑体 CN Normal" w:eastAsia="思源黑体 CN Normal" w:cs="思源黑体 CN Normal"/>
        </w:rPr>
      </w:pPr>
    </w:p>
    <w:p w14:paraId="63B4E4FA">
      <w:pPr>
        <w:pStyle w:val="3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textAlignment w:val="auto"/>
        <w:outlineLvl w:val="9"/>
        <w:rPr>
          <w:rFonts w:hint="eastAsia" w:ascii="思源黑体 CN Normal" w:hAnsi="思源黑体 CN Normal" w:eastAsia="思源黑体 CN Normal" w:cs="思源黑体 CN Normal"/>
        </w:rPr>
      </w:pPr>
    </w:p>
    <w:p w14:paraId="68F72DF6">
      <w:pPr>
        <w:pStyle w:val="30"/>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color w:val="auto"/>
          <w:sz w:val="32"/>
          <w:szCs w:val="32"/>
          <w:highlight w:val="none"/>
        </w:rPr>
      </w:pPr>
      <w:bookmarkStart w:id="39" w:name="_Toc1839"/>
    </w:p>
    <w:bookmarkEnd w:id="39"/>
    <w:p w14:paraId="3D36E1B4">
      <w:pPr>
        <w:pStyle w:val="30"/>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color w:val="auto"/>
          <w:sz w:val="32"/>
          <w:szCs w:val="32"/>
          <w:highlight w:val="none"/>
        </w:rPr>
      </w:pPr>
    </w:p>
    <w:p w14:paraId="1B4294AF">
      <w:pPr>
        <w:pStyle w:val="3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outlineLvl w:val="0"/>
        <w:rPr>
          <w:rFonts w:hint="eastAsia" w:ascii="Times New Roman" w:hAnsi="Times New Roman" w:eastAsia="黑体"/>
          <w:color w:val="auto"/>
          <w:sz w:val="32"/>
          <w:szCs w:val="32"/>
          <w:highlight w:val="none"/>
          <w:lang w:eastAsia="zh-CN"/>
        </w:rPr>
      </w:pPr>
      <w:bookmarkStart w:id="40" w:name="_Toc2597"/>
      <w:bookmarkStart w:id="41" w:name="_Toc15377206"/>
      <w:bookmarkStart w:id="42" w:name="_Toc27075"/>
      <w:bookmarkStart w:id="43" w:name="_Toc25073"/>
      <w:bookmarkStart w:id="44" w:name="_Toc26364"/>
      <w:bookmarkStart w:id="45" w:name="_Toc15396604"/>
      <w:r>
        <w:rPr>
          <w:rFonts w:hint="eastAsia" w:ascii="Times New Roman" w:hAnsi="Times New Roman" w:eastAsia="黑体"/>
          <w:color w:val="auto"/>
          <w:sz w:val="32"/>
          <w:szCs w:val="32"/>
          <w:highlight w:val="none"/>
          <w:lang w:eastAsia="zh-CN"/>
        </w:rPr>
        <w:t>二、收入决算情况说明</w:t>
      </w:r>
      <w:bookmarkEnd w:id="40"/>
      <w:bookmarkEnd w:id="41"/>
      <w:bookmarkEnd w:id="42"/>
      <w:bookmarkEnd w:id="43"/>
      <w:bookmarkEnd w:id="44"/>
      <w:bookmarkEnd w:id="45"/>
    </w:p>
    <w:p w14:paraId="771677B8">
      <w:pPr>
        <w:pStyle w:val="3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9"/>
        <w:rPr>
          <w:rFonts w:hint="default" w:ascii="Times New Roman" w:hAnsi="Times New Roman" w:eastAsia="仿宋_GB2312" w:cs="Times New Roman"/>
          <w:b/>
          <w:bCs/>
          <w:color w:val="auto"/>
          <w:sz w:val="32"/>
          <w:szCs w:val="32"/>
          <w:highlight w:val="none"/>
          <w:lang w:eastAsia="zh-CN"/>
        </w:rPr>
      </w:pPr>
      <w:bookmarkStart w:id="46" w:name="_Toc17088"/>
      <w:r>
        <w:rPr>
          <w:rFonts w:hint="default" w:ascii="Times New Roman" w:hAnsi="Times New Roman" w:eastAsia="仿宋_GB2312" w:cs="Times New Roman"/>
          <w:color w:val="auto"/>
          <w:sz w:val="32"/>
          <w:szCs w:val="32"/>
          <w:highlight w:val="none"/>
          <w:lang w:eastAsia="zh-CN"/>
        </w:rPr>
        <w:t>2024年度本年收入合计</w:t>
      </w:r>
      <w:r>
        <w:rPr>
          <w:rFonts w:hint="eastAsia" w:eastAsia="仿宋_GB2312" w:cs="Times New Roman"/>
          <w:color w:val="auto"/>
          <w:kern w:val="2"/>
          <w:sz w:val="32"/>
          <w:szCs w:val="32"/>
          <w:highlight w:val="none"/>
          <w:lang w:val="en-US" w:eastAsia="zh-CN" w:bidi="ar-SA"/>
        </w:rPr>
        <w:t>1026.00万元</w:t>
      </w:r>
      <w:r>
        <w:rPr>
          <w:rFonts w:hint="default" w:ascii="Times New Roman" w:hAnsi="Times New Roman" w:eastAsia="仿宋_GB2312" w:cs="Times New Roman"/>
          <w:sz w:val="32"/>
          <w:szCs w:val="32"/>
        </w:rPr>
        <w:t>，其中：一般公共预算财政拨款收入</w:t>
      </w:r>
      <w:r>
        <w:rPr>
          <w:rFonts w:hint="eastAsia" w:eastAsia="仿宋_GB2312" w:cs="Times New Roman"/>
          <w:color w:val="auto"/>
          <w:kern w:val="2"/>
          <w:sz w:val="32"/>
          <w:szCs w:val="32"/>
          <w:highlight w:val="none"/>
          <w:lang w:val="en-US" w:eastAsia="zh-CN" w:bidi="ar-SA"/>
        </w:rPr>
        <w:t>1026.00万元</w:t>
      </w:r>
      <w:r>
        <w:rPr>
          <w:rFonts w:hint="default" w:ascii="Times New Roman" w:hAnsi="Times New Roman" w:eastAsia="仿宋_GB2312" w:cs="Times New Roman"/>
          <w:color w:val="auto"/>
          <w:sz w:val="32"/>
          <w:szCs w:val="32"/>
          <w:highlight w:val="none"/>
          <w:lang w:eastAsia="zh-CN"/>
        </w:rPr>
        <w:t>，占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bookmarkEnd w:id="46"/>
    </w:p>
    <w:p w14:paraId="7E3F1520">
      <w:pPr>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color w:val="auto"/>
          <w:sz w:val="32"/>
          <w:szCs w:val="32"/>
          <w:highlight w:val="none"/>
          <w:lang w:eastAsia="zh-CN"/>
        </w:rPr>
      </w:pPr>
      <w:r>
        <w:rPr>
          <w:rFonts w:hint="eastAsia" w:ascii="思源黑体 CN Normal" w:hAnsi="思源黑体 CN Normal" w:eastAsia="思源黑体 CN Normal" w:cs="思源黑体 CN Normal"/>
          <w:color w:val="FF0000"/>
          <w:sz w:val="32"/>
          <w:szCs w:val="32"/>
        </w:rPr>
        <w:drawing>
          <wp:anchor distT="0" distB="0" distL="114300" distR="114300" simplePos="0" relativeHeight="251664384" behindDoc="0" locked="0" layoutInCell="1" allowOverlap="1">
            <wp:simplePos x="0" y="0"/>
            <wp:positionH relativeFrom="column">
              <wp:posOffset>616585</wp:posOffset>
            </wp:positionH>
            <wp:positionV relativeFrom="paragraph">
              <wp:posOffset>118110</wp:posOffset>
            </wp:positionV>
            <wp:extent cx="4232910" cy="2702560"/>
            <wp:effectExtent l="4445" t="4445" r="10795" b="1714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1A7F344">
      <w:pPr>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color w:val="auto"/>
          <w:sz w:val="32"/>
          <w:szCs w:val="32"/>
          <w:highlight w:val="none"/>
          <w:lang w:eastAsia="zh-CN"/>
        </w:rPr>
      </w:pPr>
    </w:p>
    <w:p w14:paraId="24F44BE8">
      <w:pPr>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color w:val="auto"/>
          <w:sz w:val="32"/>
          <w:szCs w:val="32"/>
          <w:highlight w:val="none"/>
          <w:lang w:eastAsia="zh-CN"/>
        </w:rPr>
      </w:pPr>
    </w:p>
    <w:p w14:paraId="3088F191">
      <w:pPr>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color w:val="auto"/>
          <w:sz w:val="32"/>
          <w:szCs w:val="32"/>
          <w:highlight w:val="none"/>
          <w:lang w:eastAsia="zh-CN"/>
        </w:rPr>
      </w:pPr>
    </w:p>
    <w:p w14:paraId="41433A50">
      <w:pPr>
        <w:pageBreakBefore w:val="0"/>
        <w:widowControl w:val="0"/>
        <w:kinsoku/>
        <w:wordWrap/>
        <w:overflowPunct/>
        <w:topLinePunct w:val="0"/>
        <w:autoSpaceDE/>
        <w:autoSpaceDN/>
        <w:bidi w:val="0"/>
        <w:adjustRightInd/>
        <w:spacing w:line="520" w:lineRule="exact"/>
        <w:jc w:val="center"/>
        <w:textAlignment w:val="auto"/>
        <w:rPr>
          <w:rFonts w:hint="eastAsia" w:ascii="Times New Roman" w:hAnsi="Times New Roman" w:eastAsia="仿宋_GB2312" w:cs="仿宋_GB2312"/>
          <w:color w:val="auto"/>
          <w:sz w:val="32"/>
          <w:szCs w:val="32"/>
          <w:highlight w:val="none"/>
          <w:lang w:eastAsia="zh-CN"/>
        </w:rPr>
      </w:pPr>
    </w:p>
    <w:p w14:paraId="44DED10A">
      <w:pPr>
        <w:pageBreakBefore w:val="0"/>
        <w:widowControl w:val="0"/>
        <w:kinsoku/>
        <w:wordWrap/>
        <w:overflowPunct/>
        <w:topLinePunct w:val="0"/>
        <w:autoSpaceDE/>
        <w:autoSpaceDN/>
        <w:bidi w:val="0"/>
        <w:adjustRightInd/>
        <w:spacing w:line="520" w:lineRule="exact"/>
        <w:jc w:val="both"/>
        <w:textAlignment w:val="auto"/>
        <w:rPr>
          <w:rFonts w:hint="eastAsia" w:ascii="Times New Roman" w:hAnsi="Times New Roman" w:eastAsia="仿宋_GB2312" w:cs="仿宋_GB2312"/>
          <w:color w:val="auto"/>
          <w:sz w:val="32"/>
          <w:szCs w:val="32"/>
          <w:highlight w:val="none"/>
          <w:lang w:eastAsia="zh-CN"/>
        </w:rPr>
      </w:pPr>
    </w:p>
    <w:p w14:paraId="186AE931">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outlineLvl w:val="0"/>
        <w:rPr>
          <w:rFonts w:hint="eastAsia" w:ascii="Times New Roman" w:hAnsi="Times New Roman" w:eastAsia="黑体"/>
          <w:color w:val="auto"/>
          <w:sz w:val="32"/>
          <w:szCs w:val="32"/>
          <w:highlight w:val="none"/>
          <w:lang w:eastAsia="zh-CN"/>
        </w:rPr>
      </w:pPr>
      <w:bookmarkStart w:id="47" w:name="_Toc15377207"/>
      <w:bookmarkStart w:id="48" w:name="_Toc14098"/>
      <w:bookmarkStart w:id="49" w:name="_Toc19002"/>
      <w:bookmarkStart w:id="50" w:name="_Toc25613"/>
      <w:bookmarkStart w:id="51" w:name="_Toc9976"/>
      <w:bookmarkStart w:id="52" w:name="_Toc15396605"/>
    </w:p>
    <w:p w14:paraId="3A4CEDE8">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0"/>
        <w:rPr>
          <w:rStyle w:val="32"/>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47"/>
      <w:bookmarkEnd w:id="48"/>
      <w:bookmarkEnd w:id="49"/>
      <w:bookmarkEnd w:id="50"/>
      <w:bookmarkEnd w:id="51"/>
      <w:bookmarkEnd w:id="52"/>
    </w:p>
    <w:p w14:paraId="65FFC8D4">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bookmarkStart w:id="53" w:name="_Toc12295"/>
      <w:r>
        <w:rPr>
          <w:rFonts w:hint="default" w:ascii="Times New Roman" w:hAnsi="Times New Roman" w:eastAsia="仿宋_GB2312" w:cs="Times New Roman"/>
          <w:color w:val="auto"/>
          <w:sz w:val="32"/>
          <w:szCs w:val="32"/>
          <w:highlight w:val="none"/>
          <w:lang w:eastAsia="zh-CN"/>
        </w:rPr>
        <w:t>2024年度本年支出合计</w:t>
      </w:r>
      <w:r>
        <w:rPr>
          <w:rFonts w:hint="eastAsia" w:eastAsia="仿宋_GB2312" w:cs="Times New Roman"/>
          <w:color w:val="auto"/>
          <w:kern w:val="2"/>
          <w:sz w:val="32"/>
          <w:szCs w:val="32"/>
          <w:highlight w:val="none"/>
          <w:lang w:val="en-US" w:eastAsia="zh-CN" w:bidi="ar-SA"/>
        </w:rPr>
        <w:t>1026.00万元</w:t>
      </w:r>
      <w:r>
        <w:rPr>
          <w:rFonts w:hint="default" w:ascii="Times New Roman" w:hAnsi="Times New Roman" w:eastAsia="仿宋_GB2312" w:cs="Times New Roman"/>
          <w:color w:val="auto"/>
          <w:sz w:val="32"/>
          <w:szCs w:val="32"/>
          <w:highlight w:val="none"/>
          <w:lang w:eastAsia="zh-CN"/>
        </w:rPr>
        <w:t>，其中：基本支出</w:t>
      </w:r>
      <w:r>
        <w:rPr>
          <w:rFonts w:hint="eastAsia" w:eastAsia="仿宋_GB2312" w:cs="Times New Roman"/>
          <w:color w:val="auto"/>
          <w:kern w:val="2"/>
          <w:sz w:val="32"/>
          <w:szCs w:val="32"/>
          <w:highlight w:val="none"/>
          <w:lang w:val="en-US" w:eastAsia="zh-CN" w:bidi="ar-SA"/>
        </w:rPr>
        <w:t>1026.00万元</w:t>
      </w:r>
      <w:r>
        <w:rPr>
          <w:rFonts w:hint="default" w:ascii="Times New Roman" w:hAnsi="Times New Roman" w:eastAsia="仿宋_GB2312" w:cs="Times New Roman"/>
          <w:color w:val="auto"/>
          <w:sz w:val="32"/>
          <w:szCs w:val="32"/>
          <w:highlight w:val="none"/>
          <w:lang w:eastAsia="zh-CN"/>
        </w:rPr>
        <w:t>，占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bookmarkEnd w:id="53"/>
    </w:p>
    <w:p w14:paraId="20D18A85">
      <w:pPr>
        <w:pageBreakBefore w:val="0"/>
        <w:kinsoku/>
        <w:wordWrap/>
        <w:overflowPunct/>
        <w:topLinePunct w:val="0"/>
        <w:autoSpaceDE/>
        <w:autoSpaceDN/>
        <w:bidi w:val="0"/>
        <w:spacing w:line="576" w:lineRule="exact"/>
        <w:jc w:val="center"/>
        <w:textAlignment w:val="auto"/>
        <w:rPr>
          <w:rFonts w:hint="eastAsia" w:ascii="Times New Roman" w:hAnsi="Times New Roman" w:eastAsia="仿宋_GB2312" w:cs="仿宋_GB2312"/>
          <w:color w:val="auto"/>
          <w:sz w:val="32"/>
          <w:szCs w:val="32"/>
          <w:highlight w:val="none"/>
          <w:lang w:eastAsia="zh-CN"/>
        </w:rPr>
      </w:pPr>
      <w:r>
        <w:rPr>
          <w:rFonts w:hint="eastAsia" w:ascii="思源黑体 CN Normal" w:hAnsi="思源黑体 CN Normal" w:eastAsia="思源黑体 CN Normal" w:cs="思源黑体 CN Normal"/>
          <w:color w:val="FF0000"/>
          <w:sz w:val="32"/>
          <w:szCs w:val="32"/>
        </w:rPr>
        <w:drawing>
          <wp:anchor distT="0" distB="0" distL="114300" distR="114300" simplePos="0" relativeHeight="251665408" behindDoc="0" locked="0" layoutInCell="1" allowOverlap="1">
            <wp:simplePos x="0" y="0"/>
            <wp:positionH relativeFrom="column">
              <wp:posOffset>459105</wp:posOffset>
            </wp:positionH>
            <wp:positionV relativeFrom="paragraph">
              <wp:posOffset>66675</wp:posOffset>
            </wp:positionV>
            <wp:extent cx="4234180" cy="2760980"/>
            <wp:effectExtent l="4445" t="4445" r="9525" b="1587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634632F">
      <w:pPr>
        <w:pageBreakBefore w:val="0"/>
        <w:kinsoku/>
        <w:wordWrap/>
        <w:overflowPunct/>
        <w:topLinePunct w:val="0"/>
        <w:autoSpaceDE/>
        <w:autoSpaceDN/>
        <w:bidi w:val="0"/>
        <w:spacing w:line="576" w:lineRule="exact"/>
        <w:jc w:val="center"/>
        <w:textAlignment w:val="auto"/>
        <w:rPr>
          <w:rFonts w:hint="eastAsia" w:ascii="Times New Roman" w:hAnsi="Times New Roman" w:eastAsia="仿宋_GB2312" w:cs="仿宋_GB2312"/>
          <w:color w:val="auto"/>
          <w:sz w:val="32"/>
          <w:szCs w:val="32"/>
          <w:highlight w:val="none"/>
          <w:lang w:eastAsia="zh-CN"/>
        </w:rPr>
      </w:pPr>
    </w:p>
    <w:p w14:paraId="0F0A2A85">
      <w:pPr>
        <w:pageBreakBefore w:val="0"/>
        <w:kinsoku/>
        <w:wordWrap/>
        <w:overflowPunct/>
        <w:topLinePunct w:val="0"/>
        <w:autoSpaceDE/>
        <w:autoSpaceDN/>
        <w:bidi w:val="0"/>
        <w:spacing w:line="576" w:lineRule="exact"/>
        <w:jc w:val="center"/>
        <w:textAlignment w:val="auto"/>
        <w:rPr>
          <w:rFonts w:hint="eastAsia" w:ascii="Times New Roman" w:hAnsi="Times New Roman" w:eastAsia="仿宋_GB2312" w:cs="仿宋_GB2312"/>
          <w:color w:val="auto"/>
          <w:sz w:val="32"/>
          <w:szCs w:val="32"/>
          <w:highlight w:val="none"/>
          <w:lang w:eastAsia="zh-CN"/>
        </w:rPr>
      </w:pPr>
    </w:p>
    <w:p w14:paraId="6773B1EE">
      <w:pPr>
        <w:pageBreakBefore w:val="0"/>
        <w:kinsoku/>
        <w:wordWrap/>
        <w:overflowPunct/>
        <w:topLinePunct w:val="0"/>
        <w:autoSpaceDE/>
        <w:autoSpaceDN/>
        <w:bidi w:val="0"/>
        <w:spacing w:line="576" w:lineRule="exact"/>
        <w:jc w:val="center"/>
        <w:textAlignment w:val="auto"/>
        <w:rPr>
          <w:rFonts w:hint="eastAsia" w:ascii="Times New Roman" w:hAnsi="Times New Roman" w:eastAsia="仿宋_GB2312" w:cs="仿宋_GB2312"/>
          <w:color w:val="auto"/>
          <w:sz w:val="32"/>
          <w:szCs w:val="32"/>
          <w:highlight w:val="none"/>
          <w:lang w:eastAsia="zh-CN"/>
        </w:rPr>
      </w:pPr>
    </w:p>
    <w:p w14:paraId="362BCF77">
      <w:pPr>
        <w:pageBreakBefore w:val="0"/>
        <w:kinsoku/>
        <w:wordWrap/>
        <w:overflowPunct/>
        <w:topLinePunct w:val="0"/>
        <w:autoSpaceDE/>
        <w:autoSpaceDN/>
        <w:bidi w:val="0"/>
        <w:spacing w:line="576" w:lineRule="exact"/>
        <w:jc w:val="center"/>
        <w:textAlignment w:val="auto"/>
        <w:rPr>
          <w:rFonts w:hint="eastAsia" w:ascii="Times New Roman" w:hAnsi="Times New Roman" w:eastAsia="仿宋_GB2312" w:cs="仿宋_GB2312"/>
          <w:color w:val="auto"/>
          <w:sz w:val="32"/>
          <w:szCs w:val="32"/>
          <w:highlight w:val="none"/>
          <w:lang w:eastAsia="zh-CN"/>
        </w:rPr>
      </w:pPr>
    </w:p>
    <w:p w14:paraId="2BADA936">
      <w:pPr>
        <w:pageBreakBefore w:val="0"/>
        <w:kinsoku/>
        <w:wordWrap/>
        <w:overflowPunct/>
        <w:topLinePunct w:val="0"/>
        <w:autoSpaceDE/>
        <w:autoSpaceDN/>
        <w:bidi w:val="0"/>
        <w:spacing w:line="576" w:lineRule="exact"/>
        <w:jc w:val="center"/>
        <w:textAlignment w:val="auto"/>
        <w:rPr>
          <w:rFonts w:hint="eastAsia" w:ascii="Times New Roman" w:hAnsi="Times New Roman" w:eastAsia="仿宋_GB2312" w:cs="仿宋_GB2312"/>
          <w:color w:val="auto"/>
          <w:sz w:val="32"/>
          <w:szCs w:val="32"/>
          <w:highlight w:val="none"/>
          <w:lang w:eastAsia="zh-CN"/>
        </w:rPr>
      </w:pPr>
    </w:p>
    <w:p w14:paraId="3448E883">
      <w:pPr>
        <w:pageBreakBefore w:val="0"/>
        <w:kinsoku/>
        <w:wordWrap/>
        <w:overflowPunct/>
        <w:topLinePunct w:val="0"/>
        <w:autoSpaceDE/>
        <w:autoSpaceDN/>
        <w:bidi w:val="0"/>
        <w:spacing w:line="576" w:lineRule="exact"/>
        <w:jc w:val="both"/>
        <w:textAlignment w:val="auto"/>
        <w:rPr>
          <w:rFonts w:hint="eastAsia" w:ascii="Times New Roman" w:hAnsi="Times New Roman" w:eastAsia="仿宋_GB2312" w:cs="仿宋_GB2312"/>
          <w:color w:val="auto"/>
          <w:sz w:val="32"/>
          <w:szCs w:val="32"/>
          <w:highlight w:val="none"/>
          <w:lang w:eastAsia="zh-CN"/>
        </w:rPr>
      </w:pPr>
    </w:p>
    <w:p w14:paraId="2CF70C02">
      <w:pPr>
        <w:pageBreakBefore w:val="0"/>
        <w:kinsoku/>
        <w:wordWrap/>
        <w:overflowPunct/>
        <w:topLinePunct w:val="0"/>
        <w:autoSpaceDE/>
        <w:autoSpaceDN/>
        <w:bidi w:val="0"/>
        <w:spacing w:line="576" w:lineRule="exact"/>
        <w:ind w:firstLine="640" w:firstLineChars="200"/>
        <w:textAlignment w:val="auto"/>
        <w:outlineLvl w:val="0"/>
        <w:rPr>
          <w:rFonts w:hint="eastAsia" w:ascii="Times New Roman" w:hAnsi="Times New Roman" w:eastAsia="黑体"/>
          <w:color w:val="auto"/>
          <w:sz w:val="32"/>
          <w:szCs w:val="32"/>
          <w:highlight w:val="none"/>
        </w:rPr>
      </w:pPr>
      <w:bookmarkStart w:id="54" w:name="_Toc15396606"/>
      <w:bookmarkStart w:id="55" w:name="_Toc24170"/>
      <w:bookmarkStart w:id="56" w:name="_Toc15377208"/>
      <w:bookmarkStart w:id="57" w:name="_Toc7452"/>
      <w:bookmarkStart w:id="58" w:name="_Toc31164"/>
      <w:bookmarkStart w:id="59" w:name="_Toc19121"/>
    </w:p>
    <w:p w14:paraId="08B33328">
      <w:pPr>
        <w:pageBreakBefore w:val="0"/>
        <w:kinsoku/>
        <w:wordWrap/>
        <w:overflowPunct/>
        <w:topLinePunct w:val="0"/>
        <w:autoSpaceDE/>
        <w:autoSpaceDN/>
        <w:bidi w:val="0"/>
        <w:spacing w:line="576" w:lineRule="exact"/>
        <w:ind w:firstLine="640" w:firstLineChars="200"/>
        <w:textAlignment w:val="auto"/>
        <w:outlineLvl w:val="0"/>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54"/>
      <w:bookmarkEnd w:id="55"/>
      <w:bookmarkEnd w:id="56"/>
      <w:bookmarkEnd w:id="57"/>
      <w:bookmarkEnd w:id="58"/>
      <w:bookmarkEnd w:id="59"/>
    </w:p>
    <w:p w14:paraId="7B6EDA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eastAsia" w:eastAsia="仿宋_GB2312" w:cs="Times New Roman"/>
          <w:color w:val="auto"/>
          <w:kern w:val="2"/>
          <w:sz w:val="32"/>
          <w:szCs w:val="32"/>
          <w:highlight w:val="none"/>
          <w:lang w:val="en-US" w:eastAsia="zh-CN" w:bidi="ar-SA"/>
        </w:rPr>
        <w:t>1026.00万元</w:t>
      </w:r>
      <w:r>
        <w:rPr>
          <w:rFonts w:hint="default" w:ascii="Times New Roman" w:hAnsi="Times New Roman" w:eastAsia="仿宋_GB2312" w:cs="Times New Roman"/>
          <w:color w:val="auto"/>
          <w:kern w:val="2"/>
          <w:sz w:val="32"/>
          <w:szCs w:val="32"/>
          <w:highlight w:val="none"/>
          <w:lang w:val="en-US" w:eastAsia="zh-CN" w:bidi="ar-SA"/>
        </w:rPr>
        <w:t>。与2023年度相比，财政拨款收入总计、支出总计各增加57.42万元，增长5.9%。</w:t>
      </w:r>
      <w:r>
        <w:rPr>
          <w:rFonts w:hint="eastAsia" w:eastAsia="仿宋_GB2312" w:cs="Times New Roman"/>
          <w:color w:val="auto"/>
          <w:sz w:val="32"/>
          <w:szCs w:val="32"/>
          <w:highlight w:val="none"/>
          <w:lang w:eastAsia="zh-CN"/>
        </w:rPr>
        <w:t>主要变动原因是：</w:t>
      </w:r>
      <w:r>
        <w:rPr>
          <w:rFonts w:hint="default" w:ascii="Times New Roman" w:hAnsi="Times New Roman" w:eastAsia="仿宋_GB2312" w:cs="Times New Roman"/>
          <w:color w:val="auto"/>
          <w:sz w:val="32"/>
          <w:szCs w:val="32"/>
          <w:highlight w:val="none"/>
        </w:rPr>
        <w:t>我镇202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年事业单位人员增加，人员经费及办公经费增加</w:t>
      </w:r>
      <w:r>
        <w:rPr>
          <w:rFonts w:hint="default" w:ascii="Times New Roman" w:hAnsi="Times New Roman" w:eastAsia="仿宋_GB2312" w:cs="Times New Roman"/>
          <w:color w:val="auto"/>
          <w:sz w:val="32"/>
          <w:szCs w:val="32"/>
          <w:highlight w:val="none"/>
          <w:lang w:eastAsia="zh-CN"/>
        </w:rPr>
        <w:t>。</w:t>
      </w:r>
    </w:p>
    <w:p w14:paraId="72A95D19">
      <w:pPr>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思源黑体 CN Normal" w:hAnsi="思源黑体 CN Normal" w:eastAsia="思源黑体 CN Normal" w:cs="思源黑体 CN Normal"/>
        </w:rPr>
        <w:drawing>
          <wp:anchor distT="0" distB="0" distL="114300" distR="114300" simplePos="0" relativeHeight="251660288" behindDoc="0" locked="0" layoutInCell="1" allowOverlap="1">
            <wp:simplePos x="0" y="0"/>
            <wp:positionH relativeFrom="column">
              <wp:posOffset>425450</wp:posOffset>
            </wp:positionH>
            <wp:positionV relativeFrom="paragraph">
              <wp:posOffset>83820</wp:posOffset>
            </wp:positionV>
            <wp:extent cx="4236720" cy="2696210"/>
            <wp:effectExtent l="4445" t="4445" r="6985" b="2349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7E84BD1">
      <w:pPr>
        <w:pStyle w:val="1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307F995B">
      <w:pPr>
        <w:pStyle w:val="1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5024E92E">
      <w:pPr>
        <w:pStyle w:val="1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07A987D9">
      <w:pPr>
        <w:pStyle w:val="1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EAF6EBE">
      <w:pPr>
        <w:pStyle w:val="12"/>
        <w:pageBreakBefore w:val="0"/>
        <w:kinsoku/>
        <w:wordWrap/>
        <w:overflowPunct/>
        <w:topLinePunct w:val="0"/>
        <w:autoSpaceDE/>
        <w:autoSpaceDN/>
        <w:bidi w:val="0"/>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79A48E92">
      <w:pPr>
        <w:pageBreakBefore w:val="0"/>
        <w:kinsoku/>
        <w:wordWrap/>
        <w:overflowPunct/>
        <w:topLinePunct w:val="0"/>
        <w:autoSpaceDE/>
        <w:autoSpaceDN/>
        <w:bidi w:val="0"/>
        <w:spacing w:line="576" w:lineRule="exact"/>
        <w:textAlignment w:val="auto"/>
        <w:outlineLvl w:val="0"/>
        <w:rPr>
          <w:rFonts w:hint="eastAsia" w:ascii="Times New Roman" w:hAnsi="Times New Roman" w:eastAsia="黑体"/>
          <w:color w:val="auto"/>
          <w:sz w:val="32"/>
          <w:szCs w:val="32"/>
          <w:highlight w:val="none"/>
        </w:rPr>
      </w:pPr>
      <w:bookmarkStart w:id="60" w:name="_Toc23195"/>
      <w:bookmarkStart w:id="61" w:name="_Toc15396607"/>
      <w:bookmarkStart w:id="62" w:name="_Toc30334"/>
      <w:bookmarkStart w:id="63" w:name="_Toc14502"/>
      <w:bookmarkStart w:id="64" w:name="_Toc15377209"/>
      <w:bookmarkStart w:id="65" w:name="_Toc28597"/>
    </w:p>
    <w:p w14:paraId="611FBCED">
      <w:pPr>
        <w:pageBreakBefore w:val="0"/>
        <w:kinsoku/>
        <w:wordWrap/>
        <w:overflowPunct/>
        <w:topLinePunct w:val="0"/>
        <w:autoSpaceDE/>
        <w:autoSpaceDN/>
        <w:bidi w:val="0"/>
        <w:spacing w:line="576" w:lineRule="exact"/>
        <w:ind w:firstLine="640" w:firstLineChars="200"/>
        <w:textAlignment w:val="auto"/>
        <w:outlineLvl w:val="0"/>
        <w:rPr>
          <w:rFonts w:hint="eastAsia" w:ascii="Times New Roman" w:hAnsi="Times New Roman" w:eastAsia="黑体"/>
          <w:color w:val="auto"/>
          <w:sz w:val="32"/>
          <w:szCs w:val="32"/>
          <w:highlight w:val="none"/>
        </w:rPr>
      </w:pPr>
    </w:p>
    <w:p w14:paraId="23D7009C">
      <w:pPr>
        <w:pageBreakBefore w:val="0"/>
        <w:kinsoku/>
        <w:wordWrap/>
        <w:overflowPunct/>
        <w:topLinePunct w:val="0"/>
        <w:autoSpaceDE/>
        <w:autoSpaceDN/>
        <w:bidi w:val="0"/>
        <w:spacing w:line="576" w:lineRule="exact"/>
        <w:ind w:firstLine="640" w:firstLineChars="200"/>
        <w:textAlignment w:val="auto"/>
        <w:outlineLvl w:val="0"/>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60"/>
      <w:bookmarkEnd w:id="61"/>
      <w:bookmarkEnd w:id="62"/>
      <w:bookmarkEnd w:id="63"/>
      <w:bookmarkEnd w:id="64"/>
      <w:bookmarkEnd w:id="65"/>
    </w:p>
    <w:p w14:paraId="6FE700FE">
      <w:pPr>
        <w:pageBreakBefore w:val="0"/>
        <w:kinsoku/>
        <w:wordWrap/>
        <w:overflowPunct/>
        <w:topLinePunct w:val="0"/>
        <w:autoSpaceDE/>
        <w:autoSpaceDN/>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66" w:name="_Toc1848"/>
      <w:bookmarkStart w:id="67" w:name="_Toc29565"/>
      <w:bookmarkStart w:id="68" w:name="_Toc4498"/>
      <w:bookmarkStart w:id="69" w:name="_Toc15377210"/>
      <w:bookmarkStart w:id="70" w:name="_Toc30201"/>
      <w:r>
        <w:rPr>
          <w:rFonts w:hint="eastAsia" w:ascii="Times New Roman" w:hAnsi="Times New Roman" w:eastAsia="楷体_GB2312" w:cs="楷体_GB2312"/>
          <w:b/>
          <w:color w:val="auto"/>
          <w:sz w:val="32"/>
          <w:szCs w:val="32"/>
          <w:highlight w:val="none"/>
        </w:rPr>
        <w:t>（一）一般公共预算财政拨款支出决算总体情况</w:t>
      </w:r>
      <w:bookmarkEnd w:id="66"/>
      <w:bookmarkEnd w:id="67"/>
      <w:bookmarkEnd w:id="68"/>
      <w:bookmarkEnd w:id="69"/>
      <w:bookmarkEnd w:id="70"/>
    </w:p>
    <w:p w14:paraId="7BBC48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eastAsia" w:eastAsia="仿宋_GB2312" w:cs="Times New Roman"/>
          <w:color w:val="auto"/>
          <w:kern w:val="2"/>
          <w:sz w:val="32"/>
          <w:szCs w:val="32"/>
          <w:highlight w:val="none"/>
          <w:lang w:val="en-US" w:eastAsia="zh-CN" w:bidi="ar-SA"/>
        </w:rPr>
        <w:t>1026.00万元</w:t>
      </w:r>
      <w:r>
        <w:rPr>
          <w:rFonts w:hint="default" w:ascii="Times New Roman" w:hAnsi="Times New Roman" w:eastAsia="仿宋_GB2312" w:cs="Times New Roman"/>
          <w:color w:val="auto"/>
          <w:kern w:val="2"/>
          <w:sz w:val="32"/>
          <w:szCs w:val="32"/>
          <w:highlight w:val="none"/>
          <w:lang w:val="en-US" w:eastAsia="zh-CN" w:bidi="ar-SA"/>
        </w:rPr>
        <w:t>，占本年支出合计的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%。与2023年度相比，一般公共预算财政拨款支出增加57.42万元，增长5.9%。</w:t>
      </w:r>
      <w:r>
        <w:rPr>
          <w:rFonts w:hint="eastAsia" w:eastAsia="仿宋_GB2312" w:cs="Times New Roman"/>
          <w:color w:val="auto"/>
          <w:kern w:val="2"/>
          <w:sz w:val="32"/>
          <w:szCs w:val="32"/>
          <w:highlight w:val="none"/>
          <w:lang w:val="en-US" w:eastAsia="zh-CN" w:bidi="ar-SA"/>
        </w:rPr>
        <w:t>主要变动原因是：</w:t>
      </w:r>
      <w:r>
        <w:rPr>
          <w:rFonts w:hint="default" w:ascii="Times New Roman" w:hAnsi="Times New Roman" w:eastAsia="仿宋_GB2312" w:cs="Times New Roman"/>
          <w:color w:val="auto"/>
          <w:sz w:val="32"/>
          <w:szCs w:val="32"/>
          <w:highlight w:val="none"/>
        </w:rPr>
        <w:t>我镇202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年事业单位人员增加，人员经费及办公经费增加</w:t>
      </w:r>
      <w:r>
        <w:rPr>
          <w:rFonts w:hint="default" w:ascii="Times New Roman" w:hAnsi="Times New Roman" w:eastAsia="仿宋_GB2312" w:cs="Times New Roman"/>
          <w:color w:val="auto"/>
          <w:sz w:val="32"/>
          <w:szCs w:val="32"/>
          <w:highlight w:val="none"/>
          <w:lang w:eastAsia="zh-CN"/>
        </w:rPr>
        <w:t>。</w:t>
      </w:r>
    </w:p>
    <w:p w14:paraId="0725645A">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433070</wp:posOffset>
            </wp:positionH>
            <wp:positionV relativeFrom="paragraph">
              <wp:posOffset>81915</wp:posOffset>
            </wp:positionV>
            <wp:extent cx="4480560" cy="2146300"/>
            <wp:effectExtent l="4445" t="5080" r="10795" b="2032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287D6A1">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5730CD7F">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9DA722F">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592C5BD">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5B03C33">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sz w:val="32"/>
        </w:rPr>
        <mc:AlternateContent>
          <mc:Choice Requires="wps">
            <w:drawing>
              <wp:anchor distT="0" distB="0" distL="114300" distR="114300" simplePos="0" relativeHeight="251662336" behindDoc="0" locked="0" layoutInCell="1" allowOverlap="1">
                <wp:simplePos x="0" y="0"/>
                <wp:positionH relativeFrom="column">
                  <wp:posOffset>3820795</wp:posOffset>
                </wp:positionH>
                <wp:positionV relativeFrom="paragraph">
                  <wp:posOffset>67945</wp:posOffset>
                </wp:positionV>
                <wp:extent cx="813435" cy="277495"/>
                <wp:effectExtent l="4445" t="5080" r="20320" b="22225"/>
                <wp:wrapNone/>
                <wp:docPr id="4" name="文本框 4"/>
                <wp:cNvGraphicFramePr/>
                <a:graphic xmlns:a="http://schemas.openxmlformats.org/drawingml/2006/main">
                  <a:graphicData uri="http://schemas.microsoft.com/office/word/2010/wordprocessingShape">
                    <wps:wsp>
                      <wps:cNvSpPr txBox="1"/>
                      <wps:spPr>
                        <a:xfrm>
                          <a:off x="4516120" y="8947150"/>
                          <a:ext cx="813435" cy="2774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75E19AA">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85pt;margin-top:5.35pt;height:21.85pt;width:64.05pt;z-index:251662336;mso-width-relative:page;mso-height-relative:page;" fillcolor="#FFFFFF [3201]" filled="t" stroked="t" coordsize="21600,21600" o:gfxdata="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Xlc4LY&#10;AAAACQEAAA8AAAAAAAAAAQAgAAAAIgAAAGRycy9kb3ducmV2LnhtbFBLAQIUABQAAAAIAIdO4kAm&#10;KxrqWQIAAMMEAAAOAAAAAAAAAAEAIAAAACcBAABkcnMvZTJvRG9jLnhtbFBLBQYAAAAABgAGAFkB&#10;AADyBQAAAAA=&#10;">
                <v:fill on="t" focussize="0,0"/>
                <v:stroke weight="0.5pt" color="#FFFFFF [3212]" joinstyle="round"/>
                <v:imagedata o:title=""/>
                <o:lock v:ext="edit" aspectratio="f"/>
                <v:textbox>
                  <w:txbxContent>
                    <w:p w14:paraId="375E19AA">
                      <w:pPr>
                        <w:rPr>
                          <w:rFonts w:hint="eastAsia" w:eastAsia="宋体"/>
                          <w:lang w:eastAsia="zh-CN"/>
                        </w:rPr>
                      </w:pPr>
                      <w:r>
                        <w:rPr>
                          <w:rFonts w:hint="eastAsia"/>
                          <w:lang w:eastAsia="zh-CN"/>
                        </w:rPr>
                        <w:t>单位：万元</w:t>
                      </w:r>
                    </w:p>
                  </w:txbxContent>
                </v:textbox>
              </v:shape>
            </w:pict>
          </mc:Fallback>
        </mc:AlternateContent>
      </w:r>
    </w:p>
    <w:p w14:paraId="39B8DC16">
      <w:pPr>
        <w:pageBreakBefore w:val="0"/>
        <w:kinsoku/>
        <w:wordWrap/>
        <w:overflowPunct/>
        <w:topLinePunct w:val="0"/>
        <w:autoSpaceDE/>
        <w:autoSpaceDN/>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71" w:name="_Toc30275"/>
      <w:bookmarkStart w:id="72" w:name="_Toc17029"/>
      <w:bookmarkStart w:id="73" w:name="_Toc15377211"/>
      <w:bookmarkStart w:id="74" w:name="_Toc5139"/>
      <w:bookmarkStart w:id="75" w:name="_Toc19476"/>
      <w:r>
        <w:rPr>
          <w:rFonts w:hint="eastAsia" w:ascii="Times New Roman" w:hAnsi="Times New Roman" w:eastAsia="楷体_GB2312" w:cs="楷体_GB2312"/>
          <w:b/>
          <w:color w:val="auto"/>
          <w:sz w:val="32"/>
          <w:szCs w:val="32"/>
          <w:highlight w:val="none"/>
        </w:rPr>
        <w:t>（二）一般公共预算财政拨款支出决算结构情况</w:t>
      </w:r>
      <w:bookmarkEnd w:id="71"/>
      <w:bookmarkEnd w:id="72"/>
      <w:bookmarkEnd w:id="73"/>
      <w:bookmarkEnd w:id="74"/>
      <w:bookmarkEnd w:id="75"/>
    </w:p>
    <w:p w14:paraId="7AC0A6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eastAsia" w:eastAsia="仿宋_GB2312" w:cs="Times New Roman"/>
          <w:color w:val="auto"/>
          <w:kern w:val="2"/>
          <w:sz w:val="32"/>
          <w:szCs w:val="32"/>
          <w:highlight w:val="none"/>
          <w:lang w:val="en-US" w:eastAsia="zh-CN" w:bidi="ar-SA"/>
        </w:rPr>
        <w:t>1026.00万元</w:t>
      </w:r>
      <w:r>
        <w:rPr>
          <w:rFonts w:hint="default" w:ascii="Times New Roman" w:hAnsi="Times New Roman" w:eastAsia="仿宋_GB2312" w:cs="Times New Roman"/>
          <w:color w:val="auto"/>
          <w:kern w:val="2"/>
          <w:sz w:val="32"/>
          <w:szCs w:val="32"/>
          <w:highlight w:val="none"/>
          <w:lang w:val="en-US" w:eastAsia="zh-CN" w:bidi="ar-SA"/>
        </w:rPr>
        <w:t>，主要用于以下方面：</w:t>
      </w:r>
      <w:r>
        <w:rPr>
          <w:rFonts w:hint="default" w:ascii="Times New Roman" w:hAnsi="Times New Roman" w:eastAsia="仿宋_GB2312" w:cs="Times New Roman"/>
          <w:color w:val="000000"/>
          <w:sz w:val="32"/>
          <w:u w:color="auto"/>
        </w:rPr>
        <w:t>社会保障和就业支出</w:t>
      </w:r>
      <w:r>
        <w:rPr>
          <w:rFonts w:hint="default" w:ascii="Times New Roman" w:hAnsi="Times New Roman" w:eastAsia="仿宋_GB2312" w:cs="Times New Roman"/>
          <w:color w:val="auto"/>
          <w:kern w:val="2"/>
          <w:sz w:val="32"/>
          <w:szCs w:val="32"/>
          <w:highlight w:val="none"/>
          <w:lang w:val="en-US" w:eastAsia="zh-CN" w:bidi="ar-SA"/>
        </w:rPr>
        <w:t>136.38</w:t>
      </w:r>
      <w:r>
        <w:rPr>
          <w:rFonts w:hint="default" w:ascii="Times New Roman" w:hAnsi="Times New Roman" w:eastAsia="仿宋_GB2312" w:cs="Times New Roman"/>
          <w:color w:val="000000"/>
          <w:sz w:val="32"/>
          <w:u w:color="auto"/>
        </w:rPr>
        <w:t>万元，占</w:t>
      </w:r>
      <w:r>
        <w:rPr>
          <w:rFonts w:hint="default" w:ascii="Times New Roman" w:hAnsi="Times New Roman" w:eastAsia="仿宋_GB2312" w:cs="Times New Roman"/>
          <w:color w:val="auto"/>
          <w:kern w:val="2"/>
          <w:sz w:val="32"/>
          <w:szCs w:val="32"/>
          <w:highlight w:val="none"/>
          <w:lang w:val="en-US" w:eastAsia="zh-CN" w:bidi="ar-SA"/>
        </w:rPr>
        <w:t>13.3</w:t>
      </w:r>
      <w:r>
        <w:rPr>
          <w:rFonts w:hint="default" w:ascii="Times New Roman" w:hAnsi="Times New Roman" w:eastAsia="仿宋_GB2312" w:cs="Times New Roman"/>
          <w:color w:val="000000"/>
          <w:sz w:val="32"/>
          <w:u w:color="auto"/>
        </w:rPr>
        <w:t>%；卫生健康支出</w:t>
      </w:r>
      <w:r>
        <w:rPr>
          <w:rFonts w:hint="default" w:ascii="Times New Roman" w:hAnsi="Times New Roman" w:eastAsia="仿宋_GB2312" w:cs="Times New Roman"/>
          <w:color w:val="auto"/>
          <w:kern w:val="2"/>
          <w:sz w:val="32"/>
          <w:szCs w:val="32"/>
          <w:highlight w:val="none"/>
          <w:lang w:val="en-US" w:eastAsia="zh-CN" w:bidi="ar-SA"/>
        </w:rPr>
        <w:t>60.72</w:t>
      </w:r>
      <w:r>
        <w:rPr>
          <w:rFonts w:hint="default" w:ascii="Times New Roman" w:hAnsi="Times New Roman" w:eastAsia="仿宋_GB2312" w:cs="Times New Roman"/>
          <w:color w:val="000000"/>
          <w:sz w:val="32"/>
          <w:u w:color="auto"/>
        </w:rPr>
        <w:t>万，占</w:t>
      </w:r>
      <w:r>
        <w:rPr>
          <w:rFonts w:hint="default" w:ascii="Times New Roman" w:hAnsi="Times New Roman" w:eastAsia="仿宋_GB2312" w:cs="Times New Roman"/>
          <w:color w:val="000000"/>
          <w:sz w:val="32"/>
          <w:szCs w:val="32"/>
          <w:u w:color="auto"/>
          <w:lang w:val="en-US" w:eastAsia="zh-CN"/>
        </w:rPr>
        <w:t>5</w:t>
      </w:r>
      <w:r>
        <w:rPr>
          <w:rFonts w:hint="default" w:ascii="Times New Roman" w:hAnsi="Times New Roman" w:eastAsia="仿宋_GB2312" w:cs="Times New Roman"/>
          <w:color w:val="000000"/>
          <w:sz w:val="32"/>
          <w:u w:color="auto"/>
          <w:lang w:val="en-US" w:eastAsia="zh-CN"/>
        </w:rPr>
        <w:t>.</w:t>
      </w:r>
      <w:r>
        <w:rPr>
          <w:rFonts w:hint="default" w:ascii="Times New Roman" w:hAnsi="Times New Roman" w:eastAsia="仿宋_GB2312" w:cs="Times New Roman"/>
          <w:color w:val="000000"/>
          <w:sz w:val="32"/>
          <w:szCs w:val="32"/>
          <w:u w:color="auto"/>
          <w:lang w:val="en-US" w:eastAsia="zh-CN"/>
        </w:rPr>
        <w:t>9</w:t>
      </w:r>
      <w:r>
        <w:rPr>
          <w:rFonts w:hint="default" w:ascii="Times New Roman" w:hAnsi="Times New Roman" w:eastAsia="仿宋_GB2312" w:cs="Times New Roman"/>
          <w:color w:val="000000"/>
          <w:sz w:val="32"/>
          <w:u w:color="auto"/>
        </w:rPr>
        <w:t>%；农林水支出</w:t>
      </w:r>
      <w:r>
        <w:rPr>
          <w:rFonts w:hint="default" w:ascii="Times New Roman" w:hAnsi="Times New Roman" w:eastAsia="仿宋_GB2312" w:cs="Times New Roman"/>
          <w:color w:val="000000"/>
          <w:sz w:val="32"/>
          <w:szCs w:val="32"/>
          <w:u w:color="auto"/>
          <w:lang w:val="en-US" w:eastAsia="zh-CN"/>
        </w:rPr>
        <w:t>749</w:t>
      </w:r>
      <w:r>
        <w:rPr>
          <w:rFonts w:hint="default" w:ascii="Times New Roman" w:hAnsi="Times New Roman" w:eastAsia="仿宋_GB2312" w:cs="Times New Roman"/>
          <w:color w:val="000000"/>
          <w:sz w:val="32"/>
          <w:u w:color="auto"/>
          <w:lang w:val="en-US" w:eastAsia="zh-CN"/>
        </w:rPr>
        <w:t>.</w:t>
      </w:r>
      <w:r>
        <w:rPr>
          <w:rFonts w:hint="default" w:ascii="Times New Roman" w:hAnsi="Times New Roman" w:eastAsia="仿宋_GB2312" w:cs="Times New Roman"/>
          <w:color w:val="000000"/>
          <w:sz w:val="32"/>
          <w:szCs w:val="32"/>
          <w:u w:color="auto"/>
          <w:lang w:val="en-US" w:eastAsia="zh-CN"/>
        </w:rPr>
        <w:t>56</w:t>
      </w:r>
      <w:r>
        <w:rPr>
          <w:rFonts w:hint="default" w:ascii="Times New Roman" w:hAnsi="Times New Roman" w:eastAsia="仿宋_GB2312" w:cs="Times New Roman"/>
          <w:color w:val="000000"/>
          <w:sz w:val="32"/>
          <w:u w:color="auto"/>
        </w:rPr>
        <w:t>万元，占</w:t>
      </w:r>
      <w:r>
        <w:rPr>
          <w:rFonts w:hint="default" w:ascii="Times New Roman" w:hAnsi="Times New Roman" w:eastAsia="仿宋_GB2312" w:cs="Times New Roman"/>
          <w:color w:val="000000"/>
          <w:sz w:val="32"/>
          <w:szCs w:val="32"/>
          <w:u w:color="auto"/>
        </w:rPr>
        <w:t>73</w:t>
      </w:r>
      <w:r>
        <w:rPr>
          <w:rFonts w:hint="default" w:ascii="Times New Roman" w:hAnsi="Times New Roman" w:eastAsia="仿宋_GB2312" w:cs="Times New Roman"/>
          <w:color w:val="000000"/>
          <w:sz w:val="32"/>
          <w:u w:color="auto"/>
        </w:rPr>
        <w:t>.</w:t>
      </w:r>
      <w:r>
        <w:rPr>
          <w:rFonts w:hint="default" w:ascii="Times New Roman" w:hAnsi="Times New Roman" w:eastAsia="仿宋_GB2312" w:cs="Times New Roman"/>
          <w:color w:val="000000"/>
          <w:sz w:val="32"/>
          <w:szCs w:val="32"/>
          <w:u w:color="auto"/>
          <w:lang w:val="en-US" w:eastAsia="zh-CN"/>
        </w:rPr>
        <w:t>1</w:t>
      </w:r>
      <w:r>
        <w:rPr>
          <w:rFonts w:hint="default" w:ascii="Times New Roman" w:hAnsi="Times New Roman" w:eastAsia="仿宋_GB2312" w:cs="Times New Roman"/>
          <w:color w:val="000000"/>
          <w:sz w:val="32"/>
          <w:u w:color="auto"/>
        </w:rPr>
        <w:t>%；住房保障支出</w:t>
      </w:r>
      <w:r>
        <w:rPr>
          <w:rFonts w:hint="default" w:ascii="Times New Roman" w:hAnsi="Times New Roman" w:eastAsia="仿宋_GB2312" w:cs="Times New Roman"/>
          <w:color w:val="000000"/>
          <w:sz w:val="32"/>
          <w:szCs w:val="32"/>
          <w:u w:color="auto"/>
          <w:lang w:val="en-US" w:eastAsia="zh-CN"/>
        </w:rPr>
        <w:t>79</w:t>
      </w:r>
      <w:r>
        <w:rPr>
          <w:rFonts w:hint="default" w:ascii="Times New Roman" w:hAnsi="Times New Roman" w:eastAsia="仿宋_GB2312" w:cs="Times New Roman"/>
          <w:color w:val="000000"/>
          <w:sz w:val="32"/>
          <w:u w:color="auto"/>
          <w:lang w:val="en-US" w:eastAsia="zh-CN"/>
        </w:rPr>
        <w:t>.</w:t>
      </w:r>
      <w:r>
        <w:rPr>
          <w:rFonts w:hint="default" w:ascii="Times New Roman" w:hAnsi="Times New Roman" w:eastAsia="仿宋_GB2312" w:cs="Times New Roman"/>
          <w:color w:val="000000"/>
          <w:sz w:val="32"/>
          <w:szCs w:val="32"/>
          <w:u w:color="auto"/>
          <w:lang w:val="en-US" w:eastAsia="zh-CN"/>
        </w:rPr>
        <w:t>34</w:t>
      </w:r>
      <w:r>
        <w:rPr>
          <w:rFonts w:hint="default" w:ascii="Times New Roman" w:hAnsi="Times New Roman" w:eastAsia="仿宋_GB2312" w:cs="Times New Roman"/>
          <w:color w:val="000000"/>
          <w:sz w:val="32"/>
          <w:u w:color="auto"/>
        </w:rPr>
        <w:t>万元</w:t>
      </w:r>
      <w:r>
        <w:rPr>
          <w:rFonts w:hint="default" w:ascii="Times New Roman" w:hAnsi="Times New Roman" w:eastAsia="仿宋_GB2312" w:cs="Times New Roman"/>
          <w:color w:val="000000"/>
          <w:sz w:val="32"/>
          <w:u w:color="auto"/>
          <w:lang w:eastAsia="zh-CN"/>
        </w:rPr>
        <w:t>，占</w:t>
      </w:r>
      <w:r>
        <w:rPr>
          <w:rFonts w:hint="default" w:ascii="Times New Roman" w:hAnsi="Times New Roman" w:eastAsia="仿宋_GB2312" w:cs="Times New Roman"/>
          <w:color w:val="000000"/>
          <w:sz w:val="32"/>
          <w:szCs w:val="32"/>
          <w:u w:color="auto"/>
          <w:lang w:val="en-US" w:eastAsia="zh-CN"/>
        </w:rPr>
        <w:t>7</w:t>
      </w:r>
      <w:r>
        <w:rPr>
          <w:rFonts w:hint="default" w:ascii="Times New Roman" w:hAnsi="Times New Roman" w:eastAsia="仿宋_GB2312" w:cs="Times New Roman"/>
          <w:color w:val="000000"/>
          <w:sz w:val="32"/>
          <w:u w:color="auto"/>
          <w:lang w:val="en-US" w:eastAsia="zh-CN"/>
        </w:rPr>
        <w:t>.</w:t>
      </w:r>
      <w:r>
        <w:rPr>
          <w:rFonts w:hint="default" w:ascii="Times New Roman" w:hAnsi="Times New Roman" w:eastAsia="仿宋_GB2312" w:cs="Times New Roman"/>
          <w:color w:val="000000"/>
          <w:sz w:val="32"/>
          <w:szCs w:val="32"/>
          <w:u w:color="auto"/>
          <w:lang w:val="en-US" w:eastAsia="zh-CN"/>
        </w:rPr>
        <w:t>7</w:t>
      </w:r>
      <w:r>
        <w:rPr>
          <w:rFonts w:hint="default" w:ascii="Times New Roman" w:hAnsi="Times New Roman" w:eastAsia="仿宋_GB2312" w:cs="Times New Roman"/>
          <w:color w:val="000000"/>
          <w:sz w:val="32"/>
          <w:u w:color="auto"/>
          <w:lang w:val="en-US" w:eastAsia="zh-CN"/>
        </w:rPr>
        <w:t>%</w:t>
      </w:r>
      <w:r>
        <w:rPr>
          <w:rFonts w:hint="default" w:ascii="Times New Roman" w:hAnsi="Times New Roman" w:eastAsia="仿宋_GB2312" w:cs="Times New Roman"/>
          <w:color w:val="000000"/>
          <w:sz w:val="32"/>
          <w:u w:color="auto"/>
        </w:rPr>
        <w:t>。</w:t>
      </w:r>
    </w:p>
    <w:p w14:paraId="2C21D43F">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389890</wp:posOffset>
            </wp:positionH>
            <wp:positionV relativeFrom="paragraph">
              <wp:posOffset>-14605</wp:posOffset>
            </wp:positionV>
            <wp:extent cx="4568825" cy="2703830"/>
            <wp:effectExtent l="4445" t="4445" r="17780" b="1587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23A09CC">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19208D6">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7C0D274A">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3C434BE">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5E71095">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55E7CC1E">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E9D82B7">
      <w:pPr>
        <w:pageBreakBefore w:val="0"/>
        <w:kinsoku/>
        <w:wordWrap/>
        <w:overflowPunct/>
        <w:topLinePunct w:val="0"/>
        <w:autoSpaceDE/>
        <w:autoSpaceDN/>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76" w:name="_Toc15377212"/>
      <w:bookmarkStart w:id="77" w:name="_Toc2322"/>
      <w:bookmarkStart w:id="78" w:name="_Toc24323"/>
      <w:bookmarkStart w:id="79" w:name="_Toc15992"/>
      <w:bookmarkStart w:id="80" w:name="_Toc27819"/>
      <w:r>
        <w:rPr>
          <w:rFonts w:hint="eastAsia" w:ascii="Times New Roman" w:hAnsi="Times New Roman" w:eastAsia="楷体_GB2312" w:cs="楷体_GB2312"/>
          <w:b/>
          <w:color w:val="auto"/>
          <w:sz w:val="32"/>
          <w:szCs w:val="32"/>
          <w:highlight w:val="none"/>
        </w:rPr>
        <w:t>（三）一般公共预算财政拨款支出决算具体情况</w:t>
      </w:r>
      <w:bookmarkEnd w:id="76"/>
      <w:bookmarkEnd w:id="77"/>
      <w:bookmarkEnd w:id="78"/>
      <w:bookmarkEnd w:id="79"/>
      <w:bookmarkEnd w:id="80"/>
    </w:p>
    <w:p w14:paraId="27C466BC">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bookmarkStart w:id="81" w:name="_Toc15377213"/>
      <w:bookmarkStart w:id="82" w:name="_Toc15377444"/>
      <w:bookmarkStart w:id="83"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eastAsia" w:eastAsia="仿宋_GB2312" w:cs="Times New Roman"/>
          <w:color w:val="auto"/>
          <w:kern w:val="2"/>
          <w:sz w:val="32"/>
          <w:szCs w:val="32"/>
          <w:highlight w:val="none"/>
          <w:lang w:val="en-US" w:eastAsia="zh-CN" w:bidi="ar-SA"/>
        </w:rPr>
        <w:t>1026.00万元</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81"/>
      <w:bookmarkEnd w:id="82"/>
      <w:bookmarkEnd w:id="83"/>
    </w:p>
    <w:p w14:paraId="09F56F7F">
      <w:pPr>
        <w:pageBreakBefore w:val="0"/>
        <w:tabs>
          <w:tab w:val="right" w:pos="8306"/>
        </w:tabs>
        <w:kinsoku/>
        <w:wordWrap/>
        <w:overflowPunct/>
        <w:topLinePunct w:val="0"/>
        <w:autoSpaceDE/>
        <w:autoSpaceDN/>
        <w:bidi w:val="0"/>
        <w:spacing w:line="576" w:lineRule="exact"/>
        <w:ind w:firstLine="640" w:firstLineChars="0"/>
        <w:textAlignment w:val="auto"/>
        <w:outlineLvl w:val="9"/>
        <w:rPr>
          <w:rFonts w:hint="eastAsia" w:eastAsia="仿宋_GB2312" w:cs="Times New Roman"/>
          <w:color w:val="000000"/>
          <w:sz w:val="32"/>
          <w:szCs w:val="32"/>
          <w:lang w:eastAsia="zh-CN"/>
        </w:rPr>
      </w:pPr>
      <w:bookmarkStart w:id="84" w:name="_Toc7511"/>
      <w:bookmarkStart w:id="85" w:name="_Toc15396608"/>
      <w:bookmarkStart w:id="86" w:name="_Toc15377214"/>
      <w:r>
        <w:rPr>
          <w:rFonts w:hint="default" w:ascii="Times New Roman" w:hAnsi="Times New Roman" w:eastAsia="仿宋_GB2312" w:cs="Times New Roman"/>
          <w:color w:val="auto"/>
          <w:kern w:val="2"/>
          <w:sz w:val="32"/>
          <w:szCs w:val="32"/>
          <w:highlight w:val="none"/>
          <w:lang w:val="en-US" w:eastAsia="zh-CN" w:bidi="ar-SA"/>
        </w:rPr>
        <w:t>1. 社会保障和就业支出（</w:t>
      </w:r>
      <w:r>
        <w:rPr>
          <w:rFonts w:hint="eastAsia" w:eastAsia="仿宋_GB2312" w:cs="Times New Roman"/>
          <w:color w:val="auto"/>
          <w:kern w:val="2"/>
          <w:sz w:val="32"/>
          <w:szCs w:val="32"/>
          <w:highlight w:val="none"/>
          <w:lang w:val="en-US" w:eastAsia="zh-CN" w:bidi="ar-SA"/>
        </w:rPr>
        <w:t>208</w:t>
      </w:r>
      <w:r>
        <w:rPr>
          <w:rFonts w:hint="default" w:ascii="Times New Roman" w:hAnsi="Times New Roman" w:eastAsia="仿宋_GB2312" w:cs="Times New Roman"/>
          <w:color w:val="auto"/>
          <w:kern w:val="2"/>
          <w:sz w:val="32"/>
          <w:szCs w:val="32"/>
          <w:highlight w:val="none"/>
          <w:lang w:val="en-US" w:eastAsia="zh-CN" w:bidi="ar-SA"/>
        </w:rPr>
        <w:t>）行政事业单位养老支出（</w:t>
      </w:r>
      <w:r>
        <w:rPr>
          <w:rFonts w:hint="eastAsia" w:eastAsia="仿宋_GB2312" w:cs="Times New Roman"/>
          <w:color w:val="auto"/>
          <w:kern w:val="2"/>
          <w:sz w:val="32"/>
          <w:szCs w:val="32"/>
          <w:highlight w:val="none"/>
          <w:lang w:val="en-US" w:eastAsia="zh-CN" w:bidi="ar-SA"/>
        </w:rPr>
        <w:t>05</w:t>
      </w:r>
      <w:r>
        <w:rPr>
          <w:rFonts w:hint="default" w:ascii="Times New Roman" w:hAnsi="Times New Roman" w:eastAsia="仿宋_GB2312" w:cs="Times New Roman"/>
          <w:color w:val="auto"/>
          <w:kern w:val="2"/>
          <w:sz w:val="32"/>
          <w:szCs w:val="32"/>
          <w:highlight w:val="none"/>
          <w:lang w:val="en-US" w:eastAsia="zh-CN" w:bidi="ar-SA"/>
        </w:rPr>
        <w:t>）机关事业单位基本养老保险缴费支出（</w:t>
      </w:r>
      <w:r>
        <w:rPr>
          <w:rFonts w:hint="eastAsia" w:eastAsia="仿宋_GB2312" w:cs="Times New Roman"/>
          <w:color w:val="auto"/>
          <w:kern w:val="2"/>
          <w:sz w:val="32"/>
          <w:szCs w:val="32"/>
          <w:highlight w:val="none"/>
          <w:lang w:val="en-US" w:eastAsia="zh-CN" w:bidi="ar-SA"/>
        </w:rPr>
        <w:t>05</w:t>
      </w:r>
      <w:r>
        <w:rPr>
          <w:rFonts w:hint="default" w:ascii="Times New Roman" w:hAnsi="Times New Roman" w:eastAsia="仿宋_GB2312" w:cs="Times New Roman"/>
          <w:color w:val="auto"/>
          <w:kern w:val="2"/>
          <w:sz w:val="32"/>
          <w:szCs w:val="32"/>
          <w:highlight w:val="none"/>
          <w:lang w:val="en-US" w:eastAsia="zh-CN" w:bidi="ar-SA"/>
        </w:rPr>
        <w:t>）：支出决算90.92万元，完成预算100%</w:t>
      </w:r>
      <w:r>
        <w:rPr>
          <w:rFonts w:hint="eastAsia" w:eastAsia="仿宋_GB2312" w:cs="Times New Roman"/>
          <w:color w:val="000000"/>
          <w:sz w:val="32"/>
          <w:szCs w:val="32"/>
          <w:lang w:eastAsia="zh-CN"/>
        </w:rPr>
        <w:t>，决算数与预算数持平。</w:t>
      </w:r>
    </w:p>
    <w:p w14:paraId="1E20F9D0">
      <w:pPr>
        <w:pageBreakBefore w:val="0"/>
        <w:tabs>
          <w:tab w:val="right" w:pos="8306"/>
        </w:tabs>
        <w:kinsoku/>
        <w:wordWrap/>
        <w:overflowPunct/>
        <w:topLinePunct w:val="0"/>
        <w:autoSpaceDE/>
        <w:autoSpaceDN/>
        <w:bidi w:val="0"/>
        <w:spacing w:line="576" w:lineRule="exact"/>
        <w:ind w:firstLine="640" w:firstLineChars="0"/>
        <w:textAlignment w:val="auto"/>
        <w:outlineLvl w:val="9"/>
        <w:rPr>
          <w:rFonts w:hint="eastAsia" w:eastAsia="仿宋_GB2312" w:cs="Times New Roman"/>
          <w:color w:val="000000"/>
          <w:sz w:val="32"/>
          <w:szCs w:val="32"/>
          <w:lang w:eastAsia="zh-CN"/>
        </w:rPr>
      </w:pPr>
      <w:r>
        <w:rPr>
          <w:rFonts w:hint="default" w:ascii="Times New Roman" w:hAnsi="Times New Roman" w:eastAsia="仿宋_GB2312" w:cs="Times New Roman"/>
          <w:color w:val="auto"/>
          <w:kern w:val="2"/>
          <w:sz w:val="32"/>
          <w:szCs w:val="32"/>
          <w:highlight w:val="none"/>
          <w:lang w:val="en-US" w:eastAsia="zh-CN" w:bidi="ar-SA"/>
        </w:rPr>
        <w:t>2. 社会保障和就业支出（</w:t>
      </w:r>
      <w:r>
        <w:rPr>
          <w:rFonts w:hint="eastAsia" w:eastAsia="仿宋_GB2312" w:cs="Times New Roman"/>
          <w:color w:val="auto"/>
          <w:kern w:val="2"/>
          <w:sz w:val="32"/>
          <w:szCs w:val="32"/>
          <w:highlight w:val="none"/>
          <w:lang w:val="en-US" w:eastAsia="zh-CN" w:bidi="ar-SA"/>
        </w:rPr>
        <w:t>208</w:t>
      </w:r>
      <w:r>
        <w:rPr>
          <w:rFonts w:hint="default" w:ascii="Times New Roman" w:hAnsi="Times New Roman" w:eastAsia="仿宋_GB2312" w:cs="Times New Roman"/>
          <w:color w:val="auto"/>
          <w:kern w:val="2"/>
          <w:sz w:val="32"/>
          <w:szCs w:val="32"/>
          <w:highlight w:val="none"/>
          <w:lang w:val="en-US" w:eastAsia="zh-CN" w:bidi="ar-SA"/>
        </w:rPr>
        <w:t>）行政事业单位养老支出（</w:t>
      </w:r>
      <w:r>
        <w:rPr>
          <w:rFonts w:hint="eastAsia" w:eastAsia="仿宋_GB2312" w:cs="Times New Roman"/>
          <w:color w:val="auto"/>
          <w:kern w:val="2"/>
          <w:sz w:val="32"/>
          <w:szCs w:val="32"/>
          <w:highlight w:val="none"/>
          <w:lang w:val="en-US" w:eastAsia="zh-CN" w:bidi="ar-SA"/>
        </w:rPr>
        <w:t>05</w:t>
      </w:r>
      <w:r>
        <w:rPr>
          <w:rFonts w:hint="default" w:ascii="Times New Roman" w:hAnsi="Times New Roman" w:eastAsia="仿宋_GB2312" w:cs="Times New Roman"/>
          <w:color w:val="auto"/>
          <w:kern w:val="2"/>
          <w:sz w:val="32"/>
          <w:szCs w:val="32"/>
          <w:highlight w:val="none"/>
          <w:lang w:val="en-US" w:eastAsia="zh-CN" w:bidi="ar-SA"/>
        </w:rPr>
        <w:t>）机关事业单位职业年金缴费支出（</w:t>
      </w:r>
      <w:r>
        <w:rPr>
          <w:rFonts w:hint="eastAsia" w:eastAsia="仿宋_GB2312" w:cs="Times New Roman"/>
          <w:color w:val="auto"/>
          <w:kern w:val="2"/>
          <w:sz w:val="32"/>
          <w:szCs w:val="32"/>
          <w:highlight w:val="none"/>
          <w:lang w:val="en-US" w:eastAsia="zh-CN" w:bidi="ar-SA"/>
        </w:rPr>
        <w:t>06</w:t>
      </w:r>
      <w:r>
        <w:rPr>
          <w:rFonts w:hint="default" w:ascii="Times New Roman" w:hAnsi="Times New Roman" w:eastAsia="仿宋_GB2312" w:cs="Times New Roman"/>
          <w:color w:val="auto"/>
          <w:kern w:val="2"/>
          <w:sz w:val="32"/>
          <w:szCs w:val="32"/>
          <w:highlight w:val="none"/>
          <w:lang w:val="en-US" w:eastAsia="zh-CN" w:bidi="ar-SA"/>
        </w:rPr>
        <w:t>）：支出决算45.46万元，完成预算100%</w:t>
      </w:r>
      <w:r>
        <w:rPr>
          <w:rFonts w:hint="eastAsia" w:eastAsia="仿宋_GB2312" w:cs="Times New Roman"/>
          <w:color w:val="000000"/>
          <w:sz w:val="32"/>
          <w:szCs w:val="32"/>
          <w:lang w:eastAsia="zh-CN"/>
        </w:rPr>
        <w:t>，决算数与预算数持平。</w:t>
      </w:r>
    </w:p>
    <w:p w14:paraId="3BB99770">
      <w:pPr>
        <w:pageBreakBefore w:val="0"/>
        <w:tabs>
          <w:tab w:val="right" w:pos="8306"/>
        </w:tabs>
        <w:kinsoku/>
        <w:wordWrap/>
        <w:overflowPunct/>
        <w:topLinePunct w:val="0"/>
        <w:autoSpaceDE/>
        <w:autoSpaceDN/>
        <w:bidi w:val="0"/>
        <w:spacing w:line="576" w:lineRule="exact"/>
        <w:ind w:firstLine="640" w:firstLineChars="0"/>
        <w:textAlignment w:val="auto"/>
        <w:outlineLvl w:val="9"/>
        <w:rPr>
          <w:rFonts w:hint="eastAsia" w:eastAsia="仿宋_GB2312" w:cs="Times New Roman"/>
          <w:color w:val="000000"/>
          <w:sz w:val="32"/>
          <w:szCs w:val="32"/>
          <w:lang w:eastAsia="zh-CN"/>
        </w:rPr>
      </w:pPr>
      <w:r>
        <w:rPr>
          <w:rFonts w:hint="default" w:ascii="Times New Roman" w:hAnsi="Times New Roman" w:eastAsia="仿宋_GB2312" w:cs="Times New Roman"/>
          <w:color w:val="auto"/>
          <w:kern w:val="2"/>
          <w:sz w:val="32"/>
          <w:szCs w:val="32"/>
          <w:highlight w:val="none"/>
          <w:lang w:val="en-US" w:eastAsia="zh-CN" w:bidi="ar-SA"/>
        </w:rPr>
        <w:t>3. 卫生健康支出（</w:t>
      </w:r>
      <w:r>
        <w:rPr>
          <w:rFonts w:hint="eastAsia" w:eastAsia="仿宋_GB2312" w:cs="Times New Roman"/>
          <w:color w:val="auto"/>
          <w:kern w:val="2"/>
          <w:sz w:val="32"/>
          <w:szCs w:val="32"/>
          <w:highlight w:val="none"/>
          <w:lang w:val="en-US" w:eastAsia="zh-CN" w:bidi="ar-SA"/>
        </w:rPr>
        <w:t>210</w:t>
      </w:r>
      <w:r>
        <w:rPr>
          <w:rFonts w:hint="default" w:ascii="Times New Roman" w:hAnsi="Times New Roman" w:eastAsia="仿宋_GB2312" w:cs="Times New Roman"/>
          <w:color w:val="auto"/>
          <w:kern w:val="2"/>
          <w:sz w:val="32"/>
          <w:szCs w:val="32"/>
          <w:highlight w:val="none"/>
          <w:lang w:val="en-US" w:eastAsia="zh-CN" w:bidi="ar-SA"/>
        </w:rPr>
        <w:t>）行政事业单位医疗（</w:t>
      </w:r>
      <w:r>
        <w:rPr>
          <w:rFonts w:hint="eastAsia" w:eastAsia="仿宋_GB2312" w:cs="Times New Roman"/>
          <w:color w:val="auto"/>
          <w:kern w:val="2"/>
          <w:sz w:val="32"/>
          <w:szCs w:val="32"/>
          <w:highlight w:val="none"/>
          <w:lang w:val="en-US" w:eastAsia="zh-CN" w:bidi="ar-SA"/>
        </w:rPr>
        <w:t>11</w:t>
      </w:r>
      <w:r>
        <w:rPr>
          <w:rFonts w:hint="default" w:ascii="Times New Roman" w:hAnsi="Times New Roman" w:eastAsia="仿宋_GB2312" w:cs="Times New Roman"/>
          <w:color w:val="auto"/>
          <w:kern w:val="2"/>
          <w:sz w:val="32"/>
          <w:szCs w:val="32"/>
          <w:highlight w:val="none"/>
          <w:lang w:val="en-US" w:eastAsia="zh-CN" w:bidi="ar-SA"/>
        </w:rPr>
        <w:t>）事业单位医疗（</w:t>
      </w:r>
      <w:r>
        <w:rPr>
          <w:rFonts w:hint="eastAsia" w:eastAsia="仿宋_GB2312" w:cs="Times New Roman"/>
          <w:color w:val="auto"/>
          <w:kern w:val="2"/>
          <w:sz w:val="32"/>
          <w:szCs w:val="32"/>
          <w:highlight w:val="none"/>
          <w:lang w:val="en-US" w:eastAsia="zh-CN" w:bidi="ar-SA"/>
        </w:rPr>
        <w:t>02</w:t>
      </w:r>
      <w:r>
        <w:rPr>
          <w:rFonts w:hint="default" w:ascii="Times New Roman" w:hAnsi="Times New Roman" w:eastAsia="仿宋_GB2312" w:cs="Times New Roman"/>
          <w:color w:val="auto"/>
          <w:kern w:val="2"/>
          <w:sz w:val="32"/>
          <w:szCs w:val="32"/>
          <w:highlight w:val="none"/>
          <w:lang w:val="en-US" w:eastAsia="zh-CN" w:bidi="ar-SA"/>
        </w:rPr>
        <w:t>）：支出决算60.72万元，完成预算100%</w:t>
      </w:r>
      <w:r>
        <w:rPr>
          <w:rFonts w:hint="eastAsia" w:eastAsia="仿宋_GB2312" w:cs="Times New Roman"/>
          <w:color w:val="000000"/>
          <w:sz w:val="32"/>
          <w:szCs w:val="32"/>
          <w:lang w:eastAsia="zh-CN"/>
        </w:rPr>
        <w:t>，决算数与预算数持平。</w:t>
      </w:r>
    </w:p>
    <w:p w14:paraId="5DAFD185">
      <w:pPr>
        <w:pageBreakBefore w:val="0"/>
        <w:tabs>
          <w:tab w:val="right" w:pos="8306"/>
        </w:tabs>
        <w:kinsoku/>
        <w:wordWrap/>
        <w:overflowPunct/>
        <w:topLinePunct w:val="0"/>
        <w:autoSpaceDE/>
        <w:autoSpaceDN/>
        <w:bidi w:val="0"/>
        <w:spacing w:line="576" w:lineRule="exact"/>
        <w:ind w:firstLine="640" w:firstLineChars="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 农林水支出（</w:t>
      </w:r>
      <w:r>
        <w:rPr>
          <w:rFonts w:hint="eastAsia" w:eastAsia="仿宋_GB2312" w:cs="Times New Roman"/>
          <w:color w:val="auto"/>
          <w:kern w:val="2"/>
          <w:sz w:val="32"/>
          <w:szCs w:val="32"/>
          <w:highlight w:val="none"/>
          <w:lang w:val="en-US" w:eastAsia="zh-CN" w:bidi="ar-SA"/>
        </w:rPr>
        <w:t>213</w:t>
      </w:r>
      <w:r>
        <w:rPr>
          <w:rFonts w:hint="default" w:ascii="Times New Roman" w:hAnsi="Times New Roman" w:eastAsia="仿宋_GB2312" w:cs="Times New Roman"/>
          <w:color w:val="auto"/>
          <w:kern w:val="2"/>
          <w:sz w:val="32"/>
          <w:szCs w:val="32"/>
          <w:highlight w:val="none"/>
          <w:lang w:val="en-US" w:eastAsia="zh-CN" w:bidi="ar-SA"/>
        </w:rPr>
        <w:t>）农业农村（</w:t>
      </w:r>
      <w:r>
        <w:rPr>
          <w:rFonts w:hint="eastAsia" w:eastAsia="仿宋_GB2312" w:cs="Times New Roman"/>
          <w:color w:val="auto"/>
          <w:kern w:val="2"/>
          <w:sz w:val="32"/>
          <w:szCs w:val="32"/>
          <w:highlight w:val="none"/>
          <w:lang w:val="en-US" w:eastAsia="zh-CN" w:bidi="ar-SA"/>
        </w:rPr>
        <w:t>01</w:t>
      </w:r>
      <w:r>
        <w:rPr>
          <w:rFonts w:hint="default" w:ascii="Times New Roman" w:hAnsi="Times New Roman" w:eastAsia="仿宋_GB2312" w:cs="Times New Roman"/>
          <w:color w:val="auto"/>
          <w:kern w:val="2"/>
          <w:sz w:val="32"/>
          <w:szCs w:val="32"/>
          <w:highlight w:val="none"/>
          <w:lang w:val="en-US" w:eastAsia="zh-CN" w:bidi="ar-SA"/>
        </w:rPr>
        <w:t>）事业运行（</w:t>
      </w:r>
      <w:r>
        <w:rPr>
          <w:rFonts w:hint="eastAsia" w:eastAsia="仿宋_GB2312" w:cs="Times New Roman"/>
          <w:color w:val="auto"/>
          <w:kern w:val="2"/>
          <w:sz w:val="32"/>
          <w:szCs w:val="32"/>
          <w:highlight w:val="none"/>
          <w:lang w:val="en-US" w:eastAsia="zh-CN" w:bidi="ar-SA"/>
        </w:rPr>
        <w:t>04</w:t>
      </w:r>
      <w:r>
        <w:rPr>
          <w:rFonts w:hint="default" w:ascii="Times New Roman" w:hAnsi="Times New Roman" w:eastAsia="仿宋_GB2312" w:cs="Times New Roman"/>
          <w:color w:val="auto"/>
          <w:kern w:val="2"/>
          <w:sz w:val="32"/>
          <w:szCs w:val="32"/>
          <w:highlight w:val="none"/>
          <w:lang w:val="en-US" w:eastAsia="zh-CN" w:bidi="ar-SA"/>
        </w:rPr>
        <w:t>）：支出决算749.56万元，完成预算100%</w:t>
      </w:r>
      <w:r>
        <w:rPr>
          <w:rFonts w:hint="eastAsia" w:eastAsia="仿宋_GB2312" w:cs="Times New Roman"/>
          <w:color w:val="000000"/>
          <w:sz w:val="32"/>
          <w:szCs w:val="32"/>
          <w:lang w:eastAsia="zh-CN"/>
        </w:rPr>
        <w:t>，决算数与预算数持平。</w:t>
      </w:r>
    </w:p>
    <w:p w14:paraId="75325FD4">
      <w:pPr>
        <w:pageBreakBefore w:val="0"/>
        <w:tabs>
          <w:tab w:val="right" w:pos="8306"/>
        </w:tabs>
        <w:kinsoku/>
        <w:wordWrap/>
        <w:overflowPunct/>
        <w:topLinePunct w:val="0"/>
        <w:autoSpaceDE/>
        <w:autoSpaceDN/>
        <w:bidi w:val="0"/>
        <w:spacing w:line="576" w:lineRule="exact"/>
        <w:ind w:firstLine="640" w:firstLineChars="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 住房保障支出（</w:t>
      </w:r>
      <w:r>
        <w:rPr>
          <w:rFonts w:hint="eastAsia" w:eastAsia="仿宋_GB2312" w:cs="Times New Roman"/>
          <w:color w:val="auto"/>
          <w:kern w:val="2"/>
          <w:sz w:val="32"/>
          <w:szCs w:val="32"/>
          <w:highlight w:val="none"/>
          <w:lang w:val="en-US" w:eastAsia="zh-CN" w:bidi="ar-SA"/>
        </w:rPr>
        <w:t>221</w:t>
      </w:r>
      <w:r>
        <w:rPr>
          <w:rFonts w:hint="default" w:ascii="Times New Roman" w:hAnsi="Times New Roman" w:eastAsia="仿宋_GB2312" w:cs="Times New Roman"/>
          <w:color w:val="auto"/>
          <w:kern w:val="2"/>
          <w:sz w:val="32"/>
          <w:szCs w:val="32"/>
          <w:highlight w:val="none"/>
          <w:lang w:val="en-US" w:eastAsia="zh-CN" w:bidi="ar-SA"/>
        </w:rPr>
        <w:t>）住房改革支出（</w:t>
      </w:r>
      <w:r>
        <w:rPr>
          <w:rFonts w:hint="eastAsia" w:eastAsia="仿宋_GB2312" w:cs="Times New Roman"/>
          <w:color w:val="auto"/>
          <w:kern w:val="2"/>
          <w:sz w:val="32"/>
          <w:szCs w:val="32"/>
          <w:highlight w:val="none"/>
          <w:lang w:val="en-US" w:eastAsia="zh-CN" w:bidi="ar-SA"/>
        </w:rPr>
        <w:t>02</w:t>
      </w:r>
      <w:r>
        <w:rPr>
          <w:rFonts w:hint="default" w:ascii="Times New Roman" w:hAnsi="Times New Roman" w:eastAsia="仿宋_GB2312" w:cs="Times New Roman"/>
          <w:color w:val="auto"/>
          <w:kern w:val="2"/>
          <w:sz w:val="32"/>
          <w:szCs w:val="32"/>
          <w:highlight w:val="none"/>
          <w:lang w:val="en-US" w:eastAsia="zh-CN" w:bidi="ar-SA"/>
        </w:rPr>
        <w:t>）住房公积金（</w:t>
      </w:r>
      <w:r>
        <w:rPr>
          <w:rFonts w:hint="eastAsia" w:eastAsia="仿宋_GB2312" w:cs="Times New Roman"/>
          <w:color w:val="auto"/>
          <w:kern w:val="2"/>
          <w:sz w:val="32"/>
          <w:szCs w:val="32"/>
          <w:highlight w:val="none"/>
          <w:lang w:val="en-US" w:eastAsia="zh-CN" w:bidi="ar-SA"/>
        </w:rPr>
        <w:t>01</w:t>
      </w:r>
      <w:r>
        <w:rPr>
          <w:rFonts w:hint="default" w:ascii="Times New Roman" w:hAnsi="Times New Roman" w:eastAsia="仿宋_GB2312" w:cs="Times New Roman"/>
          <w:color w:val="auto"/>
          <w:kern w:val="2"/>
          <w:sz w:val="32"/>
          <w:szCs w:val="32"/>
          <w:highlight w:val="none"/>
          <w:lang w:val="en-US" w:eastAsia="zh-CN" w:bidi="ar-SA"/>
        </w:rPr>
        <w:t>）：支出决算79.34万元，完成预算100%</w:t>
      </w:r>
      <w:r>
        <w:rPr>
          <w:rFonts w:hint="eastAsia" w:eastAsia="仿宋_GB2312" w:cs="Times New Roman"/>
          <w:color w:val="000000"/>
          <w:sz w:val="32"/>
          <w:szCs w:val="32"/>
          <w:lang w:eastAsia="zh-CN"/>
        </w:rPr>
        <w:t>，决算数与预算数持平。</w:t>
      </w:r>
    </w:p>
    <w:p w14:paraId="31AB7941">
      <w:pPr>
        <w:pageBreakBefore w:val="0"/>
        <w:tabs>
          <w:tab w:val="right" w:pos="8306"/>
        </w:tabs>
        <w:kinsoku/>
        <w:wordWrap/>
        <w:overflowPunct/>
        <w:topLinePunct w:val="0"/>
        <w:autoSpaceDE/>
        <w:autoSpaceDN/>
        <w:bidi w:val="0"/>
        <w:spacing w:line="576" w:lineRule="exact"/>
        <w:ind w:firstLine="640" w:firstLineChars="0"/>
        <w:textAlignment w:val="auto"/>
        <w:outlineLvl w:val="0"/>
        <w:rPr>
          <w:rStyle w:val="32"/>
          <w:rFonts w:ascii="Times New Roman" w:hAnsi="Times New Roman"/>
          <w:color w:val="auto"/>
          <w:highlight w:val="none"/>
        </w:rPr>
      </w:pPr>
      <w:bookmarkStart w:id="87" w:name="_Toc6221"/>
      <w:bookmarkStart w:id="88" w:name="_Toc2767"/>
      <w:bookmarkStart w:id="89" w:name="_Toc32133"/>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84"/>
      <w:bookmarkEnd w:id="85"/>
      <w:bookmarkEnd w:id="86"/>
      <w:bookmarkEnd w:id="87"/>
      <w:bookmarkEnd w:id="88"/>
      <w:bookmarkEnd w:id="89"/>
      <w:r>
        <w:rPr>
          <w:rStyle w:val="32"/>
          <w:rFonts w:ascii="Times New Roman" w:hAnsi="Times New Roman" w:eastAsia="黑体"/>
          <w:b w:val="0"/>
          <w:color w:val="auto"/>
          <w:highlight w:val="none"/>
        </w:rPr>
        <w:tab/>
      </w:r>
    </w:p>
    <w:p w14:paraId="3D58C0EA">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eastAsia" w:eastAsia="仿宋_GB2312" w:cs="Times New Roman"/>
          <w:sz w:val="32"/>
          <w:szCs w:val="32"/>
          <w:lang w:eastAsia="zh-CN"/>
        </w:rPr>
        <w:t>1026.00万元</w:t>
      </w:r>
      <w:r>
        <w:rPr>
          <w:rFonts w:hint="default" w:ascii="Times New Roman" w:hAnsi="Times New Roman" w:eastAsia="仿宋_GB2312" w:cs="Times New Roman"/>
          <w:color w:val="auto"/>
          <w:kern w:val="2"/>
          <w:sz w:val="32"/>
          <w:szCs w:val="32"/>
          <w:highlight w:val="none"/>
          <w:lang w:val="en-US" w:eastAsia="zh-CN" w:bidi="ar-SA"/>
        </w:rPr>
        <w:t>，其中：</w:t>
      </w:r>
    </w:p>
    <w:p w14:paraId="78E89C9C">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人员经费994</w:t>
      </w:r>
      <w:r>
        <w:rPr>
          <w:rFonts w:hint="eastAsia" w:eastAsia="仿宋_GB2312" w:cs="Times New Roman"/>
          <w:color w:val="auto"/>
          <w:kern w:val="2"/>
          <w:sz w:val="32"/>
          <w:szCs w:val="32"/>
          <w:highlight w:val="none"/>
          <w:lang w:val="en-US" w:eastAsia="zh-CN" w:bidi="ar-SA"/>
        </w:rPr>
        <w:t>.00</w:t>
      </w:r>
      <w:r>
        <w:rPr>
          <w:rFonts w:hint="default" w:ascii="Times New Roman" w:hAnsi="Times New Roman" w:eastAsia="仿宋_GB2312" w:cs="Times New Roman"/>
          <w:color w:val="auto"/>
          <w:kern w:val="2"/>
          <w:sz w:val="32"/>
          <w:szCs w:val="32"/>
          <w:highlight w:val="none"/>
          <w:lang w:val="en-US" w:eastAsia="zh-CN" w:bidi="ar-SA"/>
        </w:rPr>
        <w:t>万元，主要包括：基本工资198.92万元、津贴补贴76.84万元、绩效工资424.66万元、机关事业单位基本养老保险缴费90.92万元、职业年金缴费45.46万元、职工基本医疗保险缴费60.72万元、其他社会保障缴费4.32万元、住房公积金79.34万元、医疗费8.59万元、生活补助4.23万元、奖励金0.02万元。</w:t>
      </w:r>
    </w:p>
    <w:p w14:paraId="6F3F0C8B">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公用经费32</w:t>
      </w:r>
      <w:r>
        <w:rPr>
          <w:rFonts w:hint="eastAsia" w:eastAsia="仿宋_GB2312" w:cs="Times New Roman"/>
          <w:color w:val="auto"/>
          <w:kern w:val="2"/>
          <w:sz w:val="32"/>
          <w:szCs w:val="32"/>
          <w:highlight w:val="none"/>
          <w:lang w:val="en-US" w:eastAsia="zh-CN" w:bidi="ar-SA"/>
        </w:rPr>
        <w:t>.00</w:t>
      </w:r>
      <w:r>
        <w:rPr>
          <w:rFonts w:hint="default" w:ascii="Times New Roman" w:hAnsi="Times New Roman" w:eastAsia="仿宋_GB2312" w:cs="Times New Roman"/>
          <w:color w:val="auto"/>
          <w:kern w:val="2"/>
          <w:sz w:val="32"/>
          <w:szCs w:val="32"/>
          <w:highlight w:val="none"/>
          <w:lang w:val="en-US" w:eastAsia="zh-CN" w:bidi="ar-SA"/>
        </w:rPr>
        <w:t>万元，主要包括：办公费18.95万元、差旅费13.0</w:t>
      </w:r>
      <w:r>
        <w:rPr>
          <w:rFonts w:hint="eastAsia"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万元。</w:t>
      </w:r>
    </w:p>
    <w:p w14:paraId="66412FE2">
      <w:pPr>
        <w:pageBreakBefore w:val="0"/>
        <w:kinsoku/>
        <w:wordWrap/>
        <w:overflowPunct/>
        <w:topLinePunct w:val="0"/>
        <w:autoSpaceDE/>
        <w:autoSpaceDN/>
        <w:bidi w:val="0"/>
        <w:spacing w:line="576" w:lineRule="exact"/>
        <w:ind w:firstLine="640" w:firstLineChars="0"/>
        <w:textAlignment w:val="auto"/>
        <w:outlineLvl w:val="0"/>
        <w:rPr>
          <w:rStyle w:val="32"/>
          <w:rFonts w:ascii="Times New Roman" w:hAnsi="Times New Roman" w:eastAsia="黑体"/>
          <w:b w:val="0"/>
          <w:color w:val="auto"/>
          <w:highlight w:val="none"/>
        </w:rPr>
      </w:pPr>
      <w:bookmarkStart w:id="90" w:name="_Toc7307"/>
      <w:bookmarkStart w:id="91" w:name="_Toc15377215"/>
      <w:bookmarkStart w:id="92" w:name="_Toc9020"/>
      <w:bookmarkStart w:id="93" w:name="_Toc11335"/>
      <w:bookmarkStart w:id="94" w:name="_Toc11011"/>
      <w:bookmarkStart w:id="95" w:name="_Toc15396609"/>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90"/>
      <w:bookmarkEnd w:id="91"/>
      <w:bookmarkEnd w:id="92"/>
      <w:bookmarkEnd w:id="93"/>
      <w:bookmarkEnd w:id="94"/>
      <w:bookmarkEnd w:id="95"/>
    </w:p>
    <w:p w14:paraId="50569AA6">
      <w:pPr>
        <w:pageBreakBefore w:val="0"/>
        <w:kinsoku/>
        <w:wordWrap/>
        <w:overflowPunct/>
        <w:topLinePunct w:val="0"/>
        <w:autoSpaceDE/>
        <w:autoSpaceDN/>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96" w:name="_Toc8019"/>
      <w:bookmarkStart w:id="97" w:name="_Toc20254"/>
      <w:bookmarkStart w:id="98" w:name="_Toc15377216"/>
      <w:bookmarkStart w:id="99" w:name="_Toc7199"/>
      <w:bookmarkStart w:id="100" w:name="_Toc5315"/>
      <w:r>
        <w:rPr>
          <w:rFonts w:hint="eastAsia" w:ascii="Times New Roman" w:hAnsi="Times New Roman" w:eastAsia="楷体_GB2312" w:cs="楷体_GB2312"/>
          <w:b/>
          <w:color w:val="auto"/>
          <w:sz w:val="32"/>
          <w:szCs w:val="32"/>
          <w:highlight w:val="none"/>
        </w:rPr>
        <w:t>（一）“三公”经费财政拨款支出决算总体情况说明</w:t>
      </w:r>
      <w:bookmarkEnd w:id="96"/>
      <w:bookmarkEnd w:id="97"/>
      <w:bookmarkEnd w:id="98"/>
      <w:bookmarkEnd w:id="99"/>
      <w:bookmarkEnd w:id="100"/>
    </w:p>
    <w:p w14:paraId="21E97B2A">
      <w:pPr>
        <w:pageBreakBefore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color w:val="000000"/>
          <w:sz w:val="32"/>
          <w:szCs w:val="32"/>
          <w:lang w:eastAsia="zh-CN"/>
        </w:rPr>
      </w:pPr>
      <w:bookmarkStart w:id="101" w:name="_Toc22961"/>
      <w:bookmarkStart w:id="102" w:name="_Toc15377217"/>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4年度</w:t>
      </w:r>
      <w:r>
        <w:rPr>
          <w:rFonts w:hint="default" w:ascii="Times New Roman" w:hAnsi="Times New Roman" w:eastAsia="仿宋_GB2312" w:cs="Times New Roman"/>
          <w:color w:val="000000"/>
          <w:sz w:val="32"/>
          <w:szCs w:val="32"/>
        </w:rPr>
        <w:t>“三公”经费财政拨款支出决算为</w:t>
      </w:r>
      <w:r>
        <w:rPr>
          <w:rFonts w:hint="default" w:ascii="Times New Roman" w:hAnsi="Times New Roman" w:eastAsia="仿宋_GB2312" w:cs="Times New Roman"/>
          <w:color w:val="000000"/>
          <w:sz w:val="32"/>
          <w:szCs w:val="32"/>
          <w:lang w:eastAsia="zh-CN"/>
        </w:rPr>
        <w:t>0万元。</w:t>
      </w:r>
    </w:p>
    <w:p w14:paraId="1B9CF39E">
      <w:pPr>
        <w:pageBreakBefore w:val="0"/>
        <w:kinsoku/>
        <w:wordWrap/>
        <w:overflowPunct/>
        <w:topLinePunct w:val="0"/>
        <w:autoSpaceDE/>
        <w:autoSpaceDN/>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103" w:name="_Toc14754"/>
      <w:bookmarkStart w:id="104" w:name="_Toc21845"/>
      <w:bookmarkStart w:id="105" w:name="_Toc17754"/>
      <w:r>
        <w:rPr>
          <w:rFonts w:hint="eastAsia" w:ascii="Times New Roman" w:hAnsi="Times New Roman" w:eastAsia="楷体_GB2312" w:cs="楷体_GB2312"/>
          <w:b/>
          <w:color w:val="auto"/>
          <w:sz w:val="32"/>
          <w:szCs w:val="32"/>
          <w:highlight w:val="none"/>
        </w:rPr>
        <w:t>（二）“三公”经费财政拨款支出决算具体情况说明</w:t>
      </w:r>
      <w:bookmarkEnd w:id="101"/>
      <w:bookmarkEnd w:id="102"/>
      <w:bookmarkEnd w:id="103"/>
      <w:bookmarkEnd w:id="104"/>
      <w:bookmarkEnd w:id="105"/>
    </w:p>
    <w:p w14:paraId="41645128">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4年度</w:t>
      </w:r>
      <w:r>
        <w:rPr>
          <w:rFonts w:hint="default" w:ascii="Times New Roman" w:hAnsi="Times New Roman" w:eastAsia="仿宋_GB2312" w:cs="Times New Roman"/>
          <w:color w:val="000000"/>
          <w:sz w:val="32"/>
          <w:szCs w:val="32"/>
        </w:rPr>
        <w:t>“三公”经费财政拨款支出</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color w:val="000000"/>
          <w:sz w:val="32"/>
          <w:szCs w:val="32"/>
        </w:rPr>
        <w:t>万元；公务用车购置及运行维护费支出决算</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；公务接待费支出决算</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。具体情况如下：</w:t>
      </w:r>
    </w:p>
    <w:p w14:paraId="34D5772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w:t>
      </w:r>
      <w:r>
        <w:rPr>
          <w:rFonts w:hint="default" w:ascii="Times New Roman" w:hAnsi="Times New Roman" w:eastAsia="仿宋_GB2312" w:cs="Times New Roman"/>
          <w:color w:val="000000"/>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color w:val="000000"/>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color w:val="000000"/>
          <w:sz w:val="32"/>
          <w:szCs w:val="32"/>
        </w:rPr>
        <w:t>人。因公出国（境）支出决算</w:t>
      </w:r>
      <w:r>
        <w:rPr>
          <w:rFonts w:hint="eastAsia"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2023年</w:t>
      </w:r>
      <w:r>
        <w:rPr>
          <w:rFonts w:hint="eastAsia" w:eastAsia="仿宋_GB2312" w:cs="Times New Roman"/>
          <w:color w:val="000000"/>
          <w:sz w:val="32"/>
          <w:szCs w:val="32"/>
          <w:lang w:eastAsia="zh-CN"/>
        </w:rPr>
        <w:t>相比无变化。</w:t>
      </w:r>
    </w:p>
    <w:p w14:paraId="70F748E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2.公务用车购置及运行维护费支出0万元。</w:t>
      </w:r>
      <w:r>
        <w:rPr>
          <w:rFonts w:hint="default" w:ascii="Times New Roman" w:hAnsi="Times New Roman" w:eastAsia="仿宋_GB2312" w:cs="Times New Roman"/>
          <w:color w:val="000000"/>
          <w:sz w:val="32"/>
          <w:szCs w:val="32"/>
        </w:rPr>
        <w:t>公务用车购置及运行维护费支出决算</w:t>
      </w:r>
      <w:r>
        <w:rPr>
          <w:rFonts w:hint="eastAsia"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2023年</w:t>
      </w:r>
      <w:r>
        <w:rPr>
          <w:rFonts w:hint="eastAsia" w:eastAsia="仿宋_GB2312" w:cs="Times New Roman"/>
          <w:color w:val="000000"/>
          <w:sz w:val="32"/>
          <w:szCs w:val="32"/>
          <w:lang w:eastAsia="zh-CN"/>
        </w:rPr>
        <w:t>度相比无变化。</w:t>
      </w:r>
    </w:p>
    <w:p w14:paraId="51FDF474">
      <w:pPr>
        <w:pageBreakBefore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bCs/>
          <w:color w:val="000000"/>
          <w:sz w:val="32"/>
          <w:szCs w:val="32"/>
        </w:rPr>
        <w:t>公务用车购置支出</w:t>
      </w:r>
      <w:r>
        <w:rPr>
          <w:rFonts w:hint="default" w:ascii="Times New Roman" w:hAnsi="Times New Roman" w:eastAsia="仿宋_GB2312" w:cs="Times New Roman"/>
          <w:b/>
          <w:bCs/>
          <w:color w:val="000000"/>
          <w:sz w:val="32"/>
          <w:szCs w:val="32"/>
          <w:lang w:eastAsia="zh-CN"/>
        </w:rPr>
        <w:t>0万元</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全年按规定更新购置公务用车0辆，其中：轿车0辆、金额</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，越野车0辆、金额</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，载客汽车0辆、金额</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其它</w:t>
      </w:r>
      <w:r>
        <w:rPr>
          <w:rFonts w:hint="default" w:ascii="Times New Roman" w:hAnsi="Times New Roman" w:eastAsia="仿宋_GB2312" w:cs="Times New Roman"/>
          <w:color w:val="000000"/>
          <w:sz w:val="32"/>
          <w:szCs w:val="32"/>
        </w:rPr>
        <w:t>车</w:t>
      </w:r>
      <w:r>
        <w:rPr>
          <w:rFonts w:hint="default" w:ascii="Times New Roman" w:hAnsi="Times New Roman" w:eastAsia="仿宋_GB2312" w:cs="Times New Roman"/>
          <w:color w:val="000000"/>
          <w:sz w:val="32"/>
          <w:szCs w:val="32"/>
          <w:lang w:val="en-US" w:eastAsia="zh-CN"/>
        </w:rPr>
        <w:t>形</w:t>
      </w:r>
      <w:r>
        <w:rPr>
          <w:rFonts w:hint="default" w:ascii="Times New Roman" w:hAnsi="Times New Roman" w:eastAsia="仿宋_GB2312" w:cs="Times New Roman"/>
          <w:color w:val="000000"/>
          <w:sz w:val="32"/>
          <w:szCs w:val="32"/>
        </w:rPr>
        <w:t>0辆、金额0万元。截至202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w:t>
      </w:r>
      <w:r>
        <w:rPr>
          <w:rFonts w:hint="default" w:ascii="Times New Roman" w:hAnsi="Times New Roman" w:eastAsia="仿宋_GB2312" w:cs="Times New Roman"/>
          <w:color w:val="000000"/>
          <w:sz w:val="32"/>
          <w:szCs w:val="32"/>
          <w:lang w:val="en-US" w:eastAsia="zh-CN"/>
        </w:rPr>
        <w:t>31日</w:t>
      </w:r>
      <w:r>
        <w:rPr>
          <w:rFonts w:hint="default" w:ascii="Times New Roman" w:hAnsi="Times New Roman" w:eastAsia="仿宋_GB2312" w:cs="Times New Roman"/>
          <w:color w:val="000000"/>
          <w:sz w:val="32"/>
          <w:szCs w:val="32"/>
        </w:rPr>
        <w:t>，单位共有公务用车0辆，其中：轿车0辆、越野车0辆、载客汽车0辆、</w:t>
      </w:r>
      <w:r>
        <w:rPr>
          <w:rFonts w:hint="default" w:ascii="Times New Roman" w:hAnsi="Times New Roman" w:eastAsia="仿宋_GB2312" w:cs="Times New Roman"/>
          <w:color w:val="000000"/>
          <w:sz w:val="32"/>
          <w:szCs w:val="32"/>
          <w:lang w:val="en-US" w:eastAsia="zh-CN"/>
        </w:rPr>
        <w:t>其它车形</w:t>
      </w:r>
      <w:r>
        <w:rPr>
          <w:rFonts w:hint="default" w:ascii="Times New Roman" w:hAnsi="Times New Roman" w:eastAsia="仿宋_GB2312" w:cs="Times New Roman"/>
          <w:color w:val="000000"/>
          <w:sz w:val="32"/>
          <w:szCs w:val="32"/>
        </w:rPr>
        <w:t>0辆。</w:t>
      </w:r>
    </w:p>
    <w:p w14:paraId="2442954A">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公务用车运行维护费支出</w:t>
      </w:r>
      <w:r>
        <w:rPr>
          <w:rFonts w:hint="default" w:ascii="Times New Roman" w:hAnsi="Times New Roman" w:eastAsia="仿宋_GB2312" w:cs="Times New Roman"/>
          <w:b/>
          <w:bCs/>
          <w:color w:val="000000"/>
          <w:sz w:val="32"/>
          <w:szCs w:val="32"/>
          <w:lang w:eastAsia="zh-CN"/>
        </w:rPr>
        <w:t>0万元</w:t>
      </w:r>
      <w:r>
        <w:rPr>
          <w:rFonts w:hint="default" w:ascii="Times New Roman" w:hAnsi="Times New Roman" w:eastAsia="仿宋_GB2312" w:cs="Times New Roman"/>
          <w:b/>
          <w:bCs/>
          <w:color w:val="000000"/>
          <w:sz w:val="32"/>
          <w:szCs w:val="32"/>
        </w:rPr>
        <w:t>。</w:t>
      </w:r>
    </w:p>
    <w:p w14:paraId="060E02C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w:t>
      </w:r>
      <w:bookmarkStart w:id="106" w:name="_Toc15396610"/>
      <w:bookmarkStart w:id="107" w:name="_Toc15377218"/>
      <w:bookmarkStart w:id="108" w:name="_Toc4214"/>
      <w:r>
        <w:rPr>
          <w:rFonts w:hint="default" w:ascii="Times New Roman" w:hAnsi="Times New Roman" w:eastAsia="仿宋_GB2312" w:cs="Times New Roman"/>
          <w:color w:val="000000"/>
          <w:sz w:val="32"/>
          <w:szCs w:val="32"/>
        </w:rPr>
        <w:t>公务接待费支出决算</w:t>
      </w:r>
      <w:r>
        <w:rPr>
          <w:rFonts w:hint="eastAsia"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2023年</w:t>
      </w:r>
      <w:r>
        <w:rPr>
          <w:rFonts w:hint="eastAsia" w:eastAsia="仿宋_GB2312" w:cs="Times New Roman"/>
          <w:color w:val="000000"/>
          <w:sz w:val="32"/>
          <w:szCs w:val="32"/>
          <w:lang w:eastAsia="zh-CN"/>
        </w:rPr>
        <w:t>度相比无变化</w:t>
      </w:r>
      <w:r>
        <w:rPr>
          <w:rFonts w:hint="default" w:ascii="Times New Roman" w:hAnsi="Times New Roman" w:eastAsia="仿宋_GB2312" w:cs="Times New Roman"/>
          <w:color w:val="000000"/>
          <w:sz w:val="32"/>
          <w:szCs w:val="32"/>
        </w:rPr>
        <w:t>。其中：</w:t>
      </w:r>
    </w:p>
    <w:p w14:paraId="60F750E5">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国内公务接待支出</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。国内公务接待0批次，0人次（不包括陪同人员），共计支出</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w:t>
      </w:r>
    </w:p>
    <w:p w14:paraId="04684B55">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外事接待支出</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，外事接待0批次，0人，共计支出</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w:t>
      </w:r>
    </w:p>
    <w:p w14:paraId="402EA71D">
      <w:pPr>
        <w:pageBreakBefore w:val="0"/>
        <w:kinsoku/>
        <w:wordWrap/>
        <w:overflowPunct/>
        <w:topLinePunct w:val="0"/>
        <w:autoSpaceDE/>
        <w:autoSpaceDN/>
        <w:bidi w:val="0"/>
        <w:spacing w:line="576" w:lineRule="exact"/>
        <w:ind w:firstLine="640" w:firstLineChars="0"/>
        <w:textAlignment w:val="auto"/>
        <w:outlineLvl w:val="0"/>
        <w:rPr>
          <w:rStyle w:val="32"/>
          <w:rFonts w:ascii="Times New Roman" w:hAnsi="Times New Roman" w:eastAsia="黑体"/>
          <w:color w:val="auto"/>
          <w:highlight w:val="none"/>
        </w:rPr>
      </w:pPr>
      <w:bookmarkStart w:id="109" w:name="_Toc20268"/>
      <w:bookmarkStart w:id="110" w:name="_Toc14162"/>
      <w:bookmarkStart w:id="111" w:name="_Toc24914"/>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106"/>
      <w:bookmarkEnd w:id="107"/>
      <w:bookmarkEnd w:id="108"/>
      <w:bookmarkEnd w:id="109"/>
      <w:bookmarkEnd w:id="110"/>
      <w:bookmarkEnd w:id="111"/>
    </w:p>
    <w:p w14:paraId="6D8FB506">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bookmarkStart w:id="112" w:name="_Toc15377219"/>
      <w:bookmarkStart w:id="113" w:name="_Toc15396611"/>
      <w:bookmarkStart w:id="114" w:name="_Toc9510"/>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4年度</w:t>
      </w:r>
      <w:r>
        <w:rPr>
          <w:rFonts w:hint="default" w:ascii="Times New Roman" w:hAnsi="Times New Roman" w:eastAsia="仿宋_GB2312" w:cs="Times New Roman"/>
          <w:color w:val="000000"/>
          <w:sz w:val="32"/>
          <w:szCs w:val="32"/>
        </w:rPr>
        <w:t>政府性基金预算拨款支出</w:t>
      </w:r>
      <w:r>
        <w:rPr>
          <w:rFonts w:hint="default" w:ascii="Times New Roman" w:hAnsi="Times New Roman" w:eastAsia="仿宋_GB2312" w:cs="Times New Roman"/>
          <w:color w:val="000000"/>
          <w:sz w:val="32"/>
          <w:szCs w:val="32"/>
          <w:u w:color="auto"/>
          <w:lang w:eastAsia="zh-CN"/>
        </w:rPr>
        <w:t>0万元，</w:t>
      </w:r>
      <w:r>
        <w:rPr>
          <w:rFonts w:hint="eastAsia"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2023年</w:t>
      </w:r>
      <w:r>
        <w:rPr>
          <w:rFonts w:hint="eastAsia" w:eastAsia="仿宋_GB2312" w:cs="Times New Roman"/>
          <w:color w:val="000000"/>
          <w:sz w:val="32"/>
          <w:szCs w:val="32"/>
          <w:lang w:eastAsia="zh-CN"/>
        </w:rPr>
        <w:t>度相比无变化。</w:t>
      </w:r>
    </w:p>
    <w:p w14:paraId="5D71A42A">
      <w:pPr>
        <w:pageBreakBefore w:val="0"/>
        <w:numPr>
          <w:ilvl w:val="0"/>
          <w:numId w:val="0"/>
        </w:numPr>
        <w:kinsoku/>
        <w:wordWrap/>
        <w:overflowPunct/>
        <w:topLinePunct w:val="0"/>
        <w:autoSpaceDE/>
        <w:autoSpaceDN/>
        <w:bidi w:val="0"/>
        <w:spacing w:line="576" w:lineRule="exact"/>
        <w:ind w:left="630" w:leftChars="0" w:firstLine="0" w:firstLineChars="0"/>
        <w:textAlignment w:val="auto"/>
        <w:outlineLvl w:val="0"/>
        <w:rPr>
          <w:rStyle w:val="32"/>
          <w:rFonts w:ascii="Times New Roman" w:hAnsi="Times New Roman" w:eastAsia="黑体"/>
          <w:b w:val="0"/>
          <w:color w:val="auto"/>
          <w:highlight w:val="none"/>
        </w:rPr>
      </w:pPr>
      <w:bookmarkStart w:id="115" w:name="_Toc15321"/>
      <w:bookmarkStart w:id="116" w:name="_Toc4588"/>
      <w:bookmarkStart w:id="117" w:name="_Toc1825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112"/>
      <w:bookmarkEnd w:id="113"/>
      <w:bookmarkEnd w:id="114"/>
      <w:bookmarkEnd w:id="115"/>
      <w:bookmarkEnd w:id="116"/>
      <w:bookmarkEnd w:id="117"/>
    </w:p>
    <w:p w14:paraId="5C39355F">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4年度</w:t>
      </w:r>
      <w:r>
        <w:rPr>
          <w:rFonts w:hint="default" w:ascii="Times New Roman" w:hAnsi="Times New Roman" w:eastAsia="仿宋_GB2312" w:cs="Times New Roman"/>
          <w:color w:val="000000"/>
          <w:sz w:val="32"/>
          <w:szCs w:val="32"/>
        </w:rPr>
        <w:t>国有资本经营预算拨款支出</w:t>
      </w:r>
      <w:r>
        <w:rPr>
          <w:rFonts w:hint="default" w:ascii="Times New Roman" w:hAnsi="Times New Roman" w:eastAsia="仿宋_GB2312" w:cs="Times New Roman"/>
          <w:color w:val="000000"/>
          <w:sz w:val="32"/>
          <w:szCs w:val="32"/>
          <w:lang w:eastAsia="zh-CN"/>
        </w:rPr>
        <w:t>0万元，</w:t>
      </w:r>
      <w:r>
        <w:rPr>
          <w:rFonts w:hint="eastAsia"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2023年</w:t>
      </w:r>
      <w:r>
        <w:rPr>
          <w:rFonts w:hint="eastAsia" w:eastAsia="仿宋_GB2312" w:cs="Times New Roman"/>
          <w:color w:val="000000"/>
          <w:sz w:val="32"/>
          <w:szCs w:val="32"/>
          <w:lang w:eastAsia="zh-CN"/>
        </w:rPr>
        <w:t>度相比无变化。</w:t>
      </w:r>
    </w:p>
    <w:p w14:paraId="6189B355">
      <w:pPr>
        <w:pageBreakBefore w:val="0"/>
        <w:numPr>
          <w:ilvl w:val="0"/>
          <w:numId w:val="0"/>
        </w:numPr>
        <w:kinsoku/>
        <w:wordWrap/>
        <w:overflowPunct/>
        <w:topLinePunct w:val="0"/>
        <w:autoSpaceDE/>
        <w:autoSpaceDN/>
        <w:bidi w:val="0"/>
        <w:spacing w:line="576" w:lineRule="exact"/>
        <w:ind w:left="630" w:leftChars="0" w:firstLine="0" w:firstLineChars="0"/>
        <w:textAlignment w:val="auto"/>
        <w:outlineLvl w:val="0"/>
        <w:rPr>
          <w:rStyle w:val="32"/>
          <w:rFonts w:hint="eastAsia" w:ascii="Times New Roman" w:hAnsi="Times New Roman" w:eastAsia="黑体"/>
          <w:b w:val="0"/>
          <w:color w:val="auto"/>
          <w:highlight w:val="none"/>
        </w:rPr>
      </w:pPr>
      <w:bookmarkStart w:id="118" w:name="_Toc7648"/>
      <w:bookmarkStart w:id="119" w:name="_Toc26059"/>
      <w:bookmarkStart w:id="120" w:name="_Toc15396612"/>
      <w:bookmarkStart w:id="121" w:name="_Toc15377221"/>
      <w:bookmarkStart w:id="122" w:name="_Toc5592"/>
      <w:bookmarkStart w:id="123" w:name="_Toc17780"/>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118"/>
      <w:bookmarkEnd w:id="119"/>
      <w:bookmarkEnd w:id="120"/>
      <w:bookmarkEnd w:id="121"/>
      <w:bookmarkEnd w:id="122"/>
      <w:bookmarkEnd w:id="123"/>
    </w:p>
    <w:p w14:paraId="3AD4ED84">
      <w:pPr>
        <w:pageBreakBefore w:val="0"/>
        <w:kinsoku/>
        <w:wordWrap/>
        <w:overflowPunct/>
        <w:topLinePunct w:val="0"/>
        <w:autoSpaceDE/>
        <w:autoSpaceDN/>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124" w:name="_Toc12241"/>
      <w:bookmarkStart w:id="125" w:name="_Toc15377222"/>
      <w:bookmarkStart w:id="126" w:name="_Toc27313"/>
      <w:bookmarkStart w:id="127" w:name="_Toc4496"/>
      <w:bookmarkStart w:id="128" w:name="_Toc16801"/>
      <w:r>
        <w:rPr>
          <w:rFonts w:hint="eastAsia" w:ascii="Times New Roman" w:hAnsi="Times New Roman" w:eastAsia="楷体_GB2312" w:cs="楷体_GB2312"/>
          <w:b/>
          <w:color w:val="auto"/>
          <w:sz w:val="32"/>
          <w:szCs w:val="32"/>
          <w:highlight w:val="none"/>
        </w:rPr>
        <w:t>（一）机关运行经费支出情况</w:t>
      </w:r>
      <w:bookmarkEnd w:id="124"/>
      <w:bookmarkEnd w:id="125"/>
      <w:bookmarkEnd w:id="126"/>
      <w:bookmarkEnd w:id="127"/>
      <w:bookmarkEnd w:id="128"/>
    </w:p>
    <w:p w14:paraId="1F7AB62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4年度</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u w:color="auto"/>
          <w:lang w:eastAsia="zh-CN"/>
        </w:rPr>
        <w:t>0万元</w:t>
      </w:r>
      <w:r>
        <w:rPr>
          <w:rFonts w:hint="default" w:ascii="Times New Roman" w:hAnsi="Times New Roman" w:eastAsia="仿宋_GB2312" w:cs="Times New Roman"/>
          <w:color w:val="000000"/>
          <w:sz w:val="32"/>
          <w:u w:color="auto"/>
        </w:rPr>
        <w:t>，</w:t>
      </w:r>
      <w:r>
        <w:rPr>
          <w:rFonts w:hint="eastAsia"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2023年</w:t>
      </w:r>
      <w:r>
        <w:rPr>
          <w:rFonts w:hint="eastAsia" w:eastAsia="仿宋_GB2312" w:cs="Times New Roman"/>
          <w:color w:val="000000"/>
          <w:sz w:val="32"/>
          <w:szCs w:val="32"/>
          <w:lang w:eastAsia="zh-CN"/>
        </w:rPr>
        <w:t>度相比无变化。</w:t>
      </w:r>
    </w:p>
    <w:p w14:paraId="3FC96693">
      <w:pPr>
        <w:pageBreakBefore w:val="0"/>
        <w:kinsoku/>
        <w:wordWrap/>
        <w:overflowPunct/>
        <w:topLinePunct w:val="0"/>
        <w:autoSpaceDE/>
        <w:autoSpaceDN/>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129" w:name="_Toc350"/>
      <w:bookmarkStart w:id="130" w:name="_Toc577"/>
      <w:bookmarkStart w:id="131" w:name="_Toc32435"/>
      <w:bookmarkStart w:id="132" w:name="_Toc14656"/>
      <w:bookmarkStart w:id="133" w:name="_Toc15377223"/>
      <w:r>
        <w:rPr>
          <w:rFonts w:hint="eastAsia" w:ascii="Times New Roman" w:hAnsi="Times New Roman" w:eastAsia="楷体_GB2312" w:cs="楷体_GB2312"/>
          <w:b/>
          <w:color w:val="auto"/>
          <w:sz w:val="32"/>
          <w:szCs w:val="32"/>
          <w:highlight w:val="none"/>
        </w:rPr>
        <w:t>（二）政府采购支出情况</w:t>
      </w:r>
      <w:bookmarkEnd w:id="129"/>
      <w:bookmarkEnd w:id="130"/>
      <w:bookmarkEnd w:id="131"/>
      <w:bookmarkEnd w:id="132"/>
      <w:bookmarkEnd w:id="133"/>
    </w:p>
    <w:p w14:paraId="6275739A">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bookmarkStart w:id="134" w:name="_Toc13570"/>
      <w:bookmarkStart w:id="135" w:name="_Toc15377224"/>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4年度</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，其中：政府采购货物支出</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、政府采购工程支出</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、政府采购服务支出</w:t>
      </w:r>
      <w:r>
        <w:rPr>
          <w:rFonts w:hint="default" w:ascii="Times New Roman" w:hAnsi="Times New Roman" w:eastAsia="仿宋_GB2312" w:cs="Times New Roman"/>
          <w:color w:val="000000"/>
          <w:sz w:val="32"/>
          <w:szCs w:val="32"/>
          <w:lang w:eastAsia="zh-CN"/>
        </w:rPr>
        <w:t>0万元</w:t>
      </w:r>
      <w:r>
        <w:rPr>
          <w:rFonts w:hint="default" w:ascii="Times New Roman" w:hAnsi="Times New Roman" w:eastAsia="仿宋_GB2312" w:cs="Times New Roman"/>
          <w:color w:val="000000"/>
          <w:sz w:val="32"/>
          <w:szCs w:val="32"/>
        </w:rPr>
        <w:t>。</w:t>
      </w:r>
    </w:p>
    <w:p w14:paraId="4CE6938A">
      <w:pPr>
        <w:pageBreakBefore w:val="0"/>
        <w:kinsoku/>
        <w:wordWrap/>
        <w:overflowPunct/>
        <w:topLinePunct w:val="0"/>
        <w:autoSpaceDE/>
        <w:autoSpaceDN/>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136" w:name="_Toc10309"/>
      <w:bookmarkStart w:id="137" w:name="_Toc27151"/>
      <w:bookmarkStart w:id="138" w:name="_Toc2157"/>
      <w:r>
        <w:rPr>
          <w:rFonts w:hint="eastAsia" w:ascii="Times New Roman" w:hAnsi="Times New Roman" w:eastAsia="楷体_GB2312" w:cs="楷体_GB2312"/>
          <w:b/>
          <w:color w:val="auto"/>
          <w:sz w:val="32"/>
          <w:szCs w:val="32"/>
          <w:highlight w:val="none"/>
        </w:rPr>
        <w:t>（三）国有资产占有使用情况</w:t>
      </w:r>
      <w:bookmarkEnd w:id="134"/>
      <w:bookmarkEnd w:id="135"/>
      <w:bookmarkEnd w:id="136"/>
      <w:bookmarkEnd w:id="137"/>
      <w:bookmarkEnd w:id="138"/>
    </w:p>
    <w:p w14:paraId="04871EF8">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bookmarkStart w:id="139" w:name="_Toc27591"/>
      <w:r>
        <w:rPr>
          <w:rFonts w:hint="default" w:ascii="Times New Roman" w:hAnsi="Times New Roman" w:eastAsia="仿宋_GB2312" w:cs="Times New Roman"/>
          <w:color w:val="000000"/>
          <w:sz w:val="32"/>
          <w:szCs w:val="32"/>
        </w:rPr>
        <w:t>截至202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年12月31日，共有车辆0辆，其中：主要领导干部用车0辆、机要通信用车0辆、应急保障用车0辆、其他用车0辆。单价100万元以上专用设备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不含车辆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0台（套）。</w:t>
      </w:r>
    </w:p>
    <w:p w14:paraId="225B2D7D">
      <w:pPr>
        <w:pageBreakBefore w:val="0"/>
        <w:kinsoku/>
        <w:wordWrap/>
        <w:overflowPunct/>
        <w:topLinePunct w:val="0"/>
        <w:autoSpaceDE/>
        <w:autoSpaceDN/>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140" w:name="_Toc3032"/>
      <w:bookmarkStart w:id="141" w:name="_Toc5301"/>
      <w:bookmarkStart w:id="142" w:name="_Toc25784"/>
      <w:r>
        <w:rPr>
          <w:rFonts w:hint="eastAsia" w:ascii="Times New Roman" w:hAnsi="Times New Roman" w:eastAsia="楷体_GB2312" w:cs="楷体_GB2312"/>
          <w:b/>
          <w:color w:val="auto"/>
          <w:sz w:val="32"/>
          <w:szCs w:val="32"/>
          <w:highlight w:val="none"/>
        </w:rPr>
        <w:t>（四）预算绩效管理情况</w:t>
      </w:r>
      <w:bookmarkEnd w:id="139"/>
      <w:bookmarkEnd w:id="140"/>
      <w:bookmarkEnd w:id="141"/>
      <w:bookmarkEnd w:id="142"/>
    </w:p>
    <w:p w14:paraId="11134962">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根据预算绩效管理要求，本</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在202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年度预算编制阶段，未编制项目。</w:t>
      </w:r>
    </w:p>
    <w:p w14:paraId="0D703B7E">
      <w:pPr>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65FD0D8A">
      <w:pPr>
        <w:pageBreakBefore w:val="0"/>
        <w:numPr>
          <w:ilvl w:val="0"/>
          <w:numId w:val="0"/>
        </w:numPr>
        <w:kinsoku/>
        <w:wordWrap/>
        <w:overflowPunct/>
        <w:topLinePunct w:val="0"/>
        <w:autoSpaceDE/>
        <w:autoSpaceDN/>
        <w:bidi w:val="0"/>
        <w:spacing w:line="576" w:lineRule="exact"/>
        <w:ind w:left="0" w:leftChars="0" w:firstLine="0" w:firstLineChars="0"/>
        <w:jc w:val="center"/>
        <w:textAlignment w:val="auto"/>
        <w:outlineLvl w:val="9"/>
        <w:rPr>
          <w:rFonts w:hint="eastAsia" w:ascii="Times New Roman" w:hAnsi="Times New Roman" w:eastAsia="黑体"/>
          <w:color w:val="auto"/>
          <w:sz w:val="44"/>
          <w:szCs w:val="44"/>
          <w:highlight w:val="none"/>
        </w:rPr>
      </w:pPr>
      <w:bookmarkStart w:id="143" w:name="_Toc15377225"/>
      <w:bookmarkStart w:id="144" w:name="_Toc26702"/>
      <w:bookmarkStart w:id="145" w:name="_Toc15396613"/>
    </w:p>
    <w:p w14:paraId="78918E21">
      <w:pPr>
        <w:pageBreakBefore w:val="0"/>
        <w:numPr>
          <w:ilvl w:val="0"/>
          <w:numId w:val="0"/>
        </w:numPr>
        <w:kinsoku/>
        <w:wordWrap/>
        <w:overflowPunct/>
        <w:topLinePunct w:val="0"/>
        <w:autoSpaceDE/>
        <w:autoSpaceDN/>
        <w:bidi w:val="0"/>
        <w:spacing w:line="576" w:lineRule="exact"/>
        <w:ind w:left="0" w:leftChars="0" w:firstLine="0" w:firstLineChars="0"/>
        <w:jc w:val="center"/>
        <w:textAlignment w:val="auto"/>
        <w:outlineLvl w:val="9"/>
        <w:rPr>
          <w:rFonts w:hint="eastAsia" w:ascii="Times New Roman" w:hAnsi="Times New Roman" w:eastAsia="黑体"/>
          <w:color w:val="auto"/>
          <w:sz w:val="44"/>
          <w:szCs w:val="44"/>
          <w:highlight w:val="none"/>
        </w:rPr>
      </w:pPr>
    </w:p>
    <w:p w14:paraId="242408D0">
      <w:pPr>
        <w:pageBreakBefore w:val="0"/>
        <w:numPr>
          <w:ilvl w:val="0"/>
          <w:numId w:val="0"/>
        </w:numPr>
        <w:kinsoku/>
        <w:wordWrap/>
        <w:overflowPunct/>
        <w:topLinePunct w:val="0"/>
        <w:autoSpaceDE/>
        <w:autoSpaceDN/>
        <w:bidi w:val="0"/>
        <w:spacing w:line="576" w:lineRule="exact"/>
        <w:ind w:left="0" w:leftChars="0" w:firstLine="0" w:firstLineChars="0"/>
        <w:jc w:val="both"/>
        <w:textAlignment w:val="auto"/>
        <w:outlineLvl w:val="9"/>
        <w:rPr>
          <w:rFonts w:hint="eastAsia" w:ascii="Times New Roman" w:hAnsi="Times New Roman" w:eastAsia="黑体"/>
          <w:color w:val="auto"/>
          <w:sz w:val="44"/>
          <w:szCs w:val="44"/>
          <w:highlight w:val="none"/>
        </w:rPr>
      </w:pPr>
    </w:p>
    <w:p w14:paraId="6EFB08EF">
      <w:pPr>
        <w:pStyle w:val="12"/>
        <w:rPr>
          <w:rFonts w:hint="eastAsia" w:ascii="Times New Roman" w:hAnsi="Times New Roman" w:eastAsia="黑体"/>
          <w:color w:val="auto"/>
          <w:sz w:val="44"/>
          <w:szCs w:val="44"/>
          <w:highlight w:val="none"/>
        </w:rPr>
      </w:pPr>
    </w:p>
    <w:p w14:paraId="46A3CC2E">
      <w:pPr>
        <w:rPr>
          <w:rFonts w:hint="eastAsia" w:ascii="Times New Roman" w:hAnsi="Times New Roman" w:eastAsia="黑体"/>
          <w:color w:val="auto"/>
          <w:sz w:val="44"/>
          <w:szCs w:val="44"/>
          <w:highlight w:val="none"/>
        </w:rPr>
      </w:pPr>
    </w:p>
    <w:p w14:paraId="1940CF7D">
      <w:pPr>
        <w:pStyle w:val="12"/>
        <w:rPr>
          <w:rFonts w:hint="eastAsia" w:ascii="Times New Roman" w:hAnsi="Times New Roman" w:eastAsia="黑体"/>
          <w:color w:val="auto"/>
          <w:sz w:val="44"/>
          <w:szCs w:val="44"/>
          <w:highlight w:val="none"/>
        </w:rPr>
      </w:pPr>
    </w:p>
    <w:p w14:paraId="144FA49F">
      <w:pPr>
        <w:rPr>
          <w:rFonts w:hint="eastAsia" w:ascii="Times New Roman" w:hAnsi="Times New Roman" w:eastAsia="黑体"/>
          <w:color w:val="auto"/>
          <w:sz w:val="44"/>
          <w:szCs w:val="44"/>
          <w:highlight w:val="none"/>
        </w:rPr>
      </w:pPr>
    </w:p>
    <w:p w14:paraId="1FD56E9A">
      <w:pPr>
        <w:pStyle w:val="12"/>
        <w:rPr>
          <w:rFonts w:hint="eastAsia" w:ascii="Times New Roman" w:hAnsi="Times New Roman" w:eastAsia="黑体"/>
          <w:color w:val="auto"/>
          <w:sz w:val="44"/>
          <w:szCs w:val="44"/>
          <w:highlight w:val="none"/>
        </w:rPr>
      </w:pPr>
    </w:p>
    <w:p w14:paraId="16D7DB54">
      <w:pPr>
        <w:rPr>
          <w:rFonts w:hint="eastAsia" w:ascii="Times New Roman" w:hAnsi="Times New Roman" w:eastAsia="黑体"/>
          <w:color w:val="auto"/>
          <w:sz w:val="44"/>
          <w:szCs w:val="44"/>
          <w:highlight w:val="none"/>
        </w:rPr>
      </w:pPr>
    </w:p>
    <w:p w14:paraId="46E38ED8">
      <w:pPr>
        <w:pStyle w:val="12"/>
        <w:rPr>
          <w:rFonts w:hint="eastAsia" w:ascii="Times New Roman" w:hAnsi="Times New Roman" w:eastAsia="黑体"/>
          <w:color w:val="auto"/>
          <w:sz w:val="44"/>
          <w:szCs w:val="44"/>
          <w:highlight w:val="none"/>
        </w:rPr>
      </w:pPr>
    </w:p>
    <w:p w14:paraId="4897CC2E">
      <w:pPr>
        <w:rPr>
          <w:rFonts w:hint="eastAsia" w:ascii="Times New Roman" w:hAnsi="Times New Roman" w:eastAsia="黑体"/>
          <w:color w:val="auto"/>
          <w:sz w:val="44"/>
          <w:szCs w:val="44"/>
          <w:highlight w:val="none"/>
        </w:rPr>
      </w:pPr>
    </w:p>
    <w:p w14:paraId="742B21EE">
      <w:pPr>
        <w:pStyle w:val="12"/>
        <w:rPr>
          <w:rFonts w:hint="eastAsia" w:ascii="Times New Roman" w:hAnsi="Times New Roman" w:eastAsia="黑体"/>
          <w:color w:val="auto"/>
          <w:sz w:val="44"/>
          <w:szCs w:val="44"/>
          <w:highlight w:val="none"/>
        </w:rPr>
      </w:pPr>
    </w:p>
    <w:p w14:paraId="5E406DF2">
      <w:pPr>
        <w:pageBreakBefore w:val="0"/>
        <w:numPr>
          <w:ilvl w:val="0"/>
          <w:numId w:val="0"/>
        </w:numPr>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146" w:name="_Toc6013"/>
      <w:bookmarkStart w:id="147" w:name="_Toc6612"/>
      <w:bookmarkStart w:id="148" w:name="_Toc31253"/>
    </w:p>
    <w:p w14:paraId="15927CE1">
      <w:pPr>
        <w:pageBreakBefore w:val="0"/>
        <w:numPr>
          <w:ilvl w:val="0"/>
          <w:numId w:val="0"/>
        </w:numPr>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26063BA2">
      <w:pPr>
        <w:pageBreakBefore w:val="0"/>
        <w:numPr>
          <w:ilvl w:val="0"/>
          <w:numId w:val="0"/>
        </w:numPr>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096381D9">
      <w:pPr>
        <w:pageBreakBefore w:val="0"/>
        <w:numPr>
          <w:ilvl w:val="0"/>
          <w:numId w:val="0"/>
        </w:numPr>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4EAC0407">
      <w:pPr>
        <w:pageBreakBefore w:val="0"/>
        <w:numPr>
          <w:ilvl w:val="0"/>
          <w:numId w:val="0"/>
        </w:numPr>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33C4F967">
      <w:pPr>
        <w:pageBreakBefore w:val="0"/>
        <w:numPr>
          <w:ilvl w:val="0"/>
          <w:numId w:val="0"/>
        </w:numPr>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229BB5F2">
      <w:pPr>
        <w:pageBreakBefore w:val="0"/>
        <w:numPr>
          <w:ilvl w:val="0"/>
          <w:numId w:val="0"/>
        </w:numPr>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p>
    <w:p w14:paraId="141D089C">
      <w:pPr>
        <w:pageBreakBefore w:val="0"/>
        <w:numPr>
          <w:ilvl w:val="0"/>
          <w:numId w:val="0"/>
        </w:numPr>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143"/>
      <w:bookmarkEnd w:id="144"/>
      <w:bookmarkEnd w:id="145"/>
      <w:bookmarkEnd w:id="146"/>
      <w:bookmarkEnd w:id="147"/>
      <w:bookmarkEnd w:id="148"/>
    </w:p>
    <w:p w14:paraId="2A8A8166">
      <w:pPr>
        <w:pageBreakBefore w:val="0"/>
        <w:kinsoku/>
        <w:wordWrap/>
        <w:overflowPunct/>
        <w:topLinePunct w:val="0"/>
        <w:autoSpaceDE/>
        <w:autoSpaceDN/>
        <w:bidi w:val="0"/>
        <w:spacing w:line="576" w:lineRule="exact"/>
        <w:jc w:val="left"/>
        <w:textAlignment w:val="auto"/>
        <w:rPr>
          <w:rFonts w:ascii="Times New Roman" w:hAnsi="Times New Roman"/>
          <w:b/>
          <w:color w:val="auto"/>
          <w:sz w:val="44"/>
          <w:szCs w:val="44"/>
          <w:highlight w:val="none"/>
        </w:rPr>
      </w:pPr>
    </w:p>
    <w:p w14:paraId="3E792F52">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bookmarkStart w:id="149" w:name="_Toc15396614"/>
      <w:bookmarkStart w:id="150" w:name="_Toc15377226"/>
      <w:r>
        <w:rPr>
          <w:rFonts w:hint="default" w:ascii="Times New Roman" w:hAnsi="Times New Roman" w:eastAsia="仿宋_GB2312" w:cs="Times New Roman"/>
          <w:color w:val="000000"/>
          <w:sz w:val="32"/>
          <w:szCs w:val="32"/>
        </w:rPr>
        <w:t>1.财政拨款收入：指单位从同级财政部门取得的财政预算资金。</w:t>
      </w:r>
    </w:p>
    <w:p w14:paraId="592327AA">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2.事业收入：指事业单位开展专业业务活动及辅助活动取得的收入。</w:t>
      </w:r>
    </w:p>
    <w:p w14:paraId="1B58CF35">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3.经营收入：指事业单位在专业业务活动及其辅助活动之外开展非独立核算经营活动取得的收入</w:t>
      </w:r>
    </w:p>
    <w:p w14:paraId="663E44A0">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4.其他收入：指单位取得的除上述收入以外的各项收入。</w:t>
      </w:r>
    </w:p>
    <w:p w14:paraId="7F582D67">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5.使用非财政拨款结余（含专用结余）：指事业单位使用以前年度积累的非财政拨款结余弥补当年收支差额的金额。</w:t>
      </w:r>
    </w:p>
    <w:p w14:paraId="65658582">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6.年初结转和结余：指以前年度尚未完成、结转到本年按有关规定继续使用的资金。</w:t>
      </w:r>
    </w:p>
    <w:p w14:paraId="3635D3F5">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7.结余分配：指事业单位按照会计制度规定缴纳的所得税、提取的专用结余以及转入非财政拨款结余的金额等。</w:t>
      </w:r>
    </w:p>
    <w:p w14:paraId="43BD2A0A">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8.年末结转和结余：指单位按有关规定结转到下年或以后年度继续使用的资金。</w:t>
      </w:r>
    </w:p>
    <w:p w14:paraId="60C218AF">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9.社会保障和就业支出（类）行政事业单位养老支出（款）机关事业单位基本养老保险缴费支出（项）：反映机关事业单位实施养老保险制度由单位缴纳的基本养老保险费支出。</w:t>
      </w:r>
      <w:r>
        <w:rPr>
          <w:rFonts w:hint="default" w:ascii="Times New Roman" w:hAnsi="Times New Roman" w:eastAsia="仿宋_GB2312" w:cs="Times New Roman"/>
          <w:color w:val="000000"/>
          <w:sz w:val="32"/>
          <w:szCs w:val="32"/>
        </w:rPr>
        <w:cr/>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10.社会保障和就业支出（类）行政事业单位养老支出（款）机关事业单位职业年金缴费支出（项）：反映机关事业单位实施养老保险制度由单位实际缴纳的职业年金支出。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11.卫生健康支出（类）行政事业单位医疗（款）事业单位医疗（项）：反映财政部门安排的事业单位基本医疗保险缴费经费，未参加医疗保险的事业单位的公费医疗经费，按国家规定享受离休人员待遇的医疗经费。</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12.农林水支出（类）农业农村（款）事业运行（项）：反映用于农业事业单位基本支出，事业单位设施、系统运行与资产维护等方面的支出。</w:t>
      </w:r>
      <w:r>
        <w:rPr>
          <w:rFonts w:hint="default" w:ascii="Times New Roman" w:hAnsi="Times New Roman" w:eastAsia="仿宋_GB2312" w:cs="Times New Roman"/>
          <w:color w:val="000000"/>
          <w:sz w:val="32"/>
          <w:szCs w:val="32"/>
        </w:rPr>
        <w:cr/>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13.住房保障支出（类）住房改革支出（款）住房公积金（项）：反映行政事业单位按人力资源和社会保障部、财政部规定的基本工资和津贴补贴以及规定比例为职工缴纳的住房公积金。</w:t>
      </w:r>
    </w:p>
    <w:p w14:paraId="3142DE1B">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w:t>
      </w:r>
      <w:r>
        <w:rPr>
          <w:rFonts w:hint="default" w:ascii="Times New Roman" w:hAnsi="Times New Roman" w:eastAsia="仿宋_GB2312" w:cs="Times New Roman"/>
          <w:color w:val="000000"/>
          <w:sz w:val="32"/>
          <w:u w:color="auto"/>
        </w:rPr>
        <w:t>.基本支出：指为保障机构正常运转、完成日常工作任务而发生的人员支出和公用支出。</w:t>
      </w:r>
    </w:p>
    <w:p w14:paraId="38241E9F">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15</w:t>
      </w:r>
      <w:r>
        <w:rPr>
          <w:rFonts w:hint="default" w:ascii="Times New Roman" w:hAnsi="Times New Roman" w:eastAsia="仿宋_GB2312" w:cs="Times New Roman"/>
          <w:color w:val="000000"/>
          <w:sz w:val="32"/>
          <w:u w:color="auto"/>
        </w:rPr>
        <w:t>.项目支出：指在基本支出之外为完成特定行政任务和事业发展目标所发生的支出。</w:t>
      </w:r>
    </w:p>
    <w:p w14:paraId="7901C74B">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w:t>
      </w:r>
      <w:r>
        <w:rPr>
          <w:rFonts w:hint="default" w:ascii="Times New Roman" w:hAnsi="Times New Roman" w:eastAsia="仿宋_GB2312" w:cs="Times New Roman"/>
          <w:color w:val="000000"/>
          <w:sz w:val="32"/>
          <w:u w:color="auto"/>
        </w:rPr>
        <w:t>.经营支出：指事业单位在专业业务活动及其辅助活动之外开展非独立核算经营活动发生的支出。</w:t>
      </w:r>
    </w:p>
    <w:p w14:paraId="1E3729A7">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w:t>
      </w:r>
      <w:r>
        <w:rPr>
          <w:rFonts w:hint="default" w:ascii="Times New Roman" w:hAnsi="Times New Roman" w:eastAsia="仿宋_GB2312" w:cs="Times New Roman"/>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04A4A57">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18</w:t>
      </w:r>
      <w:r>
        <w:rPr>
          <w:rFonts w:hint="default" w:ascii="Times New Roman" w:hAnsi="Times New Roman" w:eastAsia="仿宋_GB2312" w:cs="Times New Roman"/>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EA5F2FD">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19</w:t>
      </w:r>
      <w:r>
        <w:rPr>
          <w:rFonts w:hint="default" w:ascii="Times New Roman" w:hAnsi="Times New Roman" w:eastAsia="仿宋_GB2312" w:cs="Times New Roman"/>
          <w:color w:val="000000"/>
          <w:sz w:val="32"/>
          <w:u w:color="auto"/>
        </w:rPr>
        <w:t>.财政应返还额度：为行政事业单位会计核算科目，用于核算实行国库集中支付的行政事业单位应收财政返还的资金额度。</w:t>
      </w:r>
    </w:p>
    <w:p w14:paraId="036ACA68">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24A07A09">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5787CF82">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548E9ACC">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70BA9575">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58549932">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476DB103">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55B853AC">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3C9A262E">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1BC78900">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668DF625">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0F8DC722">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39F16BA0">
      <w:pPr>
        <w:pageBreakBefore w:val="0"/>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293992CA">
      <w:pPr>
        <w:pStyle w:val="12"/>
        <w:rPr>
          <w:rFonts w:hint="eastAsia"/>
        </w:rPr>
      </w:pPr>
    </w:p>
    <w:p w14:paraId="4A51239B">
      <w:pPr>
        <w:pageBreakBefore w:val="0"/>
        <w:kinsoku/>
        <w:wordWrap/>
        <w:overflowPunct/>
        <w:topLinePunct w:val="0"/>
        <w:autoSpaceDE/>
        <w:autoSpaceDN/>
        <w:bidi w:val="0"/>
        <w:spacing w:line="576" w:lineRule="exact"/>
        <w:jc w:val="center"/>
        <w:textAlignment w:val="auto"/>
        <w:outlineLvl w:val="0"/>
        <w:rPr>
          <w:rStyle w:val="31"/>
          <w:rFonts w:hint="eastAsia" w:ascii="方正小标宋简体" w:hAnsi="方正小标宋简体" w:eastAsia="方正小标宋简体" w:cs="方正小标宋简体"/>
          <w:b w:val="0"/>
          <w:color w:val="auto"/>
          <w:highlight w:val="none"/>
          <w:lang w:eastAsia="zh-CN"/>
        </w:rPr>
      </w:pPr>
      <w:bookmarkStart w:id="151" w:name="_Toc21476"/>
      <w:bookmarkStart w:id="152" w:name="_Toc10702"/>
      <w:bookmarkStart w:id="153" w:name="_Toc25820"/>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149"/>
      <w:bookmarkEnd w:id="151"/>
      <w:bookmarkEnd w:id="152"/>
      <w:bookmarkEnd w:id="153"/>
    </w:p>
    <w:p w14:paraId="629D87C3">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bookmarkStart w:id="154" w:name="_Toc15396618"/>
    </w:p>
    <w:p w14:paraId="2C1D078C">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在202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年度</w:t>
      </w:r>
      <w:r>
        <w:rPr>
          <w:rFonts w:hint="default" w:ascii="Times New Roman" w:hAnsi="Times New Roman" w:eastAsia="仿宋_GB2312" w:cs="Times New Roman"/>
          <w:color w:val="000000"/>
          <w:sz w:val="32"/>
          <w:szCs w:val="32"/>
          <w:lang w:val="en-US" w:eastAsia="zh-CN"/>
        </w:rPr>
        <w:t>无</w:t>
      </w:r>
      <w:r>
        <w:rPr>
          <w:rFonts w:hint="default" w:ascii="Times New Roman" w:hAnsi="Times New Roman" w:eastAsia="仿宋_GB2312" w:cs="Times New Roman"/>
          <w:color w:val="000000"/>
          <w:sz w:val="32"/>
          <w:szCs w:val="32"/>
        </w:rPr>
        <w:t>项目。</w:t>
      </w:r>
    </w:p>
    <w:p w14:paraId="555ABE6A">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6D5F87A9">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32AF915F">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3040AFDD">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4ABCB68B">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04438DB9">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11EB26A2">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6F4513B4">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789C07CE">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50BBC476">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6AF0C966">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5BDCDA3D">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64E4FE99">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7149AA09">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23590717">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4C78037D">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182FBBDF">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5D48BD34">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71464AED">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5A004466">
      <w:pPr>
        <w:pStyle w:val="12"/>
        <w:rPr>
          <w:rFonts w:hint="eastAsia"/>
        </w:rPr>
      </w:pPr>
    </w:p>
    <w:p w14:paraId="1DCD1C57">
      <w:pPr>
        <w:pageBreakBefore w:val="0"/>
        <w:widowControl/>
        <w:kinsoku/>
        <w:wordWrap/>
        <w:overflowPunct/>
        <w:topLinePunct w:val="0"/>
        <w:autoSpaceDE/>
        <w:autoSpaceDN/>
        <w:bidi w:val="0"/>
        <w:spacing w:line="576" w:lineRule="exact"/>
        <w:jc w:val="center"/>
        <w:textAlignment w:val="auto"/>
        <w:rPr>
          <w:rFonts w:hint="eastAsia" w:ascii="Times New Roman" w:hAnsi="Times New Roman" w:eastAsia="黑体"/>
          <w:color w:val="auto"/>
          <w:sz w:val="44"/>
          <w:szCs w:val="44"/>
          <w:highlight w:val="none"/>
        </w:rPr>
      </w:pPr>
    </w:p>
    <w:p w14:paraId="2BB1ED1D">
      <w:pPr>
        <w:pageBreakBefore w:val="0"/>
        <w:widowControl/>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b w:val="0"/>
          <w:color w:val="auto"/>
          <w:sz w:val="44"/>
          <w:szCs w:val="44"/>
          <w:highlight w:val="none"/>
        </w:rPr>
      </w:pPr>
      <w:bookmarkStart w:id="155" w:name="_Toc14684"/>
      <w:bookmarkStart w:id="156" w:name="_Toc16390"/>
      <w:bookmarkStart w:id="157" w:name="_Toc19961"/>
      <w:r>
        <w:rPr>
          <w:rFonts w:hint="eastAsia" w:ascii="方正小标宋简体" w:hAnsi="方正小标宋简体" w:eastAsia="方正小标宋简体" w:cs="方正小标宋简体"/>
          <w:color w:val="auto"/>
          <w:sz w:val="44"/>
          <w:szCs w:val="44"/>
          <w:highlight w:val="none"/>
        </w:rPr>
        <w:t>第</w:t>
      </w:r>
      <w:r>
        <w:rPr>
          <w:rStyle w:val="31"/>
          <w:rFonts w:hint="eastAsia" w:ascii="方正小标宋简体" w:hAnsi="方正小标宋简体" w:eastAsia="方正小标宋简体" w:cs="方正小标宋简体"/>
          <w:b w:val="0"/>
          <w:color w:val="auto"/>
          <w:sz w:val="44"/>
          <w:szCs w:val="44"/>
          <w:highlight w:val="none"/>
        </w:rPr>
        <w:t>五部分 附表</w:t>
      </w:r>
      <w:bookmarkEnd w:id="150"/>
      <w:bookmarkEnd w:id="154"/>
      <w:bookmarkEnd w:id="155"/>
      <w:bookmarkEnd w:id="156"/>
      <w:bookmarkEnd w:id="157"/>
      <w:bookmarkStart w:id="158" w:name="_Toc15396619"/>
    </w:p>
    <w:p w14:paraId="482361E9">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p>
    <w:p w14:paraId="00768391">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59" w:name="_Toc20190"/>
      <w:r>
        <w:rPr>
          <w:rFonts w:hint="eastAsia" w:ascii="仿宋_GB2312" w:hAnsi="仿宋_GB2312" w:eastAsia="仿宋_GB2312" w:cs="仿宋_GB2312"/>
          <w:b w:val="0"/>
          <w:bCs w:val="0"/>
        </w:rPr>
        <w:t>一、收入支出决算总表</w:t>
      </w:r>
      <w:bookmarkEnd w:id="158"/>
      <w:bookmarkEnd w:id="159"/>
    </w:p>
    <w:p w14:paraId="7F49E877">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60" w:name="_Toc15051"/>
      <w:bookmarkStart w:id="161" w:name="_Toc15396620"/>
      <w:r>
        <w:rPr>
          <w:rFonts w:hint="eastAsia" w:ascii="仿宋_GB2312" w:hAnsi="仿宋_GB2312" w:eastAsia="仿宋_GB2312" w:cs="仿宋_GB2312"/>
          <w:b w:val="0"/>
          <w:bCs w:val="0"/>
        </w:rPr>
        <w:t>二、收入决算表</w:t>
      </w:r>
      <w:bookmarkEnd w:id="160"/>
      <w:bookmarkEnd w:id="161"/>
    </w:p>
    <w:p w14:paraId="4E96E1C9">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62" w:name="_Toc14108"/>
      <w:bookmarkStart w:id="163" w:name="_Toc15396621"/>
      <w:r>
        <w:rPr>
          <w:rFonts w:hint="eastAsia" w:ascii="仿宋_GB2312" w:hAnsi="仿宋_GB2312" w:eastAsia="仿宋_GB2312" w:cs="仿宋_GB2312"/>
          <w:b w:val="0"/>
          <w:bCs w:val="0"/>
        </w:rPr>
        <w:t>三、支出决算表</w:t>
      </w:r>
      <w:bookmarkEnd w:id="162"/>
      <w:bookmarkEnd w:id="163"/>
    </w:p>
    <w:p w14:paraId="69368234">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64" w:name="_Toc29071"/>
      <w:bookmarkStart w:id="165" w:name="_Toc15396622"/>
      <w:r>
        <w:rPr>
          <w:rFonts w:hint="eastAsia" w:ascii="仿宋_GB2312" w:hAnsi="仿宋_GB2312" w:eastAsia="仿宋_GB2312" w:cs="仿宋_GB2312"/>
          <w:b w:val="0"/>
          <w:bCs w:val="0"/>
        </w:rPr>
        <w:t>四、财政拨款收入支出决算总表</w:t>
      </w:r>
      <w:bookmarkEnd w:id="164"/>
      <w:bookmarkEnd w:id="165"/>
    </w:p>
    <w:p w14:paraId="7EDA53F1">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66" w:name="_Toc9455"/>
      <w:bookmarkStart w:id="167" w:name="_Toc15396623"/>
      <w:r>
        <w:rPr>
          <w:rFonts w:hint="eastAsia" w:ascii="仿宋_GB2312" w:hAnsi="仿宋_GB2312" w:eastAsia="仿宋_GB2312" w:cs="仿宋_GB2312"/>
          <w:b w:val="0"/>
          <w:bCs w:val="0"/>
        </w:rPr>
        <w:t>五、财政拨款支出决算明细表</w:t>
      </w:r>
      <w:bookmarkEnd w:id="166"/>
      <w:bookmarkEnd w:id="167"/>
      <w:bookmarkStart w:id="168" w:name="_Toc15396624"/>
    </w:p>
    <w:p w14:paraId="797E34AB">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69" w:name="_Toc20436"/>
      <w:r>
        <w:rPr>
          <w:rFonts w:hint="eastAsia" w:ascii="仿宋_GB2312" w:hAnsi="仿宋_GB2312" w:eastAsia="仿宋_GB2312" w:cs="仿宋_GB2312"/>
          <w:b w:val="0"/>
          <w:bCs w:val="0"/>
        </w:rPr>
        <w:t>六、一般公共预算财政拨款支出决算表</w:t>
      </w:r>
      <w:bookmarkEnd w:id="168"/>
      <w:bookmarkEnd w:id="169"/>
    </w:p>
    <w:p w14:paraId="3A176BBD">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70" w:name="_Toc30858"/>
      <w:bookmarkStart w:id="171" w:name="_Toc15396625"/>
      <w:r>
        <w:rPr>
          <w:rFonts w:hint="eastAsia" w:ascii="仿宋_GB2312" w:hAnsi="仿宋_GB2312" w:eastAsia="仿宋_GB2312" w:cs="仿宋_GB2312"/>
          <w:b w:val="0"/>
          <w:bCs w:val="0"/>
        </w:rPr>
        <w:t>七、一般公共预算财政拨款支出决算明细表</w:t>
      </w:r>
      <w:bookmarkEnd w:id="170"/>
      <w:bookmarkEnd w:id="171"/>
    </w:p>
    <w:p w14:paraId="65956B8C">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72" w:name="_Toc22759"/>
      <w:bookmarkStart w:id="173" w:name="_Toc15396626"/>
      <w:r>
        <w:rPr>
          <w:rFonts w:hint="eastAsia" w:ascii="仿宋_GB2312" w:hAnsi="仿宋_GB2312" w:eastAsia="仿宋_GB2312" w:cs="仿宋_GB2312"/>
          <w:b w:val="0"/>
          <w:bCs w:val="0"/>
        </w:rPr>
        <w:t>八、一般公共预算财政拨款基本支出决算表</w:t>
      </w:r>
      <w:bookmarkEnd w:id="172"/>
      <w:bookmarkEnd w:id="173"/>
    </w:p>
    <w:p w14:paraId="3E76FA8F">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74" w:name="_Toc25669"/>
      <w:bookmarkStart w:id="175" w:name="_Toc15396627"/>
      <w:r>
        <w:rPr>
          <w:rFonts w:hint="eastAsia" w:ascii="仿宋_GB2312" w:hAnsi="仿宋_GB2312" w:eastAsia="仿宋_GB2312" w:cs="仿宋_GB2312"/>
          <w:b w:val="0"/>
          <w:bCs w:val="0"/>
        </w:rPr>
        <w:t>九、一般公共预算财政拨款项目支出决算表</w:t>
      </w:r>
      <w:bookmarkEnd w:id="174"/>
      <w:bookmarkEnd w:id="175"/>
    </w:p>
    <w:p w14:paraId="69BEB6E5">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76" w:name="_Toc15396628"/>
      <w:bookmarkStart w:id="177" w:name="_Toc18683"/>
      <w:r>
        <w:rPr>
          <w:rFonts w:hint="eastAsia" w:ascii="仿宋_GB2312" w:hAnsi="仿宋_GB2312" w:eastAsia="仿宋_GB2312" w:cs="仿宋_GB2312"/>
          <w:b w:val="0"/>
          <w:bCs w:val="0"/>
        </w:rPr>
        <w:t>十、</w:t>
      </w:r>
      <w:bookmarkEnd w:id="176"/>
      <w:r>
        <w:rPr>
          <w:rFonts w:hint="eastAsia" w:ascii="仿宋_GB2312" w:hAnsi="仿宋_GB2312" w:eastAsia="仿宋_GB2312" w:cs="仿宋_GB2312"/>
          <w:b w:val="0"/>
          <w:bCs w:val="0"/>
        </w:rPr>
        <w:t>政府性基金预算财政拨款收入支出决算表</w:t>
      </w:r>
      <w:bookmarkEnd w:id="177"/>
    </w:p>
    <w:p w14:paraId="6E0BA6C0">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78" w:name="_Toc15396629"/>
      <w:bookmarkStart w:id="179" w:name="_Toc8663"/>
      <w:r>
        <w:rPr>
          <w:rFonts w:hint="eastAsia" w:ascii="仿宋_GB2312" w:hAnsi="仿宋_GB2312" w:eastAsia="仿宋_GB2312" w:cs="仿宋_GB2312"/>
          <w:b w:val="0"/>
          <w:bCs w:val="0"/>
        </w:rPr>
        <w:t>十一、</w:t>
      </w:r>
      <w:bookmarkEnd w:id="178"/>
      <w:r>
        <w:rPr>
          <w:rFonts w:hint="eastAsia" w:ascii="仿宋_GB2312" w:hAnsi="仿宋_GB2312" w:eastAsia="仿宋_GB2312" w:cs="仿宋_GB2312"/>
          <w:b w:val="0"/>
          <w:bCs w:val="0"/>
        </w:rPr>
        <w:t>国有资本经营预算</w:t>
      </w:r>
      <w:r>
        <w:rPr>
          <w:rFonts w:hint="eastAsia" w:ascii="仿宋_GB2312" w:hAnsi="仿宋_GB2312" w:eastAsia="仿宋_GB2312" w:cs="仿宋_GB2312"/>
          <w:b w:val="0"/>
          <w:bCs w:val="0"/>
          <w:lang w:eastAsia="zh-CN"/>
        </w:rPr>
        <w:t>财政拨款收入</w:t>
      </w:r>
      <w:r>
        <w:rPr>
          <w:rFonts w:hint="eastAsia" w:ascii="仿宋_GB2312" w:hAnsi="仿宋_GB2312" w:eastAsia="仿宋_GB2312" w:cs="仿宋_GB2312"/>
          <w:b w:val="0"/>
          <w:bCs w:val="0"/>
        </w:rPr>
        <w:t>支出决算表</w:t>
      </w:r>
      <w:bookmarkEnd w:id="179"/>
    </w:p>
    <w:p w14:paraId="302412BD">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rPr>
      </w:pPr>
      <w:bookmarkStart w:id="180" w:name="_Toc15396630"/>
      <w:bookmarkStart w:id="181" w:name="_Toc28660"/>
      <w:r>
        <w:rPr>
          <w:rFonts w:hint="eastAsia" w:ascii="仿宋_GB2312" w:hAnsi="仿宋_GB2312" w:eastAsia="仿宋_GB2312" w:cs="仿宋_GB2312"/>
          <w:b w:val="0"/>
          <w:bCs w:val="0"/>
        </w:rPr>
        <w:t>十二、</w:t>
      </w:r>
      <w:bookmarkEnd w:id="180"/>
      <w:r>
        <w:rPr>
          <w:rFonts w:hint="eastAsia" w:ascii="仿宋_GB2312" w:hAnsi="仿宋_GB2312" w:eastAsia="仿宋_GB2312" w:cs="仿宋_GB2312"/>
          <w:b w:val="0"/>
          <w:bCs w:val="0"/>
          <w:lang w:eastAsia="zh-CN"/>
        </w:rPr>
        <w:t>国有资本经营预算财政拨款支出决算表</w:t>
      </w:r>
      <w:bookmarkEnd w:id="181"/>
    </w:p>
    <w:p w14:paraId="48E0EB27">
      <w:pPr>
        <w:pStyle w:val="4"/>
        <w:pageBreakBefore w:val="0"/>
        <w:widowControl w:val="0"/>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b w:val="0"/>
          <w:bCs w:val="0"/>
          <w:lang w:eastAsia="zh-CN"/>
        </w:rPr>
      </w:pPr>
      <w:bookmarkStart w:id="182" w:name="_Toc15396631"/>
      <w:bookmarkStart w:id="183" w:name="_Toc29307"/>
      <w:r>
        <w:rPr>
          <w:rFonts w:hint="eastAsia" w:ascii="仿宋_GB2312" w:hAnsi="仿宋_GB2312" w:eastAsia="仿宋_GB2312" w:cs="仿宋_GB2312"/>
          <w:b w:val="0"/>
          <w:bCs w:val="0"/>
        </w:rPr>
        <w:t>十三、</w:t>
      </w:r>
      <w:bookmarkEnd w:id="182"/>
      <w:r>
        <w:rPr>
          <w:rFonts w:hint="eastAsia" w:ascii="仿宋_GB2312" w:hAnsi="仿宋_GB2312" w:eastAsia="仿宋_GB2312" w:cs="仿宋_GB2312"/>
          <w:b w:val="0"/>
          <w:bCs w:val="0"/>
          <w:lang w:eastAsia="zh-CN"/>
        </w:rPr>
        <w:t>财政拨款“三公”经费支出决算表</w:t>
      </w:r>
      <w:bookmarkEnd w:id="183"/>
    </w:p>
    <w:p w14:paraId="5E5F21DF">
      <w:pPr>
        <w:pageBreakBefore w:val="0"/>
        <w:widowControl w:val="0"/>
        <w:kinsoku/>
        <w:wordWrap/>
        <w:overflowPunct/>
        <w:topLinePunct w:val="0"/>
        <w:autoSpaceDE/>
        <w:autoSpaceDN/>
        <w:bidi w:val="0"/>
        <w:adjustRightInd/>
        <w:snapToGrid/>
        <w:spacing w:line="576" w:lineRule="exact"/>
        <w:textAlignment w:val="auto"/>
        <w:outlineLvl w:val="9"/>
        <w:rPr>
          <w:rFonts w:hint="eastAsia"/>
          <w:lang w:eastAsia="zh-CN"/>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思源黑体 CN Normal">
    <w:altName w:val="黑体"/>
    <w:panose1 w:val="020B04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D5E6">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46B46">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646B46">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69A3597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6022">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12F90">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712F90">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28113">
    <w:pPr>
      <w:pStyle w:val="1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08E4D">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CE08E4D">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29AF8365">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9ABF6">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967E8">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BD967E8">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1F86A05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C453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76CF6">
    <w:pPr>
      <w:pStyle w:val="1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8E343D"/>
    <w:rsid w:val="02FEBE30"/>
    <w:rsid w:val="030D2310"/>
    <w:rsid w:val="04916F1E"/>
    <w:rsid w:val="061E35DE"/>
    <w:rsid w:val="066E0107"/>
    <w:rsid w:val="06864258"/>
    <w:rsid w:val="078A2181"/>
    <w:rsid w:val="07996F6E"/>
    <w:rsid w:val="07D21D7A"/>
    <w:rsid w:val="07DFD8BA"/>
    <w:rsid w:val="08CD0E5E"/>
    <w:rsid w:val="08F33D56"/>
    <w:rsid w:val="096033D4"/>
    <w:rsid w:val="09867E8F"/>
    <w:rsid w:val="09B63701"/>
    <w:rsid w:val="0A2032A3"/>
    <w:rsid w:val="0BF978D5"/>
    <w:rsid w:val="0C016626"/>
    <w:rsid w:val="0CA8290A"/>
    <w:rsid w:val="0D35B1ED"/>
    <w:rsid w:val="0D87687F"/>
    <w:rsid w:val="0E1E24DA"/>
    <w:rsid w:val="0E254B6B"/>
    <w:rsid w:val="0F2C1D70"/>
    <w:rsid w:val="0F74708E"/>
    <w:rsid w:val="0F98263C"/>
    <w:rsid w:val="0FDC6575"/>
    <w:rsid w:val="101860EC"/>
    <w:rsid w:val="101F47CC"/>
    <w:rsid w:val="10C055FF"/>
    <w:rsid w:val="11667DAF"/>
    <w:rsid w:val="11694EBD"/>
    <w:rsid w:val="11772AA4"/>
    <w:rsid w:val="118107EC"/>
    <w:rsid w:val="121932ED"/>
    <w:rsid w:val="12215FA8"/>
    <w:rsid w:val="12E24EE2"/>
    <w:rsid w:val="13D50BC4"/>
    <w:rsid w:val="14B17F78"/>
    <w:rsid w:val="165E0673"/>
    <w:rsid w:val="16B831D5"/>
    <w:rsid w:val="16BB723D"/>
    <w:rsid w:val="16CB50C6"/>
    <w:rsid w:val="170D692B"/>
    <w:rsid w:val="17DD4B84"/>
    <w:rsid w:val="17E50567"/>
    <w:rsid w:val="1824253C"/>
    <w:rsid w:val="186504BB"/>
    <w:rsid w:val="195A6987"/>
    <w:rsid w:val="196A1E12"/>
    <w:rsid w:val="19A445FC"/>
    <w:rsid w:val="1A085187"/>
    <w:rsid w:val="1BE8440E"/>
    <w:rsid w:val="1D155CEE"/>
    <w:rsid w:val="1D1638FE"/>
    <w:rsid w:val="1DDC0E05"/>
    <w:rsid w:val="1E312DEB"/>
    <w:rsid w:val="1E740ACF"/>
    <w:rsid w:val="1EDE1F7D"/>
    <w:rsid w:val="1F577D3C"/>
    <w:rsid w:val="1FF35744"/>
    <w:rsid w:val="1FF6BC77"/>
    <w:rsid w:val="207277FE"/>
    <w:rsid w:val="20A1571C"/>
    <w:rsid w:val="2186353C"/>
    <w:rsid w:val="22D8745F"/>
    <w:rsid w:val="23860B96"/>
    <w:rsid w:val="238A37F2"/>
    <w:rsid w:val="23CC521C"/>
    <w:rsid w:val="240371BF"/>
    <w:rsid w:val="244F3473"/>
    <w:rsid w:val="24C97D99"/>
    <w:rsid w:val="25540005"/>
    <w:rsid w:val="25A718F0"/>
    <w:rsid w:val="25BB59F6"/>
    <w:rsid w:val="260F557C"/>
    <w:rsid w:val="26970054"/>
    <w:rsid w:val="281408E2"/>
    <w:rsid w:val="2829733C"/>
    <w:rsid w:val="28643946"/>
    <w:rsid w:val="29FD04D3"/>
    <w:rsid w:val="2AED715A"/>
    <w:rsid w:val="2B724B56"/>
    <w:rsid w:val="2BD43193"/>
    <w:rsid w:val="2BFF7BC6"/>
    <w:rsid w:val="2C8A61B5"/>
    <w:rsid w:val="2C977FD5"/>
    <w:rsid w:val="2DF04E50"/>
    <w:rsid w:val="2E586DFA"/>
    <w:rsid w:val="2EA74B17"/>
    <w:rsid w:val="2EE435C3"/>
    <w:rsid w:val="2EF266DA"/>
    <w:rsid w:val="2F040D46"/>
    <w:rsid w:val="2F6B035B"/>
    <w:rsid w:val="2FAE5751"/>
    <w:rsid w:val="2FB1A395"/>
    <w:rsid w:val="2FD9A7D8"/>
    <w:rsid w:val="2FDBF714"/>
    <w:rsid w:val="309F3772"/>
    <w:rsid w:val="30AB6865"/>
    <w:rsid w:val="31280191"/>
    <w:rsid w:val="319F7F4E"/>
    <w:rsid w:val="31B3411E"/>
    <w:rsid w:val="31DE3900"/>
    <w:rsid w:val="32BD1EF1"/>
    <w:rsid w:val="3304709D"/>
    <w:rsid w:val="33A773CB"/>
    <w:rsid w:val="349D6851"/>
    <w:rsid w:val="36AA5135"/>
    <w:rsid w:val="36BE0DA7"/>
    <w:rsid w:val="36CF4EC8"/>
    <w:rsid w:val="376B6AA6"/>
    <w:rsid w:val="376D39B2"/>
    <w:rsid w:val="37E16F03"/>
    <w:rsid w:val="37F53A3B"/>
    <w:rsid w:val="3881462B"/>
    <w:rsid w:val="389B6C89"/>
    <w:rsid w:val="38D469F0"/>
    <w:rsid w:val="39627CCD"/>
    <w:rsid w:val="397BAF1F"/>
    <w:rsid w:val="3A7C1983"/>
    <w:rsid w:val="3AB79AF3"/>
    <w:rsid w:val="3AE834C0"/>
    <w:rsid w:val="3B7EF35A"/>
    <w:rsid w:val="3B9FDB6C"/>
    <w:rsid w:val="3BB32D4D"/>
    <w:rsid w:val="3BF5BC2F"/>
    <w:rsid w:val="3CEBA265"/>
    <w:rsid w:val="3D915310"/>
    <w:rsid w:val="3D98207C"/>
    <w:rsid w:val="3DEE7CF3"/>
    <w:rsid w:val="3E740A63"/>
    <w:rsid w:val="3E78745D"/>
    <w:rsid w:val="3EE17838"/>
    <w:rsid w:val="3F0044FB"/>
    <w:rsid w:val="3F55381A"/>
    <w:rsid w:val="3F7F7599"/>
    <w:rsid w:val="3FF4CAE0"/>
    <w:rsid w:val="3FF7B227"/>
    <w:rsid w:val="41B17D2F"/>
    <w:rsid w:val="41FC1289"/>
    <w:rsid w:val="42E85853"/>
    <w:rsid w:val="43637744"/>
    <w:rsid w:val="440721FA"/>
    <w:rsid w:val="44745CC6"/>
    <w:rsid w:val="44E268DA"/>
    <w:rsid w:val="450D13D7"/>
    <w:rsid w:val="45506656"/>
    <w:rsid w:val="45574DE1"/>
    <w:rsid w:val="45EC57D9"/>
    <w:rsid w:val="47C3256A"/>
    <w:rsid w:val="486A6C7A"/>
    <w:rsid w:val="48A06D34"/>
    <w:rsid w:val="4A627F82"/>
    <w:rsid w:val="4AE66C9B"/>
    <w:rsid w:val="4B0215FB"/>
    <w:rsid w:val="4B0E749A"/>
    <w:rsid w:val="4B2477C4"/>
    <w:rsid w:val="4B4F25DA"/>
    <w:rsid w:val="4BE068DB"/>
    <w:rsid w:val="4D577224"/>
    <w:rsid w:val="4DBF1CEB"/>
    <w:rsid w:val="4DF0007C"/>
    <w:rsid w:val="4E3D7A77"/>
    <w:rsid w:val="4EAB630A"/>
    <w:rsid w:val="4ECE2238"/>
    <w:rsid w:val="4F1913AB"/>
    <w:rsid w:val="4F833267"/>
    <w:rsid w:val="4FE9BD67"/>
    <w:rsid w:val="4FFB052F"/>
    <w:rsid w:val="520202B7"/>
    <w:rsid w:val="52CF270B"/>
    <w:rsid w:val="537E6D0A"/>
    <w:rsid w:val="53F74C96"/>
    <w:rsid w:val="54B603AF"/>
    <w:rsid w:val="55170BA8"/>
    <w:rsid w:val="553218C9"/>
    <w:rsid w:val="554E3DBB"/>
    <w:rsid w:val="562813FC"/>
    <w:rsid w:val="567E1AA5"/>
    <w:rsid w:val="56BC6B02"/>
    <w:rsid w:val="56E47B74"/>
    <w:rsid w:val="57175D52"/>
    <w:rsid w:val="57A70E53"/>
    <w:rsid w:val="57BD3DD4"/>
    <w:rsid w:val="57E44A93"/>
    <w:rsid w:val="5A3F5302"/>
    <w:rsid w:val="5AF92295"/>
    <w:rsid w:val="5B21787C"/>
    <w:rsid w:val="5B250254"/>
    <w:rsid w:val="5BDD79E6"/>
    <w:rsid w:val="5BF561CA"/>
    <w:rsid w:val="5BFF5DFC"/>
    <w:rsid w:val="5C174D63"/>
    <w:rsid w:val="5CD71FC4"/>
    <w:rsid w:val="5D1F11B5"/>
    <w:rsid w:val="5D695134"/>
    <w:rsid w:val="5DAE1B18"/>
    <w:rsid w:val="5DE7D9E5"/>
    <w:rsid w:val="5EC4414D"/>
    <w:rsid w:val="5ECEC941"/>
    <w:rsid w:val="5F3D09FC"/>
    <w:rsid w:val="5FBF9FF3"/>
    <w:rsid w:val="5FCD4E2C"/>
    <w:rsid w:val="5FEF394A"/>
    <w:rsid w:val="5FF67715"/>
    <w:rsid w:val="628C1A7E"/>
    <w:rsid w:val="62AD79EE"/>
    <w:rsid w:val="62BF3928"/>
    <w:rsid w:val="62DA4EE0"/>
    <w:rsid w:val="63B3701E"/>
    <w:rsid w:val="63EC71C9"/>
    <w:rsid w:val="647F5392"/>
    <w:rsid w:val="65E66580"/>
    <w:rsid w:val="66240F9E"/>
    <w:rsid w:val="664B1D71"/>
    <w:rsid w:val="664B4E8E"/>
    <w:rsid w:val="66D10416"/>
    <w:rsid w:val="67277B67"/>
    <w:rsid w:val="67AA3209"/>
    <w:rsid w:val="682E35D8"/>
    <w:rsid w:val="689E6DDC"/>
    <w:rsid w:val="69186658"/>
    <w:rsid w:val="698D0931"/>
    <w:rsid w:val="69931944"/>
    <w:rsid w:val="69E6019D"/>
    <w:rsid w:val="6A6D488B"/>
    <w:rsid w:val="6A7FE5F3"/>
    <w:rsid w:val="6B053271"/>
    <w:rsid w:val="6BDD78B3"/>
    <w:rsid w:val="6C4A05C8"/>
    <w:rsid w:val="6C8742B8"/>
    <w:rsid w:val="6DBF5E93"/>
    <w:rsid w:val="6DFF077E"/>
    <w:rsid w:val="6E2F53AE"/>
    <w:rsid w:val="6E485426"/>
    <w:rsid w:val="6E714EF0"/>
    <w:rsid w:val="6E7E3605"/>
    <w:rsid w:val="6E7FDCC7"/>
    <w:rsid w:val="6ED6A62E"/>
    <w:rsid w:val="6EE00B15"/>
    <w:rsid w:val="6EFE3D04"/>
    <w:rsid w:val="6F6FB3EB"/>
    <w:rsid w:val="6F8731EA"/>
    <w:rsid w:val="6FCE6052"/>
    <w:rsid w:val="6FD57C00"/>
    <w:rsid w:val="6FEFFFD8"/>
    <w:rsid w:val="6FF5CC65"/>
    <w:rsid w:val="6FFB47EC"/>
    <w:rsid w:val="6FFF034A"/>
    <w:rsid w:val="70484440"/>
    <w:rsid w:val="712A28F1"/>
    <w:rsid w:val="715C0E4B"/>
    <w:rsid w:val="71816E6E"/>
    <w:rsid w:val="71992E7C"/>
    <w:rsid w:val="71ED1435"/>
    <w:rsid w:val="72024BEE"/>
    <w:rsid w:val="72233669"/>
    <w:rsid w:val="72734D90"/>
    <w:rsid w:val="72AA0BA4"/>
    <w:rsid w:val="73160E6D"/>
    <w:rsid w:val="7332FE48"/>
    <w:rsid w:val="734E1D53"/>
    <w:rsid w:val="736325B6"/>
    <w:rsid w:val="736D6C6F"/>
    <w:rsid w:val="73AB61DA"/>
    <w:rsid w:val="73AD73D5"/>
    <w:rsid w:val="73B6EB34"/>
    <w:rsid w:val="73FA497D"/>
    <w:rsid w:val="744731E5"/>
    <w:rsid w:val="74BBD01D"/>
    <w:rsid w:val="74ED5379"/>
    <w:rsid w:val="756D3991"/>
    <w:rsid w:val="75DEEEC2"/>
    <w:rsid w:val="75E32345"/>
    <w:rsid w:val="76E3355F"/>
    <w:rsid w:val="76FF5125"/>
    <w:rsid w:val="776F6FFA"/>
    <w:rsid w:val="778769C8"/>
    <w:rsid w:val="77A75DCA"/>
    <w:rsid w:val="77DC22F5"/>
    <w:rsid w:val="78164269"/>
    <w:rsid w:val="783E271A"/>
    <w:rsid w:val="78616DE9"/>
    <w:rsid w:val="78E875D7"/>
    <w:rsid w:val="79045326"/>
    <w:rsid w:val="79086DAD"/>
    <w:rsid w:val="79CD2C51"/>
    <w:rsid w:val="79D7FD79"/>
    <w:rsid w:val="79EE5BA4"/>
    <w:rsid w:val="7A057AFA"/>
    <w:rsid w:val="7A894339"/>
    <w:rsid w:val="7AD284E8"/>
    <w:rsid w:val="7AFF7572"/>
    <w:rsid w:val="7B6C7DFB"/>
    <w:rsid w:val="7BBFBED0"/>
    <w:rsid w:val="7BC3E394"/>
    <w:rsid w:val="7C1F3737"/>
    <w:rsid w:val="7CBFC87B"/>
    <w:rsid w:val="7CFE0F48"/>
    <w:rsid w:val="7D272ABC"/>
    <w:rsid w:val="7D7EC23E"/>
    <w:rsid w:val="7E2A254D"/>
    <w:rsid w:val="7E3068C5"/>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Normal Indent"/>
    <w:basedOn w:val="1"/>
    <w:unhideWhenUsed/>
    <w:qFormat/>
    <w:uiPriority w:val="99"/>
    <w:pPr>
      <w:ind w:firstLine="680"/>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Header Char"/>
    <w:basedOn w:val="20"/>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20"/>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20"/>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20"/>
    <w:link w:val="3"/>
    <w:qFormat/>
    <w:uiPriority w:val="9"/>
    <w:rPr>
      <w:rFonts w:ascii="Times New Roman" w:hAnsi="Times New Roman"/>
      <w:b/>
      <w:bCs/>
      <w:kern w:val="44"/>
      <w:sz w:val="44"/>
      <w:szCs w:val="44"/>
    </w:rPr>
  </w:style>
  <w:style w:type="character" w:customStyle="1" w:styleId="32">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0"/>
    <w:link w:val="11"/>
    <w:semiHidden/>
    <w:qFormat/>
    <w:uiPriority w:val="99"/>
    <w:rPr>
      <w:rFonts w:ascii="Times New Roman" w:hAnsi="Times New Roman"/>
      <w:kern w:val="2"/>
      <w:sz w:val="18"/>
      <w:szCs w:val="18"/>
    </w:rPr>
  </w:style>
  <w:style w:type="character" w:customStyle="1" w:styleId="35">
    <w:name w:val="标题 3 Char"/>
    <w:basedOn w:val="20"/>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 w:type="paragraph" w:customStyle="1" w:styleId="40">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968.58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1026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{"2023","2024"}</c:f>
              <c:numCache>
                <c:formatCode>General</c:formatCode>
                <c:ptCount val="2"/>
                <c:pt idx="0">
                  <c:v>2023</c:v>
                </c:pt>
                <c:pt idx="1">
                  <c:v>2024</c:v>
                </c:pt>
              </c:numCache>
            </c:numRef>
          </c:cat>
          <c:val>
            <c:numRef>
              <c:f>{800.73,968.58}</c:f>
              <c:numCache>
                <c:formatCode>General</c:formatCode>
                <c:ptCount val="2"/>
                <c:pt idx="0">
                  <c:v>800.73</c:v>
                </c:pt>
                <c:pt idx="1">
                  <c:v>968.58</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653a6ce-6606-4b25-9f54-e30528a3cc70}"/>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{968.58}</c:f>
              <c:numCache>
                <c:formatCode>General</c:formatCode>
                <c:ptCount val="1"/>
                <c:pt idx="0">
                  <c:v>968.58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6ff2afa8-e1d2-43e8-9f3f-028090bc2cdb}"/>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c:f>
              <c:strCache>
                <c:ptCount val="1"/>
                <c:pt idx="0">
                  <c:v>基本支出</c:v>
                </c:pt>
              </c:strCache>
            </c:strRef>
          </c:cat>
          <c:val>
            <c:numRef>
              <c:f>{968.58}</c:f>
              <c:numCache>
                <c:formatCode>General</c:formatCode>
                <c:ptCount val="1"/>
                <c:pt idx="0">
                  <c:v>968.58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c110346b-92d7-4e65-b4ac-3226dd02b12a}"/>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600"/>
              <a:t>财政拨款收、支决算总计变动情况图</a:t>
            </a:r>
            <a:endParaRPr lang="en-US" sz="16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968.58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1026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{"2023","2024"}</c:f>
              <c:numCache>
                <c:formatCode>General</c:formatCode>
                <c:ptCount val="2"/>
                <c:pt idx="0">
                  <c:v>2023</c:v>
                </c:pt>
                <c:pt idx="1">
                  <c:v>2024</c:v>
                </c:pt>
              </c:numCache>
            </c:numRef>
          </c:cat>
          <c:val>
            <c:numRef>
              <c:f>{800.73,968.58}</c:f>
              <c:numCache>
                <c:formatCode>General</c:formatCode>
                <c:ptCount val="2"/>
                <c:pt idx="0">
                  <c:v>800.73</c:v>
                </c:pt>
                <c:pt idx="1">
                  <c:v>968.58</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manualLayout>
              <c:xMode val="edge"/>
              <c:yMode val="edge"/>
              <c:x val="0.396554723980315"/>
              <c:y val="0.909994478188846"/>
            </c:manualLayout>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92e2fe-0341-49fd-ab76-39e17d46611c}"/>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manualLayout>
          <c:xMode val="edge"/>
          <c:yMode val="edge"/>
          <c:x val="0.252267573696145"/>
          <c:y val="0.0099304865938431"/>
        </c:manualLayout>
      </c:layout>
      <c:overlay val="0"/>
      <c:spPr>
        <a:noFill/>
        <a:ln>
          <a:noFill/>
        </a:ln>
        <a:effectLst/>
      </c:spPr>
    </c:title>
    <c:autoTitleDeleted val="0"/>
    <c:plotArea>
      <c:layout>
        <c:manualLayout>
          <c:layoutTarget val="inner"/>
          <c:xMode val="edge"/>
          <c:yMode val="edge"/>
          <c:x val="0.0909297052154195"/>
          <c:y val="0.150177374852188"/>
          <c:w val="0.879591836734694"/>
          <c:h val="0.716791486007095"/>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968.58</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1026</c:v>
                </c:pt>
              </c:numCache>
            </c:numRef>
          </c:val>
        </c:ser>
        <c:dLbls>
          <c:showLegendKey val="0"/>
          <c:showVal val="1"/>
          <c:showCatName val="0"/>
          <c:showSerName val="0"/>
          <c:showPercent val="0"/>
          <c:showBubbleSize val="0"/>
        </c:dLbls>
        <c:gapWidth val="246"/>
        <c:overlap val="-28"/>
        <c:axId val="202366383"/>
        <c:axId val="493557373"/>
      </c:barChart>
      <c:catAx>
        <c:axId val="20236638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557373"/>
        <c:crosses val="autoZero"/>
        <c:auto val="1"/>
        <c:lblAlgn val="ctr"/>
        <c:lblOffset val="100"/>
        <c:noMultiLvlLbl val="0"/>
      </c:catAx>
      <c:valAx>
        <c:axId val="4935573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3663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ecdae1-31d1-46b4-a7e8-0734726a96f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Lbls>
            <c:dLbl>
              <c:idx val="0"/>
              <c:layout/>
              <c:dLblPos val="inEnd"/>
              <c:showLegendKey val="0"/>
              <c:showVal val="1"/>
              <c:showCatName val="0"/>
              <c:showSerName val="0"/>
              <c:showPercent val="0"/>
              <c:showBubbleSize val="0"/>
              <c:extLst>
                <c:ext xmlns:c15="http://schemas.microsoft.com/office/drawing/2012/chart" uri="{CE6537A1-D6FC-4f65-9D91-7224C49458BB}"/>
              </c:extLst>
            </c:dLbl>
            <c:dLbl>
              <c:idx val="1"/>
              <c:layout/>
              <c:dLblPos val="inEnd"/>
              <c:showLegendKey val="0"/>
              <c:showVal val="1"/>
              <c:showCatName val="0"/>
              <c:showSerName val="0"/>
              <c:showPercent val="0"/>
              <c:showBubbleSize val="0"/>
              <c:extLst>
                <c:ext xmlns:c15="http://schemas.microsoft.com/office/drawing/2012/chart" uri="{CE6537A1-D6FC-4f65-9D91-7224C49458BB}"/>
              </c:extLst>
            </c:dLbl>
            <c:dLbl>
              <c:idx val="2"/>
              <c:layout/>
              <c:dLblPos val="ctr"/>
              <c:showLegendKey val="0"/>
              <c:showVal val="1"/>
              <c:showCatName val="0"/>
              <c:showSerName val="0"/>
              <c:showPercent val="0"/>
              <c:showBubbleSize val="0"/>
              <c:extLst>
                <c:ext xmlns:c15="http://schemas.microsoft.com/office/drawing/2012/chart" uri="{CE6537A1-D6FC-4f65-9D91-7224C49458BB}"/>
              </c:extLst>
            </c:dLbl>
            <c:dLbl>
              <c:idx val="3"/>
              <c:layout/>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136.38</c:v>
                </c:pt>
                <c:pt idx="1">
                  <c:v>60.72</c:v>
                </c:pt>
                <c:pt idx="2">
                  <c:v>749.56</c:v>
                </c:pt>
                <c:pt idx="3">
                  <c:v>79.34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d65c62-6df3-420c-a1f8-b491d837804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4719</Words>
  <Characters>5172</Characters>
  <Lines>61</Lines>
  <Paragraphs>17</Paragraphs>
  <TotalTime>3</TotalTime>
  <ScaleCrop>false</ScaleCrop>
  <LinksUpToDate>false</LinksUpToDate>
  <CharactersWithSpaces>5289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我们的征途是星辰大海</cp:lastModifiedBy>
  <cp:lastPrinted>2025-09-22T08:29:00Z</cp:lastPrinted>
  <dcterms:modified xsi:type="dcterms:W3CDTF">2025-09-24T09:52:08Z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eyJoZGlkIjoiODIxZWIxZGQ2YTk0MTg1MDRkMzU5OGU2OGZiZWZlYzciLCJ1c2VySWQiOiI2NzM1MTg2NzMifQ==</vt:lpwstr>
  </property>
</Properties>
</file>