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b/>
          <w:sz w:val="72"/>
          <w:szCs w:val="72"/>
        </w:rPr>
      </w:pPr>
      <w:bookmarkStart w:id="0" w:name="_Toc15378441"/>
      <w:bookmarkStart w:id="1" w:name="_Toc15396475"/>
      <w:bookmarkStart w:id="2" w:name="_Toc15306267"/>
      <w:bookmarkStart w:id="3" w:name="_Toc15396597"/>
      <w:bookmarkStart w:id="4" w:name="_Toc15377193"/>
      <w:bookmarkStart w:id="5" w:name="_Toc15377425"/>
    </w:p>
    <w:p>
      <w:pPr>
        <w:pStyle w:val="16"/>
        <w:ind w:firstLine="0"/>
      </w:pPr>
    </w:p>
    <w:p>
      <w:pPr>
        <w:spacing w:line="576" w:lineRule="exact"/>
        <w:jc w:val="center"/>
        <w:rPr>
          <w:rFonts w:ascii="方正小标宋简体" w:eastAsia="方正小标宋简体" w:cs="方正小标宋简体"/>
          <w:sz w:val="48"/>
          <w:szCs w:val="48"/>
        </w:rPr>
      </w:pPr>
      <w:bookmarkEnd w:id="0"/>
      <w:bookmarkEnd w:id="1"/>
      <w:bookmarkEnd w:id="2"/>
      <w:bookmarkEnd w:id="3"/>
      <w:bookmarkEnd w:id="4"/>
      <w:bookmarkEnd w:id="5"/>
      <w:r>
        <w:rPr>
          <w:rFonts w:ascii="方正小标宋简体" w:eastAsia="方正小标宋简体" w:cs="方正小标宋简体" w:hint="eastAsia"/>
          <w:sz w:val="48"/>
          <w:szCs w:val="48"/>
        </w:rPr>
        <w:t>2024年度</w:t>
      </w:r>
    </w:p>
    <w:p>
      <w:pPr>
        <w:spacing w:line="576" w:lineRule="exact"/>
        <w:jc w:val="center"/>
        <w:rPr>
          <w:rFonts w:ascii="方正小标宋简体" w:eastAsia="方正小标宋简体" w:cs="方正小标宋简体"/>
          <w:sz w:val="48"/>
          <w:szCs w:val="48"/>
        </w:rPr>
      </w:pPr>
      <w:r>
        <w:rPr>
          <w:rFonts w:ascii="方正小标宋简体" w:eastAsia="方正小标宋简体" w:cs="方正小标宋简体" w:hint="eastAsia"/>
          <w:sz w:val="48"/>
          <w:szCs w:val="48"/>
        </w:rPr>
        <w:t>四川省阿坝州茂县南新镇部门决算</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tabs>
          <w:tab w:val="left" w:pos="3600"/>
        </w:tabs>
      </w:pPr>
      <w:r>
        <w:tab/>
      </w:r>
    </w:p>
    <w:p>
      <w:pPr>
        <w:pStyle w:val="16"/>
      </w:pPr>
    </w:p>
    <w:p>
      <w:pPr>
        <w:pStyle w:val="16"/>
      </w:pPr>
    </w:p>
    <w:p>
      <w:pPr>
        <w:pStyle w:val="16"/>
      </w:pPr>
    </w:p>
    <w:p>
      <w:pPr>
        <w:pStyle w:val="16"/>
      </w:pPr>
    </w:p>
    <w:p>
      <w:pPr>
        <w:pStyle w:val="16"/>
        <w:jc w:val="center"/>
        <w:rPr>
          <w:b/>
          <w:bCs/>
          <w:sz w:val="44"/>
          <w:szCs w:val="44"/>
        </w:rPr>
      </w:pPr>
    </w:p>
    <w:p>
      <w:pPr>
        <w:pStyle w:val="16"/>
      </w:pPr>
    </w:p>
    <w:p>
      <w:pPr>
        <w:pStyle w:val="16"/>
      </w:pPr>
    </w:p>
    <w:p>
      <w:pPr>
        <w:pStyle w:val="16"/>
      </w:pPr>
    </w:p>
    <w:p>
      <w:pPr>
        <w:pStyle w:val="16"/>
      </w:pPr>
    </w:p>
    <w:p>
      <w:pPr>
        <w:autoSpaceDE w:val="0"/>
        <w:autoSpaceDN w:val="0"/>
        <w:adjustRightInd w:val="0"/>
        <w:ind w:leftChars="200" w:left="420"/>
        <w:jc w:val="left"/>
        <w:rPr>
          <w:rFonts w:ascii="宋体"/>
          <w:sz w:val="32"/>
          <w:szCs w:val="32"/>
        </w:rPr>
      </w:pPr>
    </w:p>
    <w:p>
      <w:pPr>
        <w:widowControl/>
        <w:jc w:val="center"/>
        <w:rPr>
          <w:rFonts w:ascii="黑体" w:eastAsia="黑体"/>
          <w:color w:val="000000"/>
          <w:sz w:val="48"/>
          <w:szCs w:val="48"/>
        </w:rPr>
      </w:pPr>
      <w:r>
        <w:rPr>
          <w:rFonts w:ascii="方正小标宋简体" w:eastAsia="方正小标宋简体"/>
          <w:color w:val="000000"/>
          <w:sz w:val="36"/>
          <w:szCs w:val="36"/>
        </w:rPr>
        <w:br w:type="page"/>
      </w:r>
      <w:r>
        <w:rPr>
          <w:rFonts w:ascii="黑体" w:eastAsia="黑体" w:hint="eastAsia"/>
          <w:color w:val="000000"/>
          <w:sz w:val="48"/>
          <w:szCs w:val="48"/>
        </w:rPr>
        <w:t>目录</w:t>
      </w:r>
      <w:bookmarkStart w:id="6" w:name="_Toc15377196"/>
    </w:p>
    <w:p>
      <w:pPr>
        <w:pStyle w:val="25"/>
      </w:pPr>
    </w:p>
    <w:p>
      <w:pPr>
        <w:pStyle w:val="24"/>
        <w:widowControl w:val="0"/>
        <w:tabs>
          <w:tab w:val="right" w:leader="dot" w:pos="8296"/>
        </w:tabs>
        <w:suppressAutoHyphens/>
      </w:pPr>
      <w:r>
        <w:rPr>
          <w:rFonts w:hint="eastAsia"/>
        </w:rPr>
        <w:t>公开时间：2025年9月25日</w:t>
      </w:r>
    </w:p>
    <w:p>
      <w:pPr>
        <w:pStyle w:val="24"/>
        <w:tabs>
          <w:tab w:val="clear" w:pos="8296"/>
          <w:tab w:val="right" w:leader="dot" w:pos="830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fldChar w:fldCharType="begin"/>
      </w:r>
      <w:r>
        <w:instrText xml:space="preserve"> HYPERLINK \l "_Toc12625" </w:instrText>
      </w:r>
      <w:r>
        <w:fldChar w:fldCharType="separate"/>
      </w:r>
      <w:r>
        <w:rPr>
          <w:rFonts w:ascii="黑体" w:eastAsia="黑体" w:cs="黑体" w:hint="eastAsia"/>
        </w:rPr>
        <w:t>第一部分 部门概况</w:t>
      </w:r>
      <w:r>
        <w:tab/>
      </w:r>
      <w:r>
        <w:fldChar w:fldCharType="begin"/>
      </w:r>
      <w:r>
        <w:instrText xml:space="preserve"> PAGEREF _Toc12625 \h </w:instrText>
      </w:r>
      <w:r>
        <w:fldChar w:fldCharType="separate"/>
      </w:r>
      <w:r>
        <w:t>3</w:t>
      </w:r>
      <w:r>
        <w:fldChar w:fldCharType="end"/>
      </w:r>
      <w:r>
        <w:fldChar w:fldCharType="end"/>
      </w:r>
    </w:p>
    <w:p>
      <w:pPr>
        <w:pStyle w:val="28"/>
        <w:tabs>
          <w:tab w:val="clear" w:pos="8296"/>
          <w:tab w:val="right" w:leader="dot" w:pos="8306"/>
        </w:tabs>
      </w:pPr>
      <w:r>
        <w:fldChar w:fldCharType="begin"/>
      </w:r>
      <w:r>
        <w:instrText xml:space="preserve"> HYPERLINK \l "_Toc29532" </w:instrText>
      </w:r>
      <w:r>
        <w:fldChar w:fldCharType="separate"/>
      </w:r>
      <w:r>
        <w:rPr>
          <w:rFonts w:ascii="黑体" w:eastAsia="黑体" w:hint="eastAsia"/>
        </w:rPr>
        <w:t>一、部门职责</w:t>
      </w:r>
      <w:r>
        <w:tab/>
      </w:r>
      <w:r>
        <w:fldChar w:fldCharType="begin"/>
      </w:r>
      <w:r>
        <w:instrText xml:space="preserve"> PAGEREF _Toc29532 \h </w:instrText>
      </w:r>
      <w:r>
        <w:fldChar w:fldCharType="separate"/>
      </w:r>
      <w:r>
        <w:t>3</w:t>
      </w:r>
      <w:r>
        <w:fldChar w:fldCharType="end"/>
      </w:r>
      <w:r>
        <w:fldChar w:fldCharType="end"/>
      </w:r>
    </w:p>
    <w:p>
      <w:pPr>
        <w:pStyle w:val="28"/>
        <w:tabs>
          <w:tab w:val="clear" w:pos="8296"/>
          <w:tab w:val="right" w:leader="dot" w:pos="8306"/>
        </w:tabs>
      </w:pPr>
      <w:r>
        <w:fldChar w:fldCharType="begin"/>
      </w:r>
      <w:r>
        <w:instrText xml:space="preserve"> HYPERLINK \l "_Toc11616" </w:instrText>
      </w:r>
      <w:r>
        <w:fldChar w:fldCharType="separate"/>
      </w:r>
      <w:r>
        <w:rPr>
          <w:rFonts w:ascii="黑体" w:eastAsia="黑体" w:hint="eastAsia"/>
        </w:rPr>
        <w:t>二、机构设置</w:t>
      </w:r>
      <w:r>
        <w:tab/>
      </w:r>
      <w:r>
        <w:fldChar w:fldCharType="begin"/>
      </w:r>
      <w:r>
        <w:instrText xml:space="preserve"> PAGEREF _Toc11616 \h </w:instrText>
      </w:r>
      <w:r>
        <w:fldChar w:fldCharType="separate"/>
      </w:r>
      <w:r>
        <w:t>4</w:t>
      </w:r>
      <w:r>
        <w:fldChar w:fldCharType="end"/>
      </w:r>
      <w:r>
        <w:fldChar w:fldCharType="end"/>
      </w:r>
    </w:p>
    <w:p>
      <w:pPr>
        <w:pStyle w:val="24"/>
        <w:tabs>
          <w:tab w:val="clear" w:pos="8296"/>
          <w:tab w:val="right" w:leader="dot" w:pos="8306"/>
        </w:tabs>
      </w:pPr>
      <w:r>
        <w:fldChar w:fldCharType="begin"/>
      </w:r>
      <w:r>
        <w:instrText xml:space="preserve"> HYPERLINK \l "_Toc28568" </w:instrText>
      </w:r>
      <w:r>
        <w:fldChar w:fldCharType="separate"/>
      </w:r>
      <w:r>
        <w:rPr>
          <w:rFonts w:ascii="黑体" w:eastAsia="黑体" w:cs="黑体" w:hint="eastAsia"/>
        </w:rPr>
        <w:t>第二部分</w:t>
      </w:r>
      <w:r>
        <w:rPr>
          <w:rFonts w:ascii="黑体" w:eastAsia="黑体" w:cs="黑体"/>
        </w:rPr>
        <w:t xml:space="preserve"> </w:t>
      </w:r>
      <w:r>
        <w:rPr>
          <w:rFonts w:ascii="黑体" w:eastAsia="黑体" w:cs="黑体" w:hint="eastAsia"/>
        </w:rPr>
        <w:t>2024</w:t>
      </w:r>
      <w:r>
        <w:rPr>
          <w:rFonts w:ascii="黑体" w:eastAsia="黑体" w:cs="黑体"/>
        </w:rPr>
        <w:t>年度部门决算情况说明</w:t>
      </w:r>
      <w:r>
        <w:tab/>
      </w:r>
      <w:r>
        <w:fldChar w:fldCharType="begin"/>
      </w:r>
      <w:r>
        <w:instrText xml:space="preserve"> PAGEREF _Toc28568 \h </w:instrText>
      </w:r>
      <w:r>
        <w:fldChar w:fldCharType="separate"/>
      </w:r>
      <w:r>
        <w:t>6</w:t>
      </w:r>
      <w:r>
        <w:fldChar w:fldCharType="end"/>
      </w:r>
      <w:r>
        <w:fldChar w:fldCharType="end"/>
      </w:r>
    </w:p>
    <w:p>
      <w:pPr>
        <w:pStyle w:val="24"/>
        <w:tabs>
          <w:tab w:val="clear" w:pos="8296"/>
          <w:tab w:val="right" w:leader="dot" w:pos="8306"/>
        </w:tabs>
      </w:pPr>
      <w:r>
        <w:fldChar w:fldCharType="begin"/>
      </w:r>
      <w:r>
        <w:instrText xml:space="preserve"> HYPERLINK \l "_Toc17942" </w:instrText>
      </w:r>
      <w:r>
        <w:fldChar w:fldCharType="separate"/>
      </w:r>
      <w:r>
        <w:rPr>
          <w:rFonts w:ascii="黑体" w:eastAsia="黑体" w:hint="eastAsia"/>
        </w:rPr>
        <w:t>一、收入支出决算总体情况说明</w:t>
      </w:r>
      <w:r>
        <w:tab/>
      </w:r>
      <w:r>
        <w:fldChar w:fldCharType="begin"/>
      </w:r>
      <w:r>
        <w:instrText xml:space="preserve"> PAGEREF _Toc17942 \h </w:instrText>
      </w:r>
      <w:r>
        <w:fldChar w:fldCharType="separate"/>
      </w:r>
      <w:r>
        <w:t>6</w:t>
      </w:r>
      <w:r>
        <w:fldChar w:fldCharType="end"/>
      </w:r>
      <w:r>
        <w:fldChar w:fldCharType="end"/>
      </w:r>
    </w:p>
    <w:p>
      <w:pPr>
        <w:pStyle w:val="28"/>
        <w:tabs>
          <w:tab w:val="clear" w:pos="8296"/>
          <w:tab w:val="right" w:leader="dot" w:pos="8306"/>
        </w:tabs>
      </w:pPr>
      <w:r>
        <w:fldChar w:fldCharType="begin"/>
      </w:r>
      <w:r>
        <w:instrText xml:space="preserve"> HYPERLINK \l "_Toc24918" </w:instrText>
      </w:r>
      <w:r>
        <w:fldChar w:fldCharType="separate"/>
      </w:r>
      <w:r>
        <w:rPr>
          <w:rFonts w:ascii="黑体" w:eastAsia="黑体" w:hint="eastAsia"/>
        </w:rPr>
        <w:t>二、收入决算情况说明</w:t>
      </w:r>
      <w:r>
        <w:tab/>
      </w:r>
      <w:r>
        <w:fldChar w:fldCharType="begin"/>
      </w:r>
      <w:r>
        <w:instrText xml:space="preserve"> PAGEREF _Toc24918 \h </w:instrText>
      </w:r>
      <w:r>
        <w:fldChar w:fldCharType="separate"/>
      </w:r>
      <w:r>
        <w:t>6</w:t>
      </w:r>
      <w:r>
        <w:fldChar w:fldCharType="end"/>
      </w:r>
      <w:r>
        <w:fldChar w:fldCharType="end"/>
      </w:r>
    </w:p>
    <w:p>
      <w:pPr>
        <w:pStyle w:val="28"/>
        <w:tabs>
          <w:tab w:val="clear" w:pos="8296"/>
          <w:tab w:val="right" w:leader="dot" w:pos="8306"/>
        </w:tabs>
      </w:pPr>
      <w:r>
        <w:fldChar w:fldCharType="begin"/>
      </w:r>
      <w:r>
        <w:instrText xml:space="preserve"> HYPERLINK \l "_Toc4318" </w:instrText>
      </w:r>
      <w:r>
        <w:fldChar w:fldCharType="separate"/>
      </w:r>
      <w:r>
        <w:rPr>
          <w:rFonts w:ascii="黑体" w:eastAsia="黑体" w:hint="eastAsia"/>
        </w:rPr>
        <w:t>三、支出决算情况说明</w:t>
      </w:r>
      <w:r>
        <w:tab/>
      </w:r>
      <w:r>
        <w:fldChar w:fldCharType="begin"/>
      </w:r>
      <w:r>
        <w:instrText xml:space="preserve"> PAGEREF _Toc4318 \h </w:instrText>
      </w:r>
      <w:r>
        <w:fldChar w:fldCharType="separate"/>
      </w:r>
      <w:r>
        <w:t>7</w:t>
      </w:r>
      <w:r>
        <w:fldChar w:fldCharType="end"/>
      </w:r>
      <w:r>
        <w:fldChar w:fldCharType="end"/>
      </w:r>
    </w:p>
    <w:p>
      <w:pPr>
        <w:pStyle w:val="28"/>
        <w:tabs>
          <w:tab w:val="clear" w:pos="8296"/>
          <w:tab w:val="right" w:leader="dot" w:pos="8306"/>
        </w:tabs>
      </w:pPr>
      <w:r>
        <w:fldChar w:fldCharType="begin"/>
      </w:r>
      <w:r>
        <w:instrText xml:space="preserve"> HYPERLINK \l "_Toc9763" </w:instrText>
      </w:r>
      <w:r>
        <w:fldChar w:fldCharType="separate"/>
      </w:r>
      <w:r>
        <w:rPr>
          <w:rFonts w:ascii="黑体" w:eastAsia="黑体" w:hint="eastAsia"/>
        </w:rPr>
        <w:t>四、财政拨款收入支出决算总体情况说明</w:t>
      </w:r>
      <w:r>
        <w:tab/>
      </w:r>
      <w:r>
        <w:fldChar w:fldCharType="begin"/>
      </w:r>
      <w:r>
        <w:instrText xml:space="preserve"> PAGEREF _Toc9763 \h </w:instrText>
      </w:r>
      <w:r>
        <w:fldChar w:fldCharType="separate"/>
      </w:r>
      <w:r>
        <w:t>7</w:t>
      </w:r>
      <w:r>
        <w:fldChar w:fldCharType="end"/>
      </w:r>
      <w:r>
        <w:fldChar w:fldCharType="end"/>
      </w:r>
    </w:p>
    <w:p>
      <w:pPr>
        <w:pStyle w:val="28"/>
        <w:tabs>
          <w:tab w:val="clear" w:pos="8296"/>
          <w:tab w:val="right" w:leader="dot" w:pos="8306"/>
        </w:tabs>
      </w:pPr>
      <w:r>
        <w:fldChar w:fldCharType="begin"/>
      </w:r>
      <w:r>
        <w:instrText xml:space="preserve"> HYPERLINK \l "_Toc17322" </w:instrText>
      </w:r>
      <w:r>
        <w:fldChar w:fldCharType="separate"/>
      </w:r>
      <w:r>
        <w:rPr>
          <w:rFonts w:ascii="黑体" w:eastAsia="黑体" w:hint="eastAsia"/>
        </w:rPr>
        <w:t>五、一般公共预算财政拨款支出决算情况说明</w:t>
      </w:r>
      <w:r>
        <w:tab/>
      </w:r>
      <w:r>
        <w:fldChar w:fldCharType="begin"/>
      </w:r>
      <w:r>
        <w:instrText xml:space="preserve"> PAGEREF _Toc17322 \h </w:instrText>
      </w:r>
      <w:r>
        <w:fldChar w:fldCharType="separate"/>
      </w:r>
      <w:r>
        <w:t>8</w:t>
      </w:r>
      <w:r>
        <w:fldChar w:fldCharType="end"/>
      </w:r>
      <w:r>
        <w:fldChar w:fldCharType="end"/>
      </w:r>
    </w:p>
    <w:p>
      <w:pPr>
        <w:pStyle w:val="28"/>
        <w:tabs>
          <w:tab w:val="clear" w:pos="8296"/>
          <w:tab w:val="right" w:leader="dot" w:pos="8306"/>
        </w:tabs>
      </w:pPr>
      <w:r>
        <w:fldChar w:fldCharType="begin"/>
      </w:r>
      <w:r>
        <w:instrText xml:space="preserve"> HYPERLINK \l "_Toc14398" </w:instrText>
      </w:r>
      <w:r>
        <w:fldChar w:fldCharType="separate"/>
      </w:r>
      <w:r>
        <w:rPr>
          <w:rFonts w:ascii="黑体" w:eastAsia="黑体" w:hint="eastAsia"/>
        </w:rPr>
        <w:t>六、一般公共预算财政拨款基本支出决算情况说明</w:t>
      </w:r>
      <w:r>
        <w:tab/>
      </w:r>
      <w:r>
        <w:fldChar w:fldCharType="begin"/>
      </w:r>
      <w:r>
        <w:instrText xml:space="preserve"> PAGEREF _Toc14398 \h </w:instrText>
      </w:r>
      <w:r>
        <w:fldChar w:fldCharType="separate"/>
      </w:r>
      <w:r>
        <w:t>12</w:t>
      </w:r>
      <w:r>
        <w:fldChar w:fldCharType="end"/>
      </w:r>
      <w:r>
        <w:fldChar w:fldCharType="end"/>
      </w:r>
    </w:p>
    <w:p>
      <w:pPr>
        <w:pStyle w:val="28"/>
        <w:tabs>
          <w:tab w:val="clear" w:pos="8296"/>
          <w:tab w:val="right" w:leader="dot" w:pos="8306"/>
        </w:tabs>
      </w:pPr>
      <w:r>
        <w:fldChar w:fldCharType="begin"/>
      </w:r>
      <w:r>
        <w:instrText xml:space="preserve"> HYPERLINK \l "_Toc886" </w:instrText>
      </w:r>
      <w:r>
        <w:fldChar w:fldCharType="separate"/>
      </w:r>
      <w:r>
        <w:rPr>
          <w:rFonts w:ascii="黑体" w:eastAsia="黑体" w:hint="eastAsia"/>
        </w:rPr>
        <w:t>七、“三公”经费财政拨款支出决算情况说明</w:t>
      </w:r>
      <w:r>
        <w:tab/>
      </w:r>
      <w:r>
        <w:fldChar w:fldCharType="begin"/>
      </w:r>
      <w:r>
        <w:instrText xml:space="preserve"> PAGEREF _Toc886 \h </w:instrText>
      </w:r>
      <w:r>
        <w:fldChar w:fldCharType="separate"/>
      </w:r>
      <w:r>
        <w:t>13</w:t>
      </w:r>
      <w:r>
        <w:fldChar w:fldCharType="end"/>
      </w:r>
      <w:r>
        <w:fldChar w:fldCharType="end"/>
      </w:r>
    </w:p>
    <w:p>
      <w:pPr>
        <w:pStyle w:val="28"/>
        <w:tabs>
          <w:tab w:val="clear" w:pos="8296"/>
          <w:tab w:val="right" w:leader="dot" w:pos="8306"/>
        </w:tabs>
      </w:pPr>
      <w:r>
        <w:fldChar w:fldCharType="begin"/>
      </w:r>
      <w:r>
        <w:instrText xml:space="preserve"> HYPERLINK \l "_Toc13730" </w:instrText>
      </w:r>
      <w:r>
        <w:fldChar w:fldCharType="separate"/>
      </w:r>
      <w:r>
        <w:rPr>
          <w:rFonts w:ascii="黑体" w:eastAsia="黑体" w:hint="eastAsia"/>
        </w:rPr>
        <w:t>八、政府性基金预算支出决算情况说明</w:t>
      </w:r>
      <w:r>
        <w:tab/>
      </w:r>
      <w:r>
        <w:fldChar w:fldCharType="begin"/>
      </w:r>
      <w:r>
        <w:instrText xml:space="preserve"> PAGEREF _Toc13730 \h </w:instrText>
      </w:r>
      <w:r>
        <w:fldChar w:fldCharType="separate"/>
      </w:r>
      <w:r>
        <w:t>14</w:t>
      </w:r>
      <w:r>
        <w:fldChar w:fldCharType="end"/>
      </w:r>
      <w:r>
        <w:fldChar w:fldCharType="end"/>
      </w:r>
    </w:p>
    <w:p>
      <w:pPr>
        <w:pStyle w:val="28"/>
        <w:tabs>
          <w:tab w:val="clear" w:pos="8296"/>
          <w:tab w:val="right" w:leader="dot" w:pos="8306"/>
        </w:tabs>
      </w:pPr>
      <w:r>
        <w:fldChar w:fldCharType="begin"/>
      </w:r>
      <w:r>
        <w:instrText xml:space="preserve"> HYPERLINK \l "_Toc30609" </w:instrText>
      </w:r>
      <w:r>
        <w:fldChar w:fldCharType="separate"/>
      </w:r>
      <w:r>
        <w:rPr>
          <w:rFonts w:ascii="黑体" w:eastAsia="黑体" w:hint="eastAsia"/>
        </w:rPr>
        <w:t>九、国有资本经营预算支出决算情况说明</w:t>
      </w:r>
      <w:r>
        <w:tab/>
      </w:r>
      <w:r>
        <w:fldChar w:fldCharType="begin"/>
      </w:r>
      <w:r>
        <w:instrText xml:space="preserve"> PAGEREF _Toc30609 \h </w:instrText>
      </w:r>
      <w:r>
        <w:fldChar w:fldCharType="separate"/>
      </w:r>
      <w:r>
        <w:t>14</w:t>
      </w:r>
      <w:r>
        <w:fldChar w:fldCharType="end"/>
      </w:r>
      <w:r>
        <w:fldChar w:fldCharType="end"/>
      </w:r>
    </w:p>
    <w:p>
      <w:pPr>
        <w:pStyle w:val="28"/>
        <w:tabs>
          <w:tab w:val="clear" w:pos="8296"/>
          <w:tab w:val="right" w:leader="dot" w:pos="8306"/>
        </w:tabs>
      </w:pPr>
      <w:r>
        <w:fldChar w:fldCharType="begin"/>
      </w:r>
      <w:r>
        <w:instrText xml:space="preserve"> HYPERLINK \l "_Toc11418" </w:instrText>
      </w:r>
      <w:r>
        <w:fldChar w:fldCharType="separate"/>
      </w:r>
      <w:r>
        <w:rPr>
          <w:rFonts w:ascii="黑体" w:eastAsia="黑体" w:hint="eastAsia"/>
        </w:rPr>
        <w:t>十、其他重要事项的情况说明</w:t>
      </w:r>
      <w:r>
        <w:tab/>
      </w:r>
      <w:r>
        <w:fldChar w:fldCharType="begin"/>
      </w:r>
      <w:r>
        <w:instrText xml:space="preserve"> PAGEREF _Toc11418 \h </w:instrText>
      </w:r>
      <w:r>
        <w:fldChar w:fldCharType="separate"/>
      </w:r>
      <w:r>
        <w:t>15</w:t>
      </w:r>
      <w:r>
        <w:fldChar w:fldCharType="end"/>
      </w:r>
      <w:r>
        <w:fldChar w:fldCharType="end"/>
      </w:r>
    </w:p>
    <w:p>
      <w:pPr>
        <w:pStyle w:val="24"/>
        <w:tabs>
          <w:tab w:val="clear" w:pos="8296"/>
          <w:tab w:val="right" w:leader="dot" w:pos="8306"/>
        </w:tabs>
      </w:pPr>
      <w:r>
        <w:fldChar w:fldCharType="begin"/>
      </w:r>
      <w:r>
        <w:instrText xml:space="preserve"> HYPERLINK \l "_Toc20590" </w:instrText>
      </w:r>
      <w:r>
        <w:fldChar w:fldCharType="separate"/>
      </w:r>
      <w:r>
        <w:rPr>
          <w:rFonts w:ascii="黑体" w:eastAsia="黑体" w:cs="黑体" w:hint="eastAsia"/>
          <w:szCs w:val="44"/>
        </w:rPr>
        <w:t xml:space="preserve">第三部分 </w:t>
      </w:r>
      <w:r>
        <w:rPr>
          <w:rFonts w:ascii="黑体" w:eastAsia="黑体" w:hint="eastAsia"/>
          <w:szCs w:val="44"/>
        </w:rPr>
        <w:t>名</w:t>
      </w:r>
      <w:r>
        <w:rPr>
          <w:rFonts w:ascii="黑体" w:eastAsia="黑体" w:hint="eastAsia"/>
        </w:rPr>
        <w:t>词解释</w:t>
      </w:r>
      <w:r>
        <w:tab/>
      </w:r>
      <w:r>
        <w:rPr>
          <w:rFonts w:hint="eastAsia"/>
        </w:rPr>
        <w:t>2</w:t>
      </w:r>
      <w:r>
        <w:rPr>
          <w:rFonts w:hint="eastAsia"/>
        </w:rPr>
        <w:fldChar w:fldCharType="end"/>
      </w:r>
      <w:r>
        <w:rPr>
          <w:rFonts w:hint="eastAsia"/>
          <w:caps w:val="0"/>
          <w:smallCaps/>
          <w:szCs w:val="20"/>
        </w:rPr>
        <w:t>0</w:t>
      </w:r>
    </w:p>
    <w:p>
      <w:pPr>
        <w:pStyle w:val="24"/>
        <w:tabs>
          <w:tab w:val="clear" w:pos="8296"/>
          <w:tab w:val="right" w:leader="dot" w:pos="8306"/>
        </w:tabs>
      </w:pPr>
      <w:r>
        <w:fldChar w:fldCharType="begin"/>
      </w:r>
      <w:r>
        <w:instrText xml:space="preserve"> HYPERLINK \l "_Toc16858" </w:instrText>
      </w:r>
      <w:r>
        <w:fldChar w:fldCharType="separate"/>
      </w:r>
      <w:r>
        <w:rPr>
          <w:rFonts w:ascii="黑体" w:eastAsia="黑体" w:cs="黑体" w:hint="eastAsia"/>
        </w:rPr>
        <w:t>第四部分 附件</w:t>
      </w:r>
      <w:r>
        <w:tab/>
      </w:r>
      <w:r>
        <w:rPr>
          <w:rFonts w:hint="eastAsia"/>
        </w:rPr>
        <w:t>2</w:t>
      </w:r>
      <w:r>
        <w:rPr>
          <w:rFonts w:hint="eastAsia"/>
        </w:rPr>
        <w:fldChar w:fldCharType="end"/>
      </w:r>
      <w:r>
        <w:rPr>
          <w:rFonts w:hint="eastAsia"/>
          <w:caps w:val="0"/>
          <w:smallCaps/>
          <w:szCs w:val="20"/>
        </w:rPr>
        <w:t>5</w:t>
      </w:r>
    </w:p>
    <w:p>
      <w:pPr>
        <w:pStyle w:val="24"/>
        <w:tabs>
          <w:tab w:val="clear" w:pos="8296"/>
          <w:tab w:val="right" w:leader="dot" w:pos="8306"/>
        </w:tabs>
      </w:pPr>
      <w:r>
        <w:fldChar w:fldCharType="begin"/>
      </w:r>
      <w:r>
        <w:instrText xml:space="preserve"> HYPERLINK \l "_Toc9681" </w:instrText>
      </w:r>
      <w:r>
        <w:fldChar w:fldCharType="separate"/>
      </w:r>
      <w:r>
        <w:rPr>
          <w:rFonts w:ascii="黑体" w:eastAsia="黑体" w:cs="黑体" w:hint="eastAsia"/>
        </w:rPr>
        <w:t>第五部分 附表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"_Toc9322" </w:instrText>
      </w:r>
      <w:r>
        <w:fldChar w:fldCharType="separate"/>
      </w:r>
      <w:r>
        <w:rPr>
          <w:rFonts w:ascii="黑体" w:eastAsia="黑体" w:hint="eastAsia"/>
        </w:rPr>
        <w:t>一、收入支出决算总表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"_Toc28564" </w:instrText>
      </w:r>
      <w:r>
        <w:fldChar w:fldCharType="separate"/>
      </w:r>
      <w:r>
        <w:rPr>
          <w:rFonts w:ascii="黑体" w:eastAsia="黑体" w:hint="eastAsia"/>
        </w:rPr>
        <w:t>二、收入决算表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"_Toc9707" </w:instrText>
      </w:r>
      <w:r>
        <w:fldChar w:fldCharType="separate"/>
      </w:r>
      <w:r>
        <w:rPr>
          <w:rFonts w:ascii="黑体" w:eastAsia="黑体" w:hint="eastAsia"/>
        </w:rPr>
        <w:t>三、支出决算表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"_Toc13652" </w:instrText>
      </w:r>
      <w:r>
        <w:fldChar w:fldCharType="separate"/>
      </w:r>
      <w:r>
        <w:rPr>
          <w:rFonts w:ascii="黑体" w:eastAsia="黑体" w:hint="eastAsia"/>
        </w:rPr>
        <w:t>四、财政拨款收入支出决算总表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"_Toc16893" </w:instrText>
      </w:r>
      <w:r>
        <w:fldChar w:fldCharType="separate"/>
      </w:r>
      <w:r>
        <w:rPr>
          <w:rFonts w:ascii="黑体" w:eastAsia="黑体" w:hint="eastAsia"/>
        </w:rPr>
        <w:t>五、财政拨款支出决算明细表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"_Toc13511" </w:instrText>
      </w:r>
      <w:r>
        <w:fldChar w:fldCharType="separate"/>
      </w:r>
      <w:r>
        <w:rPr>
          <w:rFonts w:ascii="黑体" w:eastAsia="黑体" w:hint="eastAsia"/>
        </w:rPr>
        <w:t>六、一般公共预算财政拨款支出决算表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"_Toc30154" </w:instrText>
      </w:r>
      <w:r>
        <w:fldChar w:fldCharType="separate"/>
      </w:r>
      <w:r>
        <w:rPr>
          <w:rFonts w:ascii="黑体" w:eastAsia="黑体" w:hint="eastAsia"/>
        </w:rPr>
        <w:t>七、一般公共预算财政拨款支出决算明细表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"_Toc31629" </w:instrText>
      </w:r>
      <w:r>
        <w:fldChar w:fldCharType="separate"/>
      </w:r>
      <w:r>
        <w:rPr>
          <w:rFonts w:ascii="黑体" w:eastAsia="黑体" w:hint="eastAsia"/>
        </w:rPr>
        <w:t>八、一般公共预算财政拨款基本支出决算表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"_Toc4361" </w:instrText>
      </w:r>
      <w:r>
        <w:fldChar w:fldCharType="separate"/>
      </w:r>
      <w:r>
        <w:rPr>
          <w:rFonts w:ascii="黑体" w:eastAsia="黑体" w:hint="eastAsia"/>
        </w:rPr>
        <w:t>九、一般公共预算财政拨款项目支出决算表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"_Toc6328" </w:instrText>
      </w:r>
      <w:r>
        <w:fldChar w:fldCharType="separate"/>
      </w:r>
      <w:r>
        <w:rPr>
          <w:rFonts w:ascii="黑体" w:eastAsia="黑体" w:hint="eastAsia"/>
        </w:rPr>
        <w:t>十、政府性基金预算财政拨款收入支出决算表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"_Toc13298" </w:instrText>
      </w:r>
      <w:r>
        <w:fldChar w:fldCharType="separate"/>
      </w:r>
      <w:r>
        <w:rPr>
          <w:rFonts w:ascii="黑体" w:eastAsia="黑体" w:hint="eastAsia"/>
        </w:rPr>
        <w:t>十一、国有资本经营预算财政拨款收入支出决算表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"_Toc27487" </w:instrText>
      </w:r>
      <w:r>
        <w:fldChar w:fldCharType="separate"/>
      </w:r>
      <w:r>
        <w:rPr>
          <w:rFonts w:ascii="黑体" w:eastAsia="黑体" w:hint="eastAsia"/>
        </w:rPr>
        <w:t>十二、国有资本经营预算财政拨款支出决算表</w:t>
      </w:r>
      <w:r>
        <w:tab/>
      </w:r>
      <w:r>
        <w:rPr>
          <w:rFonts w:hint="eastAsia"/>
        </w:rPr>
        <w:t>7</w:t>
      </w:r>
      <w:r>
        <w:rPr>
          <w:rFonts w:hint="eastAsia"/>
        </w:rPr>
        <w:fldChar w:fldCharType="end"/>
      </w:r>
      <w:r>
        <w:rPr>
          <w:rFonts w:hint="eastAsia"/>
          <w:caps w:val="0"/>
          <w:smallCaps/>
          <w:szCs w:val="20"/>
        </w:rPr>
        <w:t>1</w:t>
      </w:r>
    </w:p>
    <w:p>
      <w:pPr>
        <w:pStyle w:val="28"/>
        <w:tabs>
          <w:tab w:val="clear" w:pos="8296"/>
          <w:tab w:val="right" w:leader="dot" w:pos="8306"/>
        </w:tabs>
      </w:pPr>
      <w:r>
        <w:fldChar w:fldCharType="begin"/>
      </w:r>
      <w:r>
        <w:instrText xml:space="preserve"> HYPERLINK \l "_Toc2555" </w:instrText>
      </w:r>
      <w:r>
        <w:fldChar w:fldCharType="separate"/>
      </w:r>
      <w:r>
        <w:rPr>
          <w:rFonts w:ascii="黑体" w:eastAsia="黑体" w:hint="eastAsia"/>
        </w:rPr>
        <w:t>十三、财政拨款“三公”经费支出决算表</w:t>
      </w:r>
      <w:r>
        <w:tab/>
      </w:r>
      <w:r>
        <w:rPr>
          <w:rFonts w:hint="eastAsia"/>
        </w:rPr>
        <w:t>7</w:t>
      </w:r>
      <w:r>
        <w:rPr>
          <w:rFonts w:hint="eastAsia"/>
        </w:rPr>
        <w:fldChar w:fldCharType="end"/>
      </w:r>
      <w:r>
        <w:rPr>
          <w:rFonts w:hint="eastAsia"/>
          <w:caps w:val="0"/>
          <w:smallCaps/>
          <w:szCs w:val="20"/>
        </w:rPr>
        <w:t>1</w:t>
      </w:r>
    </w:p>
    <w:p>
      <w:pPr>
        <w:pStyle w:val="16"/>
        <w:rPr>
          <w:caps w:val="0"/>
          <w:smallCaps/>
          <w:szCs w:val="20"/>
        </w:rPr>
      </w:pPr>
      <w:r>
        <w:rPr>
          <w:caps w:val="0"/>
          <w:smallCaps/>
          <w:szCs w:val="20"/>
        </w:rPr>
        <w:fldChar w:fldCharType="end"/>
      </w:r>
    </w:p>
    <w:p>
      <w:pPr>
        <w:pStyle w:val="16"/>
        <w:rPr>
          <w:caps w:val="0"/>
          <w:smallCaps/>
          <w:szCs w:val="20"/>
        </w:rPr>
      </w:pPr>
    </w:p>
    <w:p>
      <w:pPr>
        <w:jc w:val="center"/>
        <w:rPr>
          <w:rStyle w:val="1Char"/>
          <w:rFonts w:ascii="黑体" w:eastAsia="黑体" w:cs="黑体"/>
          <w:bCs w:val="0"/>
        </w:rPr>
      </w:pPr>
      <w:bookmarkStart w:id="7" w:name="_Toc111208495"/>
      <w:bookmarkStart w:id="8" w:name="_Toc12625"/>
    </w:p>
    <w:p>
      <w:pPr>
        <w:jc w:val="center"/>
        <w:rPr>
          <w:rFonts w:ascii="黑体" w:eastAsia="黑体" w:cs="黑体"/>
        </w:rPr>
      </w:pPr>
      <w:r>
        <w:rPr>
          <w:rStyle w:val="1Char"/>
          <w:rFonts w:ascii="黑体" w:eastAsia="黑体" w:cs="黑体" w:hint="eastAsia"/>
          <w:bCs w:val="0"/>
        </w:rPr>
        <w:t>第一部分 部门概况</w:t>
      </w:r>
      <w:bookmarkEnd w:id="6"/>
      <w:bookmarkEnd w:id="7"/>
      <w:bookmarkEnd w:id="8"/>
    </w:p>
    <w:p>
      <w:pPr>
        <w:pStyle w:val="2"/>
        <w:spacing w:line="300" w:lineRule="exact"/>
        <w:ind w:firstLineChars="200" w:firstLine="640"/>
        <w:rPr>
          <w:rFonts w:ascii="黑体" w:eastAsia="黑体"/>
          <w:bCs w:val="0"/>
          <w:color w:val="000000"/>
        </w:rPr>
      </w:pPr>
      <w:bookmarkStart w:id="9" w:name="_Toc15377197"/>
      <w:bookmarkStart w:id="10" w:name="_Toc111208496"/>
      <w:bookmarkStart w:id="11" w:name="_Toc29532"/>
      <w:r>
        <w:rPr>
          <w:rFonts w:ascii="黑体" w:eastAsia="黑体" w:hint="eastAsia"/>
          <w:bCs w:val="0"/>
          <w:color w:val="000000"/>
        </w:rPr>
        <w:t>一、</w:t>
      </w:r>
      <w:bookmarkStart w:id="12" w:name="_Toc15378445"/>
      <w:bookmarkStart w:id="13" w:name="_Toc15377198"/>
      <w:bookmarkEnd w:id="9"/>
      <w:bookmarkEnd w:id="10"/>
      <w:r>
        <w:rPr>
          <w:rFonts w:ascii="黑体" w:eastAsia="黑体" w:hint="eastAsia"/>
          <w:bCs w:val="0"/>
          <w:color w:val="000000"/>
        </w:rPr>
        <w:t>部门职责</w:t>
      </w:r>
      <w:bookmarkEnd w:id="11"/>
    </w:p>
    <w:p>
      <w:pPr>
        <w:spacing w:line="14" w:lineRule="auto"/>
        <w:ind w:firstLineChars="200" w:firstLine="640"/>
        <w:rPr>
          <w:rFonts w:ascii="仿宋_GB2312" w:eastAsia="仿宋_GB2312" w:cs="仿宋"/>
          <w:color w:val="000000"/>
          <w:kern w:val="0"/>
          <w:sz w:val="32"/>
          <w:szCs w:val="32"/>
          <w:lang w:val="zh-CN"/>
        </w:rPr>
      </w:pPr>
      <w:bookmarkStart w:id="14" w:name="_Toc15377200"/>
      <w:bookmarkStart w:id="15" w:name="_Toc111208497"/>
      <w:bookmarkEnd w:id="12"/>
      <w:bookmarkEnd w:id="13"/>
      <w:r>
        <w:rPr>
          <w:rFonts w:ascii="仿宋_GB2312" w:eastAsia="仿宋_GB2312" w:cs="仿宋" w:hint="eastAsia"/>
          <w:color w:val="000000"/>
          <w:kern w:val="0"/>
          <w:sz w:val="32"/>
          <w:szCs w:val="32"/>
        </w:rPr>
        <w:t>1.</w:t>
      </w:r>
      <w:r>
        <w:rPr>
          <w:rFonts w:ascii="仿宋_GB2312" w:eastAsia="仿宋_GB2312" w:cs="仿宋" w:hint="eastAsia"/>
          <w:color w:val="000000"/>
          <w:kern w:val="0"/>
          <w:sz w:val="32"/>
          <w:szCs w:val="32"/>
          <w:lang w:val="zh-CN"/>
        </w:rPr>
        <w:t>贯彻执行党和国家的路线方针政策和上级党委、政府各项决策部署，以及本级党员代表大会（党员大会）、人民代表大会的决议决定。</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2.</w:t>
      </w:r>
      <w:r>
        <w:rPr>
          <w:rFonts w:ascii="仿宋_GB2312" w:eastAsia="仿宋_GB2312" w:cs="仿宋" w:hint="eastAsia"/>
          <w:color w:val="000000"/>
          <w:kern w:val="0"/>
          <w:sz w:val="32"/>
          <w:szCs w:val="32"/>
          <w:lang w:val="zh-CN"/>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3.</w:t>
      </w:r>
      <w:r>
        <w:rPr>
          <w:rFonts w:ascii="仿宋_GB2312" w:eastAsia="仿宋_GB2312" w:cs="仿宋" w:hint="eastAsia"/>
          <w:color w:val="000000"/>
          <w:kern w:val="0"/>
          <w:sz w:val="32"/>
          <w:szCs w:val="32"/>
          <w:lang w:val="zh-CN"/>
        </w:rPr>
        <w:t>领导镇政权机关、群团组织和其他各类组织，加强指导和规范，支持和保证这些机关和组织依照国家法律法规以及各自章程履行职责。</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4.</w:t>
      </w:r>
      <w:r>
        <w:rPr>
          <w:rFonts w:ascii="仿宋_GB2312" w:eastAsia="仿宋_GB2312" w:cs="仿宋" w:hint="eastAsia"/>
          <w:color w:val="000000"/>
          <w:kern w:val="0"/>
          <w:sz w:val="32"/>
          <w:szCs w:val="32"/>
          <w:lang w:val="zh-CN"/>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ascii="仿宋_GB2312" w:eastAsia="仿宋_GB2312" w:cs="仿宋" w:hint="eastAsia"/>
          <w:color w:val="000000"/>
          <w:kern w:val="0"/>
          <w:sz w:val="32"/>
          <w:szCs w:val="32"/>
        </w:rPr>
        <w:t>,</w:t>
      </w:r>
      <w:r>
        <w:rPr>
          <w:rFonts w:ascii="仿宋_GB2312" w:eastAsia="仿宋_GB2312" w:cs="仿宋" w:hint="eastAsia"/>
          <w:color w:val="000000"/>
          <w:kern w:val="0"/>
          <w:sz w:val="32"/>
          <w:szCs w:val="32"/>
          <w:lang w:val="zh-CN"/>
        </w:rPr>
        <w:t>监督党员干部和其他工作人员严格遵守国家法律法规。</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5.</w:t>
      </w:r>
      <w:r>
        <w:rPr>
          <w:rFonts w:ascii="仿宋_GB2312" w:eastAsia="仿宋_GB2312" w:cs="仿宋" w:hint="eastAsia"/>
          <w:color w:val="000000"/>
          <w:kern w:val="0"/>
          <w:sz w:val="32"/>
          <w:szCs w:val="32"/>
          <w:lang w:val="zh-CN"/>
        </w:rPr>
        <w:t>按照干部管理权限，负责对干部的教育、培训、选拔、考核和监督工作。协助管理上级有关部门驻镇单位的干部。做好人才服务和引进工作。</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6.</w:t>
      </w:r>
      <w:r>
        <w:rPr>
          <w:rFonts w:ascii="仿宋_GB2312" w:eastAsia="仿宋_GB2312" w:cs="仿宋" w:hint="eastAsia"/>
          <w:color w:val="000000"/>
          <w:kern w:val="0"/>
          <w:sz w:val="32"/>
          <w:szCs w:val="32"/>
          <w:lang w:val="zh-CN"/>
        </w:rPr>
        <w:t>统筹区域发展。</w:t>
      </w:r>
      <w:r>
        <w:rPr>
          <w:rFonts w:ascii="仿宋_GB2312" w:eastAsia="仿宋_GB2312" w:cs="仿宋" w:hint="eastAsia"/>
          <w:color w:val="000000"/>
          <w:kern w:val="0"/>
          <w:sz w:val="32"/>
          <w:szCs w:val="32"/>
        </w:rPr>
        <w:t>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7.</w:t>
      </w:r>
      <w:r>
        <w:rPr>
          <w:rFonts w:ascii="仿宋_GB2312" w:eastAsia="仿宋_GB2312" w:cs="仿宋" w:hint="eastAsia"/>
          <w:color w:val="000000"/>
          <w:kern w:val="0"/>
          <w:sz w:val="32"/>
          <w:szCs w:val="32"/>
          <w:lang w:val="zh-CN"/>
        </w:rPr>
        <w:t>强化基层治理。负责本辖区社会治理，加强社会主义民主法治建设和精神文明建设，加快推进基层社会治理体系和治理能力现代化；指导村委会建设，健全自治平台，组织群众和单位参与村委会建设和管理。</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8.</w:t>
      </w:r>
      <w:r>
        <w:rPr>
          <w:rFonts w:ascii="仿宋_GB2312" w:eastAsia="仿宋_GB2312" w:cs="仿宋" w:hint="eastAsia"/>
          <w:color w:val="000000"/>
          <w:kern w:val="0"/>
          <w:sz w:val="32"/>
          <w:szCs w:val="32"/>
          <w:lang w:val="zh-CN"/>
        </w:rPr>
        <w:t>优化公共服务。推进服务型政府建设，组织实施并优化教育、卫生健康、文化、民政、社会保障、退役军人事务等各项公共服务。</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9.</w:t>
      </w:r>
      <w:r>
        <w:rPr>
          <w:rFonts w:ascii="仿宋_GB2312" w:eastAsia="仿宋_GB2312" w:cs="仿宋" w:hint="eastAsia"/>
          <w:color w:val="000000"/>
          <w:kern w:val="0"/>
          <w:sz w:val="32"/>
          <w:szCs w:val="32"/>
          <w:lang w:val="zh-CN"/>
        </w:rPr>
        <w:t>负责辖区范围内的应急管理、社会稳定、安全生产、生态环境保护、社会信用体系建设和审批服务便民化等工作。</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10.</w:t>
      </w:r>
      <w:r>
        <w:rPr>
          <w:rFonts w:ascii="仿宋_GB2312" w:eastAsia="仿宋_GB2312" w:cs="仿宋" w:hint="eastAsia"/>
          <w:color w:val="000000"/>
          <w:kern w:val="0"/>
          <w:sz w:val="32"/>
          <w:szCs w:val="32"/>
          <w:lang w:val="zh-CN"/>
        </w:rPr>
        <w:t>负责辖区农村经营管理体系建设工作。</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11.</w:t>
      </w:r>
      <w:r>
        <w:rPr>
          <w:rFonts w:ascii="仿宋_GB2312" w:eastAsia="仿宋_GB2312" w:cs="仿宋" w:hint="eastAsia"/>
          <w:color w:val="000000"/>
          <w:kern w:val="0"/>
          <w:sz w:val="32"/>
          <w:szCs w:val="32"/>
          <w:lang w:val="zh-CN"/>
        </w:rPr>
        <w:t>完成县委、县政府交办的其他任务。</w:t>
      </w:r>
    </w:p>
    <w:p>
      <w:pPr>
        <w:pStyle w:val="2"/>
        <w:spacing w:line="300" w:lineRule="exact"/>
        <w:rPr>
          <w:rFonts w:ascii="黑体" w:eastAsia="黑体" w:hint="eastAsia"/>
          <w:bCs w:val="0"/>
          <w:color w:val="000000"/>
        </w:rPr>
      </w:pPr>
      <w:bookmarkStart w:id="16" w:name="_Toc11616"/>
      <w:r>
        <w:rPr>
          <w:rFonts w:ascii="黑体" w:eastAsia="黑体" w:hint="eastAsia"/>
          <w:bCs w:val="0"/>
          <w:color w:val="000000"/>
        </w:rPr>
        <w:t>二、机构设置</w:t>
      </w:r>
      <w:bookmarkStart w:id="17" w:name="_Toc15377204"/>
      <w:bookmarkEnd w:id="14"/>
      <w:bookmarkEnd w:id="15"/>
      <w:bookmarkEnd w:id="16"/>
    </w:p>
    <w:p>
      <w:pPr>
        <w:pStyle w:val="2"/>
        <w:spacing w:line="300" w:lineRule="exact"/>
        <w:ind w:firstLineChars="200" w:firstLine="640"/>
        <w:rPr>
          <w:rFonts w:ascii="仿宋_GB2312" w:eastAsia="仿宋_GB2312" w:cs="仿宋_GB2312"/>
          <w:b/>
          <w:bCs/>
          <w:sz w:val="32"/>
          <w:szCs w:val="32"/>
          <w:lang w:val="zh-CN"/>
        </w:rPr>
      </w:pPr>
      <w:r>
        <w:rPr>
          <w:rFonts w:ascii="仿宋_GB2312" w:eastAsia="仿宋_GB2312" w:cs="仿宋_GB2312" w:hint="eastAsia"/>
          <w:b/>
          <w:bCs/>
          <w:sz w:val="32"/>
          <w:szCs w:val="32"/>
          <w:lang w:val="zh-CN"/>
        </w:rPr>
        <w:t>（一）机构组成</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lang w:val="zh-CN"/>
        </w:rPr>
        <w:t>茂县南新镇人民政府</w:t>
      </w:r>
      <w:r>
        <w:rPr>
          <w:rFonts w:ascii="仿宋_GB2312" w:eastAsia="仿宋_GB2312" w:cs="仿宋"/>
          <w:color w:val="000000"/>
          <w:kern w:val="0"/>
          <w:sz w:val="32"/>
          <w:szCs w:val="32"/>
          <w:lang w:val="zh-CN"/>
        </w:rPr>
        <w:t>下</w:t>
      </w:r>
      <w:r>
        <w:rPr>
          <w:rFonts w:ascii="仿宋_GB2312" w:eastAsia="仿宋_GB2312" w:cs="仿宋" w:hint="eastAsia"/>
          <w:color w:val="000000"/>
          <w:kern w:val="0"/>
          <w:sz w:val="32"/>
          <w:szCs w:val="32"/>
          <w:lang w:val="zh-CN"/>
        </w:rPr>
        <w:t>属</w:t>
      </w:r>
      <w:r>
        <w:rPr>
          <w:rFonts w:ascii="仿宋_GB2312" w:eastAsia="仿宋_GB2312" w:cs="仿宋"/>
          <w:color w:val="000000"/>
          <w:kern w:val="0"/>
          <w:sz w:val="32"/>
          <w:szCs w:val="32"/>
          <w:lang w:val="zh-CN"/>
        </w:rPr>
        <w:t>二</w:t>
      </w:r>
      <w:r>
        <w:rPr>
          <w:rFonts w:ascii="仿宋_GB2312" w:eastAsia="仿宋_GB2312" w:cs="仿宋" w:hint="eastAsia"/>
          <w:color w:val="000000"/>
          <w:kern w:val="0"/>
          <w:sz w:val="32"/>
          <w:szCs w:val="32"/>
          <w:lang w:val="zh-CN"/>
        </w:rPr>
        <w:t>级预算单位2</w:t>
      </w:r>
      <w:r>
        <w:rPr>
          <w:rFonts w:ascii="仿宋_GB2312" w:eastAsia="仿宋_GB2312" w:cs="仿宋"/>
          <w:color w:val="000000"/>
          <w:kern w:val="0"/>
          <w:sz w:val="32"/>
          <w:szCs w:val="32"/>
          <w:lang w:val="zh-CN"/>
        </w:rPr>
        <w:t>个</w:t>
      </w:r>
      <w:r>
        <w:rPr>
          <w:rFonts w:ascii="仿宋_GB2312" w:eastAsia="仿宋_GB2312" w:cs="仿宋" w:hint="eastAsia"/>
          <w:color w:val="000000"/>
          <w:kern w:val="0"/>
          <w:sz w:val="32"/>
          <w:szCs w:val="32"/>
          <w:lang w:val="zh-CN"/>
        </w:rPr>
        <w:t>，其中行政单位</w:t>
      </w:r>
      <w:r>
        <w:rPr>
          <w:rFonts w:ascii="仿宋_GB2312" w:eastAsia="仿宋_GB2312" w:cs="仿宋" w:hint="eastAsia"/>
          <w:color w:val="000000"/>
          <w:kern w:val="0"/>
          <w:sz w:val="32"/>
          <w:szCs w:val="32"/>
        </w:rPr>
        <w:t>1个，参照公务员法管理的事业单位0个，其他事业单位1个。</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纳入茂县南新镇人民政府202</w:t>
      </w:r>
      <w:r>
        <w:rPr>
          <w:rFonts w:ascii="仿宋_GB2312" w:eastAsia="仿宋_GB2312" w:cs="仿宋" w:hint="eastAsia"/>
          <w:color w:val="000000"/>
          <w:kern w:val="0"/>
          <w:sz w:val="32"/>
          <w:szCs w:val="32"/>
          <w:lang w:val="en-US" w:eastAsia="zh-CN"/>
        </w:rPr>
        <w:t>4</w:t>
      </w:r>
      <w:r>
        <w:rPr>
          <w:rFonts w:ascii="仿宋_GB2312" w:eastAsia="仿宋_GB2312" w:cs="仿宋" w:hint="eastAsia"/>
          <w:color w:val="000000"/>
          <w:kern w:val="0"/>
          <w:sz w:val="32"/>
          <w:szCs w:val="32"/>
        </w:rPr>
        <w:t>年度部门决算编制范围的二级预算单位包括：</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茂县南新镇</w:t>
      </w:r>
      <w:r>
        <w:rPr>
          <w:rFonts w:ascii="仿宋_GB2312" w:eastAsia="仿宋_GB2312" w:cs="仿宋"/>
          <w:color w:val="000000"/>
          <w:kern w:val="0"/>
          <w:sz w:val="32"/>
          <w:szCs w:val="32"/>
        </w:rPr>
        <w:t>人民政府（行政）</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茂县南新镇</w:t>
      </w:r>
      <w:r>
        <w:rPr>
          <w:rFonts w:ascii="仿宋_GB2312" w:eastAsia="仿宋_GB2312" w:cs="仿宋"/>
          <w:color w:val="000000"/>
          <w:kern w:val="0"/>
          <w:sz w:val="32"/>
          <w:szCs w:val="32"/>
        </w:rPr>
        <w:t>人民政府（事业）</w:t>
      </w:r>
    </w:p>
    <w:p>
      <w:pPr>
        <w:pStyle w:val="15"/>
      </w:pP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br w:type="page"/>
      </w:r>
    </w:p>
    <w:p>
      <w:pPr>
        <w:pStyle w:val="1"/>
        <w:jc w:val="center"/>
        <w:rPr>
          <w:rFonts w:ascii="黑体" w:eastAsia="黑体" w:cs="黑体"/>
        </w:rPr>
      </w:pPr>
      <w:bookmarkStart w:id="18" w:name="_Toc28568"/>
      <w:bookmarkStart w:id="19" w:name="_Toc111208498"/>
      <w:r>
        <w:rPr>
          <w:rFonts w:ascii="黑体" w:eastAsia="黑体" w:cs="黑体" w:hint="eastAsia"/>
        </w:rPr>
        <w:t>第二部分</w:t>
      </w:r>
      <w:r>
        <w:rPr>
          <w:rFonts w:ascii="黑体" w:eastAsia="黑体" w:cs="黑体"/>
        </w:rPr>
        <w:t xml:space="preserve"> </w:t>
      </w:r>
      <w:r>
        <w:rPr>
          <w:rFonts w:ascii="黑体" w:eastAsia="黑体" w:cs="黑体" w:hint="eastAsia"/>
        </w:rPr>
        <w:t>2</w:t>
      </w:r>
      <w:r>
        <w:rPr>
          <w:rFonts w:ascii="黑体" w:eastAsia="黑体" w:cs="黑体" w:hint="eastAsia"/>
          <w:b w:val="0"/>
          <w:bCs w:val="0"/>
        </w:rPr>
        <w:t>0</w:t>
      </w:r>
      <w:r>
        <w:rPr>
          <w:rFonts w:ascii="黑体" w:eastAsia="黑体" w:cs="黑体" w:hint="eastAsia"/>
        </w:rPr>
        <w:t>24</w:t>
      </w:r>
      <w:r>
        <w:rPr>
          <w:rFonts w:ascii="黑体" w:eastAsia="黑体" w:cs="黑体"/>
        </w:rPr>
        <w:t>年度部门决算情况说明</w:t>
      </w:r>
      <w:bookmarkStart w:id="20" w:name="_Toc15377205"/>
      <w:bookmarkStart w:id="21" w:name="_Toc111208499"/>
      <w:bookmarkEnd w:id="17"/>
      <w:bookmarkEnd w:id="18"/>
      <w:bookmarkEnd w:id="19"/>
    </w:p>
    <w:p>
      <w:pPr>
        <w:pStyle w:val="1"/>
        <w:spacing w:after="0" w:line="500" w:lineRule="exact"/>
        <w:ind w:firstLineChars="200" w:firstLine="880"/>
        <w:rPr>
          <w:rFonts w:ascii="黑体" w:eastAsia="黑体"/>
          <w:bCs w:val="0"/>
          <w:color w:val="000000"/>
        </w:rPr>
      </w:pPr>
      <w:bookmarkStart w:id="22" w:name="_Toc17942"/>
      <w:r>
        <w:rPr>
          <w:rFonts w:ascii="黑体" w:eastAsia="黑体" w:hint="eastAsia"/>
          <w:bCs w:val="0"/>
          <w:color w:val="000000"/>
        </w:rPr>
        <w:t>一、收入支出决算总体情况说</w:t>
      </w:r>
      <w:bookmarkEnd w:id="20"/>
      <w:r>
        <w:rPr>
          <w:rFonts w:ascii="黑体" w:eastAsia="黑体" w:hint="eastAsia"/>
          <w:bCs w:val="0"/>
          <w:color w:val="000000"/>
        </w:rPr>
        <w:t>明</w:t>
      </w:r>
      <w:bookmarkEnd w:id="21"/>
      <w:bookmarkEnd w:id="22"/>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2024年度收、支总计</w:t>
      </w:r>
      <w:r>
        <w:rPr>
          <w:rFonts w:ascii="仿宋_GB2312" w:eastAsia="仿宋_GB2312" w:cs="仿宋" w:hint="eastAsia"/>
          <w:color w:val="000000"/>
          <w:kern w:val="0"/>
          <w:sz w:val="32"/>
          <w:szCs w:val="32"/>
        </w:rPr>
        <w:t>1557.05</w:t>
      </w:r>
      <w:r>
        <w:rPr>
          <w:rFonts w:ascii="仿宋_GB2312" w:eastAsia="仿宋_GB2312" w:cs="仿宋" w:hint="eastAsia"/>
          <w:color w:val="000000"/>
          <w:kern w:val="0"/>
          <w:sz w:val="32"/>
          <w:szCs w:val="32"/>
          <w:lang w:val="zh-CN"/>
        </w:rPr>
        <w:t>万元。与2023年相比，收、支总计各增加</w:t>
      </w:r>
      <w:r>
        <w:rPr>
          <w:rFonts w:ascii="仿宋_GB2312" w:eastAsia="仿宋_GB2312" w:cs="仿宋" w:hint="eastAsia"/>
          <w:color w:val="000000"/>
          <w:kern w:val="0"/>
          <w:sz w:val="32"/>
          <w:szCs w:val="32"/>
        </w:rPr>
        <w:t>74.46</w:t>
      </w:r>
      <w:r>
        <w:rPr>
          <w:rFonts w:ascii="仿宋_GB2312" w:eastAsia="仿宋_GB2312" w:cs="仿宋" w:hint="eastAsia"/>
          <w:color w:val="000000"/>
          <w:kern w:val="0"/>
          <w:sz w:val="32"/>
          <w:szCs w:val="32"/>
          <w:lang w:val="zh-CN"/>
        </w:rPr>
        <w:t>万元，增加</w:t>
      </w:r>
      <w:r>
        <w:rPr>
          <w:rFonts w:ascii="仿宋_GB2312" w:eastAsia="仿宋_GB2312" w:cs="仿宋" w:hint="eastAsia"/>
          <w:color w:val="000000"/>
          <w:kern w:val="0"/>
          <w:sz w:val="32"/>
          <w:szCs w:val="32"/>
        </w:rPr>
        <w:t>5</w:t>
      </w:r>
      <w:r>
        <w:rPr>
          <w:rFonts w:ascii="仿宋_GB2312" w:eastAsia="仿宋_GB2312" w:cs="仿宋" w:hint="eastAsia"/>
          <w:color w:val="000000"/>
          <w:kern w:val="0"/>
          <w:sz w:val="32"/>
          <w:szCs w:val="32"/>
          <w:lang w:val="zh-CN"/>
        </w:rPr>
        <w:t>%。主要变动原因是：人员增加。</w:t>
      </w:r>
    </w:p>
    <w:p>
      <w:pPr>
        <w:pStyle w:val="16"/>
        <w:rPr>
          <w:highlight w:val="yellow"/>
        </w:rPr>
      </w:pPr>
      <w:r>
        <w:rPr>
          <w:rFonts w:eastAsia="仿宋" w:hint="eastAsia"/>
        </w:rPr>
        <w:drawing>
          <wp:inline distT="0" distB="0" distL="114300" distR="114300">
            <wp:extent cx="4883785" cy="2948940"/>
            <wp:effectExtent l="0" t="0" r="0" b="0"/>
            <wp:docPr id="1" name="图表 8"/>
            <wp:cNvGraphicFramePr>
              <a:graphicFrameLocks noChangeAspect="0"/>
            </wp:cNvGraphicFramePr>
            <a:graphic>
              <a:graphicData uri="http://schemas.openxmlformats.org/drawingml/2006/chart">
                <c:chart xmlns:c="http://schemas.openxmlformats.org/drawingml/2006/chart" r:id="rId4"/>
              </a:graphicData>
            </a:graphic>
          </wp:inline>
        </w:drawing>
      </w:r>
    </w:p>
    <w:p>
      <w:pPr>
        <w:pStyle w:val="2"/>
        <w:spacing w:after="0" w:line="300" w:lineRule="exact"/>
        <w:ind w:firstLineChars="200" w:firstLine="640"/>
        <w:rPr>
          <w:rFonts w:ascii="黑体" w:eastAsia="黑体"/>
          <w:bCs w:val="0"/>
          <w:color w:val="000000"/>
        </w:rPr>
      </w:pPr>
      <w:bookmarkStart w:id="23" w:name="_Toc111208500"/>
      <w:bookmarkStart w:id="24" w:name="_Toc15377206"/>
      <w:bookmarkStart w:id="25" w:name="_Toc24918"/>
      <w:r>
        <w:rPr>
          <w:rFonts w:ascii="黑体" w:eastAsia="黑体" w:hint="eastAsia"/>
          <w:bCs w:val="0"/>
          <w:color w:val="000000"/>
        </w:rPr>
        <w:t>二、收入决算情况说明</w:t>
      </w:r>
      <w:bookmarkEnd w:id="23"/>
      <w:bookmarkEnd w:id="24"/>
      <w:bookmarkEnd w:id="25"/>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2024年收入合计</w:t>
      </w:r>
      <w:r>
        <w:rPr>
          <w:rFonts w:ascii="仿宋_GB2312" w:eastAsia="仿宋_GB2312" w:cs="仿宋" w:hint="eastAsia"/>
          <w:color w:val="000000"/>
          <w:kern w:val="0"/>
          <w:sz w:val="32"/>
          <w:szCs w:val="32"/>
        </w:rPr>
        <w:t>1557.05</w:t>
      </w:r>
      <w:r>
        <w:rPr>
          <w:rFonts w:ascii="仿宋_GB2312" w:eastAsia="仿宋_GB2312" w:cs="仿宋" w:hint="eastAsia"/>
          <w:color w:val="000000"/>
          <w:kern w:val="0"/>
          <w:sz w:val="32"/>
          <w:szCs w:val="32"/>
          <w:lang w:val="zh-CN"/>
        </w:rPr>
        <w:t>万元，其中：一般公共预算财政拨款收入</w:t>
      </w:r>
      <w:r>
        <w:rPr>
          <w:rFonts w:ascii="仿宋_GB2312" w:eastAsia="仿宋_GB2312" w:cs="仿宋" w:hint="eastAsia"/>
          <w:color w:val="000000"/>
          <w:kern w:val="0"/>
          <w:sz w:val="32"/>
          <w:szCs w:val="32"/>
        </w:rPr>
        <w:t>1557.04</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99.99</w:t>
      </w:r>
      <w:r>
        <w:rPr>
          <w:rFonts w:ascii="仿宋_GB2312" w:eastAsia="仿宋_GB2312" w:cs="仿宋" w:hint="eastAsia"/>
          <w:color w:val="000000"/>
          <w:kern w:val="0"/>
          <w:sz w:val="32"/>
          <w:szCs w:val="32"/>
          <w:lang w:val="zh-CN"/>
        </w:rPr>
        <w:t>%；</w:t>
      </w:r>
      <w:r>
        <w:rPr>
          <w:rFonts w:ascii="仿宋_GB2312" w:eastAsia="仿宋_GB2312" w:cs="仿宋" w:hint="eastAsia"/>
          <w:color w:val="000000"/>
          <w:kern w:val="0"/>
          <w:sz w:val="32"/>
          <w:szCs w:val="32"/>
        </w:rPr>
        <w:t>政府性基金预算财政拨款收入0.01万元，</w:t>
      </w:r>
      <w:r>
        <w:rPr>
          <w:rFonts w:ascii="仿宋_GB2312" w:eastAsia="仿宋_GB2312" w:cs="仿宋" w:hint="eastAsia"/>
          <w:color w:val="000000"/>
          <w:kern w:val="0"/>
          <w:sz w:val="32"/>
          <w:szCs w:val="32"/>
          <w:lang w:val="zh-CN"/>
        </w:rPr>
        <w:t>占</w:t>
      </w:r>
      <w:r>
        <w:rPr>
          <w:rFonts w:ascii="仿宋_GB2312" w:eastAsia="仿宋_GB2312" w:cs="仿宋" w:hint="eastAsia"/>
          <w:color w:val="000000"/>
          <w:kern w:val="0"/>
          <w:sz w:val="32"/>
          <w:szCs w:val="32"/>
        </w:rPr>
        <w:t>0.01</w:t>
      </w:r>
      <w:r>
        <w:rPr>
          <w:rFonts w:ascii="仿宋_GB2312" w:eastAsia="仿宋_GB2312" w:cs="仿宋" w:hint="eastAsia"/>
          <w:color w:val="000000"/>
          <w:kern w:val="0"/>
          <w:sz w:val="32"/>
          <w:szCs w:val="32"/>
          <w:lang w:val="zh-CN"/>
        </w:rPr>
        <w:t>%。</w:t>
      </w:r>
    </w:p>
    <w:p>
      <w:pPr>
        <w:pStyle w:val="27"/>
        <w:jc w:val="center"/>
        <w:rPr>
          <w:highlight w:val="yellow"/>
        </w:rPr>
      </w:pPr>
      <w:r>
        <w:rPr>
          <w:rFonts w:ascii="仿宋_GB2312" w:eastAsia="仿宋_GB2312" w:hint="eastAsia"/>
          <w:color w:val="FF0000"/>
          <w:sz w:val="32"/>
          <w:szCs w:val="32"/>
        </w:rPr>
        <w:drawing>
          <wp:inline distT="0" distB="0" distL="114300" distR="114300">
            <wp:extent cx="4776470" cy="3217545"/>
            <wp:effectExtent l="0" t="0" r="0" b="0"/>
            <wp:docPr id="2" name="图表 2"/>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2"/>
        <w:spacing w:after="0" w:line="300" w:lineRule="exact"/>
        <w:ind w:firstLineChars="200" w:firstLine="640"/>
        <w:rPr>
          <w:rFonts w:ascii="黑体" w:eastAsia="黑体"/>
          <w:bCs w:val="0"/>
          <w:color w:val="000000"/>
        </w:rPr>
      </w:pPr>
      <w:bookmarkStart w:id="26" w:name="_Toc111208501"/>
      <w:bookmarkStart w:id="27" w:name="_Toc4318"/>
      <w:bookmarkStart w:id="28" w:name="_Toc15377207"/>
      <w:r>
        <w:rPr>
          <w:rFonts w:ascii="黑体" w:eastAsia="黑体" w:hint="eastAsia"/>
          <w:bCs w:val="0"/>
          <w:color w:val="000000"/>
        </w:rPr>
        <w:t>三、支出决算情况说明</w:t>
      </w:r>
      <w:bookmarkEnd w:id="26"/>
      <w:bookmarkEnd w:id="27"/>
      <w:bookmarkEnd w:id="28"/>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2024年支出合计</w:t>
      </w:r>
      <w:r>
        <w:rPr>
          <w:rFonts w:ascii="仿宋_GB2312" w:eastAsia="仿宋_GB2312" w:cs="仿宋" w:hint="eastAsia"/>
          <w:color w:val="000000"/>
          <w:kern w:val="0"/>
          <w:sz w:val="32"/>
          <w:szCs w:val="32"/>
        </w:rPr>
        <w:t>1557.05</w:t>
      </w:r>
      <w:r>
        <w:rPr>
          <w:rFonts w:ascii="仿宋_GB2312" w:eastAsia="仿宋_GB2312" w:cs="仿宋" w:hint="eastAsia"/>
          <w:color w:val="000000"/>
          <w:kern w:val="0"/>
          <w:sz w:val="32"/>
          <w:szCs w:val="32"/>
          <w:lang w:val="zh-CN"/>
        </w:rPr>
        <w:t>万元，其中：基本支出</w:t>
      </w:r>
      <w:r>
        <w:rPr>
          <w:rFonts w:ascii="仿宋_GB2312" w:eastAsia="仿宋_GB2312" w:cs="仿宋" w:hint="eastAsia"/>
          <w:color w:val="000000"/>
          <w:kern w:val="0"/>
          <w:sz w:val="32"/>
          <w:szCs w:val="32"/>
        </w:rPr>
        <w:t>1，003.34</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64.4</w:t>
      </w:r>
      <w:r>
        <w:rPr>
          <w:rFonts w:ascii="仿宋_GB2312" w:eastAsia="仿宋_GB2312" w:cs="仿宋" w:hint="eastAsia"/>
          <w:color w:val="000000"/>
          <w:kern w:val="0"/>
          <w:sz w:val="32"/>
          <w:szCs w:val="32"/>
          <w:lang w:val="zh-CN"/>
        </w:rPr>
        <w:t>%；项目支出</w:t>
      </w:r>
      <w:r>
        <w:rPr>
          <w:rFonts w:ascii="仿宋_GB2312" w:eastAsia="仿宋_GB2312" w:cs="仿宋" w:hint="eastAsia"/>
          <w:color w:val="000000"/>
          <w:kern w:val="0"/>
          <w:sz w:val="32"/>
          <w:szCs w:val="32"/>
        </w:rPr>
        <w:t>553.71</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35.6</w:t>
      </w:r>
      <w:r>
        <w:rPr>
          <w:rFonts w:ascii="仿宋_GB2312" w:eastAsia="仿宋_GB2312" w:cs="仿宋" w:hint="eastAsia"/>
          <w:color w:val="000000"/>
          <w:kern w:val="0"/>
          <w:sz w:val="32"/>
          <w:szCs w:val="32"/>
          <w:lang w:val="zh-CN"/>
        </w:rPr>
        <w:t>%。</w:t>
      </w:r>
    </w:p>
    <w:p>
      <w:pPr>
        <w:jc w:val="center"/>
        <w:rPr>
          <w:rFonts w:ascii="仿宋_GB2312" w:eastAsia="仿宋_GB2312"/>
          <w:color w:val="FF0000"/>
          <w:sz w:val="32"/>
          <w:szCs w:val="32"/>
          <w:highlight w:val="yellow"/>
        </w:rPr>
      </w:pPr>
      <w:r>
        <w:rPr>
          <w:rFonts w:ascii="仿宋" w:eastAsia="仿宋" w:hint="eastAsia"/>
          <w:sz w:val="32"/>
          <w:szCs w:val="32"/>
          <w:shd w:val="pct10" w:color="auto" w:fill="FFFFFF"/>
        </w:rPr>
        <w:drawing>
          <wp:inline distT="0" distB="0" distL="114300" distR="114300">
            <wp:extent cx="5256530" cy="2988310"/>
            <wp:effectExtent l="0" t="0" r="0" b="0"/>
            <wp:docPr id="3" name="图表 10"/>
            <wp:cNvGraphicFramePr>
              <a:graphicFrameLocks noChangeAspect="0"/>
            </wp:cNvGraphicFramePr>
            <a:graphic>
              <a:graphicData uri="http://schemas.openxmlformats.org/drawingml/2006/chart">
                <c:chart xmlns:c="http://schemas.openxmlformats.org/drawingml/2006/chart" r:id="rId6"/>
              </a:graphicData>
            </a:graphic>
          </wp:inline>
        </w:drawing>
      </w:r>
    </w:p>
    <w:p>
      <w:pPr>
        <w:pStyle w:val="16"/>
        <w:rPr>
          <w:highlight w:val="yellow"/>
        </w:rPr>
      </w:pPr>
    </w:p>
    <w:p>
      <w:pPr>
        <w:pStyle w:val="2"/>
        <w:spacing w:after="0" w:line="300" w:lineRule="exact"/>
        <w:ind w:firstLineChars="200" w:firstLine="640"/>
        <w:rPr>
          <w:rFonts w:ascii="黑体" w:eastAsia="黑体"/>
          <w:bCs w:val="0"/>
          <w:color w:val="000000"/>
        </w:rPr>
      </w:pPr>
      <w:bookmarkStart w:id="29" w:name="_Toc111208502"/>
      <w:bookmarkStart w:id="30" w:name="_Toc9763"/>
      <w:bookmarkStart w:id="31" w:name="_Toc15377208"/>
      <w:r>
        <w:rPr>
          <w:rFonts w:ascii="黑体" w:eastAsia="黑体" w:hint="eastAsia"/>
          <w:bCs w:val="0"/>
          <w:color w:val="000000"/>
        </w:rPr>
        <w:t>四、财政拨款收入支出决算总体情况说明</w:t>
      </w:r>
      <w:bookmarkEnd w:id="29"/>
      <w:bookmarkEnd w:id="30"/>
      <w:bookmarkEnd w:id="31"/>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2024年财政拨款收、支总计</w:t>
      </w:r>
      <w:r>
        <w:rPr>
          <w:rFonts w:ascii="仿宋_GB2312" w:eastAsia="仿宋_GB2312" w:cs="仿宋" w:hint="eastAsia"/>
          <w:color w:val="000000"/>
          <w:kern w:val="0"/>
          <w:sz w:val="32"/>
          <w:szCs w:val="32"/>
        </w:rPr>
        <w:t>1557.05</w:t>
      </w:r>
      <w:r>
        <w:rPr>
          <w:rFonts w:ascii="仿宋_GB2312" w:eastAsia="仿宋_GB2312" w:cs="仿宋" w:hint="eastAsia"/>
          <w:color w:val="000000"/>
          <w:kern w:val="0"/>
          <w:sz w:val="32"/>
          <w:szCs w:val="32"/>
          <w:lang w:val="zh-CN"/>
        </w:rPr>
        <w:t>万元。与2023年相比，财政拨款收、支总计各增加</w:t>
      </w:r>
      <w:r>
        <w:rPr>
          <w:rFonts w:ascii="仿宋_GB2312" w:eastAsia="仿宋_GB2312" w:cs="仿宋" w:hint="eastAsia"/>
          <w:color w:val="000000"/>
          <w:kern w:val="0"/>
          <w:sz w:val="32"/>
          <w:szCs w:val="32"/>
        </w:rPr>
        <w:t>74.46</w:t>
      </w:r>
      <w:r>
        <w:rPr>
          <w:rFonts w:ascii="仿宋_GB2312" w:eastAsia="仿宋_GB2312" w:cs="仿宋" w:hint="eastAsia"/>
          <w:color w:val="000000"/>
          <w:kern w:val="0"/>
          <w:sz w:val="32"/>
          <w:szCs w:val="32"/>
          <w:lang w:val="zh-CN"/>
        </w:rPr>
        <w:t>万元，增加</w:t>
      </w:r>
      <w:r>
        <w:rPr>
          <w:rFonts w:ascii="仿宋_GB2312" w:eastAsia="仿宋_GB2312" w:cs="仿宋" w:hint="eastAsia"/>
          <w:color w:val="000000"/>
          <w:kern w:val="0"/>
          <w:sz w:val="32"/>
          <w:szCs w:val="32"/>
        </w:rPr>
        <w:t>5</w:t>
      </w:r>
      <w:r>
        <w:rPr>
          <w:rFonts w:ascii="仿宋_GB2312" w:eastAsia="仿宋_GB2312" w:cs="仿宋" w:hint="eastAsia"/>
          <w:color w:val="000000"/>
          <w:kern w:val="0"/>
          <w:sz w:val="32"/>
          <w:szCs w:val="32"/>
          <w:lang w:val="zh-CN"/>
        </w:rPr>
        <w:t>%。主要变动原因是：人员增加。</w:t>
      </w:r>
    </w:p>
    <w:p>
      <w:pPr>
        <w:pStyle w:val="16"/>
        <w:ind w:firstLine="0"/>
      </w:pPr>
    </w:p>
    <w:p>
      <w:pPr>
        <w:pStyle w:val="16"/>
        <w:jc w:val="left"/>
      </w:pPr>
      <w:r>
        <w:rPr>
          <w:rFonts w:eastAsia="仿宋" w:hint="eastAsia"/>
        </w:rPr>
        <w:drawing>
          <wp:inline distT="0" distB="0" distL="114300" distR="114300">
            <wp:extent cx="5010150" cy="2964815"/>
            <wp:effectExtent l="0" t="0" r="0" b="0"/>
            <wp:docPr id="4" name="图表 12"/>
            <wp:cNvGraphicFramePr>
              <a:graphicFrameLocks noChangeAspect="0"/>
            </wp:cNvGraphicFramePr>
            <a:graphic>
              <a:graphicData uri="http://schemas.openxmlformats.org/drawingml/2006/chart">
                <c:chart xmlns:c="http://schemas.openxmlformats.org/drawingml/2006/chart" r:id="rId7"/>
              </a:graphicData>
            </a:graphic>
          </wp:inline>
        </w:drawing>
      </w:r>
    </w:p>
    <w:p>
      <w:pPr>
        <w:pStyle w:val="16"/>
        <w:jc w:val="center"/>
        <w:rPr>
          <w:highlight w:val="yellow"/>
        </w:rPr>
      </w:pPr>
    </w:p>
    <w:p>
      <w:pPr>
        <w:pStyle w:val="2"/>
        <w:spacing w:after="0" w:line="300" w:lineRule="exact"/>
        <w:ind w:firstLineChars="200" w:firstLine="640"/>
        <w:rPr>
          <w:rFonts w:ascii="黑体" w:eastAsia="黑体"/>
          <w:bCs w:val="0"/>
          <w:color w:val="000000"/>
        </w:rPr>
      </w:pPr>
      <w:bookmarkStart w:id="32" w:name="_Toc15377209"/>
      <w:bookmarkStart w:id="33" w:name="_Toc17322"/>
      <w:bookmarkStart w:id="34" w:name="_Toc111208503"/>
      <w:r>
        <w:rPr>
          <w:rFonts w:ascii="黑体" w:eastAsia="黑体" w:hint="eastAsia"/>
          <w:bCs w:val="0"/>
          <w:color w:val="000000"/>
        </w:rPr>
        <w:t>五、一般公共预算财政拨款支出决算情况说</w:t>
      </w:r>
      <w:bookmarkEnd w:id="32"/>
      <w:r>
        <w:rPr>
          <w:rFonts w:ascii="黑体" w:eastAsia="黑体" w:hint="eastAsia"/>
          <w:bCs w:val="0"/>
          <w:color w:val="000000"/>
        </w:rPr>
        <w:t>明</w:t>
      </w:r>
      <w:bookmarkEnd w:id="33"/>
      <w:bookmarkEnd w:id="34"/>
    </w:p>
    <w:p>
      <w:pPr>
        <w:spacing w:line="600" w:lineRule="exact"/>
        <w:ind w:firstLineChars="200" w:firstLine="640"/>
        <w:outlineLvl w:val="2"/>
        <w:rPr>
          <w:rFonts w:ascii="仿宋" w:eastAsia="仿宋"/>
          <w:b/>
          <w:color w:val="000000"/>
          <w:sz w:val="32"/>
          <w:szCs w:val="32"/>
        </w:rPr>
      </w:pPr>
      <w:bookmarkStart w:id="35" w:name="_Toc15377210"/>
      <w:r>
        <w:rPr>
          <w:rFonts w:ascii="仿宋" w:eastAsia="仿宋" w:hint="eastAsia"/>
          <w:b/>
          <w:color w:val="000000"/>
          <w:sz w:val="32"/>
          <w:szCs w:val="32"/>
        </w:rPr>
        <w:t>（一）一般公共预算财政拨款支出决算总体情况</w:t>
      </w:r>
      <w:bookmarkEnd w:id="35"/>
    </w:p>
    <w:p>
      <w:pPr>
        <w:spacing w:line="14" w:lineRule="auto"/>
        <w:ind w:firstLineChars="200" w:firstLine="640"/>
        <w:rPr>
          <w:rFonts w:ascii="仿宋_GB2312" w:eastAsia="仿宋_GB2312" w:cs="仿宋"/>
          <w:color w:val="000000"/>
          <w:kern w:val="0"/>
          <w:sz w:val="32"/>
          <w:szCs w:val="32"/>
          <w:lang w:val="zh-CN"/>
        </w:rPr>
      </w:pPr>
      <w:bookmarkStart w:id="36" w:name="_Toc15377211"/>
      <w:r>
        <w:rPr>
          <w:rFonts w:ascii="仿宋_GB2312" w:eastAsia="仿宋_GB2312" w:cs="仿宋" w:hint="eastAsia"/>
          <w:color w:val="000000"/>
          <w:kern w:val="0"/>
          <w:sz w:val="32"/>
          <w:szCs w:val="32"/>
          <w:lang w:val="zh-CN"/>
        </w:rPr>
        <w:t>2024年一般公共预算财政拨款支出</w:t>
      </w:r>
      <w:r>
        <w:rPr>
          <w:rFonts w:ascii="仿宋_GB2312" w:eastAsia="仿宋_GB2312" w:cs="仿宋" w:hint="eastAsia"/>
          <w:color w:val="000000"/>
          <w:kern w:val="0"/>
          <w:sz w:val="32"/>
          <w:szCs w:val="32"/>
        </w:rPr>
        <w:t>1557.04</w:t>
      </w:r>
      <w:r>
        <w:rPr>
          <w:rFonts w:ascii="仿宋_GB2312" w:eastAsia="仿宋_GB2312" w:cs="仿宋" w:hint="eastAsia"/>
          <w:color w:val="000000"/>
          <w:kern w:val="0"/>
          <w:sz w:val="32"/>
          <w:szCs w:val="32"/>
          <w:lang w:val="zh-CN"/>
        </w:rPr>
        <w:t>万元，占本年支出合计的</w:t>
      </w:r>
      <w:r>
        <w:rPr>
          <w:rFonts w:ascii="仿宋_GB2312" w:eastAsia="仿宋_GB2312" w:cs="仿宋" w:hint="eastAsia"/>
          <w:color w:val="000000"/>
          <w:kern w:val="0"/>
          <w:sz w:val="32"/>
          <w:szCs w:val="32"/>
        </w:rPr>
        <w:t>99.99</w:t>
      </w:r>
      <w:r>
        <w:rPr>
          <w:rFonts w:ascii="仿宋_GB2312" w:eastAsia="仿宋_GB2312" w:cs="仿宋" w:hint="eastAsia"/>
          <w:color w:val="000000"/>
          <w:kern w:val="0"/>
          <w:sz w:val="32"/>
          <w:szCs w:val="32"/>
          <w:lang w:val="zh-CN"/>
        </w:rPr>
        <w:t>%。与2023相比，一般公共预算财政拨款增加</w:t>
      </w:r>
      <w:r>
        <w:rPr>
          <w:rFonts w:ascii="仿宋_GB2312" w:eastAsia="仿宋_GB2312" w:cs="仿宋" w:hint="eastAsia"/>
          <w:color w:val="000000"/>
          <w:kern w:val="0"/>
          <w:sz w:val="32"/>
          <w:szCs w:val="32"/>
        </w:rPr>
        <w:t>111.2</w:t>
      </w:r>
      <w:r>
        <w:rPr>
          <w:rFonts w:ascii="仿宋_GB2312" w:eastAsia="仿宋_GB2312" w:cs="仿宋" w:hint="eastAsia"/>
          <w:color w:val="000000"/>
          <w:kern w:val="0"/>
          <w:sz w:val="32"/>
          <w:szCs w:val="32"/>
          <w:lang w:val="en-US" w:eastAsia="zh-CN"/>
        </w:rPr>
        <w:t>0</w:t>
      </w:r>
      <w:r>
        <w:rPr>
          <w:rFonts w:ascii="仿宋_GB2312" w:eastAsia="仿宋_GB2312" w:cs="仿宋" w:hint="eastAsia"/>
          <w:color w:val="000000"/>
          <w:kern w:val="0"/>
          <w:sz w:val="32"/>
          <w:szCs w:val="32"/>
          <w:lang w:val="zh-CN"/>
        </w:rPr>
        <w:t>万元，增加</w:t>
      </w:r>
      <w:r>
        <w:rPr>
          <w:rFonts w:ascii="仿宋_GB2312" w:eastAsia="仿宋_GB2312" w:cs="仿宋" w:hint="eastAsia"/>
          <w:color w:val="000000"/>
          <w:kern w:val="0"/>
          <w:sz w:val="32"/>
          <w:szCs w:val="32"/>
        </w:rPr>
        <w:t>7.7</w:t>
      </w:r>
      <w:r>
        <w:rPr>
          <w:rFonts w:ascii="仿宋_GB2312" w:eastAsia="仿宋_GB2312" w:cs="仿宋" w:hint="eastAsia"/>
          <w:color w:val="000000"/>
          <w:kern w:val="0"/>
          <w:sz w:val="32"/>
          <w:szCs w:val="32"/>
          <w:lang w:val="zh-CN"/>
        </w:rPr>
        <w:t>%。主要变动原因是：人员增加。</w:t>
      </w:r>
    </w:p>
    <w:p>
      <w:pPr>
        <w:pStyle w:val="16"/>
        <w:ind w:firstLine="0"/>
        <w:rPr>
          <w:rFonts w:ascii="仿宋_GB2312" w:eastAsia="仿宋_GB2312"/>
          <w:b/>
          <w:color w:val="000000"/>
          <w:sz w:val="32"/>
          <w:szCs w:val="32"/>
        </w:rPr>
      </w:pPr>
      <w:r>
        <w:rPr>
          <w:rFonts w:eastAsia="仿宋" w:hint="eastAsia"/>
        </w:rPr>
        <w:drawing>
          <wp:inline distT="0" distB="0" distL="114300" distR="114300">
            <wp:extent cx="5256530" cy="2988310"/>
            <wp:effectExtent l="0" t="0" r="0" b="0"/>
            <wp:docPr id="5" name="图表 1"/>
            <wp:cNvGraphicFramePr>
              <a:graphicFrameLocks noChangeAspect="0"/>
            </wp:cNvGraphicFramePr>
            <a:graphic>
              <a:graphicData uri="http://schemas.openxmlformats.org/drawingml/2006/chart">
                <c:chart xmlns:c="http://schemas.openxmlformats.org/drawingml/2006/chart" r:id="rId8"/>
              </a:graphicData>
            </a:graphic>
          </wp:inline>
        </w:drawing>
      </w:r>
    </w:p>
    <w:p>
      <w:pPr>
        <w:pStyle w:val="16"/>
        <w:ind w:firstLine="0"/>
        <w:rPr>
          <w:rFonts w:ascii="仿宋_GB2312" w:eastAsia="仿宋_GB2312"/>
          <w:b/>
          <w:color w:val="000000"/>
          <w:sz w:val="32"/>
          <w:szCs w:val="32"/>
        </w:rPr>
      </w:pP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（二）一般公共预算财政拨款支出决算结构情况</w:t>
      </w:r>
      <w:bookmarkEnd w:id="36"/>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2024年一般公共预算财政拨款支出</w:t>
      </w:r>
      <w:r>
        <w:rPr>
          <w:rFonts w:ascii="仿宋_GB2312" w:eastAsia="仿宋_GB2312" w:cs="仿宋" w:hint="eastAsia"/>
          <w:color w:val="000000"/>
          <w:kern w:val="0"/>
          <w:sz w:val="32"/>
          <w:szCs w:val="32"/>
        </w:rPr>
        <w:t>1557.04</w:t>
      </w:r>
      <w:r>
        <w:rPr>
          <w:rFonts w:ascii="仿宋_GB2312" w:eastAsia="仿宋_GB2312" w:cs="仿宋" w:hint="eastAsia"/>
          <w:color w:val="000000"/>
          <w:kern w:val="0"/>
          <w:sz w:val="32"/>
          <w:szCs w:val="32"/>
          <w:lang w:val="zh-CN"/>
        </w:rPr>
        <w:t>万元，主要用于以下方面:一般公共服务支出</w:t>
      </w:r>
      <w:r>
        <w:rPr>
          <w:rFonts w:ascii="仿宋_GB2312" w:eastAsia="仿宋_GB2312" w:cs="仿宋" w:hint="eastAsia"/>
          <w:color w:val="000000"/>
          <w:kern w:val="0"/>
          <w:sz w:val="32"/>
          <w:szCs w:val="32"/>
        </w:rPr>
        <w:t>541.36</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34.8</w:t>
      </w:r>
      <w:r>
        <w:rPr>
          <w:rFonts w:ascii="仿宋_GB2312" w:eastAsia="仿宋_GB2312" w:cs="仿宋" w:hint="eastAsia"/>
          <w:color w:val="000000"/>
          <w:kern w:val="0"/>
          <w:sz w:val="32"/>
          <w:szCs w:val="32"/>
          <w:lang w:val="zh-CN"/>
        </w:rPr>
        <w:t>%；</w:t>
      </w:r>
      <w:r>
        <w:rPr>
          <w:rFonts w:ascii="仿宋_GB2312" w:eastAsia="仿宋_GB2312" w:cs="仿宋" w:hint="eastAsia"/>
          <w:color w:val="000000"/>
          <w:kern w:val="0"/>
          <w:sz w:val="32"/>
          <w:szCs w:val="32"/>
        </w:rPr>
        <w:t>文化旅游体育与传媒支出1</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rPr>
        <w:t>万元，占0.1%；</w:t>
      </w:r>
      <w:r>
        <w:rPr>
          <w:rFonts w:ascii="仿宋_GB2312" w:eastAsia="仿宋_GB2312" w:cs="仿宋" w:hint="eastAsia"/>
          <w:color w:val="000000"/>
          <w:kern w:val="0"/>
          <w:sz w:val="32"/>
          <w:szCs w:val="32"/>
          <w:lang w:val="zh-CN"/>
        </w:rPr>
        <w:t>社会保障和就业支出</w:t>
      </w:r>
      <w:r>
        <w:rPr>
          <w:rFonts w:ascii="仿宋_GB2312" w:eastAsia="仿宋_GB2312" w:cs="仿宋" w:hint="eastAsia"/>
          <w:color w:val="000000"/>
          <w:kern w:val="0"/>
          <w:sz w:val="32"/>
          <w:szCs w:val="32"/>
        </w:rPr>
        <w:t>139.1</w:t>
      </w:r>
      <w:r>
        <w:rPr>
          <w:rFonts w:ascii="仿宋_GB2312" w:eastAsia="仿宋_GB2312" w:cs="仿宋" w:hint="eastAsia"/>
          <w:color w:val="000000"/>
          <w:kern w:val="0"/>
          <w:sz w:val="32"/>
          <w:szCs w:val="32"/>
          <w:lang w:val="en-US" w:eastAsia="zh-CN"/>
        </w:rPr>
        <w:t>0</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8.9</w:t>
      </w:r>
      <w:r>
        <w:rPr>
          <w:rFonts w:ascii="仿宋_GB2312" w:eastAsia="仿宋_GB2312" w:cs="仿宋" w:hint="eastAsia"/>
          <w:color w:val="000000"/>
          <w:kern w:val="0"/>
          <w:sz w:val="32"/>
          <w:szCs w:val="32"/>
          <w:lang w:val="zh-CN"/>
        </w:rPr>
        <w:t>%；卫生健康支出</w:t>
      </w:r>
      <w:r>
        <w:rPr>
          <w:rFonts w:ascii="仿宋_GB2312" w:eastAsia="仿宋_GB2312" w:cs="仿宋" w:hint="eastAsia"/>
          <w:color w:val="000000"/>
          <w:kern w:val="0"/>
          <w:sz w:val="32"/>
          <w:szCs w:val="32"/>
        </w:rPr>
        <w:t>56.46</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3.6</w:t>
      </w:r>
      <w:r>
        <w:rPr>
          <w:rFonts w:ascii="仿宋_GB2312" w:eastAsia="仿宋_GB2312" w:cs="仿宋" w:hint="eastAsia"/>
          <w:color w:val="000000"/>
          <w:kern w:val="0"/>
          <w:sz w:val="32"/>
          <w:szCs w:val="32"/>
          <w:lang w:val="zh-CN"/>
        </w:rPr>
        <w:t>%；农林水支出</w:t>
      </w:r>
      <w:r>
        <w:rPr>
          <w:rFonts w:ascii="仿宋_GB2312" w:eastAsia="仿宋_GB2312" w:cs="仿宋" w:hint="eastAsia"/>
          <w:color w:val="000000"/>
          <w:kern w:val="0"/>
          <w:sz w:val="32"/>
          <w:szCs w:val="32"/>
        </w:rPr>
        <w:t>734.08</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47.2</w:t>
      </w:r>
      <w:r>
        <w:rPr>
          <w:rFonts w:ascii="仿宋_GB2312" w:eastAsia="仿宋_GB2312" w:cs="仿宋" w:hint="eastAsia"/>
          <w:color w:val="000000"/>
          <w:kern w:val="0"/>
          <w:sz w:val="32"/>
          <w:szCs w:val="32"/>
          <w:lang w:val="zh-CN"/>
        </w:rPr>
        <w:t>%；住房保障支出</w:t>
      </w:r>
      <w:r>
        <w:rPr>
          <w:rFonts w:ascii="仿宋_GB2312" w:eastAsia="仿宋_GB2312" w:cs="仿宋" w:hint="eastAsia"/>
          <w:color w:val="000000"/>
          <w:kern w:val="0"/>
          <w:sz w:val="32"/>
          <w:szCs w:val="32"/>
        </w:rPr>
        <w:t>75.05</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4.8</w:t>
      </w:r>
      <w:r>
        <w:rPr>
          <w:rFonts w:ascii="仿宋_GB2312" w:eastAsia="仿宋_GB2312" w:cs="仿宋" w:hint="eastAsia"/>
          <w:color w:val="000000"/>
          <w:kern w:val="0"/>
          <w:sz w:val="32"/>
          <w:szCs w:val="32"/>
          <w:lang w:val="zh-CN"/>
        </w:rPr>
        <w:t>%</w:t>
      </w:r>
      <w:r>
        <w:rPr>
          <w:rFonts w:ascii="仿宋_GB2312" w:eastAsia="仿宋_GB2312" w:cs="仿宋" w:hint="eastAsia"/>
          <w:color w:val="000000"/>
          <w:kern w:val="0"/>
          <w:sz w:val="32"/>
          <w:szCs w:val="32"/>
        </w:rPr>
        <w:t>;灾害防治及应急管理支出10</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rPr>
        <w:t>万元，占0.6%</w:t>
      </w:r>
      <w:r>
        <w:rPr>
          <w:rFonts w:ascii="仿宋_GB2312" w:eastAsia="仿宋_GB2312" w:cs="仿宋" w:hint="eastAsia"/>
          <w:color w:val="000000"/>
          <w:kern w:val="0"/>
          <w:sz w:val="32"/>
          <w:szCs w:val="32"/>
          <w:lang w:val="zh-CN"/>
        </w:rPr>
        <w:t>。</w:t>
      </w:r>
    </w:p>
    <w:p>
      <w:pPr>
        <w:pStyle w:val="16"/>
        <w:rPr>
          <w:highlight w:val="yellow"/>
        </w:rPr>
      </w:pPr>
      <w:bookmarkStart w:id="37" w:name="_Toc15377212"/>
      <w:r>
        <w:rPr>
          <w:rFonts w:ascii="仿宋" w:eastAsia="仿宋" w:hint="eastAsia"/>
          <w:sz w:val="32"/>
          <w:szCs w:val="32"/>
        </w:rPr>
        <w:drawing>
          <wp:inline distT="0" distB="0" distL="114300" distR="114300">
            <wp:extent cx="4709795" cy="2915920"/>
            <wp:effectExtent l="0" t="0" r="0" b="0"/>
            <wp:docPr id="6" name="图表 15"/>
            <wp:cNvGraphicFramePr>
              <a:graphicFrameLocks noChangeAspect="0"/>
            </wp:cNvGraphicFramePr>
            <a:graphic>
              <a:graphicData uri="http://schemas.openxmlformats.org/drawingml/2006/chart">
                <c:chart xmlns:c="http://schemas.openxmlformats.org/drawingml/2006/chart" r:id="rId9"/>
              </a:graphicData>
            </a:graphic>
          </wp:inline>
        </w:drawing>
      </w: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（三）一般公共预算财政拨款支出决算具体情况</w:t>
      </w:r>
      <w:bookmarkEnd w:id="37"/>
    </w:p>
    <w:p>
      <w:pPr>
        <w:spacing w:line="14" w:lineRule="auto"/>
        <w:ind w:firstLineChars="200" w:firstLine="640"/>
        <w:rPr>
          <w:rFonts w:ascii="仿宋_GB2312" w:eastAsia="仿宋_GB2312" w:cs="仿宋"/>
          <w:color w:val="000000"/>
          <w:kern w:val="0"/>
          <w:sz w:val="32"/>
          <w:szCs w:val="32"/>
          <w:lang w:val="zh-CN"/>
        </w:rPr>
      </w:pPr>
      <w:bookmarkStart w:id="38" w:name="_Toc15377213"/>
      <w:bookmarkStart w:id="39" w:name="_Toc15377444"/>
      <w:bookmarkStart w:id="40" w:name="_Toc15378460"/>
      <w:r>
        <w:rPr>
          <w:rFonts w:ascii="仿宋_GB2312" w:eastAsia="仿宋_GB2312" w:cs="仿宋" w:hint="eastAsia"/>
          <w:color w:val="000000"/>
          <w:kern w:val="0"/>
          <w:sz w:val="32"/>
          <w:szCs w:val="32"/>
          <w:lang w:val="zh-CN"/>
        </w:rPr>
        <w:t>2</w:t>
      </w:r>
      <w:r>
        <w:rPr>
          <w:rFonts w:ascii="仿宋_GB2312" w:eastAsia="仿宋_GB2312" w:cs="仿宋" w:hint="eastAsia"/>
          <w:kern w:val="0"/>
          <w:sz w:val="32"/>
          <w:szCs w:val="32"/>
          <w:lang w:val="zh-CN"/>
        </w:rPr>
        <w:t>0</w:t>
      </w:r>
      <w:r>
        <w:rPr>
          <w:rFonts w:ascii="仿宋_GB2312" w:eastAsia="仿宋_GB2312" w:cs="仿宋" w:hint="eastAsia"/>
          <w:color w:val="000000"/>
          <w:kern w:val="0"/>
          <w:sz w:val="32"/>
          <w:szCs w:val="32"/>
          <w:lang w:val="zh-CN"/>
        </w:rPr>
        <w:t>24年一般公共预算支出决算数为</w:t>
      </w:r>
      <w:r>
        <w:rPr>
          <w:rFonts w:ascii="仿宋_GB2312" w:eastAsia="仿宋_GB2312" w:cs="仿宋" w:hint="eastAsia"/>
          <w:color w:val="000000"/>
          <w:kern w:val="0"/>
          <w:sz w:val="32"/>
          <w:szCs w:val="32"/>
        </w:rPr>
        <w:t>1557.</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4</w:t>
      </w:r>
      <w:r>
        <w:rPr>
          <w:rFonts w:ascii="仿宋_GB2312" w:eastAsia="仿宋_GB2312" w:cs="仿宋" w:hint="eastAsia"/>
          <w:color w:val="000000"/>
          <w:kern w:val="0"/>
          <w:sz w:val="32"/>
          <w:szCs w:val="32"/>
          <w:lang w:val="zh-CN"/>
        </w:rPr>
        <w:t>万元，完成预算1</w:t>
      </w:r>
      <w:r>
        <w:rPr>
          <w:rFonts w:ascii="仿宋_GB2312" w:eastAsia="仿宋_GB2312" w:cs="仿宋" w:hint="eastAsia"/>
          <w:kern w:val="0"/>
          <w:sz w:val="32"/>
          <w:szCs w:val="32"/>
          <w:lang w:val="zh-CN"/>
        </w:rPr>
        <w:t>00</w:t>
      </w:r>
      <w:r>
        <w:rPr>
          <w:rFonts w:ascii="仿宋_GB2312" w:eastAsia="仿宋_GB2312" w:cs="仿宋" w:hint="eastAsia"/>
          <w:color w:val="000000"/>
          <w:kern w:val="0"/>
          <w:sz w:val="32"/>
          <w:szCs w:val="32"/>
          <w:lang w:val="zh-CN"/>
        </w:rPr>
        <w:t>%。其中：</w:t>
      </w:r>
      <w:bookmarkEnd w:id="38"/>
      <w:bookmarkEnd w:id="39"/>
      <w:bookmarkEnd w:id="40"/>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w:t>
      </w:r>
      <w:r>
        <w:rPr>
          <w:rFonts w:ascii="仿宋_GB2312" w:eastAsia="仿宋_GB2312" w:cs="仿宋" w:hint="eastAsia"/>
          <w:color w:val="000000"/>
          <w:kern w:val="0"/>
          <w:sz w:val="32"/>
          <w:szCs w:val="32"/>
          <w:lang w:val="zh-CN"/>
        </w:rPr>
        <w:t>一般公共服务支出（2</w:t>
      </w:r>
      <w:r>
        <w:rPr>
          <w:rFonts w:ascii="仿宋_GB2312" w:eastAsia="仿宋_GB2312" w:cs="仿宋" w:hint="eastAsia"/>
          <w:kern w:val="0"/>
          <w:sz w:val="32"/>
          <w:szCs w:val="32"/>
          <w:lang w:val="zh-CN"/>
        </w:rPr>
        <w:t>0</w:t>
      </w:r>
      <w:r>
        <w:rPr>
          <w:rFonts w:ascii="仿宋_GB2312" w:eastAsia="仿宋_GB2312" w:cs="仿宋" w:hint="eastAsia"/>
          <w:color w:val="000000"/>
          <w:kern w:val="0"/>
          <w:sz w:val="32"/>
          <w:szCs w:val="32"/>
          <w:lang w:val="zh-CN"/>
        </w:rPr>
        <w:t>1）人大事务</w:t>
      </w:r>
      <w:r>
        <w:rPr>
          <w:rFonts w:ascii="仿宋_GB2312" w:eastAsia="仿宋_GB2312" w:cs="仿宋" w:hint="eastAsia"/>
          <w:color w:val="000000"/>
          <w:kern w:val="0"/>
          <w:sz w:val="32"/>
          <w:szCs w:val="32"/>
        </w:rPr>
        <w:t>(</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1)代表工作(</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8)</w:t>
      </w:r>
      <w:r>
        <w:rPr>
          <w:rFonts w:ascii="仿宋_GB2312" w:eastAsia="仿宋_GB2312" w:cs="仿宋" w:hint="eastAsia"/>
          <w:color w:val="000000"/>
          <w:kern w:val="0"/>
          <w:sz w:val="32"/>
          <w:szCs w:val="32"/>
          <w:lang w:val="zh-CN"/>
        </w:rPr>
        <w:t>支出决算</w:t>
      </w:r>
      <w:r>
        <w:rPr>
          <w:rFonts w:ascii="仿宋_GB2312" w:eastAsia="仿宋_GB2312" w:cs="仿宋" w:hint="eastAsia"/>
          <w:color w:val="000000"/>
          <w:kern w:val="0"/>
          <w:sz w:val="32"/>
          <w:szCs w:val="32"/>
        </w:rPr>
        <w:t>9.92万元，</w:t>
      </w:r>
      <w:r>
        <w:rPr>
          <w:rFonts w:ascii="仿宋_GB2312" w:eastAsia="仿宋_GB2312" w:cs="仿宋" w:hint="eastAsia"/>
          <w:color w:val="000000"/>
          <w:kern w:val="0"/>
          <w:sz w:val="32"/>
          <w:szCs w:val="32"/>
          <w:lang w:val="zh-CN"/>
        </w:rPr>
        <w:t>完成预算1</w:t>
      </w:r>
      <w:r>
        <w:rPr>
          <w:rFonts w:ascii="仿宋_GB2312" w:eastAsia="仿宋_GB2312" w:cs="仿宋" w:hint="eastAsia"/>
          <w:kern w:val="0"/>
          <w:sz w:val="32"/>
          <w:szCs w:val="32"/>
          <w:lang w:val="zh-CN"/>
        </w:rPr>
        <w:t>00</w:t>
      </w:r>
      <w:r>
        <w:rPr>
          <w:rFonts w:ascii="仿宋_GB2312" w:eastAsia="仿宋_GB2312" w:cs="仿宋" w:hint="eastAsia"/>
          <w:color w:val="000000"/>
          <w:kern w:val="0"/>
          <w:sz w:val="32"/>
          <w:szCs w:val="32"/>
          <w:lang w:val="zh-CN"/>
        </w:rPr>
        <w:t>%</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2.</w:t>
      </w:r>
      <w:r>
        <w:rPr>
          <w:rFonts w:ascii="仿宋_GB2312" w:eastAsia="仿宋_GB2312" w:cs="仿宋" w:hint="eastAsia"/>
          <w:color w:val="000000"/>
          <w:kern w:val="0"/>
          <w:sz w:val="32"/>
          <w:szCs w:val="32"/>
          <w:lang w:val="zh-CN"/>
        </w:rPr>
        <w:t>一般公共服务支出（2</w:t>
      </w:r>
      <w:r>
        <w:rPr>
          <w:rFonts w:ascii="仿宋_GB2312" w:eastAsia="仿宋_GB2312" w:cs="仿宋" w:hint="eastAsia"/>
          <w:kern w:val="0"/>
          <w:sz w:val="32"/>
          <w:szCs w:val="32"/>
          <w:lang w:val="zh-CN"/>
        </w:rPr>
        <w:t>0</w:t>
      </w:r>
      <w:r>
        <w:rPr>
          <w:rFonts w:ascii="仿宋_GB2312" w:eastAsia="仿宋_GB2312" w:cs="仿宋" w:hint="eastAsia"/>
          <w:color w:val="000000"/>
          <w:kern w:val="0"/>
          <w:sz w:val="32"/>
          <w:szCs w:val="32"/>
          <w:lang w:val="zh-CN"/>
        </w:rPr>
        <w:t>1）政府办公厅（室）及相关机构事务（</w:t>
      </w:r>
      <w:r>
        <w:rPr>
          <w:rFonts w:ascii="仿宋_GB2312" w:eastAsia="仿宋_GB2312" w:cs="仿宋" w:hint="eastAsia"/>
          <w:kern w:val="0"/>
          <w:sz w:val="32"/>
          <w:szCs w:val="32"/>
          <w:lang w:val="zh-CN"/>
        </w:rPr>
        <w:t>0</w:t>
      </w:r>
      <w:r>
        <w:rPr>
          <w:rFonts w:ascii="仿宋_GB2312" w:eastAsia="仿宋_GB2312" w:cs="仿宋" w:hint="eastAsia"/>
          <w:color w:val="000000"/>
          <w:kern w:val="0"/>
          <w:sz w:val="32"/>
          <w:szCs w:val="32"/>
          <w:lang w:val="zh-CN"/>
        </w:rPr>
        <w:t>3）行政运行（</w:t>
      </w:r>
      <w:r>
        <w:rPr>
          <w:rFonts w:ascii="仿宋_GB2312" w:eastAsia="仿宋_GB2312" w:cs="仿宋" w:hint="eastAsia"/>
          <w:kern w:val="0"/>
          <w:sz w:val="32"/>
          <w:szCs w:val="32"/>
          <w:lang w:val="zh-CN"/>
        </w:rPr>
        <w:t>0</w:t>
      </w:r>
      <w:r>
        <w:rPr>
          <w:rFonts w:ascii="仿宋_GB2312" w:eastAsia="仿宋_GB2312" w:cs="仿宋" w:hint="eastAsia"/>
          <w:color w:val="000000"/>
          <w:kern w:val="0"/>
          <w:sz w:val="32"/>
          <w:szCs w:val="32"/>
          <w:lang w:val="zh-CN"/>
        </w:rPr>
        <w:t>1）支出决算</w:t>
      </w:r>
      <w:r>
        <w:rPr>
          <w:rFonts w:ascii="仿宋_GB2312" w:eastAsia="仿宋_GB2312" w:cs="仿宋" w:hint="eastAsia"/>
          <w:color w:val="000000"/>
          <w:kern w:val="0"/>
          <w:sz w:val="32"/>
          <w:szCs w:val="32"/>
        </w:rPr>
        <w:t>48</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.71</w:t>
      </w:r>
      <w:r>
        <w:rPr>
          <w:rFonts w:ascii="仿宋_GB2312" w:eastAsia="仿宋_GB2312" w:cs="仿宋" w:hint="eastAsia"/>
          <w:color w:val="000000"/>
          <w:kern w:val="0"/>
          <w:sz w:val="32"/>
          <w:szCs w:val="32"/>
          <w:lang w:val="zh-CN"/>
        </w:rPr>
        <w:t>万元，完成预算1</w:t>
      </w:r>
      <w:r>
        <w:rPr>
          <w:rFonts w:ascii="仿宋_GB2312" w:eastAsia="仿宋_GB2312" w:cs="仿宋" w:hint="eastAsia"/>
          <w:kern w:val="0"/>
          <w:sz w:val="32"/>
          <w:szCs w:val="32"/>
          <w:lang w:val="zh-CN"/>
        </w:rPr>
        <w:t>00</w:t>
      </w:r>
      <w:r>
        <w:rPr>
          <w:rFonts w:ascii="仿宋_GB2312" w:eastAsia="仿宋_GB2312" w:cs="仿宋" w:hint="eastAsia"/>
          <w:color w:val="000000"/>
          <w:kern w:val="0"/>
          <w:sz w:val="32"/>
          <w:szCs w:val="32"/>
          <w:lang w:val="zh-CN"/>
        </w:rPr>
        <w:t>%</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3.</w:t>
      </w:r>
      <w:r>
        <w:rPr>
          <w:rFonts w:ascii="仿宋_GB2312" w:eastAsia="仿宋_GB2312" w:cs="仿宋" w:hint="eastAsia"/>
          <w:color w:val="000000"/>
          <w:kern w:val="0"/>
          <w:sz w:val="32"/>
          <w:szCs w:val="32"/>
          <w:lang w:val="zh-CN"/>
        </w:rPr>
        <w:t>一般公共服务支出（2</w:t>
      </w:r>
      <w:r>
        <w:rPr>
          <w:rFonts w:ascii="仿宋_GB2312" w:eastAsia="仿宋_GB2312" w:cs="仿宋" w:hint="eastAsia"/>
          <w:kern w:val="0"/>
          <w:sz w:val="32"/>
          <w:szCs w:val="32"/>
          <w:lang w:val="zh-CN"/>
        </w:rPr>
        <w:t>0</w:t>
      </w:r>
      <w:r>
        <w:rPr>
          <w:rFonts w:ascii="仿宋_GB2312" w:eastAsia="仿宋_GB2312" w:cs="仿宋" w:hint="eastAsia"/>
          <w:color w:val="000000"/>
          <w:kern w:val="0"/>
          <w:sz w:val="32"/>
          <w:szCs w:val="32"/>
          <w:lang w:val="zh-CN"/>
        </w:rPr>
        <w:t>1）政府办公厅（室）及相关机构事务（</w:t>
      </w:r>
      <w:r>
        <w:rPr>
          <w:rFonts w:ascii="仿宋_GB2312" w:eastAsia="仿宋_GB2312" w:cs="仿宋" w:hint="eastAsia"/>
          <w:kern w:val="0"/>
          <w:sz w:val="32"/>
          <w:szCs w:val="32"/>
          <w:lang w:val="zh-CN"/>
        </w:rPr>
        <w:t>0</w:t>
      </w:r>
      <w:r>
        <w:rPr>
          <w:rFonts w:ascii="仿宋_GB2312" w:eastAsia="仿宋_GB2312" w:cs="仿宋" w:hint="eastAsia"/>
          <w:color w:val="000000"/>
          <w:kern w:val="0"/>
          <w:sz w:val="32"/>
          <w:szCs w:val="32"/>
          <w:lang w:val="zh-CN"/>
        </w:rPr>
        <w:t>3）其他政府办公厅（室）及相关机构事务支出（99）支出决算</w:t>
      </w:r>
      <w:r>
        <w:rPr>
          <w:rFonts w:ascii="仿宋_GB2312" w:eastAsia="仿宋_GB2312" w:cs="仿宋" w:hint="eastAsia"/>
          <w:color w:val="000000"/>
          <w:kern w:val="0"/>
          <w:sz w:val="32"/>
          <w:szCs w:val="32"/>
        </w:rPr>
        <w:t>5</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.74</w:t>
      </w:r>
      <w:r>
        <w:rPr>
          <w:rFonts w:ascii="仿宋_GB2312" w:eastAsia="仿宋_GB2312" w:cs="仿宋" w:hint="eastAsia"/>
          <w:color w:val="000000"/>
          <w:kern w:val="0"/>
          <w:sz w:val="32"/>
          <w:szCs w:val="32"/>
          <w:lang w:val="zh-CN"/>
        </w:rPr>
        <w:t>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4.文化旅游体育与传媒支出（2</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7）其他文化旅游体育与传媒支出（99）其他文化旅游体育与传媒支出（99）</w:t>
      </w:r>
      <w:r>
        <w:rPr>
          <w:rFonts w:ascii="仿宋_GB2312" w:eastAsia="仿宋_GB2312" w:cs="仿宋" w:hint="eastAsia"/>
          <w:color w:val="000000"/>
          <w:kern w:val="0"/>
          <w:sz w:val="32"/>
          <w:szCs w:val="32"/>
          <w:lang w:val="zh-CN"/>
        </w:rPr>
        <w:t>支出决算</w:t>
      </w:r>
      <w:r>
        <w:rPr>
          <w:rFonts w:ascii="仿宋_GB2312" w:eastAsia="仿宋_GB2312" w:cs="仿宋" w:hint="eastAsia"/>
          <w:color w:val="000000"/>
          <w:kern w:val="0"/>
          <w:sz w:val="32"/>
          <w:szCs w:val="32"/>
        </w:rPr>
        <w:t>1</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5.</w:t>
      </w:r>
      <w:r>
        <w:rPr>
          <w:rFonts w:ascii="仿宋_GB2312" w:eastAsia="仿宋_GB2312" w:cs="仿宋" w:hint="eastAsia"/>
          <w:color w:val="000000"/>
          <w:kern w:val="0"/>
          <w:sz w:val="32"/>
          <w:szCs w:val="32"/>
          <w:lang w:val="zh-CN"/>
        </w:rPr>
        <w:t>社会保障和就业支出（208）行政事业单位养老支出（05）机关事业单位基本养老保险缴费支出（05）支出决算</w:t>
      </w:r>
      <w:r>
        <w:rPr>
          <w:rFonts w:ascii="仿宋_GB2312" w:eastAsia="仿宋_GB2312" w:cs="仿宋" w:hint="eastAsia"/>
          <w:color w:val="000000"/>
          <w:kern w:val="0"/>
          <w:sz w:val="32"/>
          <w:szCs w:val="32"/>
        </w:rPr>
        <w:t>88.25</w:t>
      </w:r>
      <w:r>
        <w:rPr>
          <w:rFonts w:ascii="仿宋_GB2312" w:eastAsia="仿宋_GB2312" w:cs="仿宋" w:hint="eastAsia"/>
          <w:color w:val="000000"/>
          <w:kern w:val="0"/>
          <w:sz w:val="32"/>
          <w:szCs w:val="32"/>
          <w:lang w:val="zh-CN"/>
        </w:rPr>
        <w:t>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6.</w:t>
      </w:r>
      <w:r>
        <w:rPr>
          <w:rFonts w:ascii="仿宋_GB2312" w:eastAsia="仿宋_GB2312" w:cs="仿宋" w:hint="eastAsia"/>
          <w:color w:val="000000"/>
          <w:kern w:val="0"/>
          <w:sz w:val="32"/>
          <w:szCs w:val="32"/>
          <w:lang w:val="zh-CN"/>
        </w:rPr>
        <w:t>社会保障和就业支出（208）行政事业单位养老支出（05）机关事业单位职业年金缴费支出（06）支出决算</w:t>
      </w:r>
      <w:r>
        <w:rPr>
          <w:rFonts w:ascii="仿宋_GB2312" w:eastAsia="仿宋_GB2312" w:cs="仿宋" w:hint="eastAsia"/>
          <w:color w:val="000000"/>
          <w:kern w:val="0"/>
          <w:sz w:val="32"/>
          <w:szCs w:val="32"/>
        </w:rPr>
        <w:t>44.13</w:t>
      </w:r>
      <w:r>
        <w:rPr>
          <w:rFonts w:ascii="仿宋_GB2312" w:eastAsia="仿宋_GB2312" w:cs="仿宋" w:hint="eastAsia"/>
          <w:color w:val="000000"/>
          <w:kern w:val="0"/>
          <w:sz w:val="32"/>
          <w:szCs w:val="32"/>
          <w:lang w:val="zh-CN"/>
        </w:rPr>
        <w:t>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7.</w:t>
      </w:r>
      <w:r>
        <w:rPr>
          <w:rFonts w:ascii="仿宋_GB2312" w:eastAsia="仿宋_GB2312" w:cs="仿宋" w:hint="eastAsia"/>
          <w:color w:val="000000"/>
          <w:kern w:val="0"/>
          <w:sz w:val="32"/>
          <w:szCs w:val="32"/>
          <w:lang w:val="zh-CN"/>
        </w:rPr>
        <w:t>社会保障和就业支出（208）就业补助（</w:t>
      </w:r>
      <w:r>
        <w:rPr>
          <w:rFonts w:ascii="仿宋_GB2312" w:eastAsia="仿宋_GB2312" w:cs="仿宋" w:hint="eastAsia"/>
          <w:color w:val="000000"/>
          <w:kern w:val="0"/>
          <w:sz w:val="32"/>
          <w:szCs w:val="32"/>
        </w:rPr>
        <w:t>07</w:t>
      </w:r>
      <w:r>
        <w:rPr>
          <w:rFonts w:ascii="仿宋_GB2312" w:eastAsia="仿宋_GB2312" w:cs="仿宋" w:hint="eastAsia"/>
          <w:color w:val="000000"/>
          <w:kern w:val="0"/>
          <w:sz w:val="32"/>
          <w:szCs w:val="32"/>
          <w:lang w:val="zh-CN"/>
        </w:rPr>
        <w:t>）公益性岗位补贴（05）支出决算</w:t>
      </w:r>
      <w:r>
        <w:rPr>
          <w:rFonts w:ascii="仿宋_GB2312" w:eastAsia="仿宋_GB2312" w:cs="仿宋" w:hint="eastAsia"/>
          <w:color w:val="000000"/>
          <w:kern w:val="0"/>
          <w:sz w:val="32"/>
          <w:szCs w:val="32"/>
        </w:rPr>
        <w:t>6.4</w:t>
      </w:r>
      <w:r>
        <w:rPr>
          <w:rFonts w:ascii="仿宋_GB2312" w:eastAsia="仿宋_GB2312" w:cs="仿宋"/>
          <w:color w:val="000000"/>
          <w:kern w:val="0"/>
          <w:sz w:val="32"/>
          <w:szCs w:val="32"/>
        </w:rPr>
        <w:t>0</w:t>
      </w:r>
      <w:r>
        <w:rPr>
          <w:rFonts w:ascii="仿宋_GB2312" w:eastAsia="仿宋_GB2312" w:cs="仿宋" w:hint="eastAsia"/>
          <w:color w:val="000000"/>
          <w:kern w:val="0"/>
          <w:sz w:val="32"/>
          <w:szCs w:val="32"/>
          <w:lang w:val="zh-CN"/>
        </w:rPr>
        <w:t>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8.</w:t>
      </w:r>
      <w:r>
        <w:rPr>
          <w:rFonts w:ascii="仿宋_GB2312" w:eastAsia="仿宋_GB2312" w:cs="仿宋" w:hint="eastAsia"/>
          <w:color w:val="000000"/>
          <w:kern w:val="0"/>
          <w:sz w:val="32"/>
          <w:szCs w:val="32"/>
          <w:lang w:val="zh-CN"/>
        </w:rPr>
        <w:t>社会保障和就业支出（208）</w:t>
      </w:r>
      <w:r>
        <w:rPr>
          <w:rFonts w:ascii="仿宋_GB2312" w:eastAsia="仿宋_GB2312" w:cs="仿宋" w:hint="eastAsia"/>
          <w:color w:val="000000"/>
          <w:kern w:val="0"/>
          <w:sz w:val="32"/>
          <w:szCs w:val="32"/>
        </w:rPr>
        <w:t>残疾人事业（11）其他残疾人事业支出</w:t>
      </w:r>
      <w:r>
        <w:rPr>
          <w:rFonts w:ascii="仿宋_GB2312" w:eastAsia="仿宋_GB2312" w:cs="仿宋" w:hint="eastAsia"/>
          <w:color w:val="000000"/>
          <w:kern w:val="0"/>
          <w:sz w:val="32"/>
          <w:szCs w:val="32"/>
          <w:lang w:val="zh-CN"/>
        </w:rPr>
        <w:t>（</w:t>
      </w:r>
      <w:r>
        <w:rPr>
          <w:rFonts w:ascii="仿宋_GB2312" w:eastAsia="仿宋_GB2312" w:cs="仿宋" w:hint="eastAsia"/>
          <w:color w:val="000000"/>
          <w:kern w:val="0"/>
          <w:sz w:val="32"/>
          <w:szCs w:val="32"/>
        </w:rPr>
        <w:t>99</w:t>
      </w:r>
      <w:r>
        <w:rPr>
          <w:rFonts w:ascii="仿宋_GB2312" w:eastAsia="仿宋_GB2312" w:cs="仿宋" w:hint="eastAsia"/>
          <w:color w:val="000000"/>
          <w:kern w:val="0"/>
          <w:sz w:val="32"/>
          <w:szCs w:val="32"/>
          <w:lang w:val="zh-CN"/>
        </w:rPr>
        <w:t>）支出决算</w:t>
      </w:r>
      <w:r>
        <w:rPr>
          <w:rFonts w:ascii="仿宋_GB2312" w:eastAsia="仿宋_GB2312" w:cs="仿宋" w:hint="eastAsia"/>
          <w:color w:val="000000"/>
          <w:kern w:val="0"/>
          <w:sz w:val="32"/>
          <w:szCs w:val="32"/>
        </w:rPr>
        <w:t>0.32</w:t>
      </w:r>
      <w:r>
        <w:rPr>
          <w:rFonts w:ascii="仿宋_GB2312" w:eastAsia="仿宋_GB2312" w:cs="仿宋" w:hint="eastAsia"/>
          <w:color w:val="000000"/>
          <w:kern w:val="0"/>
          <w:sz w:val="32"/>
          <w:szCs w:val="32"/>
          <w:lang w:val="zh-CN"/>
        </w:rPr>
        <w:t>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9.卫生健康支出（210）行政事业单位医疗（11）行政单位医疗（01）支出决算32.58万元，完成预算100%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10.卫生健康支出（210）行政事业单位医疗（11）事业单位医疗（02）支出决算23.88万元，完成预算100%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11.农林水支出（213）农业农村(01)事业运行(04)支出决算258.75万元，完成预算100%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12.农林水支出（213）农业农村(01)其他农业农村支出（99）支出决算47.01万元，完成预算100%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kern w:val="0"/>
          <w:sz w:val="32"/>
          <w:szCs w:val="32"/>
        </w:rPr>
      </w:pPr>
      <w:r>
        <w:rPr>
          <w:rFonts w:ascii="仿宋_GB2312" w:eastAsia="仿宋_GB2312" w:cs="仿宋" w:hint="eastAsia"/>
          <w:color w:val="000000"/>
          <w:kern w:val="0"/>
          <w:sz w:val="32"/>
          <w:szCs w:val="32"/>
        </w:rPr>
        <w:t>13.</w:t>
      </w:r>
      <w:r>
        <w:rPr>
          <w:rFonts w:ascii="仿宋_GB2312" w:eastAsia="仿宋_GB2312" w:cs="仿宋" w:hint="eastAsia"/>
          <w:kern w:val="0"/>
          <w:sz w:val="32"/>
          <w:szCs w:val="32"/>
        </w:rPr>
        <w:t>农林水支出（213）巩固脱贫衔接乡村振兴（05）社会发展（06）支出决算9.68万元，完成预算100%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14.农林水支出（213）巩固脱贫衔接乡村振兴（05）其他巩固脱贫衔接乡村振兴支出（99）支出决算151.48万元，完成预算100%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15.农林水支出（213）农村综合改革（07）对村民委员会和村党支部的补助（05）支出决算267.16万元，完成预算100%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16.住房保障支出（221）住房改革支出（02）住房公积金（01）支出决算75.05万元，完成预算100%</w:t>
      </w:r>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17.灾害防治及应急管理支出（224）自然灾害救灾及恢复重建支出（07）其他自然灾害救灾及恢复重建支出（99）支出决算10</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rPr>
        <w:t>万元，完成预算100%</w:t>
      </w:r>
      <w:bookmarkStart w:id="41" w:name="_Toc15377214"/>
      <w:bookmarkStart w:id="42" w:name="_Toc14398"/>
      <w:bookmarkStart w:id="43" w:name="_Toc111208504"/>
      <w:r>
        <w:rPr>
          <w:rFonts w:ascii="仿宋_GB2312" w:eastAsia="仿宋_GB2312" w:cs="仿宋"/>
          <w:color w:val="000000"/>
          <w:kern w:val="0"/>
          <w:sz w:val="32"/>
          <w:szCs w:val="32"/>
          <w:lang w:val="zh-CN"/>
        </w:rPr>
        <w:t>，决算数与预算数持平</w:t>
      </w:r>
      <w:r>
        <w:rPr>
          <w:rFonts w:ascii="仿宋_GB2312" w:eastAsia="仿宋_GB2312" w:cs="仿宋" w:hint="eastAsia"/>
          <w:color w:val="000000"/>
          <w:kern w:val="0"/>
          <w:sz w:val="32"/>
          <w:szCs w:val="32"/>
          <w:lang w:val="zh-CN"/>
        </w:rPr>
        <w:t>。</w:t>
      </w:r>
      <w:r>
        <w:rPr>
          <w:rFonts w:ascii="仿宋_GB2312" w:eastAsia="仿宋_GB2312" w:cs="仿宋"/>
          <w:color w:val="000000"/>
          <w:kern w:val="0"/>
          <w:sz w:val="32"/>
          <w:szCs w:val="32"/>
          <w:lang w:val="zh-CN"/>
        </w:rPr>
        <w:t xml:space="preserve">  </w:t>
      </w:r>
    </w:p>
    <w:p>
      <w:pPr>
        <w:pStyle w:val="2"/>
        <w:spacing w:after="0" w:line="300" w:lineRule="exact"/>
        <w:ind w:firstLineChars="200" w:firstLine="640"/>
        <w:rPr>
          <w:rFonts w:ascii="黑体" w:eastAsia="黑体" w:cs="Times New Roman" w:hint="eastAsia"/>
          <w:bCs w:val="0"/>
          <w:color w:val="000000"/>
          <w:lang w:val="zh-CN"/>
        </w:rPr>
      </w:pPr>
      <w:r>
        <w:rPr>
          <w:rFonts w:ascii="黑体" w:eastAsia="黑体" w:cs="Times New Roman" w:hint="eastAsia"/>
          <w:bCs w:val="0"/>
          <w:color w:val="000000"/>
          <w:lang w:val="zh-CN"/>
        </w:rPr>
        <w:t>六、一般公共预算财政拨款基本支出决算情况说</w:t>
      </w:r>
      <w:bookmarkEnd w:id="41"/>
      <w:r>
        <w:rPr>
          <w:rFonts w:ascii="黑体" w:eastAsia="黑体" w:cs="Times New Roman" w:hint="eastAsia"/>
          <w:bCs w:val="0"/>
          <w:color w:val="000000"/>
          <w:lang w:val="zh-CN"/>
        </w:rPr>
        <w:t>明</w:t>
      </w:r>
      <w:bookmarkEnd w:id="42"/>
      <w:bookmarkEnd w:id="43"/>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2024年一般公共预算财政拨款基本支出</w:t>
      </w:r>
      <w:r>
        <w:rPr>
          <w:rFonts w:ascii="仿宋_GB2312" w:eastAsia="仿宋_GB2312" w:cs="仿宋" w:hint="eastAsia"/>
          <w:color w:val="000000"/>
          <w:kern w:val="0"/>
          <w:sz w:val="32"/>
          <w:szCs w:val="32"/>
        </w:rPr>
        <w:t>1003.34</w:t>
      </w:r>
      <w:r>
        <w:rPr>
          <w:rFonts w:ascii="仿宋_GB2312" w:eastAsia="仿宋_GB2312" w:cs="仿宋" w:hint="eastAsia"/>
          <w:color w:val="000000"/>
          <w:kern w:val="0"/>
          <w:sz w:val="32"/>
          <w:szCs w:val="32"/>
          <w:lang w:val="zh-CN"/>
        </w:rPr>
        <w:t>万元，其中：</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人员经费</w:t>
      </w:r>
      <w:r>
        <w:rPr>
          <w:rFonts w:ascii="仿宋_GB2312" w:eastAsia="仿宋_GB2312" w:cs="仿宋" w:hint="eastAsia"/>
          <w:color w:val="000000"/>
          <w:kern w:val="0"/>
          <w:sz w:val="32"/>
          <w:szCs w:val="32"/>
        </w:rPr>
        <w:t>959.76</w:t>
      </w:r>
      <w:r>
        <w:rPr>
          <w:rFonts w:ascii="仿宋_GB2312" w:eastAsia="仿宋_GB2312" w:cs="仿宋" w:hint="eastAsia"/>
          <w:color w:val="000000"/>
          <w:kern w:val="0"/>
          <w:sz w:val="32"/>
          <w:szCs w:val="32"/>
          <w:lang w:val="zh-CN"/>
        </w:rPr>
        <w:t>万元，主要包括：基本工资</w:t>
      </w:r>
      <w:r>
        <w:rPr>
          <w:rFonts w:ascii="仿宋_GB2312" w:eastAsia="仿宋_GB2312" w:cs="仿宋" w:hint="eastAsia"/>
          <w:color w:val="000000"/>
          <w:kern w:val="0"/>
          <w:sz w:val="32"/>
          <w:szCs w:val="32"/>
        </w:rPr>
        <w:t>194.78</w:t>
      </w:r>
      <w:r>
        <w:rPr>
          <w:rFonts w:ascii="仿宋_GB2312" w:eastAsia="仿宋_GB2312" w:cs="仿宋" w:hint="eastAsia"/>
          <w:color w:val="000000"/>
          <w:kern w:val="0"/>
          <w:sz w:val="32"/>
          <w:szCs w:val="32"/>
          <w:lang w:val="zh-CN"/>
        </w:rPr>
        <w:t>万元、津贴补贴</w:t>
      </w:r>
      <w:r>
        <w:rPr>
          <w:rFonts w:ascii="仿宋_GB2312" w:eastAsia="仿宋_GB2312" w:cs="仿宋" w:hint="eastAsia"/>
          <w:color w:val="000000"/>
          <w:kern w:val="0"/>
          <w:sz w:val="32"/>
          <w:szCs w:val="32"/>
        </w:rPr>
        <w:t>154.79</w:t>
      </w:r>
      <w:r>
        <w:rPr>
          <w:rFonts w:ascii="仿宋_GB2312" w:eastAsia="仿宋_GB2312" w:cs="仿宋" w:hint="eastAsia"/>
          <w:color w:val="000000"/>
          <w:kern w:val="0"/>
          <w:sz w:val="32"/>
          <w:szCs w:val="32"/>
          <w:lang w:val="zh-CN"/>
        </w:rPr>
        <w:t>万元、奖金</w:t>
      </w:r>
      <w:r>
        <w:rPr>
          <w:rFonts w:ascii="仿宋_GB2312" w:eastAsia="仿宋_GB2312" w:cs="仿宋" w:hint="eastAsia"/>
          <w:color w:val="000000"/>
          <w:kern w:val="0"/>
          <w:sz w:val="32"/>
          <w:szCs w:val="32"/>
        </w:rPr>
        <w:t>159.93</w:t>
      </w:r>
      <w:r>
        <w:rPr>
          <w:rFonts w:ascii="仿宋_GB2312" w:eastAsia="仿宋_GB2312" w:cs="仿宋" w:hint="eastAsia"/>
          <w:color w:val="000000"/>
          <w:kern w:val="0"/>
          <w:sz w:val="32"/>
          <w:szCs w:val="32"/>
          <w:lang w:val="zh-CN"/>
        </w:rPr>
        <w:t>万元、绩效工资</w:t>
      </w:r>
      <w:r>
        <w:rPr>
          <w:rFonts w:ascii="仿宋_GB2312" w:eastAsia="仿宋_GB2312" w:cs="仿宋" w:hint="eastAsia"/>
          <w:color w:val="000000"/>
          <w:kern w:val="0"/>
          <w:sz w:val="32"/>
          <w:szCs w:val="32"/>
        </w:rPr>
        <w:t>149.23万元</w:t>
      </w:r>
      <w:r>
        <w:rPr>
          <w:rFonts w:ascii="仿宋_GB2312" w:eastAsia="仿宋_GB2312" w:cs="仿宋" w:hint="eastAsia"/>
          <w:color w:val="000000"/>
          <w:kern w:val="0"/>
          <w:sz w:val="32"/>
          <w:szCs w:val="32"/>
          <w:lang w:val="zh-CN"/>
        </w:rPr>
        <w:t>、机关事业单位基本养老保险缴费</w:t>
      </w:r>
      <w:r>
        <w:rPr>
          <w:rFonts w:ascii="仿宋_GB2312" w:eastAsia="仿宋_GB2312" w:cs="仿宋" w:hint="eastAsia"/>
          <w:color w:val="000000"/>
          <w:kern w:val="0"/>
          <w:sz w:val="32"/>
          <w:szCs w:val="32"/>
        </w:rPr>
        <w:t>88.25</w:t>
      </w:r>
      <w:r>
        <w:rPr>
          <w:rFonts w:ascii="仿宋_GB2312" w:eastAsia="仿宋_GB2312" w:cs="仿宋" w:hint="eastAsia"/>
          <w:color w:val="000000"/>
          <w:kern w:val="0"/>
          <w:sz w:val="32"/>
          <w:szCs w:val="32"/>
          <w:lang w:val="zh-CN"/>
        </w:rPr>
        <w:t>万元、职业年金缴费</w:t>
      </w:r>
      <w:r>
        <w:rPr>
          <w:rFonts w:ascii="仿宋_GB2312" w:eastAsia="仿宋_GB2312" w:cs="仿宋" w:hint="eastAsia"/>
          <w:color w:val="000000"/>
          <w:kern w:val="0"/>
          <w:sz w:val="32"/>
          <w:szCs w:val="32"/>
        </w:rPr>
        <w:t>44.13</w:t>
      </w:r>
      <w:r>
        <w:rPr>
          <w:rFonts w:ascii="仿宋_GB2312" w:eastAsia="仿宋_GB2312" w:cs="仿宋" w:hint="eastAsia"/>
          <w:color w:val="000000"/>
          <w:kern w:val="0"/>
          <w:sz w:val="32"/>
          <w:szCs w:val="32"/>
          <w:lang w:val="zh-CN"/>
        </w:rPr>
        <w:t>万元、职工基本医疗保险缴费</w:t>
      </w:r>
      <w:r>
        <w:rPr>
          <w:rFonts w:ascii="仿宋_GB2312" w:eastAsia="仿宋_GB2312" w:cs="仿宋" w:hint="eastAsia"/>
          <w:color w:val="000000"/>
          <w:kern w:val="0"/>
          <w:sz w:val="32"/>
          <w:szCs w:val="32"/>
        </w:rPr>
        <w:t>56.46</w:t>
      </w:r>
      <w:r>
        <w:rPr>
          <w:rFonts w:ascii="仿宋_GB2312" w:eastAsia="仿宋_GB2312" w:cs="仿宋" w:hint="eastAsia"/>
          <w:color w:val="000000"/>
          <w:kern w:val="0"/>
          <w:sz w:val="32"/>
          <w:szCs w:val="32"/>
          <w:lang w:val="zh-CN"/>
        </w:rPr>
        <w:t>万元、其他社会保障缴费</w:t>
      </w:r>
      <w:r>
        <w:rPr>
          <w:rFonts w:ascii="仿宋_GB2312" w:eastAsia="仿宋_GB2312" w:cs="仿宋" w:hint="eastAsia"/>
          <w:color w:val="000000"/>
          <w:kern w:val="0"/>
          <w:sz w:val="32"/>
          <w:szCs w:val="32"/>
        </w:rPr>
        <w:t>11.11</w:t>
      </w:r>
      <w:r>
        <w:rPr>
          <w:rFonts w:ascii="仿宋_GB2312" w:eastAsia="仿宋_GB2312" w:cs="仿宋" w:hint="eastAsia"/>
          <w:color w:val="000000"/>
          <w:kern w:val="0"/>
          <w:sz w:val="32"/>
          <w:szCs w:val="32"/>
          <w:lang w:val="zh-CN"/>
        </w:rPr>
        <w:t>万元、住房公积金</w:t>
      </w:r>
      <w:r>
        <w:rPr>
          <w:rFonts w:ascii="仿宋_GB2312" w:eastAsia="仿宋_GB2312" w:cs="仿宋" w:hint="eastAsia"/>
          <w:color w:val="000000"/>
          <w:kern w:val="0"/>
          <w:sz w:val="32"/>
          <w:szCs w:val="32"/>
        </w:rPr>
        <w:t>75.05</w:t>
      </w:r>
      <w:r>
        <w:rPr>
          <w:rFonts w:ascii="仿宋_GB2312" w:eastAsia="仿宋_GB2312" w:cs="仿宋" w:hint="eastAsia"/>
          <w:color w:val="000000"/>
          <w:kern w:val="0"/>
          <w:sz w:val="32"/>
          <w:szCs w:val="32"/>
          <w:lang w:val="zh-CN"/>
        </w:rPr>
        <w:t>万元、医疗费</w:t>
      </w:r>
      <w:r>
        <w:rPr>
          <w:rFonts w:ascii="仿宋_GB2312" w:eastAsia="仿宋_GB2312" w:cs="仿宋" w:hint="eastAsia"/>
          <w:color w:val="000000"/>
          <w:kern w:val="0"/>
          <w:sz w:val="32"/>
          <w:szCs w:val="32"/>
        </w:rPr>
        <w:t>9.11</w:t>
      </w:r>
      <w:r>
        <w:rPr>
          <w:rFonts w:ascii="仿宋_GB2312" w:eastAsia="仿宋_GB2312" w:cs="仿宋" w:hint="eastAsia"/>
          <w:color w:val="000000"/>
          <w:kern w:val="0"/>
          <w:sz w:val="32"/>
          <w:szCs w:val="32"/>
          <w:lang w:val="zh-CN"/>
        </w:rPr>
        <w:t>万元、生活补助</w:t>
      </w:r>
      <w:r>
        <w:rPr>
          <w:rFonts w:ascii="仿宋_GB2312" w:eastAsia="仿宋_GB2312" w:cs="仿宋" w:hint="eastAsia"/>
          <w:color w:val="000000"/>
          <w:kern w:val="0"/>
          <w:sz w:val="32"/>
          <w:szCs w:val="32"/>
        </w:rPr>
        <w:t>16.88</w:t>
      </w:r>
      <w:r>
        <w:rPr>
          <w:rFonts w:ascii="仿宋_GB2312" w:eastAsia="仿宋_GB2312" w:cs="仿宋" w:hint="eastAsia"/>
          <w:color w:val="000000"/>
          <w:kern w:val="0"/>
          <w:sz w:val="32"/>
          <w:szCs w:val="32"/>
          <w:lang w:val="zh-CN"/>
        </w:rPr>
        <w:t>万元、奖励金</w:t>
      </w:r>
      <w:r>
        <w:rPr>
          <w:rFonts w:ascii="仿宋_GB2312" w:eastAsia="仿宋_GB2312" w:cs="仿宋" w:hint="eastAsia"/>
          <w:color w:val="000000"/>
          <w:kern w:val="0"/>
          <w:sz w:val="32"/>
          <w:szCs w:val="32"/>
        </w:rPr>
        <w:t>0.04</w:t>
      </w:r>
      <w:r>
        <w:rPr>
          <w:rFonts w:ascii="仿宋_GB2312" w:eastAsia="仿宋_GB2312" w:cs="仿宋" w:hint="eastAsia"/>
          <w:color w:val="000000"/>
          <w:kern w:val="0"/>
          <w:sz w:val="32"/>
          <w:szCs w:val="32"/>
          <w:lang w:val="zh-CN"/>
        </w:rPr>
        <w:t>万元。</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公用经费</w:t>
      </w:r>
      <w:r>
        <w:rPr>
          <w:rFonts w:ascii="仿宋_GB2312" w:eastAsia="仿宋_GB2312" w:cs="仿宋" w:hint="eastAsia"/>
          <w:color w:val="000000"/>
          <w:kern w:val="0"/>
          <w:sz w:val="32"/>
          <w:szCs w:val="32"/>
        </w:rPr>
        <w:t>43.58</w:t>
      </w:r>
      <w:r>
        <w:rPr>
          <w:rFonts w:ascii="仿宋_GB2312" w:eastAsia="仿宋_GB2312" w:cs="仿宋" w:hint="eastAsia"/>
          <w:color w:val="000000"/>
          <w:kern w:val="0"/>
          <w:sz w:val="32"/>
          <w:szCs w:val="32"/>
          <w:lang w:val="zh-CN"/>
        </w:rPr>
        <w:t>万元，主要包括：办公费</w:t>
      </w:r>
      <w:r>
        <w:rPr>
          <w:rFonts w:ascii="仿宋_GB2312" w:eastAsia="仿宋_GB2312" w:cs="仿宋" w:hint="eastAsia"/>
          <w:color w:val="000000"/>
          <w:kern w:val="0"/>
          <w:sz w:val="32"/>
          <w:szCs w:val="32"/>
        </w:rPr>
        <w:t>16.79</w:t>
      </w:r>
      <w:r>
        <w:rPr>
          <w:rFonts w:ascii="仿宋_GB2312" w:eastAsia="仿宋_GB2312" w:cs="仿宋" w:hint="eastAsia"/>
          <w:color w:val="000000"/>
          <w:kern w:val="0"/>
          <w:sz w:val="32"/>
          <w:szCs w:val="32"/>
          <w:lang w:val="zh-CN"/>
        </w:rPr>
        <w:t>万元、电费</w:t>
      </w:r>
      <w:r>
        <w:rPr>
          <w:rFonts w:ascii="仿宋_GB2312" w:eastAsia="仿宋_GB2312" w:cs="仿宋" w:hint="eastAsia"/>
          <w:color w:val="000000"/>
          <w:kern w:val="0"/>
          <w:sz w:val="32"/>
          <w:szCs w:val="32"/>
        </w:rPr>
        <w:t>2.6</w:t>
      </w:r>
      <w:r>
        <w:rPr>
          <w:rFonts w:ascii="仿宋_GB2312" w:eastAsia="仿宋_GB2312" w:cs="仿宋"/>
          <w:color w:val="000000"/>
          <w:kern w:val="0"/>
          <w:sz w:val="32"/>
          <w:szCs w:val="32"/>
        </w:rPr>
        <w:t>0</w:t>
      </w:r>
      <w:r>
        <w:rPr>
          <w:rFonts w:ascii="仿宋_GB2312" w:eastAsia="仿宋_GB2312" w:cs="仿宋" w:hint="eastAsia"/>
          <w:color w:val="000000"/>
          <w:kern w:val="0"/>
          <w:sz w:val="32"/>
          <w:szCs w:val="32"/>
          <w:lang w:val="zh-CN"/>
        </w:rPr>
        <w:t>万元、邮电费</w:t>
      </w:r>
      <w:r>
        <w:rPr>
          <w:rFonts w:ascii="仿宋_GB2312" w:eastAsia="仿宋_GB2312" w:cs="仿宋" w:hint="eastAsia"/>
          <w:color w:val="000000"/>
          <w:kern w:val="0"/>
          <w:sz w:val="32"/>
          <w:szCs w:val="32"/>
        </w:rPr>
        <w:t>2.04</w:t>
      </w:r>
      <w:r>
        <w:rPr>
          <w:rFonts w:ascii="仿宋_GB2312" w:eastAsia="仿宋_GB2312" w:cs="仿宋" w:hint="eastAsia"/>
          <w:color w:val="000000"/>
          <w:kern w:val="0"/>
          <w:sz w:val="32"/>
          <w:szCs w:val="32"/>
          <w:lang w:val="zh-CN"/>
        </w:rPr>
        <w:t>万元、差旅费</w:t>
      </w:r>
      <w:r>
        <w:rPr>
          <w:rFonts w:ascii="仿宋_GB2312" w:eastAsia="仿宋_GB2312" w:cs="仿宋" w:hint="eastAsia"/>
          <w:color w:val="000000"/>
          <w:kern w:val="0"/>
          <w:sz w:val="32"/>
          <w:szCs w:val="32"/>
        </w:rPr>
        <w:t>15.05</w:t>
      </w:r>
      <w:r>
        <w:rPr>
          <w:rFonts w:ascii="仿宋_GB2312" w:eastAsia="仿宋_GB2312" w:cs="仿宋" w:hint="eastAsia"/>
          <w:color w:val="000000"/>
          <w:kern w:val="0"/>
          <w:sz w:val="32"/>
          <w:szCs w:val="32"/>
          <w:lang w:val="zh-CN"/>
        </w:rPr>
        <w:t>万元、</w:t>
      </w:r>
      <w:r>
        <w:rPr>
          <w:rFonts w:ascii="仿宋_GB2312" w:eastAsia="仿宋_GB2312" w:cs="仿宋" w:hint="eastAsia"/>
          <w:color w:val="000000"/>
          <w:kern w:val="0"/>
          <w:sz w:val="32"/>
          <w:szCs w:val="32"/>
        </w:rPr>
        <w:t>培训费0.1</w:t>
      </w:r>
      <w:r>
        <w:rPr>
          <w:rFonts w:ascii="仿宋_GB2312" w:eastAsia="仿宋_GB2312" w:cs="仿宋"/>
          <w:color w:val="000000"/>
          <w:kern w:val="0"/>
          <w:sz w:val="32"/>
          <w:szCs w:val="32"/>
        </w:rPr>
        <w:t>0</w:t>
      </w:r>
      <w:r>
        <w:rPr>
          <w:rFonts w:ascii="仿宋_GB2312" w:eastAsia="仿宋_GB2312" w:cs="仿宋" w:hint="eastAsia"/>
          <w:color w:val="000000"/>
          <w:kern w:val="0"/>
          <w:sz w:val="32"/>
          <w:szCs w:val="32"/>
        </w:rPr>
        <w:t>万元、</w:t>
      </w:r>
      <w:r>
        <w:rPr>
          <w:rFonts w:ascii="仿宋_GB2312" w:eastAsia="仿宋_GB2312" w:cs="仿宋" w:hint="eastAsia"/>
          <w:color w:val="000000"/>
          <w:kern w:val="0"/>
          <w:sz w:val="32"/>
          <w:szCs w:val="32"/>
          <w:lang w:val="zh-CN"/>
        </w:rPr>
        <w:t>公务用车运行维护费</w:t>
      </w:r>
      <w:r>
        <w:rPr>
          <w:rFonts w:ascii="仿宋_GB2312" w:eastAsia="仿宋_GB2312" w:cs="仿宋" w:hint="eastAsia"/>
          <w:color w:val="000000"/>
          <w:kern w:val="0"/>
          <w:sz w:val="32"/>
          <w:szCs w:val="32"/>
        </w:rPr>
        <w:t>7</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万元。</w:t>
      </w:r>
    </w:p>
    <w:p>
      <w:pPr>
        <w:pStyle w:val="2"/>
        <w:spacing w:after="0" w:line="300" w:lineRule="exact"/>
        <w:ind w:firstLineChars="200" w:firstLine="640"/>
        <w:rPr>
          <w:rFonts w:ascii="黑体" w:eastAsia="黑体"/>
          <w:bCs w:val="0"/>
          <w:color w:val="000000"/>
        </w:rPr>
      </w:pPr>
      <w:bookmarkStart w:id="44" w:name="_Toc15377215"/>
      <w:bookmarkStart w:id="45" w:name="_Toc886"/>
      <w:bookmarkStart w:id="46" w:name="_Toc111208505"/>
      <w:r>
        <w:rPr>
          <w:rFonts w:ascii="黑体" w:eastAsia="黑体" w:hint="eastAsia"/>
          <w:bCs w:val="0"/>
          <w:color w:val="000000"/>
        </w:rPr>
        <w:t>七、“三公”经费财政拨款支出决算情况说明</w:t>
      </w:r>
      <w:bookmarkEnd w:id="44"/>
      <w:bookmarkEnd w:id="45"/>
      <w:bookmarkEnd w:id="46"/>
    </w:p>
    <w:p>
      <w:pPr>
        <w:spacing w:line="600" w:lineRule="exact"/>
        <w:ind w:firstLineChars="200" w:firstLine="640"/>
        <w:outlineLvl w:val="2"/>
        <w:rPr>
          <w:rFonts w:ascii="仿宋" w:eastAsia="仿宋"/>
          <w:b/>
          <w:color w:val="000000"/>
          <w:sz w:val="32"/>
          <w:szCs w:val="32"/>
        </w:rPr>
      </w:pPr>
      <w:bookmarkStart w:id="47" w:name="_Toc15377216"/>
      <w:r>
        <w:rPr>
          <w:rFonts w:ascii="仿宋" w:eastAsia="仿宋" w:hint="eastAsia"/>
          <w:b/>
          <w:color w:val="000000"/>
          <w:sz w:val="32"/>
          <w:szCs w:val="32"/>
        </w:rPr>
        <w:t>（一）“三公”经费财政拨款支出决算总体情况说明</w:t>
      </w:r>
      <w:bookmarkEnd w:id="47"/>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2024年“三公”经费财政拨款支出决算为</w:t>
      </w:r>
      <w:r>
        <w:rPr>
          <w:rFonts w:ascii="仿宋_GB2312" w:eastAsia="仿宋_GB2312" w:cs="仿宋" w:hint="eastAsia"/>
          <w:color w:val="000000"/>
          <w:kern w:val="0"/>
          <w:sz w:val="32"/>
          <w:szCs w:val="32"/>
        </w:rPr>
        <w:t>7</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万元，完成预算100%。</w:t>
      </w:r>
      <w:bookmarkStart w:id="48" w:name="_Toc15377217"/>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（二）“三公”经费财政拨款支出决算具体情况说明</w:t>
      </w:r>
      <w:bookmarkEnd w:id="48"/>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2024年“三公”经费财政拨款支出</w:t>
      </w:r>
      <w:r>
        <w:rPr>
          <w:rFonts w:ascii="仿宋_GB2312" w:eastAsia="仿宋_GB2312" w:cs="仿宋" w:hint="eastAsia"/>
          <w:color w:val="000000"/>
          <w:kern w:val="0"/>
          <w:sz w:val="32"/>
          <w:szCs w:val="32"/>
        </w:rPr>
        <w:t>7</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万元，因公出国（境）费支出决算0万元；公务用车购置及运行维护费支出决算</w:t>
      </w:r>
      <w:r>
        <w:rPr>
          <w:rFonts w:ascii="仿宋_GB2312" w:eastAsia="仿宋_GB2312" w:cs="仿宋" w:hint="eastAsia"/>
          <w:color w:val="000000"/>
          <w:kern w:val="0"/>
          <w:sz w:val="32"/>
          <w:szCs w:val="32"/>
        </w:rPr>
        <w:t>7</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万元，占100%；公务接待费支出决算0万元。具体情况如下：</w:t>
      </w:r>
    </w:p>
    <w:p>
      <w:pPr>
        <w:pStyle w:val="16"/>
        <w:rPr>
          <w:rFonts w:ascii="仿宋_GB2312" w:eastAsia="仿宋_GB2312"/>
          <w:color w:val="000000"/>
          <w:sz w:val="32"/>
          <w:szCs w:val="32"/>
        </w:rPr>
      </w:pPr>
      <w:r>
        <w:rPr>
          <w:rFonts w:eastAsia="仿宋" w:hint="eastAsia"/>
        </w:rPr>
        <w:drawing>
          <wp:inline distT="0" distB="0" distL="114300" distR="114300">
            <wp:extent cx="4757420" cy="2956560"/>
            <wp:effectExtent l="0" t="0" r="0" b="0"/>
            <wp:docPr id="7" name="图表 4" descr="7b0a202020202263686172745265734964223a20223230343735353430220a7d0a"/>
            <wp:cNvGraphicFramePr>
              <a:graphicFrameLocks noChangeAspect="0"/>
            </wp:cNvGraphicFramePr>
            <a:graphic>
              <a:graphicData uri="http://schemas.openxmlformats.org/drawingml/2006/chart">
                <c:chart xmlns:c="http://schemas.openxmlformats.org/drawingml/2006/chart" r:id="rId10"/>
              </a:graphicData>
            </a:graphic>
          </wp:inline>
        </w:drawing>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1.因公出国（境）经费支出0万元。全年安排因公出国（境）团组0次，出国（境）0人。因公出国（境）支出决算</w:t>
      </w:r>
      <w:r>
        <w:rPr>
          <w:rFonts w:ascii="仿宋_GB2312" w:eastAsia="仿宋_GB2312" w:cs="仿宋"/>
          <w:color w:val="000000"/>
          <w:kern w:val="0"/>
          <w:sz w:val="32"/>
          <w:szCs w:val="32"/>
          <w:lang w:val="zh-CN"/>
        </w:rPr>
        <w:t>与</w:t>
      </w:r>
      <w:r>
        <w:rPr>
          <w:rFonts w:ascii="仿宋_GB2312" w:eastAsia="仿宋_GB2312" w:cs="仿宋" w:hint="eastAsia"/>
          <w:color w:val="000000"/>
          <w:kern w:val="0"/>
          <w:sz w:val="32"/>
          <w:szCs w:val="32"/>
          <w:lang w:val="zh-CN"/>
        </w:rPr>
        <w:t>2023年</w:t>
      </w:r>
      <w:r>
        <w:rPr>
          <w:rFonts w:ascii="仿宋_GB2312" w:eastAsia="仿宋_GB2312" w:cs="仿宋"/>
          <w:color w:val="000000"/>
          <w:kern w:val="0"/>
          <w:sz w:val="32"/>
          <w:szCs w:val="32"/>
          <w:lang w:val="zh-CN"/>
        </w:rPr>
        <w:t>相比，</w:t>
      </w:r>
      <w:r>
        <w:rPr>
          <w:rFonts w:ascii="仿宋_GB2312" w:eastAsia="仿宋_GB2312" w:cs="仿宋" w:hint="eastAsia"/>
          <w:color w:val="000000"/>
          <w:kern w:val="0"/>
          <w:sz w:val="32"/>
          <w:szCs w:val="32"/>
          <w:lang w:val="zh-CN"/>
        </w:rPr>
        <w:t xml:space="preserve">增加0万元。 </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2.公务用车购置及运行维护费支出</w:t>
      </w:r>
      <w:r>
        <w:rPr>
          <w:rFonts w:ascii="仿宋_GB2312" w:eastAsia="仿宋_GB2312" w:cs="仿宋" w:hint="eastAsia"/>
          <w:color w:val="000000"/>
          <w:kern w:val="0"/>
          <w:sz w:val="32"/>
          <w:szCs w:val="32"/>
        </w:rPr>
        <w:t>7</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万元,完成预算100%。公务用车购置及运行维护费支出决算</w:t>
      </w:r>
      <w:r>
        <w:rPr>
          <w:rFonts w:ascii="仿宋_GB2312" w:eastAsia="仿宋_GB2312" w:cs="仿宋"/>
          <w:color w:val="000000"/>
          <w:kern w:val="0"/>
          <w:sz w:val="32"/>
          <w:szCs w:val="32"/>
          <w:lang w:val="zh-CN"/>
        </w:rPr>
        <w:t>与</w:t>
      </w:r>
      <w:r>
        <w:rPr>
          <w:rFonts w:ascii="仿宋_GB2312" w:eastAsia="仿宋_GB2312" w:cs="仿宋" w:hint="eastAsia"/>
          <w:color w:val="000000"/>
          <w:kern w:val="0"/>
          <w:sz w:val="32"/>
          <w:szCs w:val="32"/>
          <w:lang w:val="zh-CN"/>
        </w:rPr>
        <w:t>2023年</w:t>
      </w:r>
      <w:r>
        <w:rPr>
          <w:rFonts w:ascii="仿宋_GB2312" w:eastAsia="仿宋_GB2312" w:cs="仿宋"/>
          <w:color w:val="000000"/>
          <w:kern w:val="0"/>
          <w:sz w:val="32"/>
          <w:szCs w:val="32"/>
          <w:lang w:val="zh-CN"/>
        </w:rPr>
        <w:t>相比，</w:t>
      </w:r>
      <w:r>
        <w:rPr>
          <w:rFonts w:ascii="仿宋_GB2312" w:eastAsia="仿宋_GB2312" w:cs="仿宋" w:hint="eastAsia"/>
          <w:color w:val="000000"/>
          <w:kern w:val="0"/>
          <w:sz w:val="32"/>
          <w:szCs w:val="32"/>
          <w:lang w:val="zh-CN"/>
        </w:rPr>
        <w:t>减少</w:t>
      </w:r>
      <w:r>
        <w:rPr>
          <w:rFonts w:ascii="仿宋_GB2312" w:eastAsia="仿宋_GB2312" w:cs="仿宋" w:hint="eastAsia"/>
          <w:color w:val="000000"/>
          <w:kern w:val="0"/>
          <w:sz w:val="32"/>
          <w:szCs w:val="32"/>
        </w:rPr>
        <w:t>1</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万元，</w:t>
      </w:r>
      <w:r>
        <w:rPr>
          <w:rFonts w:ascii="仿宋_GB2312" w:eastAsia="仿宋_GB2312" w:cs="仿宋" w:hint="eastAsia"/>
          <w:color w:val="000000"/>
          <w:kern w:val="0"/>
          <w:sz w:val="32"/>
          <w:szCs w:val="32"/>
        </w:rPr>
        <w:t>减少12.5</w:t>
      </w:r>
      <w:r>
        <w:rPr>
          <w:rFonts w:ascii="仿宋_GB2312" w:eastAsia="仿宋_GB2312" w:cs="仿宋" w:hint="eastAsia"/>
          <w:color w:val="000000"/>
          <w:kern w:val="0"/>
          <w:sz w:val="32"/>
          <w:szCs w:val="32"/>
          <w:lang w:val="zh-CN"/>
        </w:rPr>
        <w:t>%。主要原因是：控制运行成本。</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其中：公务用车购置支出0万元。全年按规定更新购置公务用车0辆，其中：轿车0辆、金额0万元，越野车0辆、金额0万元，载客汽车0辆、金额0万元。截至</w:t>
      </w:r>
      <w:r>
        <w:rPr>
          <w:rFonts w:ascii="仿宋_GB2312" w:eastAsia="仿宋_GB2312" w:cs="仿宋" w:hint="eastAsia"/>
          <w:color w:val="000000"/>
          <w:kern w:val="0"/>
          <w:sz w:val="32"/>
          <w:szCs w:val="32"/>
        </w:rPr>
        <w:t>2024年12月31日</w:t>
      </w:r>
      <w:r>
        <w:rPr>
          <w:rFonts w:ascii="仿宋_GB2312" w:eastAsia="仿宋_GB2312" w:cs="仿宋" w:hint="eastAsia"/>
          <w:color w:val="000000"/>
          <w:kern w:val="0"/>
          <w:sz w:val="32"/>
          <w:szCs w:val="32"/>
          <w:lang w:val="zh-CN"/>
        </w:rPr>
        <w:t>，单位共有公务用车2辆，其中：轿车</w:t>
      </w:r>
      <w:r>
        <w:rPr>
          <w:rFonts w:ascii="仿宋_GB2312" w:eastAsia="仿宋_GB2312" w:cs="仿宋" w:hint="eastAsia"/>
          <w:color w:val="000000"/>
          <w:kern w:val="0"/>
          <w:sz w:val="32"/>
          <w:szCs w:val="32"/>
        </w:rPr>
        <w:t>1</w:t>
      </w:r>
      <w:r>
        <w:rPr>
          <w:rFonts w:ascii="仿宋_GB2312" w:eastAsia="仿宋_GB2312" w:cs="仿宋" w:hint="eastAsia"/>
          <w:color w:val="000000"/>
          <w:kern w:val="0"/>
          <w:sz w:val="32"/>
          <w:szCs w:val="32"/>
          <w:lang w:val="zh-CN"/>
        </w:rPr>
        <w:t>辆、</w:t>
      </w:r>
      <w:r>
        <w:rPr>
          <w:rFonts w:ascii="仿宋_GB2312" w:eastAsia="仿宋_GB2312" w:cs="仿宋" w:hint="eastAsia"/>
          <w:color w:val="000000"/>
          <w:kern w:val="0"/>
          <w:sz w:val="32"/>
          <w:szCs w:val="32"/>
        </w:rPr>
        <w:t>消防车1</w:t>
      </w:r>
      <w:r>
        <w:rPr>
          <w:rFonts w:ascii="仿宋_GB2312" w:eastAsia="仿宋_GB2312" w:cs="仿宋" w:hint="eastAsia"/>
          <w:color w:val="000000"/>
          <w:kern w:val="0"/>
          <w:sz w:val="32"/>
          <w:szCs w:val="32"/>
          <w:lang w:val="zh-CN"/>
        </w:rPr>
        <w:t>辆。</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公务用车运行维护费支出</w:t>
      </w:r>
      <w:r>
        <w:rPr>
          <w:rFonts w:ascii="仿宋_GB2312" w:eastAsia="仿宋_GB2312" w:cs="仿宋" w:hint="eastAsia"/>
          <w:color w:val="000000"/>
          <w:kern w:val="0"/>
          <w:sz w:val="32"/>
          <w:szCs w:val="32"/>
        </w:rPr>
        <w:t>7</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 xml:space="preserve">万元。主要用于下村等工作所需的公务用车燃料费、维修费、过路过桥费、保险费等支出。 </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3.</w:t>
      </w:r>
      <w:r>
        <w:rPr>
          <w:rFonts w:ascii="仿宋_GB2312" w:eastAsia="仿宋_GB2312" w:cs="仿宋" w:hint="eastAsia"/>
          <w:color w:val="000000"/>
          <w:kern w:val="0"/>
          <w:sz w:val="32"/>
          <w:szCs w:val="32"/>
          <w:lang w:val="zh-CN"/>
        </w:rPr>
        <w:t>公务接待费</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2024年我镇公务接待费支出0万元。</w:t>
      </w:r>
    </w:p>
    <w:p>
      <w:pPr>
        <w:pStyle w:val="2"/>
        <w:spacing w:line="300" w:lineRule="exact"/>
        <w:ind w:firstLineChars="200" w:firstLine="640"/>
        <w:rPr>
          <w:rFonts w:ascii="黑体" w:eastAsia="黑体"/>
          <w:bCs w:val="0"/>
          <w:color w:val="000000"/>
        </w:rPr>
      </w:pPr>
      <w:bookmarkStart w:id="49" w:name="_Toc15377218"/>
      <w:bookmarkStart w:id="50" w:name="_Toc13730"/>
      <w:bookmarkStart w:id="51" w:name="_Toc111208506"/>
      <w:r>
        <w:rPr>
          <w:rFonts w:ascii="黑体" w:eastAsia="黑体" w:hint="eastAsia"/>
          <w:bCs w:val="0"/>
          <w:color w:val="000000"/>
        </w:rPr>
        <w:t>八、政府性基金预算支出决算情况说明</w:t>
      </w:r>
      <w:bookmarkEnd w:id="49"/>
      <w:bookmarkEnd w:id="50"/>
      <w:bookmarkEnd w:id="51"/>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2024年政府性基金预算拨款支出0</w:t>
      </w:r>
      <w:r>
        <w:rPr>
          <w:rFonts w:ascii="仿宋_GB2312" w:eastAsia="仿宋_GB2312" w:cs="仿宋" w:hint="eastAsia"/>
          <w:color w:val="000000"/>
          <w:kern w:val="0"/>
          <w:sz w:val="32"/>
          <w:szCs w:val="32"/>
        </w:rPr>
        <w:t>.01</w:t>
      </w:r>
      <w:r>
        <w:rPr>
          <w:rFonts w:ascii="仿宋_GB2312" w:eastAsia="仿宋_GB2312" w:cs="仿宋" w:hint="eastAsia"/>
          <w:color w:val="000000"/>
          <w:kern w:val="0"/>
          <w:sz w:val="32"/>
          <w:szCs w:val="32"/>
          <w:lang w:val="zh-CN"/>
        </w:rPr>
        <w:t>万元，</w:t>
      </w:r>
      <w:r>
        <w:rPr>
          <w:rFonts w:ascii="仿宋_GB2312" w:eastAsia="仿宋_GB2312" w:cs="仿宋" w:hint="eastAsia"/>
          <w:color w:val="000000"/>
          <w:kern w:val="0"/>
          <w:sz w:val="32"/>
          <w:szCs w:val="32"/>
        </w:rPr>
        <w:t>占本年支出合计</w:t>
      </w:r>
      <w:r>
        <w:rPr>
          <w:rFonts w:ascii="仿宋_GB2312" w:eastAsia="仿宋_GB2312" w:cs="仿宋"/>
          <w:color w:val="000000"/>
          <w:kern w:val="0"/>
          <w:sz w:val="32"/>
          <w:szCs w:val="32"/>
        </w:rPr>
        <w:t>100</w:t>
      </w:r>
      <w:r>
        <w:rPr>
          <w:rFonts w:ascii="仿宋_GB2312" w:eastAsia="仿宋_GB2312" w:cs="仿宋" w:hint="eastAsia"/>
          <w:color w:val="000000"/>
          <w:kern w:val="0"/>
          <w:sz w:val="32"/>
          <w:szCs w:val="32"/>
        </w:rPr>
        <w:t>%</w:t>
      </w:r>
      <w:r>
        <w:rPr>
          <w:rFonts w:ascii="仿宋_GB2312" w:eastAsia="仿宋_GB2312" w:cs="仿宋" w:hint="eastAsia"/>
          <w:color w:val="000000"/>
          <w:kern w:val="0"/>
          <w:sz w:val="32"/>
          <w:szCs w:val="32"/>
          <w:lang w:val="zh-CN"/>
        </w:rPr>
        <w:t>。</w:t>
      </w:r>
      <w:bookmarkStart w:id="52" w:name="_Toc15377219"/>
    </w:p>
    <w:p>
      <w:pPr>
        <w:pStyle w:val="2"/>
        <w:spacing w:line="300" w:lineRule="exact"/>
        <w:ind w:firstLineChars="200" w:firstLine="640"/>
        <w:rPr>
          <w:rFonts w:ascii="黑体" w:eastAsia="黑体"/>
          <w:bCs w:val="0"/>
          <w:color w:val="000000"/>
        </w:rPr>
      </w:pPr>
      <w:bookmarkStart w:id="53" w:name="_Toc111208507"/>
      <w:bookmarkStart w:id="54" w:name="_Toc30609"/>
      <w:r>
        <w:rPr>
          <w:rFonts w:ascii="黑体" w:eastAsia="黑体" w:hint="eastAsia"/>
          <w:bCs w:val="0"/>
          <w:color w:val="000000"/>
        </w:rPr>
        <w:t>九、国有资本经营预算支出决算情况说明</w:t>
      </w:r>
      <w:bookmarkEnd w:id="52"/>
      <w:bookmarkEnd w:id="53"/>
      <w:bookmarkEnd w:id="54"/>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2024年国有资本经营预算拨款支出0万元。</w:t>
      </w:r>
    </w:p>
    <w:p>
      <w:pPr>
        <w:pStyle w:val="2"/>
        <w:spacing w:after="0" w:line="300" w:lineRule="exact"/>
        <w:ind w:firstLineChars="200" w:firstLine="640"/>
        <w:rPr>
          <w:rFonts w:ascii="黑体" w:eastAsia="黑体"/>
          <w:bCs w:val="0"/>
          <w:color w:val="000000"/>
        </w:rPr>
      </w:pPr>
      <w:bookmarkStart w:id="55" w:name="_Toc11418"/>
      <w:bookmarkStart w:id="56" w:name="_Toc111208508"/>
      <w:bookmarkStart w:id="57" w:name="_Toc15377221"/>
      <w:r>
        <w:rPr>
          <w:rFonts w:ascii="黑体" w:eastAsia="黑体" w:hint="eastAsia"/>
          <w:bCs w:val="0"/>
          <w:color w:val="000000"/>
        </w:rPr>
        <w:t>十、其他重要事项的情况说明</w:t>
      </w:r>
      <w:bookmarkEnd w:id="55"/>
      <w:bookmarkEnd w:id="56"/>
      <w:bookmarkEnd w:id="57"/>
    </w:p>
    <w:p>
      <w:pPr>
        <w:spacing w:line="600" w:lineRule="exact"/>
        <w:ind w:firstLineChars="200" w:firstLine="640"/>
        <w:outlineLvl w:val="2"/>
        <w:rPr>
          <w:rFonts w:ascii="仿宋" w:eastAsia="仿宋"/>
          <w:b/>
          <w:color w:val="000000"/>
          <w:sz w:val="32"/>
          <w:szCs w:val="32"/>
        </w:rPr>
      </w:pPr>
      <w:bookmarkStart w:id="58" w:name="_Toc15377222"/>
      <w:r>
        <w:rPr>
          <w:rFonts w:ascii="仿宋" w:eastAsia="仿宋" w:hint="eastAsia"/>
          <w:b/>
          <w:color w:val="000000"/>
          <w:sz w:val="32"/>
          <w:szCs w:val="32"/>
        </w:rPr>
        <w:t>（一）机关运行经费支出情况</w:t>
      </w:r>
      <w:bookmarkEnd w:id="58"/>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2024年，机关运行经费支出</w:t>
      </w:r>
      <w:r>
        <w:rPr>
          <w:rFonts w:ascii="仿宋_GB2312" w:eastAsia="仿宋_GB2312" w:cs="仿宋" w:hint="eastAsia"/>
          <w:color w:val="000000"/>
          <w:kern w:val="0"/>
          <w:sz w:val="32"/>
          <w:szCs w:val="32"/>
        </w:rPr>
        <w:t>29.09</w:t>
      </w:r>
      <w:r>
        <w:rPr>
          <w:rFonts w:ascii="仿宋_GB2312" w:eastAsia="仿宋_GB2312" w:cs="仿宋" w:hint="eastAsia"/>
          <w:color w:val="000000"/>
          <w:kern w:val="0"/>
          <w:sz w:val="32"/>
          <w:szCs w:val="32"/>
          <w:lang w:val="zh-CN"/>
        </w:rPr>
        <w:t>万元，</w:t>
      </w:r>
      <w:r>
        <w:rPr>
          <w:rFonts w:ascii="仿宋_GB2312" w:eastAsia="仿宋_GB2312" w:cs="仿宋"/>
          <w:color w:val="000000"/>
          <w:kern w:val="0"/>
          <w:sz w:val="32"/>
          <w:szCs w:val="32"/>
          <w:lang w:val="zh-CN"/>
        </w:rPr>
        <w:t>与</w:t>
      </w:r>
      <w:r>
        <w:rPr>
          <w:rFonts w:ascii="仿宋_GB2312" w:eastAsia="仿宋_GB2312" w:cs="仿宋" w:hint="eastAsia"/>
          <w:color w:val="000000"/>
          <w:kern w:val="0"/>
          <w:sz w:val="32"/>
          <w:szCs w:val="32"/>
          <w:lang w:val="zh-CN"/>
        </w:rPr>
        <w:t>2023年</w:t>
      </w:r>
      <w:r>
        <w:rPr>
          <w:rFonts w:ascii="仿宋_GB2312" w:eastAsia="仿宋_GB2312" w:cs="仿宋"/>
          <w:color w:val="000000"/>
          <w:kern w:val="0"/>
          <w:sz w:val="32"/>
          <w:szCs w:val="32"/>
          <w:lang w:val="zh-CN"/>
        </w:rPr>
        <w:t>相比，</w:t>
      </w:r>
      <w:r>
        <w:rPr>
          <w:rFonts w:ascii="仿宋_GB2312" w:eastAsia="仿宋_GB2312" w:cs="仿宋" w:hint="eastAsia"/>
          <w:color w:val="000000"/>
          <w:kern w:val="0"/>
          <w:sz w:val="32"/>
          <w:szCs w:val="32"/>
          <w:lang w:val="zh-CN"/>
        </w:rPr>
        <w:t>增加</w:t>
      </w:r>
      <w:r>
        <w:rPr>
          <w:rFonts w:ascii="仿宋_GB2312" w:eastAsia="仿宋_GB2312" w:cs="仿宋" w:hint="eastAsia"/>
          <w:color w:val="000000"/>
          <w:kern w:val="0"/>
          <w:sz w:val="32"/>
          <w:szCs w:val="32"/>
        </w:rPr>
        <w:t>3.92</w:t>
      </w:r>
      <w:r>
        <w:rPr>
          <w:rFonts w:ascii="仿宋_GB2312" w:eastAsia="仿宋_GB2312" w:cs="仿宋" w:hint="eastAsia"/>
          <w:color w:val="000000"/>
          <w:kern w:val="0"/>
          <w:sz w:val="32"/>
          <w:szCs w:val="32"/>
          <w:lang w:val="zh-CN"/>
        </w:rPr>
        <w:t>万元，增加</w:t>
      </w:r>
      <w:r>
        <w:rPr>
          <w:rFonts w:ascii="仿宋_GB2312" w:eastAsia="仿宋_GB2312" w:cs="仿宋" w:hint="eastAsia"/>
          <w:color w:val="000000"/>
          <w:kern w:val="0"/>
          <w:sz w:val="32"/>
          <w:szCs w:val="32"/>
        </w:rPr>
        <w:t>13.5</w:t>
      </w:r>
      <w:r>
        <w:rPr>
          <w:rFonts w:ascii="仿宋_GB2312" w:eastAsia="仿宋_GB2312" w:cs="仿宋" w:hint="eastAsia"/>
          <w:color w:val="000000"/>
          <w:kern w:val="0"/>
          <w:sz w:val="32"/>
          <w:szCs w:val="32"/>
          <w:lang w:val="zh-CN"/>
        </w:rPr>
        <w:t xml:space="preserve">%。 </w:t>
      </w:r>
    </w:p>
    <w:p>
      <w:pPr>
        <w:spacing w:line="600" w:lineRule="exact"/>
        <w:ind w:firstLineChars="200" w:firstLine="640"/>
        <w:outlineLvl w:val="2"/>
        <w:rPr>
          <w:rFonts w:ascii="仿宋" w:eastAsia="仿宋"/>
          <w:b/>
          <w:color w:val="000000"/>
          <w:sz w:val="32"/>
          <w:szCs w:val="32"/>
        </w:rPr>
      </w:pPr>
      <w:bookmarkStart w:id="59" w:name="_Toc15377223"/>
      <w:r>
        <w:rPr>
          <w:rFonts w:ascii="仿宋" w:eastAsia="仿宋" w:hint="eastAsia"/>
          <w:b/>
          <w:color w:val="000000"/>
          <w:sz w:val="32"/>
          <w:szCs w:val="32"/>
        </w:rPr>
        <w:t>（二）政府采购支出情况</w:t>
      </w:r>
      <w:bookmarkEnd w:id="59"/>
    </w:p>
    <w:p>
      <w:pPr>
        <w:spacing w:line="14" w:lineRule="auto"/>
        <w:ind w:firstLineChars="200" w:firstLine="640"/>
        <w:rPr>
          <w:rFonts w:ascii="仿宋_GB2312" w:eastAsia="仿宋_GB2312" w:cs="仿宋" w:hint="eastAsia"/>
          <w:color w:val="000000"/>
          <w:kern w:val="0"/>
          <w:sz w:val="32"/>
          <w:szCs w:val="32"/>
          <w:lang w:val="en-US" w:eastAsia="zh-CN"/>
        </w:rPr>
      </w:pPr>
      <w:r>
        <w:rPr>
          <w:rFonts w:ascii="仿宋_GB2312" w:eastAsia="仿宋_GB2312" w:cs="仿宋" w:hint="eastAsia"/>
          <w:color w:val="000000"/>
          <w:kern w:val="0"/>
          <w:sz w:val="32"/>
          <w:szCs w:val="32"/>
          <w:lang w:val="zh-CN"/>
        </w:rPr>
        <w:t>2024年，政府采购支出总额</w:t>
      </w:r>
      <w:r>
        <w:rPr>
          <w:rFonts w:ascii="仿宋_GB2312" w:eastAsia="仿宋_GB2312" w:cs="仿宋" w:hint="eastAsia"/>
          <w:color w:val="000000"/>
          <w:kern w:val="0"/>
          <w:sz w:val="32"/>
          <w:szCs w:val="32"/>
        </w:rPr>
        <w:t>52.51</w:t>
      </w:r>
      <w:r>
        <w:rPr>
          <w:rFonts w:ascii="仿宋_GB2312" w:eastAsia="仿宋_GB2312" w:cs="仿宋" w:hint="eastAsia"/>
          <w:color w:val="000000"/>
          <w:kern w:val="0"/>
          <w:sz w:val="32"/>
          <w:szCs w:val="32"/>
          <w:lang w:val="zh-CN"/>
        </w:rPr>
        <w:t>万元，其中：政府采购货物支出</w:t>
      </w:r>
      <w:r>
        <w:rPr>
          <w:rFonts w:ascii="仿宋_GB2312" w:eastAsia="仿宋_GB2312" w:cs="仿宋" w:hint="eastAsia"/>
          <w:color w:val="000000"/>
          <w:kern w:val="0"/>
          <w:sz w:val="32"/>
          <w:szCs w:val="32"/>
        </w:rPr>
        <w:t>52.51</w:t>
      </w:r>
      <w:r>
        <w:rPr>
          <w:rFonts w:ascii="仿宋_GB2312" w:eastAsia="仿宋_GB2312" w:cs="仿宋" w:hint="eastAsia"/>
          <w:color w:val="000000"/>
          <w:kern w:val="0"/>
          <w:sz w:val="32"/>
          <w:szCs w:val="32"/>
          <w:lang w:val="zh-CN"/>
        </w:rPr>
        <w:t>万元、政府采购工程支出0万元、政府采购服务支出0万元。授予中小企业合同金额</w:t>
      </w:r>
      <w:r>
        <w:rPr>
          <w:rFonts w:ascii="仿宋_GB2312" w:eastAsia="仿宋_GB2312" w:cs="仿宋" w:hint="eastAsia"/>
          <w:color w:val="000000"/>
          <w:kern w:val="0"/>
          <w:sz w:val="32"/>
          <w:szCs w:val="32"/>
        </w:rPr>
        <w:t>52.51</w:t>
      </w:r>
      <w:r>
        <w:rPr>
          <w:rFonts w:ascii="仿宋_GB2312" w:eastAsia="仿宋_GB2312" w:cs="仿宋" w:hint="eastAsia"/>
          <w:color w:val="000000"/>
          <w:kern w:val="0"/>
          <w:sz w:val="32"/>
          <w:szCs w:val="32"/>
          <w:lang w:val="zh-CN"/>
        </w:rPr>
        <w:t>万元，其中：授予小微企业合同金额</w:t>
      </w:r>
      <w:r>
        <w:rPr>
          <w:rFonts w:ascii="仿宋_GB2312" w:eastAsia="仿宋_GB2312" w:cs="仿宋" w:hint="eastAsia"/>
          <w:color w:val="000000"/>
          <w:kern w:val="0"/>
          <w:sz w:val="32"/>
          <w:szCs w:val="32"/>
        </w:rPr>
        <w:t>52.51</w:t>
      </w:r>
      <w:r>
        <w:rPr>
          <w:rFonts w:ascii="仿宋_GB2312" w:eastAsia="仿宋_GB2312" w:cs="仿宋" w:hint="eastAsia"/>
          <w:color w:val="000000"/>
          <w:kern w:val="0"/>
          <w:sz w:val="32"/>
          <w:szCs w:val="32"/>
          <w:lang w:val="zh-CN"/>
        </w:rPr>
        <w:t>万元，占</w:t>
      </w:r>
      <w:r>
        <w:rPr>
          <w:rFonts w:ascii="仿宋_GB2312" w:eastAsia="仿宋_GB2312" w:cs="仿宋" w:hint="eastAsia"/>
          <w:color w:val="000000"/>
          <w:kern w:val="0"/>
          <w:sz w:val="32"/>
          <w:szCs w:val="32"/>
        </w:rPr>
        <w:t>100%</w:t>
      </w:r>
      <w:r>
        <w:rPr>
          <w:rFonts w:ascii="仿宋_GB2312" w:eastAsia="仿宋_GB2312" w:cs="仿宋" w:hint="eastAsia"/>
          <w:color w:val="000000"/>
          <w:kern w:val="0"/>
          <w:sz w:val="32"/>
          <w:szCs w:val="32"/>
          <w:lang w:val="zh-CN"/>
        </w:rPr>
        <w:t>。</w:t>
      </w:r>
    </w:p>
    <w:p>
      <w:pPr>
        <w:spacing w:line="600" w:lineRule="exact"/>
        <w:ind w:firstLineChars="200" w:firstLine="640"/>
        <w:outlineLvl w:val="2"/>
        <w:rPr>
          <w:rFonts w:ascii="仿宋" w:eastAsia="仿宋"/>
          <w:b/>
          <w:color w:val="000000"/>
          <w:sz w:val="32"/>
          <w:szCs w:val="32"/>
        </w:rPr>
      </w:pPr>
      <w:bookmarkStart w:id="60" w:name="_Toc15377224"/>
      <w:r>
        <w:rPr>
          <w:rFonts w:ascii="仿宋" w:eastAsia="仿宋" w:hint="eastAsia"/>
          <w:b/>
          <w:color w:val="000000"/>
          <w:sz w:val="32"/>
          <w:szCs w:val="32"/>
        </w:rPr>
        <w:t>（三）国有资产占有使用情况</w:t>
      </w:r>
      <w:bookmarkEnd w:id="60"/>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截至2024年12月31日，共有车辆</w:t>
      </w:r>
      <w:r>
        <w:rPr>
          <w:rFonts w:ascii="仿宋_GB2312" w:eastAsia="仿宋_GB2312" w:cs="仿宋" w:hint="eastAsia"/>
          <w:color w:val="000000"/>
          <w:kern w:val="0"/>
          <w:sz w:val="32"/>
          <w:szCs w:val="32"/>
        </w:rPr>
        <w:t>2</w:t>
      </w:r>
      <w:r>
        <w:rPr>
          <w:rFonts w:ascii="仿宋_GB2312" w:eastAsia="仿宋_GB2312" w:cs="仿宋" w:hint="eastAsia"/>
          <w:color w:val="000000"/>
          <w:kern w:val="0"/>
          <w:sz w:val="32"/>
          <w:szCs w:val="32"/>
          <w:lang w:val="zh-CN"/>
        </w:rPr>
        <w:t>辆，其中：主要领导干部用车0辆、机要通信用车0辆、应急保障用车</w:t>
      </w:r>
      <w:r>
        <w:rPr>
          <w:rFonts w:ascii="仿宋_GB2312" w:eastAsia="仿宋_GB2312" w:cs="仿宋" w:hint="eastAsia"/>
          <w:color w:val="000000"/>
          <w:kern w:val="0"/>
          <w:sz w:val="32"/>
          <w:szCs w:val="32"/>
        </w:rPr>
        <w:t>2</w:t>
      </w:r>
      <w:r>
        <w:rPr>
          <w:rFonts w:ascii="仿宋_GB2312" w:eastAsia="仿宋_GB2312" w:cs="仿宋" w:hint="eastAsia"/>
          <w:color w:val="000000"/>
          <w:kern w:val="0"/>
          <w:sz w:val="32"/>
          <w:szCs w:val="32"/>
          <w:lang w:val="zh-CN"/>
        </w:rPr>
        <w:t>辆、其他用车0辆。单价50万元以上通用设备0台（套），单价100万元以上专用设备</w:t>
      </w:r>
      <w:r>
        <w:rPr>
          <w:rFonts w:ascii="仿宋_GB2312" w:eastAsia="仿宋_GB2312" w:cs="仿宋" w:hint="eastAsia"/>
          <w:color w:val="000000"/>
          <w:kern w:val="0"/>
          <w:sz w:val="32"/>
          <w:szCs w:val="32"/>
        </w:rPr>
        <w:t>0</w:t>
      </w:r>
      <w:r>
        <w:rPr>
          <w:rFonts w:ascii="仿宋_GB2312" w:eastAsia="仿宋_GB2312" w:cs="仿宋" w:hint="eastAsia"/>
          <w:color w:val="000000"/>
          <w:kern w:val="0"/>
          <w:sz w:val="32"/>
          <w:szCs w:val="32"/>
          <w:lang w:val="zh-CN"/>
        </w:rPr>
        <w:t>台（套）。</w:t>
      </w: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（四）预算绩效管理情况</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根据预算绩效管理要求，茂县南新镇人民政府在2024年度预算编制阶段，组织对村干部工资、村干部体检费、村级运行维护费、残协经费、公共文化服务建设资金等20个项目开展了预算事前绩效评估，对20个项目编制了绩效目标，预算执行过程中，选取5个项目开展绩效监控,绩效自评报告详见第四部分附件。</w:t>
      </w:r>
    </w:p>
    <w:p>
      <w:pPr>
        <w:spacing w:line="14" w:lineRule="auto"/>
        <w:ind w:firstLineChars="200" w:firstLine="640"/>
      </w:pPr>
      <w:r>
        <w:rPr>
          <w:rFonts w:ascii="仿宋_GB2312" w:eastAsia="仿宋_GB2312" w:cs="仿宋" w:hint="eastAsia"/>
          <w:color w:val="000000"/>
          <w:kern w:val="0"/>
          <w:sz w:val="32"/>
          <w:szCs w:val="32"/>
        </w:rPr>
        <w:t>组织对2024年度一般公共预算、政府性基金预算、国有资本经营预算、社会保险基金预算以及资本资产、债券资金等全面开展绩效自评，形成茂县南新镇人民政府部门整体（含部门预算项目）绩效自评报告、村级运行维护费、残协经费、公共文化服务建设资金、人大经费、党纪学习教育经费等专项预算项目绩效自评报告，其中，茂县南新镇人民政府部门整体（含部门预算项目）绩效自评得分为93分，绩效自评综述：</w:t>
      </w:r>
      <w:r>
        <w:rPr>
          <w:rFonts w:ascii="仿宋_GB2312" w:eastAsia="仿宋_GB2312" w:cs="仿宋" w:hint="eastAsia"/>
          <w:color w:val="000000"/>
          <w:kern w:val="0"/>
          <w:sz w:val="32"/>
          <w:szCs w:val="32"/>
          <w:lang w:val="zh-CN"/>
        </w:rPr>
        <w:t>部门整体绩效目标中选定3个核心职能目标，根据党委履职情况、政府履职情况、人大履职情况的职能目标完成效果情况来进行打分。严格按照县级部门预算编制通知和有关要求，按时完成基础库、项目库报送工作，按时完成202</w:t>
      </w:r>
      <w:r>
        <w:rPr>
          <w:rFonts w:ascii="仿宋_GB2312" w:eastAsia="仿宋_GB2312" w:cs="仿宋" w:hint="eastAsia"/>
          <w:color w:val="000000"/>
          <w:kern w:val="0"/>
          <w:sz w:val="32"/>
          <w:szCs w:val="32"/>
        </w:rPr>
        <w:t>4</w:t>
      </w:r>
      <w:r>
        <w:rPr>
          <w:rFonts w:ascii="仿宋_GB2312" w:eastAsia="仿宋_GB2312" w:cs="仿宋" w:hint="eastAsia"/>
          <w:color w:val="000000"/>
          <w:kern w:val="0"/>
          <w:sz w:val="32"/>
          <w:szCs w:val="32"/>
          <w:lang w:val="zh-CN"/>
        </w:rPr>
        <w:t>年预算编制工作，并按时提交部门预算草案。按规定编制政府采购预算，预算编制全面、科学。202</w:t>
      </w:r>
      <w:r>
        <w:rPr>
          <w:rFonts w:ascii="仿宋_GB2312" w:eastAsia="仿宋_GB2312" w:cs="仿宋" w:hint="eastAsia"/>
          <w:color w:val="000000"/>
          <w:kern w:val="0"/>
          <w:sz w:val="32"/>
          <w:szCs w:val="32"/>
        </w:rPr>
        <w:t>4</w:t>
      </w:r>
      <w:r>
        <w:rPr>
          <w:rFonts w:ascii="仿宋_GB2312" w:eastAsia="仿宋_GB2312" w:cs="仿宋" w:hint="eastAsia"/>
          <w:color w:val="000000"/>
          <w:kern w:val="0"/>
          <w:sz w:val="32"/>
          <w:szCs w:val="32"/>
          <w:lang w:val="zh-CN"/>
        </w:rPr>
        <w:t>年部门决算、绩效目标填报及年末结余结转都是严格按照县财政局的要求认真完成。</w:t>
      </w:r>
    </w:p>
    <w:p/>
    <w:p>
      <w:pPr>
        <w:pStyle w:val="15"/>
      </w:pPr>
    </w:p>
    <w:p/>
    <w:p/>
    <w:p>
      <w:pPr>
        <w:pStyle w:val="15"/>
      </w:pPr>
    </w:p>
    <w:p/>
    <w:p>
      <w:pPr>
        <w:pStyle w:val="15"/>
      </w:pPr>
    </w:p>
    <w:p/>
    <w:p>
      <w:pPr>
        <w:pStyle w:val="15"/>
      </w:pPr>
    </w:p>
    <w:p>
      <w:pPr>
        <w:numPr>
          <w:ilvl w:val="0"/>
          <w:numId w:val="1"/>
        </w:numPr>
        <w:spacing w:line="600" w:lineRule="exact"/>
        <w:ind w:left="0" w:firstLineChars="150" w:firstLine="660"/>
        <w:jc w:val="center"/>
        <w:outlineLvl w:val="0"/>
        <w:rPr>
          <w:rStyle w:val="1Char"/>
          <w:rFonts w:ascii="黑体" w:eastAsia="黑体"/>
          <w:b w:val="0"/>
        </w:rPr>
      </w:pPr>
      <w:bookmarkStart w:id="61" w:name="_Toc15396613"/>
      <w:bookmarkStart w:id="62" w:name="_Toc15377225"/>
      <w:bookmarkStart w:id="63" w:name="_Toc20590"/>
      <w:bookmarkStart w:id="64" w:name="_Toc111208510"/>
      <w:r>
        <w:rPr>
          <w:rFonts w:ascii="黑体" w:eastAsia="黑体" w:hint="eastAsia"/>
          <w:sz w:val="44"/>
          <w:szCs w:val="44"/>
        </w:rPr>
        <w:t>名</w:t>
      </w:r>
      <w:r>
        <w:rPr>
          <w:rStyle w:val="1Char"/>
          <w:rFonts w:ascii="黑体" w:eastAsia="黑体" w:hint="eastAsia"/>
          <w:b w:val="0"/>
        </w:rPr>
        <w:t>词解释</w:t>
      </w:r>
      <w:bookmarkEnd w:id="61"/>
      <w:bookmarkEnd w:id="62"/>
      <w:bookmarkEnd w:id="63"/>
    </w:p>
    <w:p>
      <w:pPr>
        <w:spacing w:line="600" w:lineRule="exact"/>
        <w:jc w:val="left"/>
        <w:rPr>
          <w:rFonts w:ascii="宋体"/>
          <w:b/>
          <w:sz w:val="44"/>
          <w:szCs w:val="44"/>
        </w:rPr>
      </w:pP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1.财政拨款收入：指单位从同级财政部门取得的财政预算资金。</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2.事业收入：指事业单位开展专业业务活动及辅助活动取得的收入。</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3.经营收入：指事业单位在专业业务活动及其辅助活动之外开展非独立核算经营活动取得的收入。</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 xml:space="preserve">4.其他收入：指单位取得的除上述收入以外的各项收入。 </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 xml:space="preserve">5.使用非财政拨款结余：指事业单位使用以前年度积累的非财政拨款结余弥补当年收支差额的金额。 </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 xml:space="preserve">6.年初结转和结余：指以前年度尚未完成、结转到本年按有关规定继续使用的资金。 </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7.结余分配：指事业单位按照会计制度规定缴纳的所得税、提取的专用结余以及转入非财政拨款结余的金额等。</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8、年末结转和结余：指单位按有关规定结转到下年或以后年度继续使用的资金。</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9.一般公共服务（类）人大事务（款）人大会议（项）: 指单位人大召开人民代表大会等专门会议的支出。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10.一般公共服务（类）政府办公厅（室）及相关机构事务（款）行政运行（项）: 指单位（包括实行公务员管理的事业单位）的基本支出。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11.一般公共服务（类）财政事务（款）事业运行（项）: 指单位机关及参公管理事业单位用于保障机构正常运行、开展日常工作的基本支出。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12.一般公共服务（类）民族事务（款）其他民族事务支出（项）: 指单位除上述项目以外其他用于民族事务方面的支出。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13.一般公共服务（类）党委办公厅（室）及相关机构事务（款）行政运行（项）: 指单位用于保障机构正常运行、开展日常工作的基本支出。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14.国防支出（类）其他国防支出（款）其他国防支出（项）: 指单位其他用于国防方面的支出。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15.社会保障和就业（类）行政事业单位离退休（款）机关事业单位基本养老保险缴费支出（项）: 指单位实施养老保险制度由单位缴纳的养老保险费的支出。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16.社会保障和就业（类）行政事业单位离退休（款）机关事业单位职业年金缴费支出（项）: 指单位实施养老保险制度由单位缴纳的职业年金的支出。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17.社会保障和就业（类）社会福利（款）老年福利（项）: 指对老年人提供福利服务方面的支出。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18.社会保障和就业（类）社会福利（款）其他社会福利支出（项）: 指除上述项目以外其他用于社会福利方面的支出。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19.医疗卫生与计划生育（类）基层医疗卫生机构（款）镇镇卫生院（项）:指用于镇镇卫生院支出。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20.医疗卫生与计划生育（类）行政事业单位医疗（款）行政单位医疗（项）:指行政单位用于缴纳单位基本医疗保险支出。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21.医疗卫生与计划生育（类）行政事业单位医疗（款）事业单位医疗（项）:指事业单位用于缴纳单位基本医疗保险支出。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22.农林水支出（类）农业（款）事业运行（项）: 指用于农业事业单位基本支出，事业单位设施、系统运行与资产维护等方面的支出。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23.农林水支出（类）农业（款）农业资源保护修复与利用（项）: 指用于农业耕地保护、修复与建设，草原草场生态保护、改良、利用及建设，渔业水产及水生生物资源保护与利用等方面的支出。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24.农林水支出（类）农业（款）其他农业支出（项）: 指除上述项目以外其他用于农业方面的支出。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25.农林水支出（类）扶贫（款）农村基础设施建设（项）: 指用于农村贫困地区镇村道路、住房、基本农田、水利设施、人畜饮水、生态环境保护等生产生活条件改善方面的支出。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26.农林水支出（类）扶贫（款）其他扶贫支出（项）: 指农业综合开发部门的其他支出。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27.农林水支出（类）农村综合改革（款）对村委会和村党支部的补助（项）: 指对村民委员会和对村党支部的补助支出，以及支持建立县级基本财力保障机制安排的村级组织运转奖补资金。</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28.农林水支出（类）其他农林水支出（款）其他农林水支出（项）: 指除上述项目以外其他用于农林水方面的支出。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29.住房保障支出（类）住房改革支出（款）住房公积金（项）: 指反映行政事业单位按规定为职工缴纳的住房公积金。</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30.基本支出：指为保障机构正常运转、完成日常工作任务而发生的人员支出和公用支出。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31.项目支出：指在基本支出之外为完成特定行政任务和事业发展目标所发生的支出。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32.经营支出：指事业单位在专业业务活动及其辅助活动之外开展非独立核算经营活动发生的支出。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65" w:name="_Toc16858"/>
      <w:bookmarkEnd w:id="64"/>
    </w:p>
    <w:p>
      <w:pPr>
        <w:pStyle w:val="1"/>
        <w:rPr>
          <w:rFonts w:ascii="黑体" w:eastAsia="黑体" w:cs="黑体"/>
        </w:rPr>
      </w:pPr>
    </w:p>
    <w:p>
      <w:pPr>
        <w:pStyle w:val="1"/>
        <w:rPr>
          <w:rFonts w:ascii="黑体" w:eastAsia="黑体" w:cs="黑体"/>
        </w:rPr>
      </w:pPr>
    </w:p>
    <w:p>
      <w:pPr>
        <w:pStyle w:val="1"/>
        <w:rPr>
          <w:rFonts w:ascii="黑体" w:eastAsia="黑体" w:cs="黑体"/>
        </w:rPr>
      </w:pPr>
    </w:p>
    <w:p>
      <w:pPr>
        <w:pStyle w:val="1"/>
        <w:rPr>
          <w:rFonts w:ascii="黑体" w:eastAsia="黑体" w:cs="黑体"/>
        </w:rPr>
      </w:pPr>
    </w:p>
    <w:p>
      <w:pPr>
        <w:pStyle w:val="1"/>
        <w:rPr>
          <w:rFonts w:ascii="黑体" w:eastAsia="黑体" w:cs="黑体"/>
        </w:rPr>
      </w:pPr>
    </w:p>
    <w:p>
      <w:pPr>
        <w:pStyle w:val="1"/>
        <w:rPr>
          <w:rFonts w:ascii="黑体" w:eastAsia="黑体" w:cs="黑体"/>
        </w:rPr>
      </w:pPr>
    </w:p>
    <w:p>
      <w:pPr>
        <w:pStyle w:val="1"/>
        <w:rPr>
          <w:rFonts w:ascii="黑体" w:eastAsia="黑体" w:cs="黑体"/>
        </w:rPr>
      </w:pPr>
    </w:p>
    <w:p>
      <w:pPr>
        <w:pStyle w:val="1"/>
        <w:rPr>
          <w:rFonts w:ascii="黑体" w:eastAsia="黑体" w:cs="黑体"/>
        </w:rPr>
      </w:pPr>
    </w:p>
    <w:p/>
    <w:p>
      <w:pPr>
        <w:pStyle w:val="15"/>
      </w:pPr>
    </w:p>
    <w:p/>
    <w:p>
      <w:pPr>
        <w:pStyle w:val="1"/>
        <w:jc w:val="center"/>
        <w:rPr>
          <w:rFonts w:ascii="黑体" w:eastAsia="黑体" w:cs="黑体"/>
        </w:rPr>
      </w:pPr>
      <w:r>
        <w:rPr>
          <w:rFonts w:ascii="黑体" w:eastAsia="黑体" w:cs="黑体" w:hint="eastAsia"/>
        </w:rPr>
        <w:t>第四部分 附件</w:t>
      </w:r>
      <w:bookmarkEnd w:id="65"/>
    </w:p>
    <w:p>
      <w:pPr>
        <w:widowControl/>
        <w:spacing w:line="578" w:lineRule="exact"/>
        <w:contextualSpacing/>
        <w:jc w:val="center"/>
        <w:rPr>
          <w:rFonts w:ascii="宋体" w:cs="宋体"/>
          <w:b/>
          <w:sz w:val="44"/>
          <w:szCs w:val="44"/>
          <w:shd w:val="clear" w:color="auto" w:fill="FFFFFF"/>
          <w:highlight w:val="yellow"/>
        </w:rPr>
      </w:pPr>
    </w:p>
    <w:p>
      <w:pPr>
        <w:widowControl/>
        <w:spacing w:line="578" w:lineRule="exact"/>
        <w:contextualSpacing/>
        <w:jc w:val="center"/>
        <w:rPr>
          <w:rFonts w:eastAsia="方正小标宋简体"/>
          <w:bCs/>
          <w:sz w:val="44"/>
          <w:szCs w:val="44"/>
          <w:shd w:val="clear" w:color="auto" w:fill="FFFFFF"/>
        </w:rPr>
      </w:pPr>
      <w:r>
        <w:rPr>
          <w:rFonts w:eastAsia="方正小标宋简体" w:hint="eastAsia"/>
          <w:bCs/>
          <w:sz w:val="44"/>
          <w:szCs w:val="44"/>
          <w:shd w:val="clear" w:color="auto" w:fill="FFFFFF"/>
        </w:rPr>
        <w:t>茂县南新镇人民政府</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w:t>
      </w:r>
      <w:r>
        <w:rPr>
          <w:rFonts w:eastAsia="方正小标宋简体" w:hint="eastAsia"/>
          <w:bCs/>
          <w:sz w:val="44"/>
          <w:szCs w:val="44"/>
          <w:shd w:val="clear" w:color="auto" w:fill="FFFFFF"/>
        </w:rPr>
        <w:t>绩效评价报告</w:t>
      </w:r>
    </w:p>
    <w:p>
      <w:pPr>
        <w:widowControl/>
        <w:adjustRightInd w:val="0"/>
        <w:snapToGrid w:val="0"/>
        <w:spacing w:line="580" w:lineRule="exact"/>
        <w:ind w:firstLineChars="200" w:firstLine="420"/>
        <w:contextualSpacing/>
        <w:jc w:val="left"/>
        <w:rPr>
          <w:rFonts w:ascii="黑体" w:eastAsia="黑体" w:cs="宋体"/>
          <w:color w:val="000000"/>
          <w:kern w:val="0"/>
          <w:szCs w:val="32"/>
          <w:shd w:val="clear" w:color="auto" w:fill="FFFFFF"/>
        </w:rPr>
      </w:pPr>
    </w:p>
    <w:p>
      <w:pPr>
        <w:widowControl/>
        <w:adjustRightInd w:val="0"/>
        <w:snapToGrid w:val="0"/>
        <w:spacing w:line="580" w:lineRule="exact"/>
        <w:ind w:firstLineChars="200" w:firstLine="640"/>
        <w:contextualSpacing/>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rPr>
        <w:t>一、</w:t>
      </w:r>
      <w:r>
        <w:rPr>
          <w:rFonts w:ascii="仿宋" w:eastAsia="仿宋" w:cs="仿宋" w:hint="eastAsia"/>
          <w:b/>
          <w:bCs/>
          <w:color w:val="000000"/>
          <w:kern w:val="0"/>
          <w:sz w:val="32"/>
          <w:szCs w:val="32"/>
          <w:shd w:val="clear" w:color="auto" w:fill="FFFFFF"/>
          <w:lang w:val="zh-CN"/>
        </w:rPr>
        <w:t>部门（单位）概况</w:t>
      </w:r>
    </w:p>
    <w:p>
      <w:pPr>
        <w:widowControl/>
        <w:adjustRightInd w:val="0"/>
        <w:snapToGrid w:val="0"/>
        <w:spacing w:line="580" w:lineRule="exact"/>
        <w:ind w:firstLineChars="200" w:firstLine="640"/>
        <w:contextualSpacing/>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（一）机构组成</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茂县南新镇人民政府内设行政办公室</w:t>
      </w:r>
      <w:r>
        <w:rPr>
          <w:rFonts w:ascii="仿宋_GB2312" w:eastAsia="仿宋_GB2312" w:cs="仿宋" w:hint="eastAsia"/>
          <w:color w:val="000000"/>
          <w:kern w:val="0"/>
          <w:sz w:val="32"/>
          <w:szCs w:val="32"/>
        </w:rPr>
        <w:t>7</w:t>
      </w:r>
      <w:r>
        <w:rPr>
          <w:rFonts w:ascii="仿宋_GB2312" w:eastAsia="仿宋_GB2312" w:cs="仿宋" w:hint="eastAsia"/>
          <w:color w:val="000000"/>
          <w:kern w:val="0"/>
          <w:sz w:val="32"/>
          <w:szCs w:val="32"/>
          <w:lang w:val="zh-CN"/>
        </w:rPr>
        <w:t>个、事业机构</w:t>
      </w:r>
      <w:r>
        <w:rPr>
          <w:rFonts w:ascii="仿宋_GB2312" w:eastAsia="仿宋_GB2312" w:cs="仿宋" w:hint="eastAsia"/>
          <w:color w:val="000000"/>
          <w:kern w:val="0"/>
          <w:sz w:val="32"/>
          <w:szCs w:val="32"/>
        </w:rPr>
        <w:t>4</w:t>
      </w:r>
      <w:r>
        <w:rPr>
          <w:rFonts w:ascii="仿宋_GB2312" w:eastAsia="仿宋_GB2312" w:cs="仿宋" w:hint="eastAsia"/>
          <w:color w:val="000000"/>
          <w:kern w:val="0"/>
          <w:sz w:val="32"/>
          <w:szCs w:val="32"/>
          <w:lang w:val="zh-CN"/>
        </w:rPr>
        <w:t>个，分别是：茂县南新镇党政办公室、党建工作办公室、</w:t>
      </w:r>
      <w:r>
        <w:rPr>
          <w:rFonts w:ascii="仿宋_GB2312" w:eastAsia="仿宋_GB2312" w:cs="仿宋" w:hint="eastAsia"/>
          <w:color w:val="000000"/>
          <w:kern w:val="0"/>
          <w:sz w:val="32"/>
          <w:szCs w:val="32"/>
        </w:rPr>
        <w:t>社会事务经济发展和乡村振兴办公室、社会治理和维护稳定办公室、应急管理办公室、综合行政执法和生态环境办公室、财政办公室、</w:t>
      </w:r>
      <w:r>
        <w:rPr>
          <w:rFonts w:ascii="仿宋_GB2312" w:eastAsia="仿宋_GB2312" w:cs="仿宋" w:hint="eastAsia"/>
          <w:color w:val="000000"/>
          <w:kern w:val="0"/>
          <w:sz w:val="32"/>
          <w:szCs w:val="32"/>
          <w:lang w:val="zh-CN"/>
        </w:rPr>
        <w:t>便民服务中心（</w:t>
      </w:r>
      <w:r>
        <w:rPr>
          <w:rFonts w:ascii="仿宋_GB2312" w:eastAsia="仿宋_GB2312" w:cs="仿宋" w:hint="eastAsia"/>
          <w:color w:val="000000"/>
          <w:kern w:val="0"/>
          <w:sz w:val="32"/>
          <w:szCs w:val="32"/>
        </w:rPr>
        <w:t>退役军人服务站</w:t>
      </w:r>
      <w:r>
        <w:rPr>
          <w:rFonts w:ascii="仿宋_GB2312" w:eastAsia="仿宋_GB2312" w:cs="仿宋" w:hint="eastAsia"/>
          <w:color w:val="000000"/>
          <w:kern w:val="0"/>
          <w:sz w:val="32"/>
          <w:szCs w:val="32"/>
          <w:lang w:val="zh-CN"/>
        </w:rPr>
        <w:t>）、农业农村服务中心、</w:t>
      </w:r>
      <w:r>
        <w:rPr>
          <w:rFonts w:ascii="仿宋_GB2312" w:eastAsia="仿宋_GB2312" w:cs="仿宋" w:hint="eastAsia"/>
          <w:color w:val="000000"/>
          <w:kern w:val="0"/>
          <w:sz w:val="32"/>
          <w:szCs w:val="32"/>
        </w:rPr>
        <w:t>文化体育广电和旅游综合服务中心、村镇规划建设服务中心</w:t>
      </w:r>
      <w:r>
        <w:rPr>
          <w:rFonts w:ascii="仿宋_GB2312" w:eastAsia="仿宋_GB2312" w:cs="仿宋" w:hint="eastAsia"/>
          <w:color w:val="000000"/>
          <w:kern w:val="0"/>
          <w:sz w:val="32"/>
          <w:szCs w:val="32"/>
          <w:lang w:val="zh-CN"/>
        </w:rPr>
        <w:t>。</w:t>
      </w:r>
    </w:p>
    <w:p>
      <w:pPr>
        <w:widowControl/>
        <w:numPr>
          <w:ilvl w:val="0"/>
          <w:numId w:val="2"/>
        </w:numPr>
        <w:adjustRightInd w:val="0"/>
        <w:snapToGrid w:val="0"/>
        <w:spacing w:line="580" w:lineRule="exact"/>
        <w:ind w:left="0" w:firstLineChars="200" w:firstLine="640"/>
        <w:contextualSpacing/>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机构职能</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1.贯彻执行党和国家的路线方针政策和上级党委、政府各项决策部署，以及本级党员代表大会（党员大会）、人民代表大会的决议决定。</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3.领导镇政权机关、群团组织和其他各类组织，加强指导和规范，支持和保证这些机关和组织依照国家法律法规以及各自章程履行职责。</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5.按照干部管理权限，负责对干部的教育、培训、选拔、考核和监督工作。协助管理上级有关部门驻镇单位的干部。做好人才服务和引进工作。</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6.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8.优化公共服务。推进服务型政府建设，组织实施并优化教育、卫生健康、文化、民政、社会保障、退役军人事务等各项公共服务。</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9.负责辖区范围内的应急管理、社会稳定、安全生产、生态环境保护、社会信用体系建设和审批服务便民化等工作。</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10.负责辖区农村经营管理体系建设工作。</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11.完成县委、县政府交办的其他任务。</w:t>
      </w:r>
    </w:p>
    <w:p>
      <w:pPr>
        <w:widowControl/>
        <w:numPr>
          <w:ilvl w:val="0"/>
          <w:numId w:val="2"/>
        </w:numPr>
        <w:adjustRightInd w:val="0"/>
        <w:snapToGrid w:val="0"/>
        <w:spacing w:line="576" w:lineRule="exact"/>
        <w:ind w:left="0" w:firstLineChars="200" w:firstLine="640"/>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人员概况</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南新镇人民政府总编制61名，其中：行政编制32名，行政工勤4名，其他事业编制25名。在职人员总数50人，其中：行政人员29人，行政工勤人员3人，其他事业人员18人。退休人员10人，遗属4人。</w:t>
      </w:r>
    </w:p>
    <w:p>
      <w:pPr>
        <w:widowControl/>
        <w:adjustRightInd w:val="0"/>
        <w:snapToGrid w:val="0"/>
        <w:spacing w:line="578" w:lineRule="exact"/>
        <w:ind w:firstLineChars="200" w:firstLine="640"/>
        <w:contextualSpacing/>
        <w:jc w:val="left"/>
        <w:rPr>
          <w:rFonts w:ascii="仿宋" w:eastAsia="仿宋" w:cs="仿宋"/>
          <w:b/>
          <w:bCs/>
          <w:color w:val="000000"/>
          <w:kern w:val="0"/>
          <w:sz w:val="32"/>
          <w:szCs w:val="32"/>
          <w:shd w:val="clear" w:color="auto" w:fill="FFFFFF"/>
        </w:rPr>
      </w:pPr>
      <w:r>
        <w:rPr>
          <w:rFonts w:ascii="仿宋" w:eastAsia="仿宋" w:cs="仿宋" w:hint="eastAsia"/>
          <w:b/>
          <w:bCs/>
          <w:color w:val="000000"/>
          <w:kern w:val="0"/>
          <w:sz w:val="32"/>
          <w:szCs w:val="32"/>
          <w:shd w:val="clear" w:color="auto" w:fill="FFFFFF"/>
        </w:rPr>
        <w:t>二、部门资金收支情况</w:t>
      </w:r>
    </w:p>
    <w:p>
      <w:pPr>
        <w:widowControl/>
        <w:adjustRightInd w:val="0"/>
        <w:snapToGrid w:val="0"/>
        <w:spacing w:line="578" w:lineRule="exact"/>
        <w:ind w:firstLineChars="200" w:firstLine="640"/>
        <w:contextualSpacing/>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（一）收入情况</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南新镇人民政府本年度收入的年初预算数为1557.05万元，本单位本年度收入全年预算数为1557.05万元，收入决算数为1557.05万元。</w:t>
      </w:r>
    </w:p>
    <w:p>
      <w:pPr>
        <w:widowControl/>
        <w:numPr>
          <w:ilvl w:val="0"/>
          <w:numId w:val="3"/>
        </w:numPr>
        <w:adjustRightInd w:val="0"/>
        <w:snapToGrid w:val="0"/>
        <w:spacing w:line="578" w:lineRule="exact"/>
        <w:ind w:left="0" w:firstLineChars="200" w:firstLine="640"/>
        <w:contextualSpacing/>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支出情况</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南新镇人民政府本年度支出的年初预算数为1557.05万元，本年度支出全年预算数为1557.05万元，支出决算数为1557.05万元。</w:t>
      </w:r>
    </w:p>
    <w:p>
      <w:pPr>
        <w:widowControl/>
        <w:numPr>
          <w:ilvl w:val="0"/>
          <w:numId w:val="3"/>
        </w:numPr>
        <w:adjustRightInd w:val="0"/>
        <w:snapToGrid w:val="0"/>
        <w:spacing w:line="578" w:lineRule="exact"/>
        <w:ind w:left="0" w:firstLineChars="200" w:firstLine="640"/>
        <w:contextualSpacing/>
        <w:jc w:val="left"/>
        <w:rPr>
          <w:rFonts w:ascii="仿宋" w:eastAsia="仿宋" w:cs="仿宋"/>
          <w:b/>
          <w:sz w:val="32"/>
          <w:szCs w:val="32"/>
        </w:rPr>
      </w:pPr>
      <w:r>
        <w:rPr>
          <w:rFonts w:ascii="仿宋" w:eastAsia="仿宋" w:cs="仿宋" w:hint="eastAsia"/>
          <w:b/>
          <w:sz w:val="32"/>
          <w:szCs w:val="32"/>
        </w:rPr>
        <w:t>结余分配和结转结余情况</w:t>
      </w:r>
    </w:p>
    <w:p>
      <w:pPr>
        <w:spacing w:line="14" w:lineRule="auto"/>
        <w:ind w:firstLineChars="200" w:firstLine="640"/>
        <w:rPr>
          <w:rFonts w:ascii="仿宋" w:eastAsia="仿宋" w:cs="仿宋"/>
          <w:color w:val="000000"/>
          <w:kern w:val="0"/>
          <w:sz w:val="32"/>
          <w:szCs w:val="32"/>
          <w:shd w:val="clear" w:color="auto" w:fill="FFFFFF"/>
          <w:lang w:val="zh-CN"/>
        </w:rPr>
      </w:pPr>
      <w:r>
        <w:rPr>
          <w:rFonts w:ascii="仿宋_GB2312" w:eastAsia="仿宋_GB2312" w:cs="仿宋" w:hint="eastAsia"/>
          <w:color w:val="000000"/>
          <w:kern w:val="0"/>
          <w:sz w:val="32"/>
          <w:szCs w:val="32"/>
        </w:rPr>
        <w:t>南新镇人民政府2024年决算报表无结转结余情况。</w:t>
      </w:r>
    </w:p>
    <w:p>
      <w:pPr>
        <w:widowControl/>
        <w:adjustRightInd w:val="0"/>
        <w:snapToGrid w:val="0"/>
        <w:spacing w:line="578" w:lineRule="exact"/>
        <w:ind w:firstLineChars="200" w:firstLine="640"/>
        <w:contextualSpacing/>
        <w:jc w:val="left"/>
        <w:rPr>
          <w:rFonts w:ascii="仿宋" w:eastAsia="仿宋" w:cs="仿宋"/>
          <w:b/>
          <w:bCs/>
          <w:color w:val="000000"/>
          <w:kern w:val="0"/>
          <w:sz w:val="32"/>
          <w:szCs w:val="32"/>
          <w:shd w:val="clear" w:color="auto" w:fill="FFFFFF"/>
        </w:rPr>
      </w:pPr>
      <w:r>
        <w:rPr>
          <w:rFonts w:ascii="仿宋" w:eastAsia="仿宋" w:cs="仿宋" w:hint="eastAsia"/>
          <w:b/>
          <w:bCs/>
          <w:color w:val="000000"/>
          <w:kern w:val="0"/>
          <w:sz w:val="32"/>
          <w:szCs w:val="32"/>
          <w:shd w:val="clear" w:color="auto" w:fill="FFFFFF"/>
        </w:rPr>
        <w:t>三、部门预算绩效分析</w:t>
      </w:r>
    </w:p>
    <w:p>
      <w:pPr>
        <w:adjustRightInd w:val="0"/>
        <w:snapToGrid w:val="0"/>
        <w:spacing w:line="578" w:lineRule="exact"/>
        <w:ind w:firstLineChars="200" w:firstLine="640"/>
        <w:contextualSpacing/>
        <w:jc w:val="left"/>
        <w:rPr>
          <w:rFonts w:ascii="仿宋" w:eastAsia="仿宋" w:cs="仿宋"/>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（一）部门预算总体绩效分析</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1.履职效能</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工作成果方面：项目工作人员能够按时完成任务并达到预期目标；财务人员能够按照项目合同资金支付要求，对验收合格的项目按时足额支付项目资金。工作质量方面，项目工作人员注重细节，保证工作的准确性和可靠性。执行力方面，项目工作人员能够按照项目要求主动、迅速地执行工作。</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2.</w:t>
      </w:r>
      <w:r>
        <w:rPr>
          <w:rFonts w:ascii="仿宋_GB2312" w:eastAsia="仿宋_GB2312" w:cs="仿宋" w:hint="eastAsia"/>
          <w:color w:val="000000"/>
          <w:kern w:val="0"/>
          <w:sz w:val="32"/>
          <w:szCs w:val="32"/>
          <w:lang w:val="zh-CN"/>
        </w:rPr>
        <w:t>预算管理</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建立以法人代表为主、由财会部门参加的预算编审班子。预算编审班子严格规定各自的工作职责，保证预算编制任务的完成。预算编审班子根据上年度的预算执行情况和本年度经济发展情况，综合考虑各方面的因素，制定我镇本年度的总体目标。我镇本年度收入全年预算数为</w:t>
      </w:r>
      <w:r>
        <w:rPr>
          <w:rFonts w:ascii="仿宋_GB2312" w:eastAsia="仿宋_GB2312" w:cs="仿宋" w:hint="eastAsia"/>
          <w:color w:val="000000"/>
          <w:kern w:val="0"/>
          <w:sz w:val="32"/>
          <w:szCs w:val="32"/>
        </w:rPr>
        <w:t>1557.05</w:t>
      </w:r>
      <w:r>
        <w:rPr>
          <w:rFonts w:ascii="仿宋_GB2312" w:eastAsia="仿宋_GB2312" w:cs="仿宋" w:hint="eastAsia"/>
          <w:color w:val="000000"/>
          <w:kern w:val="0"/>
          <w:sz w:val="32"/>
          <w:szCs w:val="32"/>
          <w:lang w:val="zh-CN"/>
        </w:rPr>
        <w:t>万元，收入决算数为</w:t>
      </w:r>
      <w:r>
        <w:rPr>
          <w:rFonts w:ascii="仿宋_GB2312" w:eastAsia="仿宋_GB2312" w:cs="仿宋" w:hint="eastAsia"/>
          <w:color w:val="000000"/>
          <w:kern w:val="0"/>
          <w:sz w:val="32"/>
          <w:szCs w:val="32"/>
        </w:rPr>
        <w:t>1557.05</w:t>
      </w:r>
      <w:r>
        <w:rPr>
          <w:rFonts w:ascii="仿宋_GB2312" w:eastAsia="仿宋_GB2312" w:cs="仿宋" w:hint="eastAsia"/>
          <w:color w:val="000000"/>
          <w:kern w:val="0"/>
          <w:sz w:val="32"/>
          <w:szCs w:val="32"/>
          <w:lang w:val="zh-CN"/>
        </w:rPr>
        <w:t>万元，预算完成度为</w:t>
      </w:r>
      <w:r>
        <w:rPr>
          <w:rFonts w:ascii="仿宋_GB2312" w:eastAsia="仿宋_GB2312" w:cs="仿宋" w:hint="eastAsia"/>
          <w:color w:val="000000"/>
          <w:kern w:val="0"/>
          <w:sz w:val="32"/>
          <w:szCs w:val="32"/>
        </w:rPr>
        <w:t>100</w:t>
      </w:r>
      <w:r>
        <w:rPr>
          <w:rFonts w:ascii="仿宋_GB2312" w:eastAsia="仿宋_GB2312" w:cs="仿宋" w:hint="eastAsia"/>
          <w:color w:val="000000"/>
          <w:kern w:val="0"/>
          <w:sz w:val="32"/>
          <w:szCs w:val="32"/>
          <w:lang w:val="zh-CN"/>
        </w:rPr>
        <w:t>%，严格按照上级文件进行预算编制，专款专用。</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3.</w:t>
      </w:r>
      <w:r>
        <w:rPr>
          <w:rFonts w:ascii="仿宋_GB2312" w:eastAsia="仿宋_GB2312" w:cs="仿宋" w:hint="eastAsia"/>
          <w:color w:val="000000"/>
          <w:kern w:val="0"/>
          <w:sz w:val="32"/>
          <w:szCs w:val="32"/>
          <w:lang w:val="zh-CN"/>
        </w:rPr>
        <w:t>财务管理</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在办公室下设财务室，副镇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我镇从资金申请、资金使用、会计核算三个环节加强资金管理。在项目资金申请环节，严格按照国库集中支付流程向县财政局申请财政资金；在资金使用环节，严格按照我镇资金财务审批流程办理款项支付手续，通过一体化系统直接支付。在会计核算环节，对本项目资金实际核算，确保专款专用。通过上述三个环节的管理，极力避免挪用、挤占、截留项目资金的现象，保证财政资金安全有效使用。</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4.</w:t>
      </w:r>
      <w:r>
        <w:rPr>
          <w:rFonts w:ascii="仿宋_GB2312" w:eastAsia="仿宋_GB2312" w:cs="仿宋" w:hint="eastAsia"/>
          <w:color w:val="000000"/>
          <w:kern w:val="0"/>
          <w:sz w:val="32"/>
          <w:szCs w:val="32"/>
          <w:lang w:val="zh-CN"/>
        </w:rPr>
        <w:t>资产管理</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截至2024年12月31日，</w:t>
      </w:r>
      <w:r>
        <w:rPr>
          <w:rFonts w:ascii="仿宋_GB2312" w:eastAsia="仿宋_GB2312" w:cs="仿宋" w:hint="eastAsia"/>
          <w:color w:val="000000"/>
          <w:kern w:val="0"/>
          <w:sz w:val="32"/>
          <w:szCs w:val="32"/>
          <w:lang w:val="zh-CN"/>
        </w:rPr>
        <w:t>我镇资产总额</w:t>
      </w:r>
      <w:r>
        <w:rPr>
          <w:rFonts w:ascii="仿宋_GB2312" w:eastAsia="仿宋_GB2312" w:cs="仿宋" w:hint="eastAsia"/>
          <w:color w:val="000000"/>
          <w:kern w:val="0"/>
          <w:sz w:val="32"/>
          <w:szCs w:val="32"/>
        </w:rPr>
        <w:t>1293.16万元，较上年增长54.24%。负债总额1417.18万元,较上年增长0%。净资产-124.02万元,较上年增长-78.57%。2024年度，我单位配置固定资产492.24万元。从资产类别分析，配置房屋和构筑物426.11万元，占86.57%；配置设备53.22万元，占10.81%；配置家具和用具12.91万元，占2.62%；新购66.13万元，占13.43%；调拨426.11万元，占86.57%。</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5.</w:t>
      </w:r>
      <w:r>
        <w:rPr>
          <w:rFonts w:ascii="仿宋_GB2312" w:eastAsia="仿宋_GB2312" w:cs="仿宋" w:hint="eastAsia"/>
          <w:color w:val="000000"/>
          <w:kern w:val="0"/>
          <w:sz w:val="32"/>
          <w:szCs w:val="32"/>
          <w:lang w:val="zh-CN"/>
        </w:rPr>
        <w:t>采购管理</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加强程序管理。我镇涉及到政府采购项目的，严格按照政府采购相关制度严格执行。</w:t>
      </w:r>
    </w:p>
    <w:p>
      <w:pPr>
        <w:widowControl/>
        <w:adjustRightInd w:val="0"/>
        <w:snapToGrid w:val="0"/>
        <w:spacing w:line="578" w:lineRule="exact"/>
        <w:ind w:firstLineChars="100" w:firstLine="320"/>
        <w:contextualSpacing/>
        <w:jc w:val="left"/>
        <w:rPr>
          <w:rFonts w:ascii="仿宋" w:eastAsia="仿宋" w:cs="仿宋"/>
          <w:b/>
          <w:bCs/>
          <w:color w:val="000000"/>
          <w:kern w:val="0"/>
          <w:sz w:val="32"/>
          <w:szCs w:val="32"/>
          <w:shd w:val="clear" w:color="auto" w:fill="FFFFFF"/>
        </w:rPr>
      </w:pPr>
      <w:r>
        <w:rPr>
          <w:rFonts w:ascii="仿宋" w:eastAsia="仿宋" w:cs="仿宋" w:hint="eastAsia"/>
          <w:b/>
          <w:bCs/>
          <w:color w:val="000000"/>
          <w:kern w:val="0"/>
          <w:sz w:val="32"/>
          <w:szCs w:val="32"/>
          <w:shd w:val="clear" w:color="auto" w:fill="FFFFFF"/>
          <w:lang w:val="zh-CN"/>
        </w:rPr>
        <w:t>（二）部门预算项目绩效分析</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常年项目绩效分析。该类项目总数</w:t>
      </w:r>
      <w:r>
        <w:rPr>
          <w:rFonts w:ascii="仿宋_GB2312" w:eastAsia="仿宋_GB2312" w:cs="仿宋" w:hint="eastAsia"/>
          <w:color w:val="000000"/>
          <w:kern w:val="0"/>
          <w:sz w:val="32"/>
          <w:szCs w:val="32"/>
        </w:rPr>
        <w:t>2</w:t>
      </w:r>
      <w:r>
        <w:rPr>
          <w:rFonts w:ascii="仿宋_GB2312" w:eastAsia="仿宋_GB2312" w:cs="仿宋" w:hint="eastAsia"/>
          <w:color w:val="000000"/>
          <w:kern w:val="0"/>
          <w:sz w:val="32"/>
          <w:szCs w:val="32"/>
          <w:lang w:val="zh-CN"/>
        </w:rPr>
        <w:t>个，涉及预算总金额</w:t>
      </w:r>
      <w:r>
        <w:rPr>
          <w:rFonts w:ascii="仿宋_GB2312" w:eastAsia="仿宋_GB2312" w:cs="仿宋" w:hint="eastAsia"/>
          <w:color w:val="000000"/>
          <w:kern w:val="0"/>
          <w:sz w:val="32"/>
          <w:szCs w:val="32"/>
        </w:rPr>
        <w:t>146.64</w:t>
      </w:r>
      <w:r>
        <w:rPr>
          <w:rFonts w:ascii="仿宋_GB2312" w:eastAsia="仿宋_GB2312" w:cs="仿宋" w:hint="eastAsia"/>
          <w:color w:val="000000"/>
          <w:kern w:val="0"/>
          <w:sz w:val="32"/>
          <w:szCs w:val="32"/>
          <w:lang w:val="zh-CN"/>
        </w:rPr>
        <w:t>万元，1—12月预算执行总体进度为</w:t>
      </w:r>
      <w:r>
        <w:rPr>
          <w:rFonts w:ascii="仿宋_GB2312" w:eastAsia="仿宋_GB2312" w:cs="仿宋" w:hint="eastAsia"/>
          <w:color w:val="000000"/>
          <w:kern w:val="0"/>
          <w:sz w:val="32"/>
          <w:szCs w:val="32"/>
        </w:rPr>
        <w:t>100</w:t>
      </w:r>
      <w:r>
        <w:rPr>
          <w:rFonts w:ascii="仿宋_GB2312" w:eastAsia="仿宋_GB2312" w:cs="仿宋" w:hint="eastAsia"/>
          <w:color w:val="000000"/>
          <w:kern w:val="0"/>
          <w:sz w:val="32"/>
          <w:szCs w:val="32"/>
          <w:lang w:val="zh-CN"/>
        </w:rPr>
        <w:t xml:space="preserve"> %。</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阶段（一次性）项目绩效分析。该类项目总数</w:t>
      </w:r>
      <w:r>
        <w:rPr>
          <w:rFonts w:ascii="仿宋_GB2312" w:eastAsia="仿宋_GB2312" w:cs="仿宋" w:hint="eastAsia"/>
          <w:color w:val="000000"/>
          <w:kern w:val="0"/>
          <w:sz w:val="32"/>
          <w:szCs w:val="32"/>
        </w:rPr>
        <w:t>5</w:t>
      </w:r>
      <w:r>
        <w:rPr>
          <w:rFonts w:ascii="仿宋_GB2312" w:eastAsia="仿宋_GB2312" w:cs="仿宋" w:hint="eastAsia"/>
          <w:color w:val="000000"/>
          <w:kern w:val="0"/>
          <w:sz w:val="32"/>
          <w:szCs w:val="32"/>
          <w:lang w:val="zh-CN"/>
        </w:rPr>
        <w:t>个，涉及预算总金额</w:t>
      </w:r>
      <w:r>
        <w:rPr>
          <w:rFonts w:ascii="仿宋_GB2312" w:eastAsia="仿宋_GB2312" w:cs="仿宋" w:hint="eastAsia"/>
          <w:color w:val="000000"/>
          <w:kern w:val="0"/>
          <w:sz w:val="32"/>
          <w:szCs w:val="32"/>
        </w:rPr>
        <w:t>23.29</w:t>
      </w:r>
      <w:r>
        <w:rPr>
          <w:rFonts w:ascii="仿宋_GB2312" w:eastAsia="仿宋_GB2312" w:cs="仿宋" w:hint="eastAsia"/>
          <w:color w:val="000000"/>
          <w:kern w:val="0"/>
          <w:sz w:val="32"/>
          <w:szCs w:val="32"/>
          <w:lang w:val="zh-CN"/>
        </w:rPr>
        <w:t>万元，1—12月预算执行总体进度为</w:t>
      </w:r>
      <w:r>
        <w:rPr>
          <w:rFonts w:ascii="仿宋_GB2312" w:eastAsia="仿宋_GB2312" w:cs="仿宋" w:hint="eastAsia"/>
          <w:color w:val="000000"/>
          <w:kern w:val="0"/>
          <w:sz w:val="32"/>
          <w:szCs w:val="32"/>
        </w:rPr>
        <w:t>100</w:t>
      </w:r>
      <w:r>
        <w:rPr>
          <w:rFonts w:ascii="仿宋_GB2312" w:eastAsia="仿宋_GB2312" w:cs="仿宋" w:hint="eastAsia"/>
          <w:color w:val="000000"/>
          <w:kern w:val="0"/>
          <w:sz w:val="32"/>
          <w:szCs w:val="32"/>
          <w:lang w:val="zh-CN"/>
        </w:rPr>
        <w:t xml:space="preserve"> %。</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w:t>
      </w:r>
      <w:r>
        <w:rPr>
          <w:rFonts w:ascii="仿宋_GB2312" w:eastAsia="仿宋_GB2312" w:cs="仿宋" w:hint="eastAsia"/>
          <w:color w:val="000000"/>
          <w:kern w:val="0"/>
          <w:sz w:val="32"/>
          <w:szCs w:val="32"/>
          <w:lang w:val="zh-CN"/>
        </w:rPr>
        <w:t>项目决策</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采购、施工、服务类项目采用政府集采、签订合同（协议）方式实施。按程序确定承接机构，通过制定实施方案、图纸设计、财评、项目立项等程序，项目由</w:t>
      </w:r>
      <w:r>
        <w:rPr>
          <w:rFonts w:ascii="仿宋_GB2312" w:eastAsia="仿宋_GB2312" w:cs="仿宋" w:hint="eastAsia"/>
          <w:color w:val="000000"/>
          <w:kern w:val="0"/>
          <w:sz w:val="32"/>
          <w:szCs w:val="32"/>
        </w:rPr>
        <w:t>南新镇</w:t>
      </w:r>
      <w:r>
        <w:rPr>
          <w:rFonts w:ascii="仿宋_GB2312" w:eastAsia="仿宋_GB2312" w:cs="仿宋" w:hint="eastAsia"/>
          <w:color w:val="000000"/>
          <w:kern w:val="0"/>
          <w:sz w:val="32"/>
          <w:szCs w:val="32"/>
          <w:lang w:val="zh-CN"/>
        </w:rPr>
        <w:t xml:space="preserve">组织实施，由具体项目实施单位承办，项目实施完成后，经验收合格，项目资金支付到具体项目实施单位账户。全部项目实施过程中，我镇负责指导和监督。 </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2.项目执行</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结合项目特点，按照相关法律法规、项目管理制度，按程序进行实施。在项目建设管理中严格按照相关管理制度执行有关建设标准及规范，严格执行招投标、政府采购、项目公示制等相关规定，加强项目质量与安全管理，切实发挥资金投资效益。</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3.</w:t>
      </w:r>
      <w:r>
        <w:rPr>
          <w:rFonts w:ascii="仿宋_GB2312" w:eastAsia="仿宋_GB2312" w:cs="仿宋" w:hint="eastAsia"/>
          <w:color w:val="000000"/>
          <w:kern w:val="0"/>
          <w:sz w:val="32"/>
          <w:szCs w:val="32"/>
          <w:lang w:val="zh-CN"/>
        </w:rPr>
        <w:t>目标实现</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2024年南新镇项目工作符合年初绩效总体目标，未偏离原定计划。下一步工作将继续按照总体绩效目标要求，不断完善制度，落实政策，保障群众利益。</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我镇2024年度不涉及国有资本经营预算、社会保险基金预算。</w:t>
      </w:r>
    </w:p>
    <w:p>
      <w:pPr>
        <w:widowControl/>
        <w:numPr>
          <w:ilvl w:val="0"/>
          <w:numId w:val="4"/>
        </w:numPr>
        <w:adjustRightInd w:val="0"/>
        <w:snapToGrid w:val="0"/>
        <w:spacing w:line="578" w:lineRule="exact"/>
        <w:ind w:left="0" w:firstLineChars="200" w:firstLine="640"/>
        <w:contextualSpacing/>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重点领域绩效分析</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我镇2024年度行政事业性国有资产、政府购买服务严格按照《四川省政府集中采购目录及标准》文件执行，不存在违规违纪操作。</w:t>
      </w:r>
    </w:p>
    <w:p>
      <w:pPr>
        <w:numPr>
          <w:ilvl w:val="0"/>
          <w:numId w:val="4"/>
        </w:numPr>
        <w:snapToGrid w:val="0"/>
        <w:spacing w:line="600" w:lineRule="exact"/>
        <w:ind w:left="0" w:firstLineChars="200" w:firstLine="640"/>
        <w:rPr>
          <w:rFonts w:ascii="仿宋" w:eastAsia="仿宋" w:cs="仿宋"/>
          <w:b/>
          <w:bCs/>
          <w:sz w:val="32"/>
          <w:szCs w:val="32"/>
          <w:lang w:val="zh-CN"/>
        </w:rPr>
      </w:pPr>
      <w:r>
        <w:rPr>
          <w:rFonts w:ascii="仿宋" w:eastAsia="仿宋" w:cs="仿宋" w:hint="eastAsia"/>
          <w:b/>
          <w:bCs/>
          <w:sz w:val="32"/>
          <w:szCs w:val="32"/>
          <w:lang w:val="zh-CN"/>
        </w:rPr>
        <w:t>绩效结果应用情况</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严格按照项目资金管理办法对资金进行计划申请、划拨、使用，全面推行信息公开、公告、告示制度，确保项目建设资金使用公正透明，项目资金实行单独核算、专项使用，对项目资金的拨付都要求用途合理，手续齐全，极力避免专项资金被挤占、截留、挪用。按照计划，分工明确、仔细，完成计划工作。</w:t>
      </w:r>
    </w:p>
    <w:p>
      <w:pPr>
        <w:widowControl/>
        <w:adjustRightInd w:val="0"/>
        <w:snapToGrid w:val="0"/>
        <w:spacing w:line="578" w:lineRule="exact"/>
        <w:ind w:firstLineChars="200" w:firstLine="640"/>
        <w:contextualSpacing/>
        <w:jc w:val="left"/>
        <w:rPr>
          <w:rFonts w:ascii="仿宋" w:eastAsia="仿宋" w:cs="仿宋"/>
          <w:b/>
          <w:bCs/>
          <w:color w:val="000000"/>
          <w:kern w:val="0"/>
          <w:sz w:val="32"/>
          <w:szCs w:val="32"/>
          <w:shd w:val="clear" w:color="auto" w:fill="FFFFFF"/>
        </w:rPr>
      </w:pPr>
      <w:r>
        <w:rPr>
          <w:rFonts w:ascii="仿宋" w:eastAsia="仿宋" w:cs="仿宋" w:hint="eastAsia"/>
          <w:b/>
          <w:bCs/>
          <w:color w:val="000000"/>
          <w:kern w:val="0"/>
          <w:sz w:val="32"/>
          <w:szCs w:val="32"/>
          <w:shd w:val="clear" w:color="auto" w:fill="FFFFFF"/>
        </w:rPr>
        <w:t>四、评价结论及建议</w:t>
      </w:r>
    </w:p>
    <w:p>
      <w:pPr>
        <w:widowControl/>
        <w:adjustRightInd w:val="0"/>
        <w:snapToGrid w:val="0"/>
        <w:spacing w:line="578" w:lineRule="exact"/>
        <w:ind w:firstLineChars="200" w:firstLine="640"/>
        <w:contextualSpacing/>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（一）评价结论</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lang w:val="zh-CN"/>
        </w:rPr>
        <w:t>本年度财政资金支出符合国家的政策，与实际需求高度相关；项目资金到位及时，项目实施过程中严格按实际需要实施，具有较好的经济效益和社会效益，项目实施效果较好；项目后期政策、资金、人员的落实，为项目可持续运行提供了较好的保障，具有高度可持续性。</w:t>
      </w:r>
      <w:r>
        <w:rPr>
          <w:rFonts w:ascii="仿宋_GB2312" w:eastAsia="仿宋_GB2312" w:cs="仿宋" w:hint="eastAsia"/>
          <w:color w:val="000000"/>
          <w:kern w:val="0"/>
          <w:sz w:val="32"/>
          <w:szCs w:val="32"/>
        </w:rPr>
        <w:t>项目资金支出充分提升了广大困难群众的幸福感、获得感和安全感，切实解决了群众的服务需求，改善了居住环境。项目整体社会评价反馈良好，通过自评综合得分93分。</w:t>
      </w:r>
    </w:p>
    <w:p>
      <w:pPr>
        <w:widowControl/>
        <w:numPr>
          <w:ilvl w:val="0"/>
          <w:numId w:val="5"/>
        </w:numPr>
        <w:adjustRightInd w:val="0"/>
        <w:snapToGrid w:val="0"/>
        <w:spacing w:line="578" w:lineRule="exact"/>
        <w:ind w:left="0" w:firstLineChars="200" w:firstLine="640"/>
        <w:contextualSpacing/>
        <w:jc w:val="left"/>
        <w:rPr>
          <w:rFonts w:ascii="仿宋" w:eastAsia="仿宋" w:cs="仿宋"/>
          <w:b/>
          <w:bCs/>
          <w:color w:val="000000"/>
          <w:kern w:val="0"/>
          <w:sz w:val="32"/>
          <w:szCs w:val="32"/>
          <w:shd w:val="clear" w:color="auto" w:fill="FFFFFF"/>
        </w:rPr>
      </w:pPr>
      <w:r>
        <w:rPr>
          <w:rFonts w:ascii="仿宋" w:eastAsia="仿宋" w:cs="仿宋" w:hint="eastAsia"/>
          <w:b/>
          <w:bCs/>
          <w:color w:val="000000"/>
          <w:kern w:val="0"/>
          <w:sz w:val="32"/>
          <w:szCs w:val="32"/>
          <w:shd w:val="clear" w:color="auto" w:fill="FFFFFF"/>
          <w:lang w:val="zh-CN"/>
        </w:rPr>
        <w:t>存在问题</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由于人员配备不够，工作量大，对全镇经济和社会事业发展在资金安排、使用、核算上存在不很合理现象，导致预算经费科目与支出科目存在差异。</w:t>
      </w:r>
    </w:p>
    <w:p>
      <w:pPr>
        <w:widowControl/>
        <w:numPr>
          <w:ilvl w:val="0"/>
          <w:numId w:val="5"/>
        </w:numPr>
        <w:adjustRightInd w:val="0"/>
        <w:snapToGrid w:val="0"/>
        <w:spacing w:line="578" w:lineRule="exact"/>
        <w:ind w:left="0" w:firstLineChars="200" w:firstLine="640"/>
        <w:contextualSpacing/>
        <w:jc w:val="left"/>
        <w:rPr>
          <w:rFonts w:ascii="仿宋" w:eastAsia="仿宋" w:cs="仿宋"/>
          <w:b/>
          <w:bCs/>
          <w:color w:val="000000"/>
          <w:kern w:val="0"/>
          <w:sz w:val="32"/>
          <w:szCs w:val="32"/>
          <w:shd w:val="clear" w:color="auto" w:fill="FFFFFF"/>
          <w:lang w:val="zh-CN"/>
        </w:rPr>
      </w:pPr>
      <w:r>
        <w:rPr>
          <w:rFonts w:ascii="仿宋" w:eastAsia="仿宋" w:cs="仿宋" w:hint="eastAsia"/>
          <w:b/>
          <w:bCs/>
          <w:color w:val="000000"/>
          <w:kern w:val="0"/>
          <w:sz w:val="32"/>
          <w:szCs w:val="32"/>
          <w:shd w:val="clear" w:color="auto" w:fill="FFFFFF"/>
          <w:lang w:val="zh-CN"/>
        </w:rPr>
        <w:t>改进建议</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下一步工作中，加强财务管理</w:t>
      </w:r>
      <w:r>
        <w:rPr>
          <w:rFonts w:ascii="仿宋_GB2312" w:eastAsia="仿宋_GB2312" w:cs="仿宋"/>
          <w:color w:val="000000"/>
          <w:kern w:val="0"/>
          <w:sz w:val="32"/>
          <w:szCs w:val="32"/>
          <w:lang w:val="zh-CN"/>
        </w:rPr>
        <w:t>。</w:t>
      </w:r>
    </w:p>
    <w:p>
      <w:pPr>
        <w:spacing w:line="578" w:lineRule="exact"/>
        <w:contextualSpacing/>
        <w:rPr>
          <w:rFonts w:eastAsia="黑体"/>
          <w:szCs w:val="32"/>
        </w:rPr>
      </w:pPr>
    </w:p>
    <w:p>
      <w:pPr>
        <w:spacing w:line="578" w:lineRule="exact"/>
        <w:contextualSpacing/>
        <w:jc w:val="right"/>
        <w:rPr>
          <w:rFonts w:eastAsia="黑体"/>
          <w:szCs w:val="32"/>
        </w:rPr>
      </w:pPr>
      <w:r>
        <w:rPr>
          <w:color w:val="000000"/>
          <w:kern w:val="0"/>
          <w:szCs w:val="32"/>
          <w:shd w:val="clear" w:color="auto" w:fill="FFFFFF"/>
        </w:rPr>
        <w:br w:type="page"/>
      </w:r>
    </w:p>
    <w:p>
      <w:pPr>
        <w:spacing w:line="578" w:lineRule="exact"/>
        <w:jc w:val="left"/>
        <w:rPr>
          <w:rFonts w:eastAsia="黑体"/>
        </w:rPr>
      </w:pPr>
      <w:r>
        <w:rPr>
          <w:rFonts w:eastAsia="黑体"/>
        </w:rPr>
        <w:t>附表</w:t>
      </w:r>
    </w:p>
    <w:p>
      <w:pPr>
        <w:widowControl/>
        <w:spacing w:line="600" w:lineRule="exact"/>
        <w:jc w:val="center"/>
        <w:textAlignment w:val="center"/>
        <w:rPr>
          <w:rFonts w:eastAsia="方正小标宋简体"/>
          <w:kern w:val="0"/>
          <w:sz w:val="44"/>
          <w:szCs w:val="44"/>
        </w:rPr>
      </w:pPr>
      <w:r>
        <w:rPr>
          <w:rFonts w:eastAsia="方正小标宋简体" w:hint="eastAsia"/>
          <w:kern w:val="0"/>
          <w:sz w:val="44"/>
          <w:szCs w:val="44"/>
        </w:rPr>
        <w:t>部门预算绩效自评打分表</w:t>
      </w:r>
    </w:p>
    <w:tbl>
      <w:tblPr>
        <w:jc w:val="center"/>
        <w:tblW w:w="9394"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10"/>
        <w:gridCol w:w="1339"/>
        <w:gridCol w:w="1524"/>
        <w:gridCol w:w="660"/>
        <w:gridCol w:w="4335"/>
        <w:gridCol w:w="444"/>
        <w:gridCol w:w="482"/>
      </w:tblGrid>
      <w:tr>
        <w:trPr>
          <w:trHeight w:val="263"/>
        </w:trPr>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黑体" w:eastAsia="黑体" w:cs="黑体"/>
                <w:color w:val="000000"/>
                <w:sz w:val="24"/>
              </w:rPr>
            </w:pPr>
            <w:r>
              <w:rPr>
                <w:rFonts w:ascii="黑体" w:eastAsia="黑体" w:cs="黑体" w:hint="eastAsia"/>
                <w:color w:val="000000"/>
                <w:kern w:val="0"/>
                <w:sz w:val="24"/>
              </w:rPr>
              <w:t>绩效评价指标指标分值</w:t>
            </w:r>
          </w:p>
        </w:tc>
        <w:tc>
          <w:tcPr>
            <w:tcW w:w="4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黑体" w:eastAsia="黑体" w:cs="黑体"/>
                <w:color w:val="000000"/>
                <w:sz w:val="24"/>
              </w:rPr>
            </w:pPr>
            <w:r>
              <w:rPr>
                <w:rFonts w:ascii="黑体" w:eastAsia="黑体" w:cs="黑体" w:hint="eastAsia"/>
                <w:color w:val="000000"/>
                <w:kern w:val="0"/>
                <w:sz w:val="24"/>
              </w:rPr>
              <w:t>指标解释</w:t>
            </w:r>
          </w:p>
        </w:tc>
        <w:tc>
          <w:tcPr>
            <w:tcW w:w="444" w:type="dxa"/>
            <w:vMerge w:val="restart"/>
            <w:tcBorders>
              <w:top w:val="single" w:sz="4" w:space="0" w:color="000000"/>
              <w:left w:val="single" w:sz="4" w:space="0" w:color="000000"/>
              <w:right w:val="single" w:sz="4" w:space="0" w:color="000000"/>
            </w:tcBorders>
            <w:shd w:val="clear" w:color="auto" w:fill="auto"/>
            <w:vAlign w:val="center"/>
          </w:tcPr>
          <w:p>
            <w:pPr>
              <w:widowControl/>
              <w:spacing w:line="240" w:lineRule="exact"/>
              <w:jc w:val="center"/>
              <w:textAlignment w:val="center"/>
              <w:rPr>
                <w:rFonts w:ascii="黑体" w:eastAsia="黑体" w:cs="黑体"/>
                <w:color w:val="000000"/>
                <w:kern w:val="0"/>
                <w:sz w:val="24"/>
              </w:rPr>
            </w:pPr>
            <w:r>
              <w:rPr>
                <w:rFonts w:ascii="黑体" w:eastAsia="黑体" w:cs="黑体" w:hint="eastAsia"/>
                <w:color w:val="000000"/>
                <w:kern w:val="0"/>
                <w:sz w:val="24"/>
              </w:rPr>
              <w:t>自评得分</w:t>
            </w:r>
          </w:p>
        </w:tc>
        <w:tc>
          <w:tcPr>
            <w:tcW w:w="482" w:type="dxa"/>
            <w:vMerge w:val="restart"/>
            <w:tcBorders>
              <w:top w:val="single" w:sz="4" w:space="0" w:color="000000"/>
              <w:left w:val="single" w:sz="4" w:space="0" w:color="000000"/>
              <w:right w:val="single" w:sz="4" w:space="0" w:color="000000"/>
            </w:tcBorders>
            <w:shd w:val="clear" w:color="auto" w:fill="auto"/>
            <w:vAlign w:val="center"/>
          </w:tcPr>
          <w:p>
            <w:pPr>
              <w:widowControl/>
              <w:spacing w:line="240" w:lineRule="exact"/>
              <w:jc w:val="center"/>
              <w:textAlignment w:val="center"/>
              <w:rPr>
                <w:rFonts w:ascii="黑体" w:eastAsia="黑体" w:cs="黑体"/>
                <w:color w:val="000000"/>
                <w:kern w:val="0"/>
                <w:sz w:val="24"/>
              </w:rPr>
            </w:pPr>
            <w:r>
              <w:rPr>
                <w:rFonts w:ascii="黑体" w:eastAsia="黑体" w:cs="黑体" w:hint="eastAsia"/>
                <w:color w:val="000000"/>
                <w:kern w:val="0"/>
                <w:sz w:val="24"/>
              </w:rPr>
              <w:t>备注</w:t>
            </w:r>
          </w:p>
        </w:tc>
      </w:tr>
      <w:tr>
        <w:trPr>
          <w:trHeight w:val="990"/>
        </w:trPr>
        <w:tc>
          <w:tcPr>
            <w:tcW w:w="610" w:type="dxa"/>
            <w:tcBorders>
              <w:top w:val="single" w:sz="4" w:space="0" w:color="000000"/>
              <w:left w:val="single" w:sz="4" w:space="0" w:color="000000"/>
              <w:bottom w:val="single" w:sz="4" w:space="0" w:color="000000"/>
              <w:right w:val="nil"/>
            </w:tcBorders>
            <w:shd w:val="clear" w:color="auto" w:fill="auto"/>
            <w:vAlign w:val="center"/>
          </w:tcPr>
          <w:p>
            <w:pPr>
              <w:widowControl/>
              <w:spacing w:line="240" w:lineRule="exact"/>
              <w:jc w:val="center"/>
              <w:textAlignment w:val="center"/>
              <w:rPr>
                <w:rFonts w:ascii="黑体" w:eastAsia="黑体" w:cs="黑体"/>
                <w:color w:val="000000"/>
                <w:sz w:val="24"/>
              </w:rPr>
            </w:pPr>
            <w:r>
              <w:rPr>
                <w:rFonts w:ascii="黑体" w:eastAsia="黑体" w:cs="黑体" w:hint="eastAsia"/>
                <w:color w:val="000000"/>
                <w:kern w:val="0"/>
                <w:sz w:val="24"/>
              </w:rPr>
              <w:t>一级指标</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黑体" w:eastAsia="黑体" w:cs="黑体"/>
                <w:color w:val="000000"/>
                <w:sz w:val="24"/>
              </w:rPr>
            </w:pPr>
            <w:r>
              <w:rPr>
                <w:rFonts w:ascii="黑体" w:eastAsia="黑体" w:cs="黑体" w:hint="eastAsia"/>
                <w:color w:val="000000"/>
                <w:kern w:val="0"/>
                <w:sz w:val="24"/>
              </w:rPr>
              <w:t>二级指标</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黑体" w:eastAsia="黑体" w:cs="黑体"/>
                <w:color w:val="000000"/>
                <w:sz w:val="24"/>
              </w:rPr>
            </w:pPr>
            <w:r>
              <w:rPr>
                <w:rFonts w:ascii="黑体" w:eastAsia="黑体" w:cs="黑体" w:hint="eastAsia"/>
                <w:color w:val="000000"/>
                <w:kern w:val="0"/>
                <w:sz w:val="24"/>
              </w:rPr>
              <w:t>三级指标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黑体" w:eastAsia="黑体" w:cs="黑体"/>
                <w:color w:val="000000"/>
                <w:sz w:val="24"/>
              </w:rPr>
            </w:pPr>
            <w:r>
              <w:rPr>
                <w:rFonts w:ascii="黑体" w:eastAsia="黑体" w:cs="黑体" w:hint="eastAsia"/>
                <w:color w:val="000000"/>
                <w:kern w:val="0"/>
                <w:sz w:val="24"/>
              </w:rPr>
              <w:t>指标</w:t>
              <w:br/>
              <w:t>分值</w:t>
            </w:r>
          </w:p>
        </w:tc>
        <w:tc>
          <w:tcPr>
            <w:tcW w:w="4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4" w:type="dxa"/>
            <w:vMerge/>
            <w:tcBorders>
              <w:left w:val="single" w:sz="4" w:space="0" w:color="000000"/>
              <w:bottom w:val="single" w:sz="4" w:space="0" w:color="000000"/>
              <w:right w:val="single" w:sz="4" w:space="0" w:color="000000"/>
            </w:tcBorders>
            <w:shd w:val="clear" w:color="auto" w:fill="auto"/>
            <w:vAlign w:val="center"/>
          </w:tcPr>
          <w:p/>
        </w:tc>
        <w:tc>
          <w:tcPr>
            <w:tcW w:w="482" w:type="dxa"/>
            <w:vMerge/>
            <w:tcBorders>
              <w:left w:val="single" w:sz="4" w:space="0" w:color="000000"/>
              <w:bottom w:val="single" w:sz="4" w:space="0" w:color="000000"/>
              <w:right w:val="single" w:sz="4" w:space="0" w:color="000000"/>
            </w:tcBorders>
            <w:shd w:val="clear" w:color="auto" w:fill="auto"/>
            <w:vAlign w:val="center"/>
          </w:tcPr>
          <w:p/>
        </w:tc>
      </w:tr>
      <w:tr>
        <w:trPr>
          <w:trHeight w:val="738"/>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总体绩效</w:t>
              <w:br/>
              <w:t>（65分）</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履职效能</w:t>
              <w:br/>
              <w:t>（15分）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XX履职效果</w:t>
            </w:r>
          </w:p>
        </w:tc>
        <w:tc>
          <w:tcPr>
            <w:tcW w:w="660" w:type="dxa"/>
            <w:tcBorders>
              <w:top w:val="nil"/>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15</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部门整体绩效目标中选定3-5个核心职能目标，反映该项职能目标完成效果情况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15</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预算管理</w:t>
              <w:br/>
              <w:t>（25分）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预算编制质量</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8</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部门是否严格按要求编制年初部门预算，年初预算编制的科学性和准确性</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8</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495"/>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单位收入统筹</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部门统筹自有收入程度</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495"/>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支出执行进度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6</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部门1至6月、1至10月预算执行情况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5</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495"/>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预算年终结余</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2</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部门整体年终预算结余情况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981"/>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严控一般性支出</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5</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部门严控“三公”经费、会议、培训、差旅、办节办展、办公设备购置、信息网络及软件购置更新、课题经费等8项一般性支出情况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5</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495"/>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财务管理</w:t>
              <w:br/>
              <w:t>（1</w:t>
            </w:r>
            <w:r>
              <w:rPr>
                <w:rFonts w:ascii="宋体" w:cs="宋体" w:hint="eastAsia"/>
                <w:color w:val="000000"/>
                <w:kern w:val="0"/>
                <w:sz w:val="24"/>
              </w:rPr>
              <w:t>0</w:t>
            </w:r>
            <w:r>
              <w:rPr>
                <w:rFonts w:ascii="宋体" w:cs="宋体" w:hint="eastAsia"/>
                <w:b/>
                <w:color w:val="000000"/>
                <w:kern w:val="0"/>
                <w:sz w:val="24"/>
              </w:rPr>
              <w:t>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财务管理制度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部门财务管理制度建立情况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财务岗位设置</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2</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部门财务岗位设置是否符合相关财务管理制度要求</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资金使用规范</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部门资金使用是否符合相关财务管理制度规定</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资产管理</w:t>
              <w:br/>
              <w:t>（9分）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人均资产变化率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3</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部门人均资产变化情况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263"/>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资产利用率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3</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部门资产超最低使用年限情况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3</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总体绩效</w:t>
              <w:br/>
              <w:t>（65分）</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资产管理</w:t>
              <w:br/>
              <w:t>（9分）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资产盘活率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3</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部门闲置一年以上的资产盘活情况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采购管理</w:t>
              <w:br/>
              <w:t>（6分）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支持中小企业发展</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3</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部门是否严格执行政府采购促进中小企业发展相关管理办法</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728"/>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采购执行率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3</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部门政府采购项目资金支付比例情况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项目绩效</w:t>
              <w:br/>
              <w:t>（35分）</w:t>
            </w:r>
          </w:p>
        </w:tc>
        <w:tc>
          <w:tcPr>
            <w:tcW w:w="1339" w:type="dxa"/>
            <w:vMerge w:val="restart"/>
            <w:tcBorders>
              <w:top w:val="single" w:sz="4" w:space="0" w:color="000000"/>
              <w:left w:val="single" w:sz="4" w:space="0" w:color="000000"/>
              <w:bottom w:val="nil"/>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项目决策</w:t>
              <w:br/>
              <w:t>（12分）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决策程序</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部门预算项目设立是否按规定履行评估论证、申报程序</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99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nil"/>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目标设置</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部门预算项目绩效目标与计划期内的任务量、预算安排的资金量匹配情况，绩效目标设置是否科学合理、规范完整、量化细化、预算匹配</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nil"/>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项目入库</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部门预算项目是否在规定时间完成项目入库</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val="restart"/>
            <w:tcBorders>
              <w:top w:val="single" w:sz="4" w:space="0" w:color="000000"/>
              <w:left w:val="single" w:sz="4" w:space="0" w:color="000000"/>
              <w:bottom w:val="nil"/>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项目执行</w:t>
              <w:br/>
              <w:t>（12分）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执行同向</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部门预算项目实际列支内容是否与绩效目标设置方向相符</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3</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263"/>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nil"/>
              <w:right w:val="single" w:sz="4" w:space="0" w:color="000000"/>
            </w:tcBorders>
            <w:shd w:val="clear" w:color="auto" w:fill="auto"/>
            <w:vAlign w:val="center"/>
          </w:tcPr>
          <w:p/>
        </w:tc>
        <w:tc>
          <w:tcPr>
            <w:tcW w:w="1524" w:type="dxa"/>
            <w:tcBorders>
              <w:top w:val="single" w:sz="4" w:space="0" w:color="000000"/>
              <w:left w:val="single" w:sz="4" w:space="0" w:color="000000"/>
              <w:bottom w:val="nil"/>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项目调整</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部门预算项目是否采取对应调整措施</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272"/>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nil"/>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执行结果</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部门预算项目预算执行情况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495"/>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目标实现</w:t>
              <w:br/>
              <w:t>（11分）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目标完成</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部门预算项目绩效目标数量指标完成情况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4</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50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目标偏离</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部门预算项目绩效目标数量指标实现程度与预期目标的偏离情况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3</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495"/>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实现效果</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3</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部门预算项目绩效目标效益指标实施效果</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r>
              <w:rPr>
                <w:rFonts w:ascii="宋体" w:cs="宋体" w:hint="eastAsia"/>
                <w:color w:val="000000"/>
                <w:kern w:val="0"/>
                <w:sz w:val="24"/>
              </w:rPr>
              <w:t>3</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r>
        <w:trPr>
          <w:trHeight w:val="1496"/>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b/>
                <w:color w:val="000000"/>
                <w:sz w:val="24"/>
              </w:rPr>
            </w:pPr>
            <w:r>
              <w:rPr>
                <w:rFonts w:ascii="宋体" w:cs="宋体" w:hint="eastAsia"/>
                <w:b/>
                <w:color w:val="000000"/>
                <w:kern w:val="0"/>
                <w:sz w:val="24"/>
              </w:rPr>
              <w:t>扣分项</w:t>
              <w:br/>
              <w:t>（1</w:t>
            </w:r>
            <w:r>
              <w:rPr>
                <w:rFonts w:ascii="宋体" w:cs="宋体" w:hint="eastAsia"/>
                <w:color w:val="000000"/>
                <w:kern w:val="0"/>
                <w:sz w:val="24"/>
              </w:rPr>
              <w:t>0</w:t>
            </w:r>
            <w:r>
              <w:rPr>
                <w:rFonts w:ascii="宋体" w:cs="宋体" w:hint="eastAsia"/>
                <w:b/>
                <w:color w:val="000000"/>
                <w:kern w:val="0"/>
                <w:sz w:val="24"/>
              </w:rPr>
              <w:t>分）</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被评价部门配合度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center"/>
              <w:textAlignment w:val="center"/>
              <w:rPr>
                <w:rFonts w:ascii="宋体" w:cs="宋体"/>
                <w:color w:val="000000"/>
                <w:sz w:val="24"/>
              </w:rPr>
            </w:pPr>
            <w:r>
              <w:rPr>
                <w:rFonts w:ascii="宋体" w:cs="宋体" w:hint="eastAsia"/>
                <w:color w:val="000000"/>
                <w:kern w:val="0"/>
                <w:sz w:val="24"/>
              </w:rPr>
              <w:t>-</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sz w:val="24"/>
              </w:rPr>
            </w:pPr>
            <w:r>
              <w:rPr>
                <w:rFonts w:ascii="宋体" w:cs="宋体" w:hint="eastAsia"/>
                <w:color w:val="000000"/>
                <w:kern w:val="0"/>
                <w:sz w:val="24"/>
              </w:rPr>
              <w:t>被评价对象工作配合情况</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240" w:lineRule="exact"/>
              <w:jc w:val="left"/>
              <w:textAlignment w:val="center"/>
              <w:rPr>
                <w:rFonts w:ascii="宋体" w:cs="宋体"/>
                <w:color w:val="000000"/>
                <w:kern w:val="0"/>
                <w:sz w:val="24"/>
              </w:rPr>
            </w:pPr>
          </w:p>
        </w:tc>
      </w:tr>
    </w:tbl>
    <w:p>
      <w:pPr>
        <w:pStyle w:val="15"/>
        <w:spacing w:line="20" w:lineRule="exact"/>
      </w:pPr>
    </w:p>
    <w:p>
      <w:pPr>
        <w:rPr>
          <w:rFonts w:ascii="仿宋" w:eastAsia="仿宋"/>
          <w:color w:val="000000"/>
          <w:sz w:val="32"/>
          <w:szCs w:val="32"/>
        </w:rPr>
      </w:pPr>
      <w:r>
        <w:rPr>
          <w:rFonts w:eastAsia="黑体"/>
        </w:rPr>
        <w:br w:type="page"/>
        <w:t>附表</w:t>
      </w:r>
    </w:p>
    <w:tbl>
      <w:tblPr>
        <w:jc w:val="center"/>
        <w:tblW w:w="9278"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25"/>
        <w:gridCol w:w="687"/>
        <w:gridCol w:w="28"/>
        <w:gridCol w:w="1429"/>
        <w:gridCol w:w="1255"/>
        <w:gridCol w:w="162"/>
        <w:gridCol w:w="1134"/>
        <w:gridCol w:w="1003"/>
        <w:gridCol w:w="208"/>
        <w:gridCol w:w="1199"/>
        <w:gridCol w:w="1548"/>
      </w:tblGrid>
      <w:tr>
        <w:trPr>
          <w:trHeight w:hRule="exact" w:val="632"/>
        </w:trPr>
        <w:tc>
          <w:tcPr>
            <w:tcW w:w="9278" w:type="dxa"/>
            <w:gridSpan w:val="11"/>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b/>
                <w:bCs/>
                <w:color w:val="000000"/>
                <w:kern w:val="0"/>
                <w:sz w:val="44"/>
                <w:szCs w:val="44"/>
              </w:rPr>
              <w:t>部门整体支出</w:t>
            </w:r>
            <w:r>
              <w:rPr>
                <w:rFonts w:eastAsia="方正小标宋简体"/>
                <w:color w:val="000000"/>
                <w:kern w:val="0"/>
                <w:sz w:val="44"/>
                <w:szCs w:val="44"/>
              </w:rPr>
              <w:t>绩效目</w:t>
            </w:r>
            <w:r>
              <w:rPr>
                <w:rFonts w:eastAsia="方正小标宋简体"/>
                <w:b/>
                <w:bCs/>
                <w:color w:val="000000"/>
                <w:kern w:val="0"/>
                <w:sz w:val="44"/>
                <w:szCs w:val="44"/>
              </w:rPr>
              <w:t>标完成情况自</w:t>
            </w:r>
            <w:r>
              <w:rPr>
                <w:rFonts w:eastAsia="方正小标宋简体"/>
                <w:color w:val="000000"/>
                <w:kern w:val="0"/>
                <w:sz w:val="44"/>
                <w:szCs w:val="44"/>
              </w:rPr>
              <w:t>评</w:t>
            </w:r>
            <w:r>
              <w:rPr>
                <w:rFonts w:eastAsia="方正小标宋简体"/>
                <w:b/>
                <w:bCs/>
                <w:color w:val="000000"/>
                <w:kern w:val="0"/>
                <w:sz w:val="44"/>
                <w:szCs w:val="44"/>
              </w:rPr>
              <w:t>表</w:t>
            </w:r>
          </w:p>
        </w:tc>
      </w:tr>
      <w:tr>
        <w:trPr>
          <w:trHeight w:val="19"/>
        </w:trPr>
        <w:tc>
          <w:tcPr>
            <w:tcW w:w="9278" w:type="dxa"/>
            <w:gridSpan w:val="11"/>
            <w:shd w:val="clear" w:color="auto" w:fill="auto"/>
            <w:vAlign w:val="center"/>
          </w:tcPr>
          <w:p>
            <w:pPr>
              <w:widowControl/>
              <w:spacing w:line="300" w:lineRule="exact"/>
              <w:jc w:val="center"/>
              <w:textAlignment w:val="center"/>
              <w:rPr>
                <w:color w:val="000000"/>
                <w:sz w:val="28"/>
                <w:szCs w:val="28"/>
              </w:rPr>
            </w:pPr>
            <w:r>
              <w:rPr>
                <w:color w:val="000000"/>
                <w:kern w:val="0"/>
                <w:sz w:val="28"/>
                <w:szCs w:val="28"/>
              </w:rPr>
              <w:t>（202</w:t>
            </w:r>
            <w:r>
              <w:rPr>
                <w:rFonts w:hint="eastAsia"/>
                <w:color w:val="000000"/>
                <w:kern w:val="0"/>
                <w:sz w:val="28"/>
                <w:szCs w:val="28"/>
              </w:rPr>
              <w:t>4</w:t>
            </w:r>
            <w:r>
              <w:rPr>
                <w:color w:val="000000"/>
                <w:kern w:val="0"/>
                <w:sz w:val="28"/>
                <w:szCs w:val="28"/>
              </w:rPr>
              <w:t>年度）</w:t>
            </w:r>
          </w:p>
        </w:tc>
      </w:tr>
      <w:tr>
        <w:trPr>
          <w:trHeight w:val="19"/>
        </w:trPr>
        <w:tc>
          <w:tcPr>
            <w:tcW w:w="9278" w:type="dxa"/>
            <w:gridSpan w:val="11"/>
            <w:tcBorders>
              <w:bottom w:val="single" w:sz="4" w:space="0" w:color="000000"/>
            </w:tcBorders>
            <w:shd w:val="clear" w:color="auto" w:fill="auto"/>
            <w:vAlign w:val="center"/>
          </w:tcPr>
          <w:p>
            <w:pPr>
              <w:widowControl/>
              <w:spacing w:line="300" w:lineRule="exact"/>
              <w:jc w:val="right"/>
              <w:textAlignment w:val="center"/>
              <w:rPr>
                <w:color w:val="000000"/>
                <w:szCs w:val="21"/>
              </w:rPr>
            </w:pPr>
            <w:r>
              <w:rPr>
                <w:color w:val="000000"/>
                <w:kern w:val="0"/>
                <w:szCs w:val="21"/>
              </w:rPr>
              <w:t>单位：</w:t>
            </w:r>
            <w:r>
              <w:rPr>
                <w:rFonts w:hint="eastAsia"/>
                <w:color w:val="000000"/>
                <w:kern w:val="0"/>
                <w:szCs w:val="21"/>
              </w:rPr>
              <w:t>万</w:t>
            </w:r>
            <w:r>
              <w:rPr>
                <w:color w:val="000000"/>
                <w:kern w:val="0"/>
                <w:szCs w:val="21"/>
              </w:rPr>
              <w:t>元</w:t>
            </w:r>
          </w:p>
        </w:tc>
      </w:tr>
      <w:tr>
        <w:trPr>
          <w:trHeight w:val="19"/>
        </w:trPr>
        <w:tc>
          <w:tcPr>
            <w:tcW w:w="40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color w:val="000000"/>
                <w:kern w:val="0"/>
                <w:sz w:val="24"/>
              </w:rPr>
              <w:t>部门名称</w:t>
            </w:r>
          </w:p>
        </w:tc>
        <w:tc>
          <w:tcPr>
            <w:tcW w:w="52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textAlignment w:val="center"/>
              <w:rPr>
                <w:color w:val="000000"/>
                <w:sz w:val="24"/>
              </w:rPr>
            </w:pPr>
            <w:r>
              <w:rPr>
                <w:rFonts w:hint="eastAsia"/>
                <w:color w:val="000000"/>
                <w:sz w:val="24"/>
              </w:rPr>
              <w:t>茂县南新镇人民政府</w:t>
            </w:r>
          </w:p>
        </w:tc>
      </w:tr>
      <w:tr>
        <w:trPr>
          <w:trHeight w:val="19"/>
        </w:trPr>
        <w:tc>
          <w:tcPr>
            <w:tcW w:w="13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color w:val="000000"/>
                <w:kern w:val="0"/>
                <w:sz w:val="24"/>
              </w:rPr>
              <w:t>年度部门整体支出预算</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color w:val="000000"/>
                <w:kern w:val="0"/>
                <w:sz w:val="24"/>
              </w:rPr>
              <w:t>资金总额</w:t>
            </w:r>
          </w:p>
        </w:tc>
        <w:tc>
          <w:tcPr>
            <w:tcW w:w="22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color w:val="000000"/>
                <w:kern w:val="0"/>
                <w:sz w:val="24"/>
              </w:rPr>
              <w:t>财政拨款</w:t>
            </w:r>
          </w:p>
        </w:tc>
        <w:tc>
          <w:tcPr>
            <w:tcW w:w="29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color w:val="000000"/>
                <w:kern w:val="0"/>
                <w:sz w:val="24"/>
              </w:rPr>
              <w:t>其他资金</w:t>
            </w:r>
          </w:p>
        </w:tc>
      </w:tr>
      <w:tr>
        <w:trPr>
          <w:trHeight w:val="19"/>
        </w:trPr>
        <w:tc>
          <w:tcPr>
            <w:tcW w:w="13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rFonts w:hint="eastAsia"/>
                <w:color w:val="000000"/>
                <w:kern w:val="0"/>
                <w:sz w:val="24"/>
              </w:rPr>
              <w:t>1557.05</w:t>
            </w:r>
          </w:p>
        </w:tc>
        <w:tc>
          <w:tcPr>
            <w:tcW w:w="22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rFonts w:hint="eastAsia"/>
                <w:color w:val="000000"/>
                <w:kern w:val="0"/>
                <w:sz w:val="24"/>
              </w:rPr>
              <w:t>1557.05</w:t>
            </w:r>
          </w:p>
        </w:tc>
        <w:tc>
          <w:tcPr>
            <w:tcW w:w="29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rFonts w:hint="eastAsia"/>
                <w:color w:val="000000"/>
                <w:kern w:val="0"/>
                <w:sz w:val="24"/>
              </w:rPr>
              <w:t>0</w:t>
            </w:r>
          </w:p>
        </w:tc>
      </w:tr>
      <w:tr>
        <w:trPr>
          <w:trHeight w:val="1461"/>
        </w:trPr>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kern w:val="0"/>
                <w:sz w:val="18"/>
                <w:szCs w:val="18"/>
              </w:rPr>
            </w:pPr>
            <w:r>
              <w:rPr>
                <w:color w:val="000000"/>
                <w:kern w:val="0"/>
                <w:sz w:val="18"/>
                <w:szCs w:val="18"/>
              </w:rPr>
              <w:t>年度总体目标</w:t>
            </w:r>
          </w:p>
        </w:tc>
        <w:tc>
          <w:tcPr>
            <w:tcW w:w="793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kern w:val="0"/>
                <w:sz w:val="18"/>
                <w:szCs w:val="18"/>
              </w:rPr>
            </w:pPr>
            <w:r>
              <w:rPr>
                <w:rFonts w:hint="eastAsia"/>
                <w:color w:val="000000"/>
                <w:kern w:val="0"/>
                <w:sz w:val="18"/>
                <w:szCs w:val="18"/>
              </w:rPr>
              <w:t>负责调查了解农业产业结构状况及市场走向，及时提供农业结构调整参考信息；负责组织军烈属慰问、民政救灾救济工作；宣传贯彻国土管理、城建规划的法律法规，拟定全镇国土、城建管理规划措施；宣传教育、文化、科技、卫生等方面的政策、知识；严格按规定做好财务管理工作。　</w:t>
            </w:r>
          </w:p>
        </w:tc>
      </w:tr>
      <w:tr>
        <w:trPr>
          <w:trHeight w:val="19"/>
        </w:trPr>
        <w:tc>
          <w:tcPr>
            <w:tcW w:w="1340" w:type="dxa"/>
            <w:gridSpan w:val="3"/>
            <w:vMerge w:val="restart"/>
            <w:tcBorders>
              <w:top w:val="single" w:sz="4" w:space="0" w:color="000000"/>
              <w:left w:val="single" w:sz="4" w:space="0" w:color="000000"/>
              <w:right w:val="single" w:sz="4" w:space="0" w:color="000000"/>
            </w:tcBorders>
            <w:shd w:val="clear" w:color="auto" w:fill="auto"/>
            <w:vAlign w:val="center"/>
          </w:tcPr>
          <w:p>
            <w:pPr>
              <w:widowControl/>
              <w:spacing w:line="300" w:lineRule="exact"/>
              <w:jc w:val="center"/>
              <w:textAlignment w:val="center"/>
              <w:rPr>
                <w:color w:val="000000"/>
                <w:kern w:val="0"/>
                <w:sz w:val="24"/>
              </w:rPr>
            </w:pPr>
            <w:r>
              <w:rPr>
                <w:color w:val="000000"/>
                <w:kern w:val="0"/>
                <w:sz w:val="24"/>
              </w:rPr>
              <w:t>年度主要</w:t>
            </w:r>
          </w:p>
          <w:p>
            <w:pPr>
              <w:widowControl/>
              <w:spacing w:line="300" w:lineRule="exact"/>
              <w:jc w:val="center"/>
              <w:textAlignment w:val="center"/>
              <w:rPr>
                <w:color w:val="000000"/>
                <w:sz w:val="24"/>
              </w:rPr>
            </w:pPr>
            <w:r>
              <w:rPr>
                <w:color w:val="000000"/>
                <w:kern w:val="0"/>
                <w:sz w:val="24"/>
              </w:rPr>
              <w:t>任务</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color w:val="000000"/>
                <w:kern w:val="0"/>
                <w:sz w:val="24"/>
              </w:rPr>
              <w:t>任务名称</w:t>
            </w:r>
          </w:p>
        </w:tc>
        <w:tc>
          <w:tcPr>
            <w:tcW w:w="52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color w:val="000000"/>
                <w:sz w:val="24"/>
              </w:rPr>
            </w:pPr>
            <w:r>
              <w:rPr>
                <w:color w:val="000000"/>
                <w:kern w:val="0"/>
                <w:sz w:val="24"/>
              </w:rPr>
              <w:t>主要内容</w:t>
            </w:r>
          </w:p>
        </w:tc>
      </w:tr>
      <w:tr>
        <w:trPr>
          <w:trHeight w:val="19"/>
        </w:trPr>
        <w:tc>
          <w:tcPr>
            <w:tcW w:w="1340" w:type="dxa"/>
            <w:gridSpan w:val="3"/>
            <w:vMerge/>
            <w:tcBorders>
              <w:left w:val="single" w:sz="4" w:space="0" w:color="000000"/>
              <w:right w:val="single" w:sz="4" w:space="0" w:color="000000"/>
            </w:tcBorders>
            <w:shd w:val="clear" w:color="auto" w:fill="auto"/>
            <w:vAlign w:val="center"/>
          </w:tc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进一步抓重点、补短板、挖增量，抢抓施工黄金季节，加快各类项目建设</w:t>
            </w:r>
          </w:p>
        </w:tc>
        <w:tc>
          <w:tcPr>
            <w:tcW w:w="52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大力开展民生调查，倾听群众诉求，积极联系县级有关部门，在最短时间内排民忧、解民难。</w:t>
            </w:r>
          </w:p>
        </w:tc>
      </w:tr>
      <w:tr>
        <w:trPr>
          <w:trHeight w:val="521"/>
        </w:trPr>
        <w:tc>
          <w:tcPr>
            <w:tcW w:w="1340" w:type="dxa"/>
            <w:gridSpan w:val="3"/>
            <w:vMerge/>
            <w:tcBorders>
              <w:left w:val="single" w:sz="4" w:space="0" w:color="000000"/>
              <w:right w:val="single" w:sz="4" w:space="0" w:color="000000"/>
            </w:tcBorders>
            <w:shd w:val="clear" w:color="auto" w:fill="auto"/>
            <w:vAlign w:val="center"/>
          </w:tc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rPr>
                <w:color w:val="000000"/>
                <w:sz w:val="24"/>
              </w:rPr>
            </w:pPr>
            <w:r>
              <w:rPr>
                <w:rFonts w:hint="eastAsia"/>
                <w:color w:val="000000"/>
                <w:kern w:val="0"/>
                <w:sz w:val="18"/>
                <w:szCs w:val="18"/>
              </w:rPr>
              <w:t>进一步完善社会救助体系</w:t>
            </w:r>
          </w:p>
        </w:tc>
        <w:tc>
          <w:tcPr>
            <w:tcW w:w="52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kern w:val="0"/>
                <w:sz w:val="18"/>
                <w:szCs w:val="18"/>
              </w:rPr>
            </w:pPr>
            <w:r>
              <w:rPr>
                <w:rFonts w:hint="eastAsia"/>
                <w:color w:val="000000"/>
                <w:kern w:val="0"/>
                <w:sz w:val="18"/>
                <w:szCs w:val="18"/>
              </w:rPr>
              <w:t>加快推进农村老龄、社会福利、社会慈善、残疾人事业发展，大力促进就业创业，统筹做好返乡大学生生、农民工、退役军人等重点群体就业问题。</w:t>
            </w:r>
          </w:p>
        </w:tc>
      </w:tr>
      <w:tr>
        <w:trPr>
          <w:trHeight w:val="19"/>
        </w:trPr>
        <w:tc>
          <w:tcPr>
            <w:tcW w:w="1340" w:type="dxa"/>
            <w:gridSpan w:val="3"/>
            <w:vMerge/>
            <w:tcBorders>
              <w:left w:val="single" w:sz="4" w:space="0" w:color="000000"/>
              <w:right w:val="single" w:sz="4" w:space="0" w:color="000000"/>
            </w:tcBorders>
            <w:shd w:val="clear" w:color="auto" w:fill="auto"/>
            <w:vAlign w:val="center"/>
          </w:tc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全面落实河长制</w:t>
            </w:r>
            <w:r>
              <w:rPr>
                <w:color w:val="000000"/>
                <w:kern w:val="0"/>
                <w:sz w:val="18"/>
                <w:szCs w:val="18"/>
              </w:rPr>
              <w:t>工作</w:t>
            </w:r>
          </w:p>
        </w:tc>
        <w:tc>
          <w:tcPr>
            <w:tcW w:w="52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深入推进清河、护岸、净水、保水行动。坚持“清四乱”工作，深入开展入河排污口整治、自然保护区监督检查等专项行动，狠抓“村收集、镇运输、县处理”垃圾清运模式，切实筑牢长江上游生态屏障。</w:t>
            </w:r>
          </w:p>
        </w:tc>
      </w:tr>
      <w:tr>
        <w:trPr>
          <w:trHeight w:val="19"/>
        </w:trPr>
        <w:tc>
          <w:tcPr>
            <w:tcW w:w="1340" w:type="dxa"/>
            <w:gridSpan w:val="3"/>
            <w:vMerge/>
            <w:tcBorders>
              <w:left w:val="single" w:sz="4" w:space="0" w:color="000000"/>
              <w:bottom w:val="single" w:sz="4" w:space="0" w:color="000000"/>
              <w:right w:val="single" w:sz="4" w:space="0" w:color="000000"/>
            </w:tcBorders>
            <w:shd w:val="clear" w:color="auto" w:fill="auto"/>
            <w:vAlign w:val="center"/>
          </w:tc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毫不松懈抓好防灾减灾工作</w:t>
            </w:r>
          </w:p>
        </w:tc>
        <w:tc>
          <w:tcPr>
            <w:tcW w:w="52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color w:val="000000"/>
                <w:kern w:val="0"/>
                <w:sz w:val="18"/>
                <w:szCs w:val="18"/>
              </w:rPr>
            </w:pPr>
            <w:r>
              <w:rPr>
                <w:rFonts w:hint="eastAsia"/>
                <w:color w:val="000000"/>
                <w:kern w:val="0"/>
                <w:sz w:val="18"/>
                <w:szCs w:val="18"/>
              </w:rPr>
              <w:t>切实做好隐患排查、值班值守、监测预警、转移避让等工作，全力保护人民群众生命财产安全。</w:t>
            </w:r>
          </w:p>
        </w:tc>
      </w:tr>
      <w:tr>
        <w:trPr>
          <w:trHeight w:val="472"/>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年度绩效指标</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center"/>
              <w:textAlignment w:val="center"/>
              <w:rPr>
                <w:rFonts w:ascii="宋体" w:cs="宋体"/>
                <w:color w:val="000000"/>
                <w:sz w:val="18"/>
                <w:szCs w:val="18"/>
              </w:rPr>
            </w:pPr>
            <w:r>
              <w:rPr>
                <w:rFonts w:ascii="宋体" w:cs="宋体"/>
                <w:color w:val="000000"/>
                <w:kern w:val="0"/>
                <w:sz w:val="18"/>
                <w:szCs w:val="18"/>
              </w:rPr>
              <w:t>绩效指标性质</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center"/>
              <w:textAlignment w:val="center"/>
              <w:rPr>
                <w:rFonts w:ascii="宋体" w:cs="宋体"/>
                <w:color w:val="000000"/>
                <w:sz w:val="18"/>
                <w:szCs w:val="18"/>
              </w:rPr>
            </w:pPr>
            <w:r>
              <w:rPr>
                <w:rFonts w:ascii="宋体" w:cs="宋体"/>
                <w:color w:val="000000"/>
                <w:kern w:val="0"/>
                <w:sz w:val="18"/>
                <w:szCs w:val="18"/>
              </w:rPr>
              <w:t>绩效指标值</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center"/>
              <w:textAlignment w:val="center"/>
              <w:rPr>
                <w:rFonts w:ascii="宋体" w:cs="宋体"/>
                <w:color w:val="000000"/>
                <w:sz w:val="18"/>
                <w:szCs w:val="18"/>
              </w:rPr>
            </w:pPr>
            <w:r>
              <w:rPr>
                <w:rFonts w:ascii="宋体" w:cs="宋体"/>
                <w:color w:val="000000"/>
                <w:kern w:val="0"/>
                <w:sz w:val="18"/>
                <w:szCs w:val="18"/>
              </w:rPr>
              <w:t>绩效度量单位</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r>
      <w:tr>
        <w:trPr>
          <w:trHeight w:val="472"/>
        </w:trPr>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产出指标</w:t>
            </w: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数量指标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职工</w:t>
            </w:r>
            <w:r>
              <w:rPr>
                <w:rFonts w:ascii="宋体" w:cs="宋体" w:hint="eastAsia"/>
                <w:color w:val="000000"/>
                <w:kern w:val="0"/>
                <w:sz w:val="18"/>
                <w:szCs w:val="18"/>
              </w:rPr>
              <w:t>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hint="eastAsia"/>
                <w:color w:val="000000"/>
                <w:kern w:val="0"/>
                <w:sz w:val="18"/>
                <w:szCs w:val="18"/>
              </w:rPr>
              <w:t>50</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人数</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10</w:t>
            </w:r>
          </w:p>
        </w:tc>
      </w:tr>
      <w:tr>
        <w:trPr>
          <w:trHeight w:val="472"/>
        </w:trPr>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时效指标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保障年度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1</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年</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20</w:t>
            </w:r>
          </w:p>
        </w:tc>
      </w:tr>
      <w:tr>
        <w:trPr>
          <w:trHeight w:val="472"/>
        </w:trPr>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效益指标</w:t>
            </w: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经济效益指标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对经济发展起到作用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定性</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高中低</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jc w:val="left"/>
              <w:rPr>
                <w:rFonts w:ascii="宋体" w:cs="宋体"/>
                <w:color w:val="000000"/>
                <w:sz w:val="18"/>
                <w:szCs w:val="18"/>
              </w:rPr>
            </w:pPr>
            <w:r>
              <w:rPr>
                <w:rFonts w:ascii="宋体" w:cs="宋体" w:hint="eastAsia"/>
                <w:color w:val="000000"/>
                <w:sz w:val="18"/>
                <w:szCs w:val="18"/>
              </w:rPr>
              <w:t>其他</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1</w:t>
            </w:r>
            <w:r>
              <w:rPr>
                <w:rFonts w:ascii="宋体" w:cs="宋体" w:hint="eastAsia"/>
                <w:color w:val="000000"/>
                <w:kern w:val="0"/>
                <w:sz w:val="18"/>
                <w:szCs w:val="18"/>
              </w:rPr>
              <w:t>0</w:t>
            </w:r>
          </w:p>
        </w:tc>
      </w:tr>
      <w:tr>
        <w:trPr>
          <w:trHeight w:val="472"/>
        </w:trPr>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社会效益指标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职工度影响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定性</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高中低</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jc w:val="left"/>
              <w:rPr>
                <w:rFonts w:ascii="宋体" w:cs="宋体"/>
                <w:color w:val="000000"/>
                <w:sz w:val="18"/>
                <w:szCs w:val="18"/>
              </w:rPr>
            </w:pPr>
            <w:r>
              <w:rPr>
                <w:rFonts w:ascii="宋体" w:cs="宋体" w:hint="eastAsia"/>
                <w:color w:val="000000"/>
                <w:sz w:val="18"/>
                <w:szCs w:val="18"/>
              </w:rPr>
              <w:t>其他</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10</w:t>
            </w:r>
          </w:p>
        </w:tc>
      </w:tr>
      <w:tr>
        <w:trPr>
          <w:trHeight w:val="472"/>
        </w:trPr>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成本指标</w:t>
            </w: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经济成本指标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总支出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hint="eastAsia"/>
                <w:color w:val="000000"/>
                <w:kern w:val="0"/>
                <w:sz w:val="18"/>
                <w:szCs w:val="18"/>
              </w:rPr>
              <w:t>1557.05</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hint="eastAsia"/>
                <w:color w:val="000000"/>
                <w:kern w:val="0"/>
                <w:sz w:val="18"/>
                <w:szCs w:val="18"/>
              </w:rPr>
              <w:t>万</w:t>
            </w:r>
            <w:r>
              <w:rPr>
                <w:rFonts w:ascii="宋体" w:cs="宋体"/>
                <w:color w:val="000000"/>
                <w:kern w:val="0"/>
                <w:sz w:val="18"/>
                <w:szCs w:val="18"/>
              </w:rPr>
              <w:t>元</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tcMar>
            <w:vAlign w:val="center"/>
          </w:tcPr>
          <w:p>
            <w:pPr>
              <w:widowControl/>
              <w:jc w:val="left"/>
              <w:textAlignment w:val="center"/>
              <w:rPr>
                <w:rFonts w:ascii="宋体" w:cs="宋体"/>
                <w:color w:val="000000"/>
                <w:sz w:val="18"/>
                <w:szCs w:val="18"/>
              </w:rPr>
            </w:pPr>
            <w:r>
              <w:rPr>
                <w:rFonts w:ascii="宋体" w:cs="宋体"/>
                <w:color w:val="000000"/>
                <w:kern w:val="0"/>
                <w:sz w:val="18"/>
                <w:szCs w:val="18"/>
              </w:rPr>
              <w:t>40</w:t>
            </w:r>
          </w:p>
        </w:tc>
      </w:tr>
    </w:tbl>
    <w:p>
      <w:pPr>
        <w:rPr>
          <w:rFonts w:ascii="仿宋" w:eastAsia="仿宋"/>
          <w:color w:val="000000"/>
          <w:sz w:val="32"/>
          <w:szCs w:val="32"/>
        </w:rPr>
      </w:pPr>
    </w:p>
    <w:p>
      <w:pPr>
        <w:rPr>
          <w:rFonts w:ascii="仿宋" w:eastAsia="仿宋"/>
          <w:color w:val="000000"/>
          <w:sz w:val="32"/>
          <w:szCs w:val="32"/>
        </w:rPr>
      </w:pPr>
    </w:p>
    <w:p>
      <w:pPr>
        <w:spacing w:line="600" w:lineRule="exact"/>
        <w:rPr>
          <w:rFonts w:ascii="仿宋" w:eastAsia="仿宋"/>
          <w:color w:val="000000"/>
          <w:sz w:val="32"/>
          <w:szCs w:val="32"/>
        </w:rPr>
      </w:pPr>
    </w:p>
    <w:p>
      <w:pPr>
        <w:pStyle w:val="39"/>
        <w:spacing w:line="578" w:lineRule="exact"/>
        <w:jc w:val="center"/>
        <w:rPr>
          <w:rFonts w:ascii="方正小标宋简体" w:eastAsia="方正小标宋简体" w:cs="方正小标宋简体" w:hint="eastAsia"/>
          <w:color w:val="auto"/>
          <w:kern w:val="2"/>
          <w:sz w:val="44"/>
          <w:szCs w:val="44"/>
          <w:lang w:val="en-US"/>
        </w:rPr>
      </w:pPr>
      <w:r>
        <w:rPr>
          <w:rFonts w:ascii="方正小标宋简体" w:eastAsia="方正小标宋简体" w:cs="方正小标宋简体" w:hint="eastAsia"/>
          <w:color w:val="auto"/>
          <w:kern w:val="2"/>
          <w:sz w:val="44"/>
          <w:szCs w:val="44"/>
          <w:lang w:val="en-US"/>
        </w:rPr>
        <w:t>茂县南新镇人民政府</w:t>
      </w:r>
    </w:p>
    <w:p>
      <w:pPr>
        <w:pStyle w:val="39"/>
        <w:spacing w:line="560" w:lineRule="exact"/>
        <w:ind w:firstLineChars="200" w:firstLine="880"/>
        <w:rPr>
          <w:rFonts w:ascii="方正小标宋简体" w:eastAsia="方正小标宋简体" w:cs="方正小标宋简体" w:hint="eastAsia"/>
          <w:color w:val="auto"/>
          <w:kern w:val="2"/>
          <w:sz w:val="44"/>
          <w:szCs w:val="44"/>
          <w:lang w:val="en-US"/>
        </w:rPr>
      </w:pPr>
      <w:r>
        <w:rPr>
          <w:rFonts w:ascii="方正小标宋简体" w:eastAsia="方正小标宋简体" w:cs="方正小标宋简体" w:hint="eastAsia"/>
          <w:sz w:val="44"/>
          <w:szCs w:val="44"/>
          <w:lang w:val="en-US"/>
        </w:rPr>
        <w:t>基层组织活动和公共服务运行经费</w:t>
      </w:r>
    </w:p>
    <w:p>
      <w:pPr>
        <w:pStyle w:val="39"/>
        <w:spacing w:line="578" w:lineRule="exact"/>
        <w:jc w:val="center"/>
        <w:rPr>
          <w:rFonts w:ascii="方正小标宋简体" w:eastAsia="方正小标宋简体" w:cs="方正小标宋简体" w:hint="eastAsia"/>
          <w:color w:val="auto"/>
          <w:kern w:val="2"/>
          <w:sz w:val="44"/>
          <w:szCs w:val="44"/>
          <w:lang w:val="en-US"/>
        </w:rPr>
      </w:pPr>
      <w:r>
        <w:rPr>
          <w:rFonts w:ascii="方正小标宋简体" w:eastAsia="方正小标宋简体" w:cs="方正小标宋简体" w:hint="eastAsia"/>
          <w:color w:val="auto"/>
          <w:kern w:val="2"/>
          <w:sz w:val="44"/>
          <w:szCs w:val="44"/>
          <w:lang w:val="en-US"/>
        </w:rPr>
        <w:t>专项预算项目绩效评价报告</w:t>
      </w:r>
    </w:p>
    <w:p>
      <w:pPr>
        <w:pStyle w:val="39"/>
        <w:spacing w:line="578" w:lineRule="exact"/>
        <w:ind w:firstLine="640"/>
        <w:jc w:val="center"/>
        <w:rPr>
          <w:rFonts w:ascii="宋体" w:hint="eastAsia"/>
          <w:color w:val="auto"/>
          <w:kern w:val="2"/>
          <w:sz w:val="32"/>
          <w:szCs w:val="32"/>
        </w:rPr>
      </w:pP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一、</w:t>
      </w:r>
      <w:r>
        <w:rPr>
          <w:rFonts w:ascii="仿宋" w:eastAsia="仿宋" w:cs="仿宋" w:hint="eastAsia"/>
          <w:b/>
          <w:bCs/>
          <w:sz w:val="32"/>
          <w:szCs w:val="32"/>
          <w:lang w:val="zh-CN"/>
        </w:rPr>
        <w:t>项目概况</w:t>
      </w:r>
    </w:p>
    <w:p>
      <w:pPr>
        <w:spacing w:line="560" w:lineRule="exact"/>
        <w:ind w:firstLineChars="200" w:firstLine="640"/>
        <w:rPr>
          <w:rFonts w:ascii="仿宋" w:eastAsia="仿宋" w:cs="仿宋"/>
          <w:b/>
          <w:sz w:val="32"/>
          <w:szCs w:val="32"/>
          <w:lang w:val="zh-CN"/>
        </w:rPr>
      </w:pPr>
      <w:r>
        <w:rPr>
          <w:rFonts w:ascii="仿宋" w:eastAsia="仿宋" w:cs="仿宋" w:hint="eastAsia"/>
          <w:b/>
          <w:sz w:val="32"/>
          <w:szCs w:val="32"/>
          <w:lang w:val="zh-CN"/>
        </w:rPr>
        <w:t>（一）设立背景及基本情况</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南新镇人民政府2024年基层组织活动和公共服务运行经费整体绩效目标是</w:t>
      </w:r>
      <w:r>
        <w:rPr>
          <w:rFonts w:ascii="仿宋_GB2312" w:eastAsia="仿宋_GB2312" w:cs="仿宋" w:hint="eastAsia"/>
          <w:color w:val="000000"/>
          <w:kern w:val="0"/>
          <w:sz w:val="32"/>
          <w:szCs w:val="32"/>
          <w:lang w:val="zh-CN"/>
        </w:rPr>
        <w:t>保障各村运行能力，为进一步提升我镇各村组织活动和公共服务运行经费保障能力，巩固党在基层的执政基础。主要用于南新镇各村组织活动经费及各村运行运行维护费，包括：网格员工资、协管员工资、发药员工资、</w:t>
      </w:r>
      <w:r>
        <w:rPr>
          <w:rFonts w:ascii="仿宋_GB2312" w:eastAsia="仿宋_GB2312" w:cs="仿宋" w:hint="eastAsia"/>
          <w:color w:val="000000"/>
          <w:kern w:val="0"/>
          <w:sz w:val="32"/>
          <w:szCs w:val="32"/>
        </w:rPr>
        <w:t>办公费</w:t>
      </w:r>
      <w:r>
        <w:rPr>
          <w:rFonts w:ascii="仿宋_GB2312" w:eastAsia="仿宋_GB2312" w:cs="仿宋" w:hint="eastAsia"/>
          <w:color w:val="000000"/>
          <w:kern w:val="0"/>
          <w:sz w:val="32"/>
          <w:szCs w:val="32"/>
          <w:lang w:val="zh-CN"/>
        </w:rPr>
        <w:t>、环境卫生整治、地质灾害应急处置等。</w:t>
      </w:r>
    </w:p>
    <w:p>
      <w:pPr>
        <w:widowControl/>
        <w:ind w:firstLineChars="200" w:firstLine="640"/>
        <w:jc w:val="left"/>
        <w:rPr>
          <w:rFonts w:ascii="仿宋" w:eastAsia="仿宋" w:cs="仿宋"/>
          <w:b/>
          <w:sz w:val="32"/>
          <w:szCs w:val="32"/>
        </w:rPr>
      </w:pPr>
      <w:r>
        <w:rPr>
          <w:rFonts w:ascii="仿宋" w:eastAsia="仿宋" w:cs="仿宋" w:hint="eastAsia"/>
          <w:b/>
          <w:sz w:val="32"/>
          <w:szCs w:val="32"/>
        </w:rPr>
        <w:t>（二）实施目的及支持方向</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我镇</w:t>
      </w:r>
      <w:r>
        <w:rPr>
          <w:rFonts w:ascii="仿宋_GB2312" w:eastAsia="仿宋_GB2312" w:cs="仿宋" w:hint="eastAsia"/>
          <w:color w:val="000000"/>
          <w:kern w:val="0"/>
          <w:sz w:val="32"/>
          <w:szCs w:val="32"/>
        </w:rPr>
        <w:t>2024年基层组织活动和公共服务运行经费</w:t>
      </w:r>
      <w:r>
        <w:rPr>
          <w:rFonts w:ascii="仿宋_GB2312" w:eastAsia="仿宋_GB2312" w:cs="仿宋" w:hint="eastAsia"/>
          <w:color w:val="000000"/>
          <w:kern w:val="0"/>
          <w:sz w:val="32"/>
          <w:szCs w:val="32"/>
          <w:lang w:val="zh-CN"/>
        </w:rPr>
        <w:t>实施内容：</w:t>
      </w:r>
      <w:r>
        <w:rPr>
          <w:rFonts w:ascii="仿宋_GB2312" w:eastAsia="仿宋_GB2312" w:cs="仿宋" w:hint="eastAsia"/>
          <w:color w:val="000000"/>
          <w:kern w:val="0"/>
          <w:sz w:val="32"/>
          <w:szCs w:val="32"/>
        </w:rPr>
        <w:t>完成</w:t>
      </w:r>
      <w:r>
        <w:rPr>
          <w:rFonts w:ascii="仿宋_GB2312" w:eastAsia="仿宋_GB2312" w:cs="仿宋" w:hint="eastAsia"/>
          <w:color w:val="000000"/>
          <w:kern w:val="0"/>
          <w:sz w:val="32"/>
          <w:szCs w:val="32"/>
          <w:lang w:val="zh-CN"/>
        </w:rPr>
        <w:t>各村组织活动经费及各村运行维护费，支付依据合规合法，资金支付与预算相符。</w:t>
      </w:r>
    </w:p>
    <w:p>
      <w:pPr>
        <w:widowControl/>
        <w:adjustRightInd w:val="0"/>
        <w:snapToGrid w:val="0"/>
        <w:spacing w:line="578" w:lineRule="exact"/>
        <w:ind w:firstLineChars="200" w:firstLine="640"/>
        <w:contextualSpacing/>
        <w:jc w:val="left"/>
        <w:rPr>
          <w:rFonts w:ascii="仿宋" w:eastAsia="仿宋" w:cs="仿宋"/>
          <w:b/>
          <w:sz w:val="32"/>
          <w:szCs w:val="32"/>
        </w:rPr>
      </w:pPr>
      <w:r>
        <w:rPr>
          <w:rFonts w:ascii="仿宋" w:eastAsia="仿宋" w:cs="仿宋" w:hint="eastAsia"/>
          <w:b/>
          <w:sz w:val="32"/>
          <w:szCs w:val="32"/>
          <w:lang w:val="zh-CN"/>
        </w:rPr>
        <w:t>（三）</w:t>
      </w:r>
      <w:r>
        <w:rPr>
          <w:rFonts w:ascii="仿宋" w:eastAsia="仿宋" w:cs="仿宋" w:hint="eastAsia"/>
          <w:b/>
          <w:sz w:val="32"/>
          <w:szCs w:val="32"/>
        </w:rPr>
        <w:t>预算安排及分配管理</w:t>
      </w:r>
    </w:p>
    <w:p>
      <w:pPr>
        <w:spacing w:line="14" w:lineRule="auto"/>
        <w:ind w:firstLineChars="200" w:firstLine="640"/>
        <w:rPr>
          <w:rFonts w:ascii="仿宋" w:eastAsia="仿宋" w:cs="仿宋"/>
          <w:kern w:val="0"/>
          <w:sz w:val="32"/>
          <w:szCs w:val="32"/>
          <w:shd w:val="clear" w:color="auto" w:fill="FFFFFF"/>
          <w:lang w:val="zh-CN"/>
        </w:rPr>
      </w:pPr>
      <w:r>
        <w:rPr>
          <w:rFonts w:ascii="仿宋_GB2312" w:eastAsia="仿宋_GB2312" w:cs="仿宋" w:hint="eastAsia"/>
          <w:color w:val="000000"/>
          <w:kern w:val="0"/>
          <w:sz w:val="32"/>
          <w:szCs w:val="32"/>
          <w:lang w:val="zh-CN"/>
        </w:rPr>
        <w:t>2024年</w:t>
      </w:r>
      <w:r>
        <w:rPr>
          <w:rFonts w:ascii="仿宋_GB2312" w:eastAsia="仿宋_GB2312" w:cs="仿宋" w:hint="eastAsia"/>
          <w:color w:val="000000"/>
          <w:kern w:val="0"/>
          <w:sz w:val="32"/>
          <w:szCs w:val="32"/>
        </w:rPr>
        <w:t>基层组织活动和公共服务运行经费120</w:t>
      </w:r>
      <w:r>
        <w:rPr>
          <w:rFonts w:ascii="仿宋_GB2312" w:eastAsia="仿宋_GB2312" w:cs="仿宋"/>
          <w:color w:val="000000"/>
          <w:kern w:val="0"/>
          <w:sz w:val="32"/>
          <w:szCs w:val="32"/>
        </w:rPr>
        <w:t>.00</w:t>
      </w:r>
      <w:r>
        <w:rPr>
          <w:rFonts w:ascii="仿宋_GB2312" w:eastAsia="仿宋_GB2312" w:cs="仿宋" w:hint="eastAsia"/>
          <w:color w:val="000000"/>
          <w:kern w:val="0"/>
          <w:sz w:val="32"/>
          <w:szCs w:val="32"/>
          <w:lang w:val="zh-CN"/>
        </w:rPr>
        <w:t>万元。</w:t>
      </w:r>
    </w:p>
    <w:p>
      <w:pPr>
        <w:adjustRightInd w:val="0"/>
        <w:snapToGrid w:val="0"/>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w:t>
      </w:r>
      <w:r>
        <w:rPr>
          <w:rFonts w:ascii="仿宋" w:eastAsia="仿宋" w:cs="仿宋" w:hint="eastAsia"/>
          <w:b/>
          <w:sz w:val="32"/>
          <w:szCs w:val="32"/>
        </w:rPr>
        <w:t>四</w:t>
      </w:r>
      <w:r>
        <w:rPr>
          <w:rFonts w:ascii="仿宋" w:eastAsia="仿宋" w:cs="仿宋" w:hint="eastAsia"/>
          <w:b/>
          <w:sz w:val="32"/>
          <w:szCs w:val="32"/>
          <w:lang w:val="zh-CN"/>
        </w:rPr>
        <w:t>）项目绩效目标设置</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为了大力推进农村公共服务保障能力建设，提升农村公共服务和社会管理水平，促进农村繁荣稳定和长治久安，着力解决村内最急需的问题。</w:t>
      </w:r>
    </w:p>
    <w:p>
      <w:pPr>
        <w:adjustRightInd w:val="0"/>
        <w:snapToGrid w:val="0"/>
        <w:spacing w:line="578" w:lineRule="exact"/>
        <w:ind w:firstLineChars="200" w:firstLine="640"/>
        <w:rPr>
          <w:rFonts w:ascii="仿宋" w:eastAsia="仿宋" w:cs="仿宋"/>
          <w:b/>
          <w:bCs/>
          <w:sz w:val="32"/>
          <w:szCs w:val="32"/>
        </w:rPr>
      </w:pPr>
      <w:r>
        <w:rPr>
          <w:rFonts w:ascii="仿宋" w:eastAsia="仿宋" w:cs="仿宋" w:hint="eastAsia"/>
          <w:b/>
          <w:bCs/>
          <w:sz w:val="32"/>
          <w:szCs w:val="32"/>
        </w:rPr>
        <w:t>二、评价实施</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（一）评价目的</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通过对</w:t>
      </w:r>
      <w:r>
        <w:rPr>
          <w:rFonts w:ascii="仿宋_GB2312" w:eastAsia="仿宋_GB2312" w:cs="仿宋" w:hint="eastAsia"/>
          <w:color w:val="000000"/>
          <w:kern w:val="0"/>
          <w:sz w:val="32"/>
          <w:szCs w:val="32"/>
        </w:rPr>
        <w:t>2024年基层组织活动和公共服务运行经费经费</w:t>
      </w:r>
      <w:r>
        <w:rPr>
          <w:rFonts w:ascii="仿宋_GB2312" w:eastAsia="仿宋_GB2312" w:cs="仿宋" w:hint="eastAsia"/>
          <w:color w:val="000000"/>
          <w:kern w:val="0"/>
          <w:sz w:val="32"/>
          <w:szCs w:val="32"/>
          <w:lang w:val="zh-CN"/>
        </w:rPr>
        <w:t>实施以及使用情况，为进一步提升预算管理水平、提高公共服务质量、优化公共资源配置提供决策参考，为以后年度类似项目专项资金安排、政策制度建设、预算绩效的推进提供必要的借鉴。</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rPr>
        <w:t>（二）</w:t>
      </w:r>
      <w:r>
        <w:rPr>
          <w:rFonts w:ascii="仿宋" w:eastAsia="仿宋" w:cs="仿宋" w:hint="eastAsia"/>
          <w:b/>
          <w:sz w:val="32"/>
          <w:szCs w:val="32"/>
          <w:lang w:val="zh-CN"/>
        </w:rPr>
        <w:t>预设问题及评价重点</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color w:val="000000"/>
          <w:kern w:val="0"/>
          <w:sz w:val="32"/>
          <w:szCs w:val="32"/>
        </w:rPr>
        <w:t>我单位没有</w:t>
      </w:r>
      <w:r>
        <w:rPr>
          <w:rFonts w:ascii="仿宋_GB2312" w:eastAsia="仿宋_GB2312" w:cs="仿宋" w:hint="eastAsia"/>
          <w:color w:val="000000"/>
          <w:kern w:val="0"/>
          <w:sz w:val="32"/>
          <w:szCs w:val="32"/>
        </w:rPr>
        <w:t>预设问题及评价重点</w:t>
      </w:r>
      <w:r>
        <w:rPr>
          <w:rFonts w:ascii="仿宋_GB2312" w:eastAsia="仿宋_GB2312" w:cs="仿宋"/>
          <w:color w:val="000000"/>
          <w:kern w:val="0"/>
          <w:sz w:val="32"/>
          <w:szCs w:val="32"/>
        </w:rPr>
        <w:t>情况</w:t>
      </w:r>
      <w:r>
        <w:rPr>
          <w:rFonts w:ascii="仿宋_GB2312" w:eastAsia="仿宋_GB2312" w:cs="仿宋" w:hint="eastAsia"/>
          <w:color w:val="000000"/>
          <w:kern w:val="0"/>
          <w:sz w:val="32"/>
          <w:szCs w:val="32"/>
        </w:rPr>
        <w:t>。</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（三）评价选点</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抽取南新镇基层组织活动和公共服务运行经费购买防雹弹1个</w:t>
      </w:r>
      <w:r>
        <w:rPr>
          <w:rFonts w:ascii="仿宋_GB2312" w:eastAsia="仿宋_GB2312" w:cs="仿宋" w:hint="eastAsia"/>
          <w:color w:val="000000"/>
          <w:kern w:val="0"/>
          <w:sz w:val="32"/>
          <w:szCs w:val="32"/>
          <w:lang w:val="zh-CN"/>
        </w:rPr>
        <w:t>样点</w:t>
      </w:r>
      <w:r>
        <w:rPr>
          <w:rFonts w:ascii="仿宋_GB2312" w:eastAsia="仿宋_GB2312" w:cs="仿宋" w:hint="eastAsia"/>
          <w:color w:val="000000"/>
          <w:kern w:val="0"/>
          <w:sz w:val="32"/>
          <w:szCs w:val="32"/>
        </w:rPr>
        <w:t>进行评价</w:t>
      </w:r>
      <w:r>
        <w:rPr>
          <w:rFonts w:ascii="仿宋_GB2312" w:eastAsia="仿宋_GB2312" w:cs="仿宋" w:hint="eastAsia"/>
          <w:color w:val="000000"/>
          <w:kern w:val="0"/>
          <w:sz w:val="32"/>
          <w:szCs w:val="32"/>
          <w:lang w:val="zh-CN"/>
        </w:rPr>
        <w:t>。</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（四）评价方法</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南新镇基层组织活动和公共服务运行经费采用单位自评法进行评价分析。</w:t>
      </w:r>
    </w:p>
    <w:p>
      <w:pPr>
        <w:adjustRightInd w:val="0"/>
        <w:snapToGrid w:val="0"/>
        <w:spacing w:line="580"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3.分析评价</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根据自查结果，对绩效评价指标进行全面的分析形成绩效评价报告。</w:t>
      </w:r>
    </w:p>
    <w:p>
      <w:pPr>
        <w:adjustRightInd w:val="0"/>
        <w:snapToGrid w:val="0"/>
        <w:spacing w:line="580" w:lineRule="exact"/>
        <w:ind w:firstLineChars="100" w:firstLine="320"/>
        <w:rPr>
          <w:rFonts w:ascii="仿宋" w:eastAsia="仿宋" w:cs="仿宋"/>
          <w:b/>
          <w:sz w:val="32"/>
          <w:szCs w:val="32"/>
          <w:lang w:val="zh-CN"/>
        </w:rPr>
      </w:pPr>
      <w:r>
        <w:rPr>
          <w:rFonts w:ascii="仿宋" w:eastAsia="仿宋" w:cs="仿宋" w:hint="eastAsia"/>
          <w:b/>
          <w:sz w:val="32"/>
          <w:szCs w:val="32"/>
          <w:lang w:val="zh-CN"/>
        </w:rPr>
        <w:t>（五）评价组织</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成立项目绩效自评领导小组，由分管财务副镇长牵头，南新镇财政办公室、南新镇各驻村工作组组成自评小组，</w:t>
      </w:r>
      <w:r>
        <w:rPr>
          <w:rFonts w:ascii="仿宋_GB2312" w:eastAsia="仿宋_GB2312" w:cs="仿宋" w:hint="eastAsia"/>
          <w:color w:val="000000"/>
          <w:kern w:val="0"/>
          <w:sz w:val="32"/>
          <w:szCs w:val="32"/>
        </w:rPr>
        <w:t>项目经办人员负责项目具体实施，财务人员负责评价</w:t>
      </w:r>
      <w:r>
        <w:rPr>
          <w:rFonts w:ascii="仿宋_GB2312" w:eastAsia="仿宋_GB2312" w:cs="仿宋" w:hint="eastAsia"/>
          <w:color w:val="000000"/>
          <w:kern w:val="0"/>
          <w:sz w:val="32"/>
          <w:szCs w:val="32"/>
          <w:lang w:val="zh-CN"/>
        </w:rPr>
        <w:t>。</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三、绩效分析</w:t>
      </w:r>
      <w:r>
        <w:rPr>
          <w:rFonts w:ascii="仿宋" w:eastAsia="仿宋" w:cs="仿宋" w:hint="eastAsia"/>
          <w:b/>
          <w:bCs/>
          <w:sz w:val="32"/>
          <w:szCs w:val="32"/>
          <w:lang w:val="zh-CN"/>
        </w:rPr>
        <w:tab/>
      </w:r>
    </w:p>
    <w:p>
      <w:pPr>
        <w:spacing w:line="578" w:lineRule="exact"/>
        <w:ind w:firstLine="640"/>
        <w:rPr>
          <w:rFonts w:ascii="仿宋" w:eastAsia="仿宋" w:cs="仿宋"/>
          <w:b/>
          <w:sz w:val="32"/>
          <w:szCs w:val="32"/>
        </w:rPr>
      </w:pPr>
      <w:r>
        <w:rPr>
          <w:rFonts w:ascii="仿宋" w:eastAsia="仿宋" w:cs="仿宋" w:hint="eastAsia"/>
          <w:b/>
          <w:sz w:val="32"/>
          <w:szCs w:val="32"/>
          <w:lang w:val="zh-CN"/>
        </w:rPr>
        <w:t>（一）</w:t>
      </w:r>
      <w:r>
        <w:rPr>
          <w:rFonts w:ascii="仿宋" w:eastAsia="仿宋" w:cs="仿宋" w:hint="eastAsia"/>
          <w:b/>
          <w:sz w:val="32"/>
          <w:szCs w:val="32"/>
        </w:rPr>
        <w:t>通用指标</w:t>
      </w:r>
      <w:r>
        <w:rPr>
          <w:rFonts w:ascii="仿宋" w:eastAsia="仿宋" w:cs="仿宋" w:hint="eastAsia"/>
          <w:b/>
          <w:bCs/>
          <w:color w:val="000000"/>
          <w:kern w:val="0"/>
          <w:sz w:val="32"/>
          <w:szCs w:val="32"/>
          <w:shd w:val="clear" w:color="auto" w:fill="FFFFFF"/>
          <w:lang w:val="zh-CN"/>
        </w:rPr>
        <w:t>绩效分析</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1.项目决策</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茂县南新镇人民政府负责：对2</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24年基层组织活动和公共服务运行费进行分配，补助资金根据各村人口、幅员面积、地理区位、村集体收入和工作绩效等因素分村确定具体的补助标准，南新镇驻村工作组对完工内容进行验收，南新镇财政办公室支付资金。</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茂县南新镇人民政府各村两委会负责：召开户主大会确定各村具体实施内容，确定实施人员，对施工进行监督检查，各村两委会对完工内容进行验收，并做好公开公示。</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2.</w:t>
      </w:r>
      <w:r>
        <w:rPr>
          <w:rFonts w:ascii="仿宋_GB2312" w:eastAsia="仿宋_GB2312" w:cs="仿宋" w:hint="eastAsia"/>
          <w:color w:val="000000"/>
          <w:kern w:val="0"/>
          <w:sz w:val="32"/>
          <w:szCs w:val="32"/>
          <w:lang w:val="zh-CN"/>
        </w:rPr>
        <w:t>项目管理</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我镇的村</w:t>
      </w:r>
      <w:r>
        <w:rPr>
          <w:rFonts w:ascii="仿宋_GB2312" w:eastAsia="仿宋_GB2312" w:cs="仿宋" w:hint="eastAsia"/>
          <w:color w:val="000000"/>
          <w:kern w:val="0"/>
          <w:sz w:val="32"/>
          <w:szCs w:val="32"/>
          <w:lang w:val="zh-CN"/>
        </w:rPr>
        <w:t>基层组织活动和公共服务运行经费</w:t>
      </w:r>
      <w:r>
        <w:rPr>
          <w:rFonts w:ascii="仿宋_GB2312" w:eastAsia="仿宋_GB2312" w:cs="仿宋" w:hint="eastAsia"/>
          <w:color w:val="000000"/>
          <w:kern w:val="0"/>
          <w:sz w:val="32"/>
          <w:szCs w:val="32"/>
        </w:rPr>
        <w:t>由上级拨款，镇政府统一监督管理，村级项目资金开支要召开村干部会议及村民代表大会，报账资料必须经过村监督理财小组、村会计，村支部书记签字确认，报账资料必须和村财务公开的一致。</w:t>
      </w:r>
      <w:r>
        <w:rPr>
          <w:rFonts w:ascii="仿宋_GB2312" w:eastAsia="仿宋_GB2312" w:cs="仿宋" w:hint="eastAsia"/>
          <w:color w:val="000000"/>
          <w:kern w:val="0"/>
          <w:sz w:val="32"/>
          <w:szCs w:val="32"/>
          <w:lang w:val="zh-CN"/>
        </w:rPr>
        <w:t>项目实施过程中，严格按照相关法律法规及项目管理制度进行管理。</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3.项目实施</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截</w:t>
      </w:r>
      <w:r>
        <w:rPr>
          <w:rFonts w:ascii="仿宋_GB2312" w:eastAsia="仿宋_GB2312" w:cs="仿宋" w:hint="eastAsia"/>
          <w:color w:val="000000"/>
          <w:kern w:val="0"/>
          <w:sz w:val="32"/>
          <w:szCs w:val="32"/>
          <w:lang w:eastAsia="zh-CN"/>
        </w:rPr>
        <w:t>至</w:t>
      </w:r>
      <w:r>
        <w:rPr>
          <w:rFonts w:ascii="仿宋_GB2312" w:eastAsia="仿宋_GB2312" w:cs="仿宋" w:hint="eastAsia"/>
          <w:color w:val="000000"/>
          <w:kern w:val="0"/>
          <w:sz w:val="32"/>
          <w:szCs w:val="32"/>
        </w:rPr>
        <w:t>2</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24年12月31日我镇支付2</w:t>
      </w:r>
      <w:r>
        <w:rPr>
          <w:rFonts w:ascii="仿宋_GB2312" w:eastAsia="仿宋_GB2312" w:cs="仿宋" w:hint="eastAsia"/>
          <w:kern w:val="0"/>
          <w:sz w:val="32"/>
          <w:szCs w:val="32"/>
        </w:rPr>
        <w:t>0</w:t>
      </w:r>
      <w:r>
        <w:rPr>
          <w:rFonts w:ascii="仿宋_GB2312" w:eastAsia="仿宋_GB2312" w:cs="仿宋" w:hint="eastAsia"/>
          <w:color w:val="000000"/>
          <w:kern w:val="0"/>
          <w:sz w:val="32"/>
          <w:szCs w:val="32"/>
        </w:rPr>
        <w:t>24年基层组织活动和公共服务运行经费1</w:t>
      </w:r>
      <w:r>
        <w:rPr>
          <w:rFonts w:ascii="仿宋_GB2312" w:eastAsia="仿宋_GB2312" w:cs="仿宋" w:hint="eastAsia"/>
          <w:color w:val="000000"/>
          <w:kern w:val="0"/>
          <w:sz w:val="32"/>
          <w:szCs w:val="32"/>
          <w:lang w:val="en-US" w:eastAsia="zh-CN"/>
        </w:rPr>
        <w:t>2</w:t>
      </w:r>
      <w:r>
        <w:rPr>
          <w:rFonts w:ascii="仿宋_GB2312" w:eastAsia="仿宋_GB2312" w:cs="仿宋" w:hint="eastAsia"/>
          <w:kern w:val="0"/>
          <w:sz w:val="32"/>
          <w:szCs w:val="32"/>
        </w:rPr>
        <w:t>0</w:t>
      </w:r>
      <w:r>
        <w:rPr>
          <w:rFonts w:ascii="仿宋_GB2312" w:eastAsia="仿宋_GB2312" w:cs="仿宋"/>
          <w:kern w:val="0"/>
          <w:sz w:val="32"/>
          <w:szCs w:val="32"/>
        </w:rPr>
        <w:t>.00</w:t>
      </w:r>
      <w:r>
        <w:rPr>
          <w:rFonts w:ascii="仿宋_GB2312" w:eastAsia="仿宋_GB2312" w:cs="仿宋" w:hint="eastAsia"/>
          <w:color w:val="000000"/>
          <w:kern w:val="0"/>
          <w:sz w:val="32"/>
          <w:szCs w:val="32"/>
        </w:rPr>
        <w:t>万</w:t>
      </w:r>
      <w:r>
        <w:rPr>
          <w:rFonts w:ascii="仿宋_GB2312" w:eastAsia="仿宋_GB2312" w:cs="仿宋" w:hint="eastAsia"/>
          <w:color w:val="000000"/>
          <w:kern w:val="0"/>
          <w:sz w:val="32"/>
          <w:szCs w:val="32"/>
          <w:lang w:val="zh-CN"/>
        </w:rPr>
        <w:t>元</w:t>
      </w:r>
      <w:r>
        <w:rPr>
          <w:rFonts w:ascii="仿宋_GB2312" w:eastAsia="仿宋_GB2312" w:cs="仿宋" w:hint="eastAsia"/>
          <w:color w:val="000000"/>
          <w:kern w:val="0"/>
          <w:sz w:val="32"/>
          <w:szCs w:val="32"/>
        </w:rPr>
        <w:t>。</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4.项目结果</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p>
      <w:pPr>
        <w:spacing w:line="578" w:lineRule="exact"/>
        <w:ind w:firstLineChars="200" w:firstLine="640"/>
        <w:rPr>
          <w:rFonts w:ascii="仿宋" w:eastAsia="仿宋" w:cs="仿宋"/>
          <w:sz w:val="32"/>
          <w:szCs w:val="32"/>
          <w:lang w:val="zh-CN"/>
        </w:rPr>
      </w:pPr>
      <w:r>
        <w:rPr>
          <w:rFonts w:ascii="仿宋" w:eastAsia="仿宋" w:cs="仿宋" w:hint="eastAsia"/>
          <w:b/>
          <w:sz w:val="32"/>
          <w:szCs w:val="32"/>
          <w:lang w:val="zh-CN"/>
        </w:rPr>
        <w:t>（二）</w:t>
      </w:r>
      <w:r>
        <w:rPr>
          <w:rFonts w:ascii="仿宋" w:eastAsia="仿宋" w:cs="仿宋" w:hint="eastAsia"/>
          <w:b/>
          <w:sz w:val="32"/>
          <w:szCs w:val="32"/>
        </w:rPr>
        <w:t>专用指标</w:t>
      </w:r>
      <w:r>
        <w:rPr>
          <w:rFonts w:ascii="仿宋" w:eastAsia="仿宋" w:cs="仿宋" w:hint="eastAsia"/>
          <w:b/>
          <w:bCs/>
          <w:color w:val="000000"/>
          <w:kern w:val="0"/>
          <w:sz w:val="32"/>
          <w:szCs w:val="32"/>
          <w:shd w:val="clear" w:color="auto" w:fill="FFFFFF"/>
          <w:lang w:val="zh-CN"/>
        </w:rPr>
        <w:t>绩效分析</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1.产业发展</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lang w:val="zh-CN"/>
        </w:rPr>
        <w:t>购置防雹弹、发放</w:t>
      </w:r>
      <w:r>
        <w:rPr>
          <w:rFonts w:ascii="仿宋_GB2312" w:eastAsia="仿宋_GB2312" w:cs="仿宋" w:hint="eastAsia"/>
          <w:color w:val="000000"/>
          <w:kern w:val="0"/>
          <w:sz w:val="32"/>
          <w:szCs w:val="32"/>
        </w:rPr>
        <w:t>防雹人员工资、</w:t>
      </w:r>
      <w:r>
        <w:rPr>
          <w:rFonts w:ascii="仿宋_GB2312" w:eastAsia="仿宋_GB2312" w:cs="仿宋" w:hint="eastAsia"/>
          <w:color w:val="000000"/>
          <w:kern w:val="0"/>
          <w:sz w:val="32"/>
          <w:szCs w:val="32"/>
          <w:lang w:eastAsia="zh-CN"/>
        </w:rPr>
        <w:t>维护</w:t>
      </w:r>
      <w:r>
        <w:rPr>
          <w:rFonts w:ascii="仿宋_GB2312" w:eastAsia="仿宋_GB2312" w:cs="仿宋" w:hint="eastAsia"/>
          <w:color w:val="000000"/>
          <w:kern w:val="0"/>
          <w:sz w:val="32"/>
          <w:szCs w:val="32"/>
        </w:rPr>
        <w:t>人畜饮水及灌溉沟渠等有利于我镇各村农业发展，为各村果蔬的种植提供了有力的保障。</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2.基础设施</w:t>
      </w:r>
    </w:p>
    <w:p>
      <w:pPr>
        <w:spacing w:line="14" w:lineRule="auto"/>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lang w:val="zh-CN"/>
        </w:rPr>
        <w:t>环境卫生整治、地质灾害应急处置、</w:t>
      </w:r>
      <w:r>
        <w:rPr>
          <w:rFonts w:ascii="仿宋_GB2312" w:eastAsia="仿宋_GB2312" w:cs="仿宋" w:hint="eastAsia"/>
          <w:color w:val="000000"/>
          <w:kern w:val="0"/>
          <w:sz w:val="32"/>
          <w:szCs w:val="32"/>
        </w:rPr>
        <w:t>人畜饮水维护等项目的实施保障了各村基础设施的完善，保障了人民群众的生产生活条件，满足了人民群众的需求。</w:t>
      </w:r>
    </w:p>
    <w:p>
      <w:pPr>
        <w:spacing w:line="578" w:lineRule="exact"/>
        <w:ind w:firstLineChars="200" w:firstLine="640"/>
        <w:rPr>
          <w:rFonts w:ascii="仿宋" w:eastAsia="仿宋" w:cs="仿宋"/>
          <w:b/>
          <w:sz w:val="32"/>
          <w:szCs w:val="32"/>
        </w:rPr>
      </w:pPr>
      <w:r>
        <w:rPr>
          <w:rFonts w:ascii="仿宋" w:eastAsia="仿宋" w:cs="仿宋" w:hint="eastAsia"/>
          <w:b/>
          <w:sz w:val="32"/>
          <w:szCs w:val="32"/>
          <w:lang w:val="zh-CN"/>
        </w:rPr>
        <w:t>（三）个性指标绩效分析</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color w:val="000000"/>
          <w:kern w:val="0"/>
          <w:sz w:val="32"/>
          <w:szCs w:val="32"/>
        </w:rPr>
        <w:t>我单位不涉及</w:t>
      </w:r>
      <w:r>
        <w:rPr>
          <w:rFonts w:ascii="仿宋_GB2312" w:eastAsia="仿宋_GB2312" w:cs="仿宋" w:hint="eastAsia"/>
          <w:color w:val="000000"/>
          <w:kern w:val="0"/>
          <w:sz w:val="32"/>
          <w:szCs w:val="32"/>
        </w:rPr>
        <w:t>个性指标绩效分析</w:t>
      </w:r>
      <w:r>
        <w:rPr>
          <w:rFonts w:ascii="仿宋_GB2312" w:eastAsia="仿宋_GB2312" w:cs="仿宋"/>
          <w:color w:val="000000"/>
          <w:kern w:val="0"/>
          <w:sz w:val="32"/>
          <w:szCs w:val="32"/>
        </w:rPr>
        <w:t>情况</w:t>
      </w:r>
      <w:r>
        <w:rPr>
          <w:rFonts w:ascii="仿宋_GB2312" w:eastAsia="仿宋_GB2312" w:cs="仿宋" w:hint="eastAsia"/>
          <w:color w:val="000000"/>
          <w:kern w:val="0"/>
          <w:sz w:val="32"/>
          <w:szCs w:val="32"/>
        </w:rPr>
        <w:t>。</w:t>
      </w:r>
    </w:p>
    <w:p>
      <w:pPr>
        <w:pStyle w:val="27"/>
        <w:ind w:leftChars="0" w:left="0" w:firstLineChars="200" w:firstLine="640"/>
        <w:rPr>
          <w:rFonts w:ascii="仿宋" w:eastAsia="仿宋" w:cs="仿宋"/>
          <w:b/>
          <w:bCs/>
          <w:color w:val="333333"/>
          <w:sz w:val="32"/>
          <w:szCs w:val="32"/>
        </w:rPr>
      </w:pPr>
      <w:r>
        <w:rPr>
          <w:rFonts w:ascii="仿宋" w:eastAsia="仿宋" w:cs="仿宋" w:hint="eastAsia"/>
          <w:b/>
          <w:bCs/>
          <w:sz w:val="32"/>
          <w:szCs w:val="32"/>
        </w:rPr>
        <w:t>四、评价结论</w:t>
      </w:r>
    </w:p>
    <w:p>
      <w:pPr>
        <w:spacing w:line="14" w:lineRule="auto"/>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加强资金管理，在公共服务运行维护资金的使用范围上严格把关，按规定进行公开透明。及时总结我镇在公共服务运行维护项目实施过程中存在的问题和好的经验，进一步完善运行维护</w:t>
      </w:r>
      <w:r>
        <w:rPr>
          <w:rFonts w:ascii="仿宋_GB2312" w:eastAsia="仿宋_GB2312" w:cs="仿宋" w:hint="eastAsia"/>
          <w:color w:val="000000"/>
          <w:kern w:val="0"/>
          <w:sz w:val="32"/>
          <w:szCs w:val="32"/>
          <w:lang w:val="zh-CN"/>
        </w:rPr>
        <w:fldChar w:fldCharType="begin"/>
      </w:r>
      <w:r>
        <w:instrText>HYPERLINK "http://www.11gw.com/list-54-1.html"</w:instrText>
      </w:r>
      <w:r>
        <w:rPr>
          <w:rFonts w:ascii="仿宋_GB2312" w:eastAsia="仿宋_GB2312" w:cs="仿宋" w:hint="eastAsia"/>
          <w:color w:val="000000"/>
          <w:kern w:val="0"/>
          <w:sz w:val="32"/>
          <w:szCs w:val="32"/>
          <w:lang w:val="zh-CN"/>
        </w:rPr>
        <w:fldChar w:fldCharType="separate"/>
      </w:r>
      <w:r>
        <w:rPr>
          <w:rFonts w:ascii="仿宋_GB2312" w:eastAsia="仿宋_GB2312" w:cs="仿宋" w:hint="eastAsia"/>
          <w:color w:val="000000"/>
          <w:kern w:val="0"/>
          <w:sz w:val="32"/>
          <w:szCs w:val="32"/>
          <w:lang w:val="zh-CN"/>
        </w:rPr>
        <w:t>工作</w:t>
      </w:r>
      <w:r>
        <w:rPr>
          <w:rFonts w:ascii="仿宋_GB2312" w:eastAsia="仿宋_GB2312" w:cs="仿宋" w:hint="eastAsia"/>
          <w:color w:val="000000"/>
          <w:kern w:val="0"/>
          <w:sz w:val="32"/>
          <w:szCs w:val="32"/>
          <w:lang w:val="zh-CN"/>
        </w:rPr>
        <w:fldChar w:fldCharType="end"/>
      </w:r>
      <w:r>
        <w:rPr>
          <w:rFonts w:ascii="仿宋_GB2312" w:eastAsia="仿宋_GB2312" w:cs="仿宋" w:hint="eastAsia"/>
          <w:color w:val="000000"/>
          <w:kern w:val="0"/>
          <w:sz w:val="32"/>
          <w:szCs w:val="32"/>
          <w:lang w:val="zh-CN"/>
        </w:rPr>
        <w:t>机制。</w:t>
      </w:r>
    </w:p>
    <w:p>
      <w:pPr>
        <w:pStyle w:val="18"/>
        <w:tabs>
          <w:tab w:val="left" w:pos="2160"/>
        </w:tabs>
        <w:spacing w:beforeLines="0" w:before="93" w:line="600" w:lineRule="exact"/>
        <w:ind w:firstLineChars="200" w:firstLine="640"/>
        <w:rPr>
          <w:rFonts w:ascii="仿宋" w:eastAsia="仿宋" w:cs="仿宋"/>
          <w:b/>
          <w:bCs/>
          <w:sz w:val="32"/>
          <w:szCs w:val="32"/>
        </w:rPr>
      </w:pPr>
      <w:r>
        <w:rPr>
          <w:rFonts w:ascii="仿宋" w:eastAsia="仿宋" w:cs="仿宋" w:hint="eastAsia"/>
          <w:b/>
          <w:bCs/>
          <w:sz w:val="32"/>
          <w:szCs w:val="32"/>
        </w:rPr>
        <w:t>五、存在主要问题</w:t>
      </w:r>
    </w:p>
    <w:p>
      <w:pPr>
        <w:ind w:firstLineChars="200" w:firstLine="640"/>
        <w:rPr>
          <w:rFonts w:ascii="仿宋" w:eastAsia="仿宋" w:cs="仿宋"/>
          <w:sz w:val="32"/>
          <w:szCs w:val="32"/>
        </w:rPr>
      </w:pPr>
      <w:r>
        <w:rPr>
          <w:rFonts w:ascii="仿宋_GB2312" w:eastAsia="仿宋_GB2312" w:cs="仿宋" w:hint="eastAsia"/>
          <w:color w:val="000000"/>
          <w:kern w:val="0"/>
          <w:sz w:val="32"/>
          <w:szCs w:val="32"/>
        </w:rPr>
        <w:t>工程实施较慢、报账进度慢</w:t>
      </w:r>
      <w:r>
        <w:rPr>
          <w:rFonts w:ascii="仿宋" w:eastAsia="仿宋" w:cs="仿宋" w:hint="eastAsia"/>
          <w:sz w:val="32"/>
          <w:szCs w:val="32"/>
        </w:rPr>
        <w:t>。</w:t>
      </w:r>
    </w:p>
    <w:p>
      <w:pPr>
        <w:pStyle w:val="18"/>
        <w:tabs>
          <w:tab w:val="left" w:pos="2160"/>
        </w:tabs>
        <w:spacing w:beforeLines="0" w:before="93" w:line="600" w:lineRule="exact"/>
        <w:ind w:firstLineChars="200" w:firstLine="640"/>
        <w:rPr>
          <w:rFonts w:ascii="仿宋" w:eastAsia="仿宋" w:cs="仿宋"/>
          <w:b/>
          <w:bCs/>
          <w:sz w:val="32"/>
          <w:szCs w:val="32"/>
        </w:rPr>
      </w:pPr>
      <w:r>
        <w:rPr>
          <w:rFonts w:ascii="仿宋" w:eastAsia="仿宋" w:cs="仿宋" w:hint="eastAsia"/>
          <w:b/>
          <w:bCs/>
          <w:sz w:val="32"/>
          <w:szCs w:val="32"/>
          <w:lang w:val="zh-CN"/>
        </w:rPr>
        <w:t>六、改进建议</w:t>
      </w:r>
      <w:bookmarkStart w:id="66" w:name="_Hlk110546638"/>
    </w:p>
    <w:p>
      <w:pPr>
        <w:pStyle w:val="26"/>
        <w:spacing w:after="0" w:line="578" w:lineRule="exact"/>
        <w:ind w:leftChars="0" w:left="0"/>
        <w:rPr>
          <w:rFonts w:eastAsia="仿宋_GB2312" w:cs="仿宋"/>
          <w:color w:val="000000"/>
          <w:kern w:val="0"/>
          <w:sz w:val="32"/>
        </w:rPr>
      </w:pPr>
      <w:bookmarkEnd w:id="66"/>
      <w:r>
        <w:rPr>
          <w:rFonts w:eastAsia="仿宋_GB2312" w:cs="仿宋" w:hint="eastAsia"/>
          <w:color w:val="000000"/>
          <w:kern w:val="0"/>
          <w:sz w:val="32"/>
        </w:rPr>
        <w:t>建议加快报账进度，加强财务管理。</w:t>
      </w: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26"/>
        <w:spacing w:after="0" w:line="578" w:lineRule="exact"/>
        <w:ind w:leftChars="0" w:left="0"/>
        <w:rPr>
          <w:rFonts w:ascii="仿宋" w:eastAsia="仿宋" w:cs="仿宋"/>
          <w:color w:val="000000"/>
          <w:kern w:val="0"/>
          <w:sz w:val="32"/>
        </w:rPr>
      </w:pPr>
    </w:p>
    <w:p>
      <w:pPr>
        <w:pStyle w:val="39"/>
        <w:spacing w:line="578" w:lineRule="exact"/>
        <w:jc w:val="center"/>
        <w:rPr>
          <w:rFonts w:ascii="方正小标宋简体" w:eastAsia="方正小标宋简体" w:cs="方正小标宋简体" w:hint="eastAsia"/>
          <w:sz w:val="44"/>
          <w:szCs w:val="44"/>
          <w:lang w:val="en-US"/>
        </w:rPr>
      </w:pPr>
      <w:r>
        <w:rPr>
          <w:rFonts w:ascii="方正小标宋简体" w:eastAsia="方正小标宋简体" w:cs="方正小标宋简体" w:hint="eastAsia"/>
          <w:color w:val="auto"/>
          <w:kern w:val="2"/>
          <w:sz w:val="44"/>
          <w:szCs w:val="44"/>
          <w:lang w:val="en-US"/>
        </w:rPr>
        <w:t>茂县南新镇人民政府</w:t>
      </w:r>
      <w:r>
        <w:rPr>
          <w:rFonts w:ascii="方正小标宋简体" w:eastAsia="方正小标宋简体" w:cs="方正小标宋简体" w:hint="eastAsia"/>
          <w:sz w:val="44"/>
          <w:szCs w:val="44"/>
          <w:lang w:val="en-US"/>
        </w:rPr>
        <w:t>残协工作经费</w:t>
      </w:r>
    </w:p>
    <w:p>
      <w:pPr>
        <w:pStyle w:val="39"/>
        <w:spacing w:line="578" w:lineRule="exact"/>
        <w:ind w:firstLineChars="100" w:firstLine="440"/>
        <w:jc w:val="center"/>
        <w:rPr>
          <w:rFonts w:ascii="方正小标宋简体" w:eastAsia="方正小标宋简体" w:cs="方正小标宋简体" w:hint="eastAsia"/>
          <w:color w:val="auto"/>
          <w:kern w:val="2"/>
          <w:sz w:val="44"/>
          <w:szCs w:val="44"/>
          <w:lang w:val="en-US"/>
        </w:rPr>
      </w:pPr>
      <w:r>
        <w:rPr>
          <w:rFonts w:ascii="方正小标宋简体" w:eastAsia="方正小标宋简体" w:cs="方正小标宋简体" w:hint="eastAsia"/>
          <w:color w:val="auto"/>
          <w:kern w:val="2"/>
          <w:sz w:val="44"/>
          <w:szCs w:val="44"/>
          <w:lang w:val="en-US"/>
        </w:rPr>
        <w:t>专项预算项目绩效评价报告</w:t>
      </w:r>
    </w:p>
    <w:p>
      <w:pPr>
        <w:pStyle w:val="39"/>
        <w:spacing w:line="578" w:lineRule="exact"/>
        <w:ind w:firstLine="640"/>
        <w:jc w:val="center"/>
        <w:rPr>
          <w:rFonts w:ascii="宋体" w:hint="eastAsia"/>
          <w:color w:val="auto"/>
          <w:kern w:val="2"/>
          <w:sz w:val="32"/>
          <w:szCs w:val="32"/>
        </w:rPr>
      </w:pP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一、</w:t>
      </w:r>
      <w:r>
        <w:rPr>
          <w:rFonts w:ascii="仿宋" w:eastAsia="仿宋" w:cs="仿宋" w:hint="eastAsia"/>
          <w:b/>
          <w:bCs/>
          <w:sz w:val="32"/>
          <w:szCs w:val="32"/>
          <w:lang w:val="zh-CN"/>
        </w:rPr>
        <w:t>项目概况</w:t>
      </w:r>
    </w:p>
    <w:p>
      <w:pPr>
        <w:spacing w:line="560" w:lineRule="exact"/>
        <w:ind w:firstLineChars="200" w:firstLine="640"/>
        <w:rPr>
          <w:rFonts w:ascii="仿宋" w:eastAsia="仿宋" w:cs="仿宋"/>
          <w:b/>
          <w:sz w:val="32"/>
          <w:szCs w:val="32"/>
          <w:lang w:val="zh-CN"/>
        </w:rPr>
      </w:pPr>
      <w:r>
        <w:rPr>
          <w:rFonts w:ascii="仿宋" w:eastAsia="仿宋" w:cs="仿宋" w:hint="eastAsia"/>
          <w:b/>
          <w:sz w:val="32"/>
          <w:szCs w:val="32"/>
          <w:lang w:val="zh-CN"/>
        </w:rPr>
        <w:t>（一）设立背景及基本情况</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lang w:val="zh-CN"/>
        </w:rPr>
        <w:t>加强我镇</w:t>
      </w:r>
      <w:r>
        <w:rPr>
          <w:rFonts w:eastAsia="仿宋_GB2312" w:cs="仿宋" w:hint="eastAsia"/>
          <w:color w:val="000000"/>
          <w:kern w:val="0"/>
          <w:sz w:val="32"/>
        </w:rPr>
        <w:t>8个</w:t>
      </w:r>
      <w:r>
        <w:rPr>
          <w:rFonts w:eastAsia="仿宋_GB2312" w:cs="仿宋" w:hint="eastAsia"/>
          <w:color w:val="000000"/>
          <w:kern w:val="0"/>
          <w:sz w:val="32"/>
          <w:lang w:val="zh-CN"/>
        </w:rPr>
        <w:t>村残疾人工作，提升基层残疾人组织服务能力和管理科学化水平，更好为我镇</w:t>
      </w:r>
      <w:r>
        <w:rPr>
          <w:rFonts w:eastAsia="仿宋_GB2312" w:cs="仿宋" w:hint="eastAsia"/>
          <w:color w:val="000000"/>
          <w:kern w:val="0"/>
          <w:sz w:val="32"/>
        </w:rPr>
        <w:t>8个村的</w:t>
      </w:r>
      <w:r>
        <w:rPr>
          <w:rFonts w:eastAsia="仿宋_GB2312" w:cs="仿宋" w:hint="eastAsia"/>
          <w:color w:val="000000"/>
          <w:kern w:val="0"/>
          <w:sz w:val="32"/>
          <w:lang w:val="zh-CN"/>
        </w:rPr>
        <w:t>残疾人做好服务。南新镇残协工作经费资金申报</w:t>
      </w:r>
      <w:r>
        <w:rPr>
          <w:rFonts w:eastAsia="仿宋_GB2312" w:cs="仿宋" w:hint="eastAsia"/>
          <w:color w:val="000000"/>
          <w:kern w:val="0"/>
          <w:sz w:val="32"/>
        </w:rPr>
        <w:t>0.32万</w:t>
      </w:r>
      <w:r>
        <w:rPr>
          <w:rFonts w:eastAsia="仿宋_GB2312" w:cs="仿宋" w:hint="eastAsia"/>
          <w:color w:val="000000"/>
          <w:kern w:val="0"/>
          <w:sz w:val="32"/>
          <w:lang w:val="zh-CN"/>
        </w:rPr>
        <w:t>元，批复</w:t>
      </w:r>
      <w:r>
        <w:rPr>
          <w:rFonts w:eastAsia="仿宋_GB2312" w:cs="仿宋" w:hint="eastAsia"/>
          <w:color w:val="000000"/>
          <w:kern w:val="0"/>
          <w:sz w:val="32"/>
        </w:rPr>
        <w:t>0.32万</w:t>
      </w:r>
      <w:r>
        <w:rPr>
          <w:rFonts w:eastAsia="仿宋_GB2312" w:cs="仿宋" w:hint="eastAsia"/>
          <w:color w:val="000000"/>
          <w:kern w:val="0"/>
          <w:sz w:val="32"/>
          <w:lang w:val="zh-CN"/>
        </w:rPr>
        <w:t>元</w:t>
      </w:r>
      <w:r>
        <w:rPr>
          <w:rFonts w:eastAsia="仿宋_GB2312" w:cs="仿宋" w:hint="eastAsia"/>
          <w:color w:val="000000"/>
          <w:kern w:val="0"/>
          <w:sz w:val="32"/>
        </w:rPr>
        <w:t>，申报与批复资金一致。</w:t>
      </w:r>
      <w:r>
        <w:rPr>
          <w:rFonts w:eastAsia="仿宋_GB2312" w:cs="仿宋" w:hint="eastAsia"/>
          <w:color w:val="000000"/>
          <w:kern w:val="0"/>
          <w:sz w:val="32"/>
          <w:lang w:val="zh-CN"/>
        </w:rPr>
        <w:t>服务我镇</w:t>
      </w:r>
      <w:r>
        <w:rPr>
          <w:rFonts w:eastAsia="仿宋_GB2312" w:cs="仿宋" w:hint="eastAsia"/>
          <w:color w:val="000000"/>
          <w:kern w:val="0"/>
          <w:sz w:val="32"/>
        </w:rPr>
        <w:t>8个村的</w:t>
      </w:r>
      <w:r>
        <w:rPr>
          <w:rFonts w:eastAsia="仿宋_GB2312" w:cs="仿宋" w:hint="eastAsia"/>
          <w:color w:val="000000"/>
          <w:kern w:val="0"/>
          <w:sz w:val="32"/>
          <w:lang w:val="zh-CN"/>
        </w:rPr>
        <w:t>残疾人并做好相关工作</w:t>
      </w:r>
      <w:r>
        <w:rPr>
          <w:rFonts w:eastAsia="仿宋_GB2312" w:cs="仿宋" w:hint="eastAsia"/>
          <w:color w:val="000000"/>
          <w:kern w:val="0"/>
          <w:sz w:val="32"/>
        </w:rPr>
        <w:t>。</w:t>
      </w:r>
    </w:p>
    <w:p>
      <w:pPr>
        <w:widowControl/>
        <w:ind w:firstLineChars="200" w:firstLine="640"/>
        <w:jc w:val="left"/>
        <w:rPr>
          <w:rFonts w:ascii="仿宋" w:eastAsia="仿宋" w:cs="仿宋"/>
          <w:b/>
          <w:sz w:val="32"/>
          <w:szCs w:val="32"/>
        </w:rPr>
      </w:pPr>
      <w:r>
        <w:rPr>
          <w:rFonts w:ascii="仿宋" w:eastAsia="仿宋" w:cs="仿宋" w:hint="eastAsia"/>
          <w:b/>
          <w:sz w:val="32"/>
          <w:szCs w:val="32"/>
        </w:rPr>
        <w:t>（二）实施目的及支持方向</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进一步加强残疾人工作，全面提升基层残疾人组织服务能力和管理科学化水平，更好为残疾人做好服务，同时关心关爱残疾人。加强我镇8个村残疾人工作，提升基层残疾人组织服务能力和管理科学化水平，更好为我镇8个村的残疾人做好服务。</w:t>
      </w:r>
    </w:p>
    <w:p>
      <w:pPr>
        <w:widowControl/>
        <w:adjustRightInd w:val="0"/>
        <w:snapToGrid w:val="0"/>
        <w:spacing w:line="578" w:lineRule="exact"/>
        <w:ind w:firstLineChars="200" w:firstLine="640"/>
        <w:contextualSpacing/>
        <w:jc w:val="left"/>
        <w:rPr>
          <w:rFonts w:ascii="仿宋" w:eastAsia="仿宋" w:cs="仿宋"/>
          <w:b/>
          <w:sz w:val="32"/>
          <w:szCs w:val="32"/>
        </w:rPr>
      </w:pPr>
      <w:r>
        <w:rPr>
          <w:rFonts w:ascii="仿宋" w:eastAsia="仿宋" w:cs="仿宋" w:hint="eastAsia"/>
          <w:b/>
          <w:sz w:val="32"/>
          <w:szCs w:val="32"/>
          <w:lang w:val="zh-CN"/>
        </w:rPr>
        <w:t>（</w:t>
      </w:r>
      <w:r>
        <w:rPr>
          <w:rFonts w:ascii="仿宋" w:eastAsia="仿宋" w:cs="仿宋" w:hint="eastAsia"/>
          <w:b/>
          <w:sz w:val="32"/>
          <w:szCs w:val="32"/>
        </w:rPr>
        <w:t>三</w:t>
      </w:r>
      <w:r>
        <w:rPr>
          <w:rFonts w:ascii="仿宋" w:eastAsia="仿宋" w:cs="仿宋" w:hint="eastAsia"/>
          <w:b/>
          <w:sz w:val="32"/>
          <w:szCs w:val="32"/>
          <w:lang w:val="zh-CN"/>
        </w:rPr>
        <w:t>）</w:t>
      </w:r>
      <w:r>
        <w:rPr>
          <w:rFonts w:ascii="仿宋" w:eastAsia="仿宋" w:cs="仿宋" w:hint="eastAsia"/>
          <w:b/>
          <w:sz w:val="32"/>
          <w:szCs w:val="32"/>
        </w:rPr>
        <w:t>预算安排及分配管理</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lang w:val="zh-CN"/>
        </w:rPr>
        <w:t>南新镇残协工作经费资金申报</w:t>
      </w:r>
      <w:r>
        <w:rPr>
          <w:rFonts w:eastAsia="仿宋_GB2312" w:cs="仿宋" w:hint="eastAsia"/>
          <w:color w:val="000000"/>
          <w:kern w:val="0"/>
          <w:sz w:val="32"/>
        </w:rPr>
        <w:t>0.32万</w:t>
      </w:r>
      <w:r>
        <w:rPr>
          <w:rFonts w:eastAsia="仿宋_GB2312" w:cs="仿宋" w:hint="eastAsia"/>
          <w:color w:val="000000"/>
          <w:kern w:val="0"/>
          <w:sz w:val="32"/>
          <w:lang w:val="zh-CN"/>
        </w:rPr>
        <w:t>元，批复</w:t>
      </w:r>
      <w:r>
        <w:rPr>
          <w:rFonts w:eastAsia="仿宋_GB2312" w:cs="仿宋" w:hint="eastAsia"/>
          <w:color w:val="000000"/>
          <w:kern w:val="0"/>
          <w:sz w:val="32"/>
        </w:rPr>
        <w:t>0.32万</w:t>
      </w:r>
      <w:r>
        <w:rPr>
          <w:rFonts w:eastAsia="仿宋_GB2312" w:cs="仿宋" w:hint="eastAsia"/>
          <w:color w:val="000000"/>
          <w:kern w:val="0"/>
          <w:sz w:val="32"/>
          <w:lang w:val="zh-CN"/>
        </w:rPr>
        <w:t>元</w:t>
      </w:r>
      <w:r>
        <w:rPr>
          <w:rFonts w:eastAsia="仿宋_GB2312" w:cs="仿宋" w:hint="eastAsia"/>
          <w:color w:val="000000"/>
          <w:kern w:val="0"/>
          <w:sz w:val="32"/>
        </w:rPr>
        <w:t>，申报与批复资金一致。</w:t>
      </w:r>
      <w:r>
        <w:rPr>
          <w:rFonts w:eastAsia="仿宋_GB2312" w:cs="仿宋" w:hint="eastAsia"/>
          <w:color w:val="000000"/>
          <w:kern w:val="0"/>
          <w:sz w:val="32"/>
          <w:lang w:val="zh-CN"/>
        </w:rPr>
        <w:t>服务我镇</w:t>
      </w:r>
      <w:r>
        <w:rPr>
          <w:rFonts w:eastAsia="仿宋_GB2312" w:cs="仿宋" w:hint="eastAsia"/>
          <w:color w:val="000000"/>
          <w:kern w:val="0"/>
          <w:sz w:val="32"/>
        </w:rPr>
        <w:t>8个村的</w:t>
      </w:r>
      <w:r>
        <w:rPr>
          <w:rFonts w:eastAsia="仿宋_GB2312" w:cs="仿宋" w:hint="eastAsia"/>
          <w:color w:val="000000"/>
          <w:kern w:val="0"/>
          <w:sz w:val="32"/>
          <w:lang w:val="zh-CN"/>
        </w:rPr>
        <w:t>残疾人并做好相关工作</w:t>
      </w:r>
      <w:r>
        <w:rPr>
          <w:rFonts w:eastAsia="仿宋_GB2312" w:cs="仿宋" w:hint="eastAsia"/>
          <w:color w:val="000000"/>
          <w:kern w:val="0"/>
          <w:sz w:val="32"/>
        </w:rPr>
        <w:t>。</w:t>
      </w:r>
    </w:p>
    <w:p>
      <w:pPr>
        <w:adjustRightInd w:val="0"/>
        <w:snapToGrid w:val="0"/>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w:t>
      </w:r>
      <w:r>
        <w:rPr>
          <w:rFonts w:ascii="仿宋" w:eastAsia="仿宋" w:cs="仿宋" w:hint="eastAsia"/>
          <w:b/>
          <w:sz w:val="32"/>
          <w:szCs w:val="32"/>
        </w:rPr>
        <w:t>四</w:t>
      </w:r>
      <w:r>
        <w:rPr>
          <w:rFonts w:ascii="仿宋" w:eastAsia="仿宋" w:cs="仿宋" w:hint="eastAsia"/>
          <w:b/>
          <w:sz w:val="32"/>
          <w:szCs w:val="32"/>
          <w:lang w:val="zh-CN"/>
        </w:rPr>
        <w:t>）项目绩效目标设置</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进一步加强残疾人工作，全面提升基层残疾人组织服务能力和管理科学化水平，更好为残疾人做好服务，同时关心关爱残疾人。加强我镇</w:t>
      </w:r>
      <w:r>
        <w:rPr>
          <w:rFonts w:eastAsia="仿宋_GB2312" w:cs="仿宋" w:hint="eastAsia"/>
          <w:color w:val="000000"/>
          <w:kern w:val="0"/>
          <w:sz w:val="32"/>
        </w:rPr>
        <w:t>8个</w:t>
      </w:r>
      <w:r>
        <w:rPr>
          <w:rFonts w:eastAsia="仿宋_GB2312" w:cs="仿宋" w:hint="eastAsia"/>
          <w:color w:val="000000"/>
          <w:kern w:val="0"/>
          <w:sz w:val="32"/>
          <w:lang w:val="zh-CN"/>
        </w:rPr>
        <w:t>村残疾人工作，提升基层残疾人组织服务能力和管理科学化水平，更好为我镇</w:t>
      </w:r>
      <w:r>
        <w:rPr>
          <w:rFonts w:eastAsia="仿宋_GB2312" w:cs="仿宋" w:hint="eastAsia"/>
          <w:color w:val="000000"/>
          <w:kern w:val="0"/>
          <w:sz w:val="32"/>
        </w:rPr>
        <w:t>8个村的</w:t>
      </w:r>
      <w:r>
        <w:rPr>
          <w:rFonts w:eastAsia="仿宋_GB2312" w:cs="仿宋" w:hint="eastAsia"/>
          <w:color w:val="000000"/>
          <w:kern w:val="0"/>
          <w:sz w:val="32"/>
          <w:lang w:val="zh-CN"/>
        </w:rPr>
        <w:t>残疾人做好服务。</w:t>
      </w:r>
    </w:p>
    <w:p>
      <w:pPr>
        <w:adjustRightInd w:val="0"/>
        <w:snapToGrid w:val="0"/>
        <w:spacing w:line="578" w:lineRule="exact"/>
        <w:ind w:firstLineChars="200" w:firstLine="640"/>
        <w:rPr>
          <w:rFonts w:ascii="仿宋" w:eastAsia="仿宋" w:cs="仿宋"/>
          <w:b/>
          <w:bCs/>
          <w:sz w:val="32"/>
          <w:szCs w:val="32"/>
        </w:rPr>
      </w:pPr>
      <w:r>
        <w:rPr>
          <w:rFonts w:ascii="仿宋" w:eastAsia="仿宋" w:cs="仿宋" w:hint="eastAsia"/>
          <w:b/>
          <w:bCs/>
          <w:sz w:val="32"/>
          <w:szCs w:val="32"/>
        </w:rPr>
        <w:t>二、评价实施</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（一）评价目的</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进一步加强残疾人工作，全面提升基层残疾人组织服务能力和管理科学化水平，更好为残疾人做好服务，同时关心关爱残疾人。</w:t>
      </w:r>
    </w:p>
    <w:p>
      <w:pPr>
        <w:spacing w:line="578" w:lineRule="exact"/>
        <w:ind w:firstLineChars="200" w:firstLine="640"/>
        <w:rPr>
          <w:rFonts w:ascii="仿宋" w:eastAsia="仿宋" w:cs="仿宋"/>
          <w:b/>
          <w:bCs/>
          <w:sz w:val="32"/>
          <w:szCs w:val="32"/>
        </w:rPr>
      </w:pPr>
      <w:r>
        <w:rPr>
          <w:rFonts w:ascii="仿宋" w:eastAsia="仿宋" w:cs="仿宋" w:hint="eastAsia"/>
          <w:b/>
          <w:bCs/>
          <w:sz w:val="32"/>
          <w:szCs w:val="32"/>
        </w:rPr>
        <w:t>（二）</w:t>
      </w:r>
      <w:r>
        <w:rPr>
          <w:rFonts w:ascii="仿宋" w:eastAsia="仿宋" w:cs="仿宋" w:hint="eastAsia"/>
          <w:b/>
          <w:bCs/>
          <w:sz w:val="32"/>
          <w:szCs w:val="32"/>
          <w:lang w:val="zh-CN"/>
        </w:rPr>
        <w:t>预设问题及评价重点</w:t>
      </w:r>
    </w:p>
    <w:p>
      <w:pPr>
        <w:pStyle w:val="26"/>
        <w:spacing w:after="0" w:line="578" w:lineRule="exact"/>
        <w:ind w:leftChars="0" w:left="0"/>
        <w:rPr>
          <w:rFonts w:ascii="仿宋" w:eastAsia="仿宋" w:cs="仿宋"/>
          <w:sz w:val="32"/>
        </w:rPr>
      </w:pPr>
      <w:bookmarkStart w:id="67" w:name="OLE_LINK1"/>
      <w:r>
        <w:rPr>
          <w:rFonts w:eastAsia="仿宋_GB2312" w:cs="仿宋" w:hint="eastAsia"/>
          <w:color w:val="000000"/>
          <w:kern w:val="0"/>
          <w:sz w:val="32"/>
        </w:rPr>
        <w:t>我单位不涉及预设问题及评价重点情况。</w:t>
      </w:r>
    </w:p>
    <w:p>
      <w:pPr>
        <w:adjustRightInd w:val="0"/>
        <w:snapToGrid w:val="0"/>
        <w:spacing w:line="578" w:lineRule="exact"/>
        <w:ind w:firstLineChars="200" w:firstLine="640"/>
        <w:rPr>
          <w:rFonts w:ascii="仿宋" w:eastAsia="仿宋" w:cs="仿宋"/>
          <w:b/>
          <w:sz w:val="32"/>
          <w:szCs w:val="32"/>
          <w:lang w:val="zh-CN"/>
        </w:rPr>
      </w:pPr>
      <w:bookmarkEnd w:id="67"/>
      <w:r>
        <w:rPr>
          <w:rFonts w:ascii="仿宋" w:eastAsia="仿宋" w:cs="仿宋" w:hint="eastAsia"/>
          <w:b/>
          <w:sz w:val="32"/>
          <w:szCs w:val="32"/>
          <w:lang w:val="zh-CN"/>
        </w:rPr>
        <w:t>（</w:t>
      </w:r>
      <w:r>
        <w:rPr>
          <w:rFonts w:ascii="仿宋" w:eastAsia="仿宋" w:cs="仿宋" w:hint="eastAsia"/>
          <w:b/>
          <w:sz w:val="32"/>
          <w:szCs w:val="32"/>
        </w:rPr>
        <w:t>三</w:t>
      </w:r>
      <w:r>
        <w:rPr>
          <w:rFonts w:ascii="仿宋" w:eastAsia="仿宋" w:cs="仿宋" w:hint="eastAsia"/>
          <w:b/>
          <w:sz w:val="32"/>
          <w:szCs w:val="32"/>
          <w:lang w:val="zh-CN"/>
        </w:rPr>
        <w:t>）评价选点</w:t>
      </w:r>
    </w:p>
    <w:p>
      <w:pPr>
        <w:pStyle w:val="26"/>
        <w:spacing w:after="0" w:line="578" w:lineRule="exact"/>
        <w:ind w:leftChars="0" w:left="0"/>
        <w:rPr>
          <w:rFonts w:ascii="仿宋" w:eastAsia="仿宋" w:cs="仿宋"/>
          <w:sz w:val="32"/>
          <w:lang w:val="zh-CN"/>
        </w:rPr>
      </w:pPr>
      <w:r>
        <w:rPr>
          <w:rFonts w:eastAsia="仿宋_GB2312" w:cs="仿宋" w:hint="eastAsia"/>
          <w:color w:val="000000"/>
          <w:kern w:val="0"/>
          <w:sz w:val="32"/>
          <w:lang w:val="zh-CN"/>
        </w:rPr>
        <w:t>残协工作经费</w:t>
      </w:r>
      <w:r>
        <w:rPr>
          <w:rFonts w:eastAsia="仿宋_GB2312" w:cs="仿宋" w:hint="eastAsia"/>
          <w:color w:val="000000"/>
          <w:kern w:val="0"/>
          <w:sz w:val="32"/>
        </w:rPr>
        <w:t>进行实地评价。</w:t>
      </w:r>
    </w:p>
    <w:p>
      <w:pPr>
        <w:adjustRightInd w:val="0"/>
        <w:snapToGrid w:val="0"/>
        <w:spacing w:line="580" w:lineRule="exact"/>
        <w:ind w:firstLineChars="200" w:firstLine="640"/>
        <w:rPr>
          <w:rFonts w:ascii="仿宋" w:eastAsia="仿宋" w:cs="仿宋"/>
          <w:b/>
          <w:sz w:val="32"/>
          <w:szCs w:val="32"/>
          <w:lang w:val="zh-CN"/>
        </w:rPr>
      </w:pPr>
      <w:r>
        <w:rPr>
          <w:rFonts w:ascii="仿宋" w:eastAsia="仿宋" w:cs="仿宋" w:hint="eastAsia"/>
          <w:b/>
          <w:sz w:val="32"/>
          <w:szCs w:val="32"/>
          <w:lang w:val="zh-CN"/>
        </w:rPr>
        <w:t>（四）评价方法</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南新镇残协工作经费</w:t>
      </w:r>
      <w:r>
        <w:rPr>
          <w:rFonts w:eastAsia="仿宋_GB2312" w:cs="仿宋" w:hint="eastAsia"/>
          <w:color w:val="000000"/>
          <w:kern w:val="0"/>
          <w:sz w:val="32"/>
        </w:rPr>
        <w:t>采用</w:t>
      </w:r>
      <w:r>
        <w:rPr>
          <w:rFonts w:eastAsia="仿宋_GB2312" w:cs="仿宋" w:hint="eastAsia"/>
          <w:color w:val="000000"/>
          <w:kern w:val="0"/>
          <w:sz w:val="32"/>
          <w:lang w:val="zh-CN"/>
        </w:rPr>
        <w:t>自评与他评相结合的方式，结合评价内容，做到有计划，有安排，扎实开展本次自评工作。针对申报内容、实施情况、资金拨付、财务管理、社会效益等做出自我评价。</w:t>
      </w:r>
    </w:p>
    <w:p>
      <w:pPr>
        <w:adjustRightInd w:val="0"/>
        <w:snapToGrid w:val="0"/>
        <w:spacing w:line="580" w:lineRule="exact"/>
        <w:ind w:firstLineChars="100" w:firstLine="320"/>
        <w:rPr>
          <w:rFonts w:ascii="仿宋" w:eastAsia="仿宋" w:cs="仿宋"/>
          <w:b/>
          <w:sz w:val="32"/>
          <w:szCs w:val="32"/>
          <w:lang w:val="zh-CN"/>
        </w:rPr>
      </w:pPr>
      <w:r>
        <w:rPr>
          <w:rFonts w:ascii="仿宋" w:eastAsia="仿宋" w:cs="仿宋" w:hint="eastAsia"/>
          <w:b/>
          <w:sz w:val="32"/>
          <w:szCs w:val="32"/>
          <w:lang w:val="zh-CN"/>
        </w:rPr>
        <w:t>（</w:t>
      </w:r>
      <w:r>
        <w:rPr>
          <w:rFonts w:ascii="仿宋" w:eastAsia="仿宋" w:cs="仿宋" w:hint="eastAsia"/>
          <w:b/>
          <w:sz w:val="32"/>
          <w:szCs w:val="32"/>
        </w:rPr>
        <w:t>五</w:t>
      </w:r>
      <w:r>
        <w:rPr>
          <w:rFonts w:ascii="仿宋" w:eastAsia="仿宋" w:cs="仿宋" w:hint="eastAsia"/>
          <w:b/>
          <w:sz w:val="32"/>
          <w:szCs w:val="32"/>
          <w:lang w:val="zh-CN"/>
        </w:rPr>
        <w:t>）评价组织</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由项目经办人员及财务人员分工协作，项目经办人员负责项目具体实施，财务人员负责评价</w:t>
      </w:r>
      <w:r>
        <w:rPr>
          <w:rFonts w:eastAsia="仿宋_GB2312" w:cs="仿宋" w:hint="eastAsia"/>
          <w:color w:val="000000"/>
          <w:kern w:val="0"/>
          <w:sz w:val="32"/>
          <w:lang w:val="zh-CN"/>
        </w:rPr>
        <w:t>。</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三、绩效分析</w:t>
      </w:r>
      <w:r>
        <w:rPr>
          <w:rFonts w:ascii="仿宋" w:eastAsia="仿宋" w:cs="仿宋" w:hint="eastAsia"/>
          <w:b/>
          <w:bCs/>
          <w:sz w:val="32"/>
          <w:szCs w:val="32"/>
          <w:lang w:val="zh-CN"/>
        </w:rPr>
        <w:tab/>
      </w:r>
    </w:p>
    <w:p>
      <w:pPr>
        <w:spacing w:line="578" w:lineRule="exact"/>
        <w:ind w:firstLine="640"/>
        <w:rPr>
          <w:rFonts w:ascii="仿宋" w:eastAsia="仿宋" w:cs="仿宋"/>
          <w:b/>
          <w:sz w:val="32"/>
          <w:szCs w:val="32"/>
        </w:rPr>
      </w:pPr>
      <w:r>
        <w:rPr>
          <w:rFonts w:ascii="仿宋" w:eastAsia="仿宋" w:cs="仿宋" w:hint="eastAsia"/>
          <w:b/>
          <w:sz w:val="32"/>
          <w:szCs w:val="32"/>
          <w:lang w:val="zh-CN"/>
        </w:rPr>
        <w:t>（一）</w:t>
      </w:r>
      <w:r>
        <w:rPr>
          <w:rFonts w:ascii="仿宋" w:eastAsia="仿宋" w:cs="仿宋" w:hint="eastAsia"/>
          <w:b/>
          <w:sz w:val="32"/>
          <w:szCs w:val="32"/>
        </w:rPr>
        <w:t>通用指标</w:t>
      </w:r>
      <w:r>
        <w:rPr>
          <w:rFonts w:ascii="仿宋" w:eastAsia="仿宋" w:cs="仿宋" w:hint="eastAsia"/>
          <w:b/>
          <w:bCs/>
          <w:color w:val="000000"/>
          <w:kern w:val="0"/>
          <w:sz w:val="32"/>
          <w:szCs w:val="32"/>
          <w:shd w:val="clear" w:color="auto" w:fill="FFFFFF"/>
          <w:lang w:val="zh-CN"/>
        </w:rPr>
        <w:t>绩效分析</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1.项目决策</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进一步加强残疾人工作，全面提升基层残疾人组织服务能力和管理科学化水平，更好为残疾人做好服务，同时关心关爱残疾人。</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2.项目管理</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项目实施过程中，严格按照相关法律法规及项目管理制度进行管理。</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3.项目实施</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我镇残协工作经费现已按要求实施完成，项目理事会、村两委、镇政府及主管部门已验收。</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4.项目结果</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lang w:val="zh-CN"/>
        </w:rPr>
        <w:t>进一步加强残疾人工作，全面提升基层残疾人组织服务能力和管理科学化水平，更好为残疾人做好服务，同时关心关爱残疾人。</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（二）</w:t>
      </w:r>
      <w:r>
        <w:rPr>
          <w:rFonts w:ascii="仿宋" w:eastAsia="仿宋" w:cs="仿宋" w:hint="eastAsia"/>
          <w:b/>
          <w:sz w:val="32"/>
          <w:szCs w:val="32"/>
        </w:rPr>
        <w:t>专用指标</w:t>
      </w:r>
      <w:r>
        <w:rPr>
          <w:rFonts w:ascii="仿宋" w:eastAsia="仿宋" w:cs="仿宋" w:hint="eastAsia"/>
          <w:b/>
          <w:color w:val="000000"/>
          <w:kern w:val="0"/>
          <w:sz w:val="32"/>
          <w:szCs w:val="32"/>
          <w:shd w:val="clear" w:color="auto" w:fill="FFFFFF"/>
          <w:lang w:val="zh-CN"/>
        </w:rPr>
        <w:t>绩效分析</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二级指标</w:t>
      </w:r>
      <w:r>
        <w:rPr>
          <w:rFonts w:eastAsia="仿宋_GB2312" w:cs="仿宋" w:hint="eastAsia"/>
          <w:color w:val="000000"/>
          <w:kern w:val="0"/>
          <w:sz w:val="32"/>
          <w:lang w:val="zh-CN"/>
        </w:rPr>
        <w:t>行政运转</w:t>
      </w:r>
      <w:r>
        <w:rPr>
          <w:rFonts w:eastAsia="仿宋_GB2312" w:cs="仿宋" w:hint="eastAsia"/>
          <w:color w:val="000000"/>
          <w:kern w:val="0"/>
          <w:sz w:val="32"/>
        </w:rPr>
        <w:t>下：</w:t>
      </w:r>
      <w:r>
        <w:rPr>
          <w:rFonts w:eastAsia="仿宋_GB2312" w:cs="仿宋" w:hint="eastAsia"/>
          <w:color w:val="000000"/>
          <w:kern w:val="0"/>
          <w:sz w:val="32"/>
          <w:lang w:val="zh-CN"/>
        </w:rPr>
        <w:t>用途合规性按规定用途、适用范围进行专项资金分配</w:t>
      </w:r>
      <w:r>
        <w:rPr>
          <w:rFonts w:eastAsia="仿宋_GB2312" w:cs="仿宋" w:hint="eastAsia"/>
          <w:color w:val="000000"/>
          <w:kern w:val="0"/>
          <w:sz w:val="32"/>
        </w:rPr>
        <w:t>；</w:t>
      </w:r>
      <w:r>
        <w:rPr>
          <w:rFonts w:eastAsia="仿宋_GB2312" w:cs="仿宋" w:hint="eastAsia"/>
          <w:color w:val="000000"/>
          <w:kern w:val="0"/>
          <w:sz w:val="32"/>
          <w:lang w:val="zh-CN"/>
        </w:rPr>
        <w:t>程序合规性资金管理程序符合专项资金管理要求</w:t>
      </w:r>
      <w:r>
        <w:rPr>
          <w:rFonts w:eastAsia="仿宋_GB2312" w:cs="仿宋" w:hint="eastAsia"/>
          <w:color w:val="000000"/>
          <w:kern w:val="0"/>
          <w:sz w:val="32"/>
        </w:rPr>
        <w:t>；</w:t>
      </w:r>
      <w:r>
        <w:rPr>
          <w:rFonts w:eastAsia="仿宋_GB2312" w:cs="仿宋" w:hint="eastAsia"/>
          <w:color w:val="000000"/>
          <w:kern w:val="0"/>
          <w:sz w:val="32"/>
          <w:lang w:val="zh-CN"/>
        </w:rPr>
        <w:t>标准合规性资金分配标准符合专项资金管理要求</w:t>
      </w:r>
      <w:r>
        <w:rPr>
          <w:rFonts w:eastAsia="仿宋_GB2312" w:cs="仿宋" w:hint="eastAsia"/>
          <w:color w:val="000000"/>
          <w:kern w:val="0"/>
          <w:sz w:val="32"/>
        </w:rPr>
        <w:t>。</w:t>
      </w:r>
    </w:p>
    <w:p>
      <w:pPr>
        <w:spacing w:line="578" w:lineRule="exact"/>
        <w:ind w:firstLineChars="200" w:firstLine="640"/>
        <w:rPr>
          <w:rFonts w:ascii="仿宋" w:eastAsia="仿宋" w:cs="仿宋"/>
          <w:b/>
          <w:sz w:val="32"/>
          <w:szCs w:val="32"/>
        </w:rPr>
      </w:pPr>
      <w:r>
        <w:rPr>
          <w:rFonts w:ascii="仿宋" w:eastAsia="仿宋" w:cs="仿宋" w:hint="eastAsia"/>
          <w:b/>
          <w:sz w:val="32"/>
          <w:szCs w:val="32"/>
          <w:lang w:val="zh-CN"/>
        </w:rPr>
        <w:t>（三）个性指标绩效分析</w:t>
      </w:r>
    </w:p>
    <w:p>
      <w:pPr>
        <w:pStyle w:val="26"/>
        <w:spacing w:after="0" w:line="578" w:lineRule="exact"/>
        <w:ind w:leftChars="0" w:left="0"/>
        <w:rPr>
          <w:rFonts w:ascii="仿宋" w:eastAsia="仿宋" w:cs="仿宋"/>
          <w:sz w:val="32"/>
        </w:rPr>
      </w:pPr>
      <w:r>
        <w:rPr>
          <w:rFonts w:eastAsia="仿宋_GB2312" w:cs="仿宋" w:hint="eastAsia"/>
          <w:color w:val="000000"/>
          <w:kern w:val="0"/>
          <w:sz w:val="32"/>
        </w:rPr>
        <w:t>我单位不涉及个性指标绩效分析情况。</w:t>
      </w:r>
    </w:p>
    <w:p>
      <w:pPr>
        <w:adjustRightInd w:val="0"/>
        <w:snapToGrid w:val="0"/>
        <w:spacing w:line="578" w:lineRule="exact"/>
        <w:ind w:firstLineChars="200" w:firstLine="640"/>
        <w:rPr>
          <w:rFonts w:ascii="仿宋" w:eastAsia="仿宋" w:cs="仿宋"/>
          <w:b/>
          <w:bCs/>
          <w:sz w:val="32"/>
          <w:szCs w:val="32"/>
        </w:rPr>
      </w:pPr>
      <w:r>
        <w:rPr>
          <w:rFonts w:ascii="仿宋" w:eastAsia="仿宋" w:cs="仿宋" w:hint="eastAsia"/>
          <w:b/>
          <w:bCs/>
          <w:sz w:val="32"/>
          <w:szCs w:val="32"/>
        </w:rPr>
        <w:t>四、评价结论</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8" w:lineRule="exact"/>
        <w:ind w:firstLineChars="200" w:firstLine="640"/>
        <w:rPr>
          <w:rFonts w:ascii="仿宋" w:eastAsia="仿宋" w:cs="仿宋"/>
          <w:b/>
          <w:bCs/>
          <w:sz w:val="32"/>
          <w:szCs w:val="32"/>
        </w:rPr>
      </w:pPr>
      <w:r>
        <w:rPr>
          <w:rFonts w:ascii="仿宋" w:eastAsia="仿宋" w:cs="仿宋" w:hint="eastAsia"/>
          <w:b/>
          <w:bCs/>
          <w:sz w:val="32"/>
          <w:szCs w:val="32"/>
        </w:rPr>
        <w:t>五、存在主要问题</w:t>
      </w:r>
    </w:p>
    <w:p>
      <w:pPr>
        <w:pStyle w:val="26"/>
        <w:spacing w:after="0" w:line="578" w:lineRule="exact"/>
        <w:ind w:leftChars="0" w:left="0"/>
        <w:rPr>
          <w:rFonts w:ascii="仿宋" w:eastAsia="仿宋" w:cs="仿宋"/>
          <w:sz w:val="32"/>
        </w:rPr>
      </w:pPr>
      <w:r>
        <w:rPr>
          <w:rFonts w:eastAsia="仿宋_GB2312" w:cs="仿宋" w:hint="eastAsia"/>
          <w:color w:val="000000"/>
          <w:kern w:val="0"/>
          <w:sz w:val="32"/>
        </w:rPr>
        <w:t>加快报账进度、加强资金监管</w:t>
      </w:r>
      <w:r>
        <w:rPr>
          <w:rFonts w:eastAsia="仿宋_GB2312" w:cs="仿宋" w:hint="eastAsia"/>
          <w:color w:val="000000"/>
          <w:kern w:val="0"/>
          <w:sz w:val="32"/>
          <w:lang w:val="zh-CN"/>
        </w:rPr>
        <w:t>。</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六、改进建议</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加强财务管理、加快报账进度。</w:t>
      </w: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Pr>
        <w:pStyle w:val="26"/>
        <w:spacing w:after="0" w:line="578" w:lineRule="exact"/>
        <w:ind w:leftChars="0" w:left="0"/>
        <w:rPr>
          <w:rFonts w:eastAsia="仿宋_GB2312" w:cs="仿宋"/>
          <w:color w:val="000000"/>
          <w:kern w:val="0"/>
          <w:sz w:val="32"/>
        </w:rPr>
      </w:pPr>
    </w:p>
    <w:p/>
    <w:p>
      <w:pPr>
        <w:pStyle w:val="39"/>
        <w:spacing w:line="578" w:lineRule="exact"/>
        <w:jc w:val="center"/>
        <w:rPr>
          <w:rFonts w:ascii="方正小标宋简体" w:eastAsia="方正小标宋简体" w:hint="eastAsia"/>
          <w:sz w:val="44"/>
          <w:szCs w:val="44"/>
          <w:lang w:val="en-US"/>
        </w:rPr>
      </w:pPr>
      <w:r>
        <w:rPr>
          <w:rFonts w:ascii="方正小标宋简体" w:eastAsia="方正小标宋简体" w:cs="方正小标宋简体" w:hint="eastAsia"/>
          <w:color w:val="auto"/>
          <w:kern w:val="2"/>
          <w:sz w:val="44"/>
          <w:szCs w:val="44"/>
          <w:lang w:val="en-US"/>
        </w:rPr>
        <w:t>茂县南新镇人民政府</w:t>
      </w:r>
      <w:r>
        <w:rPr>
          <w:rFonts w:ascii="方正小标宋简体" w:eastAsia="方正小标宋简体" w:hint="eastAsia"/>
          <w:sz w:val="44"/>
          <w:szCs w:val="44"/>
          <w:lang w:val="en-US"/>
        </w:rPr>
        <w:t>基层文化阵地改造</w:t>
      </w:r>
    </w:p>
    <w:p>
      <w:pPr>
        <w:pStyle w:val="39"/>
        <w:spacing w:line="578" w:lineRule="exact"/>
        <w:jc w:val="center"/>
        <w:rPr>
          <w:rFonts w:ascii="方正小标宋简体" w:eastAsia="方正小标宋简体" w:cs="方正小标宋简体" w:hint="eastAsia"/>
          <w:color w:val="auto"/>
          <w:kern w:val="2"/>
          <w:sz w:val="44"/>
          <w:szCs w:val="44"/>
          <w:lang w:val="en-US"/>
        </w:rPr>
      </w:pPr>
      <w:r>
        <w:rPr>
          <w:rFonts w:ascii="方正小标宋简体" w:eastAsia="方正小标宋简体" w:hint="eastAsia"/>
          <w:sz w:val="44"/>
          <w:szCs w:val="44"/>
          <w:lang w:val="en-US"/>
        </w:rPr>
        <w:t>提升</w:t>
      </w:r>
      <w:r>
        <w:rPr>
          <w:rFonts w:ascii="方正小标宋简体" w:eastAsia="方正小标宋简体" w:cs="方正小标宋简体"/>
          <w:color w:val="auto"/>
          <w:kern w:val="2"/>
          <w:sz w:val="44"/>
          <w:szCs w:val="44"/>
          <w:lang w:val="en-US"/>
        </w:rPr>
        <w:t>项目预算绩效自评报告</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一、</w:t>
      </w:r>
      <w:r>
        <w:rPr>
          <w:rFonts w:ascii="仿宋" w:eastAsia="仿宋" w:cs="仿宋" w:hint="eastAsia"/>
          <w:b/>
          <w:bCs/>
          <w:sz w:val="32"/>
          <w:szCs w:val="32"/>
          <w:lang w:val="zh-CN"/>
        </w:rPr>
        <w:t>项目概况</w:t>
      </w:r>
    </w:p>
    <w:p>
      <w:pPr>
        <w:spacing w:line="560" w:lineRule="exact"/>
        <w:ind w:firstLineChars="200" w:firstLine="640"/>
        <w:rPr>
          <w:rFonts w:ascii="仿宋" w:eastAsia="仿宋" w:cs="仿宋"/>
          <w:b/>
          <w:sz w:val="32"/>
          <w:szCs w:val="32"/>
          <w:lang w:val="zh-CN"/>
        </w:rPr>
      </w:pPr>
      <w:r>
        <w:rPr>
          <w:rFonts w:ascii="仿宋" w:eastAsia="仿宋" w:cs="仿宋" w:hint="eastAsia"/>
          <w:b/>
          <w:sz w:val="32"/>
          <w:szCs w:val="32"/>
          <w:lang w:val="zh-CN"/>
        </w:rPr>
        <w:t>（一）设立背景及基本情况</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为建设一个具备良好的设施和服务的文化阵地，提供丰富多样的文化活动和学习机会，增加镇村居民对于文化活动的参与度，提高村民的文化素质，增加村民之间的交流和互动，促进社区的凝聚力与和谐发展,实施该项目。</w:t>
      </w:r>
    </w:p>
    <w:p>
      <w:pPr>
        <w:widowControl/>
        <w:ind w:firstLineChars="200" w:firstLine="640"/>
        <w:jc w:val="left"/>
        <w:rPr>
          <w:rFonts w:ascii="仿宋" w:eastAsia="仿宋" w:cs="仿宋"/>
          <w:b/>
          <w:sz w:val="32"/>
          <w:szCs w:val="32"/>
        </w:rPr>
      </w:pPr>
      <w:r>
        <w:rPr>
          <w:rFonts w:ascii="仿宋" w:eastAsia="仿宋" w:cs="仿宋" w:hint="eastAsia"/>
          <w:b/>
          <w:sz w:val="32"/>
          <w:szCs w:val="32"/>
        </w:rPr>
        <w:t>（二）实施目的及支持方向</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通过基层文化阵地改造提升项目，充分发挥弘扬羌族文化，丰富群众文化活动，培养文化队伍，让文化站更全面的发挥好其本身作用。</w:t>
      </w:r>
    </w:p>
    <w:p>
      <w:pPr>
        <w:widowControl/>
        <w:adjustRightInd w:val="0"/>
        <w:snapToGrid w:val="0"/>
        <w:spacing w:line="578" w:lineRule="exact"/>
        <w:ind w:firstLineChars="200" w:firstLine="640"/>
        <w:contextualSpacing/>
        <w:jc w:val="left"/>
        <w:rPr>
          <w:rFonts w:ascii="仿宋" w:eastAsia="仿宋" w:cs="仿宋"/>
          <w:b/>
          <w:sz w:val="32"/>
          <w:szCs w:val="32"/>
        </w:rPr>
      </w:pPr>
      <w:r>
        <w:rPr>
          <w:rFonts w:ascii="仿宋" w:eastAsia="仿宋" w:cs="仿宋" w:hint="eastAsia"/>
          <w:b/>
          <w:sz w:val="32"/>
          <w:szCs w:val="32"/>
          <w:lang w:val="zh-CN"/>
        </w:rPr>
        <w:t>（三）</w:t>
      </w:r>
      <w:r>
        <w:rPr>
          <w:rFonts w:ascii="仿宋" w:eastAsia="仿宋" w:cs="仿宋" w:hint="eastAsia"/>
          <w:b/>
          <w:sz w:val="32"/>
          <w:szCs w:val="32"/>
        </w:rPr>
        <w:t>预算安排及分配管理</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茂县南新镇基层文化阵地改造提升项目总资金10.00万元元，实际支付9.68万元。</w:t>
      </w:r>
    </w:p>
    <w:p>
      <w:pPr>
        <w:adjustRightInd w:val="0"/>
        <w:snapToGrid w:val="0"/>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（四）项目绩效目标设置</w:t>
      </w:r>
    </w:p>
    <w:p>
      <w:pPr>
        <w:pStyle w:val="26"/>
        <w:spacing w:after="0" w:line="578" w:lineRule="exact"/>
        <w:ind w:leftChars="0" w:left="0"/>
        <w:rPr>
          <w:rFonts w:ascii="仿宋" w:eastAsia="仿宋" w:cs="仿宋"/>
          <w:sz w:val="32"/>
        </w:rPr>
      </w:pPr>
      <w:r>
        <w:rPr>
          <w:rFonts w:eastAsia="仿宋_GB2312" w:cs="仿宋" w:hint="eastAsia"/>
          <w:color w:val="000000"/>
          <w:kern w:val="0"/>
          <w:sz w:val="32"/>
          <w:lang w:val="zh-CN"/>
        </w:rPr>
        <w:t>按时限完成</w:t>
      </w:r>
      <w:r>
        <w:rPr>
          <w:rFonts w:eastAsia="仿宋_GB2312" w:cs="仿宋" w:hint="eastAsia"/>
          <w:color w:val="000000"/>
          <w:kern w:val="0"/>
          <w:sz w:val="32"/>
        </w:rPr>
        <w:t>茂县南新镇基层文化阵地改造提升项目支出，充分发挥弘扬羌族文化，丰富群众文化活动，培养文化队伍，让文化站更全面的发挥好其本身作用。</w:t>
      </w:r>
    </w:p>
    <w:p>
      <w:pPr>
        <w:adjustRightInd w:val="0"/>
        <w:snapToGrid w:val="0"/>
        <w:spacing w:line="578" w:lineRule="exact"/>
        <w:ind w:firstLineChars="200" w:firstLine="640"/>
        <w:rPr>
          <w:rFonts w:ascii="仿宋" w:eastAsia="仿宋" w:cs="仿宋"/>
          <w:b/>
          <w:bCs/>
          <w:sz w:val="32"/>
          <w:szCs w:val="32"/>
        </w:rPr>
      </w:pPr>
      <w:r>
        <w:rPr>
          <w:rFonts w:ascii="仿宋" w:eastAsia="仿宋" w:cs="仿宋" w:hint="eastAsia"/>
          <w:b/>
          <w:bCs/>
          <w:sz w:val="32"/>
          <w:szCs w:val="32"/>
        </w:rPr>
        <w:t>二、评价实施</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（一）评价目的</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通过茂县南新镇基层文化阵地改造提升项目支出，充分发挥弘扬羌族文化，丰富群众文化活动，培养文化队伍，让文化站更全面的发挥好其本身作用。</w:t>
      </w:r>
    </w:p>
    <w:p>
      <w:pPr>
        <w:spacing w:line="578" w:lineRule="exact"/>
        <w:ind w:firstLineChars="200" w:firstLine="640"/>
        <w:rPr>
          <w:rFonts w:ascii="仿宋" w:eastAsia="仿宋" w:cs="仿宋"/>
          <w:b/>
          <w:bCs/>
          <w:sz w:val="32"/>
          <w:szCs w:val="32"/>
        </w:rPr>
      </w:pPr>
      <w:r>
        <w:rPr>
          <w:rFonts w:ascii="仿宋" w:eastAsia="仿宋" w:cs="仿宋" w:hint="eastAsia"/>
          <w:b/>
          <w:bCs/>
          <w:sz w:val="32"/>
          <w:szCs w:val="32"/>
        </w:rPr>
        <w:t>（二）</w:t>
      </w:r>
      <w:r>
        <w:rPr>
          <w:rFonts w:ascii="仿宋" w:eastAsia="仿宋" w:cs="仿宋" w:hint="eastAsia"/>
          <w:b/>
          <w:bCs/>
          <w:sz w:val="32"/>
          <w:szCs w:val="32"/>
          <w:lang w:val="zh-CN"/>
        </w:rPr>
        <w:t>预设问题及评价重点</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我单位没有预设问题及评价重点</w:t>
      </w:r>
      <w:r>
        <w:rPr>
          <w:rFonts w:eastAsia="仿宋_GB2312" w:cs="仿宋" w:hint="eastAsia"/>
          <w:color w:val="000000"/>
          <w:kern w:val="0"/>
          <w:sz w:val="32"/>
          <w:lang w:val="zh-CN"/>
        </w:rPr>
        <w:t>。</w:t>
      </w:r>
    </w:p>
    <w:p>
      <w:pPr>
        <w:adjustRightInd w:val="0"/>
        <w:snapToGrid w:val="0"/>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w:t>
      </w:r>
      <w:r>
        <w:rPr>
          <w:rFonts w:ascii="仿宋" w:eastAsia="仿宋" w:cs="仿宋" w:hint="eastAsia"/>
          <w:b/>
          <w:sz w:val="32"/>
          <w:szCs w:val="32"/>
        </w:rPr>
        <w:t>三</w:t>
      </w:r>
      <w:r>
        <w:rPr>
          <w:rFonts w:ascii="仿宋" w:eastAsia="仿宋" w:cs="仿宋" w:hint="eastAsia"/>
          <w:b/>
          <w:sz w:val="32"/>
          <w:szCs w:val="32"/>
          <w:lang w:val="zh-CN"/>
        </w:rPr>
        <w:t>）评价选点</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rPr>
        <w:t>抽取基层文化阵地改造1个</w:t>
      </w:r>
      <w:r>
        <w:rPr>
          <w:rFonts w:eastAsia="仿宋_GB2312" w:cs="仿宋" w:hint="eastAsia"/>
          <w:color w:val="000000"/>
          <w:kern w:val="0"/>
          <w:sz w:val="32"/>
          <w:lang w:val="zh-CN"/>
        </w:rPr>
        <w:t>样点</w:t>
      </w:r>
      <w:r>
        <w:rPr>
          <w:rFonts w:eastAsia="仿宋_GB2312" w:cs="仿宋" w:hint="eastAsia"/>
          <w:color w:val="000000"/>
          <w:kern w:val="0"/>
          <w:sz w:val="32"/>
        </w:rPr>
        <w:t>进行评价</w:t>
      </w:r>
      <w:r>
        <w:rPr>
          <w:rFonts w:eastAsia="仿宋_GB2312" w:cs="仿宋" w:hint="eastAsia"/>
          <w:color w:val="000000"/>
          <w:kern w:val="0"/>
          <w:sz w:val="32"/>
          <w:lang w:val="zh-CN"/>
        </w:rPr>
        <w:t>。</w:t>
      </w:r>
    </w:p>
    <w:p>
      <w:pPr>
        <w:adjustRightInd w:val="0"/>
        <w:snapToGrid w:val="0"/>
        <w:spacing w:line="580" w:lineRule="exact"/>
        <w:ind w:firstLineChars="200" w:firstLine="640"/>
        <w:rPr>
          <w:rFonts w:ascii="仿宋" w:eastAsia="仿宋" w:cs="仿宋"/>
          <w:b/>
          <w:sz w:val="32"/>
          <w:szCs w:val="32"/>
          <w:lang w:val="zh-CN"/>
        </w:rPr>
      </w:pPr>
      <w:r>
        <w:rPr>
          <w:rFonts w:ascii="仿宋" w:eastAsia="仿宋" w:cs="仿宋" w:hint="eastAsia"/>
          <w:b/>
          <w:sz w:val="32"/>
          <w:szCs w:val="32"/>
          <w:lang w:val="zh-CN"/>
        </w:rPr>
        <w:t>（四）评价方法</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lang w:val="zh-CN"/>
        </w:rPr>
        <w:t>采用单位自评法、实地勘察法等方法开展评价。</w:t>
      </w:r>
    </w:p>
    <w:p>
      <w:pPr>
        <w:adjustRightInd w:val="0"/>
        <w:snapToGrid w:val="0"/>
        <w:spacing w:line="580" w:lineRule="exact"/>
        <w:ind w:firstLineChars="200" w:firstLine="640"/>
        <w:rPr>
          <w:rFonts w:ascii="仿宋" w:eastAsia="仿宋" w:cs="仿宋"/>
          <w:b/>
          <w:sz w:val="32"/>
          <w:szCs w:val="32"/>
          <w:lang w:val="zh-CN"/>
        </w:rPr>
      </w:pPr>
      <w:r>
        <w:rPr>
          <w:rFonts w:ascii="仿宋" w:eastAsia="仿宋" w:cs="仿宋" w:hint="eastAsia"/>
          <w:b/>
          <w:sz w:val="32"/>
          <w:szCs w:val="32"/>
          <w:lang w:val="zh-CN"/>
        </w:rPr>
        <w:t>（</w:t>
      </w:r>
      <w:r>
        <w:rPr>
          <w:rFonts w:ascii="仿宋" w:eastAsia="仿宋" w:cs="仿宋" w:hint="eastAsia"/>
          <w:b/>
          <w:sz w:val="32"/>
          <w:szCs w:val="32"/>
        </w:rPr>
        <w:t>五</w:t>
      </w:r>
      <w:r>
        <w:rPr>
          <w:rFonts w:ascii="仿宋" w:eastAsia="仿宋" w:cs="仿宋" w:hint="eastAsia"/>
          <w:b/>
          <w:sz w:val="32"/>
          <w:szCs w:val="32"/>
          <w:lang w:val="zh-CN"/>
        </w:rPr>
        <w:t>）评价组织</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rPr>
        <w:t>由项目经办人员及财务人员分工协作，项目经办人员负责评价项目具体实施情况，财务人员负责评价经费、资金用途等情况</w:t>
      </w:r>
      <w:r>
        <w:rPr>
          <w:rFonts w:eastAsia="仿宋_GB2312" w:cs="仿宋" w:hint="eastAsia"/>
          <w:color w:val="000000"/>
          <w:kern w:val="0"/>
          <w:sz w:val="32"/>
          <w:lang w:val="zh-CN"/>
        </w:rPr>
        <w:t>。</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三、绩效分析</w:t>
      </w:r>
      <w:r>
        <w:rPr>
          <w:rFonts w:ascii="仿宋" w:eastAsia="仿宋" w:cs="仿宋" w:hint="eastAsia"/>
          <w:b/>
          <w:bCs/>
          <w:sz w:val="32"/>
          <w:szCs w:val="32"/>
          <w:lang w:val="zh-CN"/>
        </w:rPr>
        <w:tab/>
      </w:r>
    </w:p>
    <w:p>
      <w:pPr>
        <w:spacing w:line="578" w:lineRule="exact"/>
        <w:ind w:firstLine="640"/>
        <w:rPr>
          <w:rFonts w:ascii="仿宋" w:eastAsia="仿宋" w:cs="仿宋"/>
          <w:b/>
          <w:sz w:val="32"/>
          <w:szCs w:val="32"/>
        </w:rPr>
      </w:pPr>
      <w:r>
        <w:rPr>
          <w:rFonts w:ascii="仿宋" w:eastAsia="仿宋" w:cs="仿宋" w:hint="eastAsia"/>
          <w:b/>
          <w:sz w:val="32"/>
          <w:szCs w:val="32"/>
          <w:lang w:val="zh-CN"/>
        </w:rPr>
        <w:t>（一）</w:t>
      </w:r>
      <w:r>
        <w:rPr>
          <w:rFonts w:ascii="仿宋" w:eastAsia="仿宋" w:cs="仿宋" w:hint="eastAsia"/>
          <w:b/>
          <w:sz w:val="32"/>
          <w:szCs w:val="32"/>
        </w:rPr>
        <w:t>通用指标</w:t>
      </w:r>
      <w:r>
        <w:rPr>
          <w:rFonts w:ascii="仿宋" w:eastAsia="仿宋" w:cs="仿宋" w:hint="eastAsia"/>
          <w:b/>
          <w:bCs/>
          <w:color w:val="000000"/>
          <w:kern w:val="0"/>
          <w:sz w:val="32"/>
          <w:szCs w:val="32"/>
          <w:shd w:val="clear" w:color="auto" w:fill="FFFFFF"/>
          <w:lang w:val="zh-CN"/>
        </w:rPr>
        <w:t>绩效分析</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1.项目决策</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通过茂县南新镇基层文化阵地改造提升项目支出，充分发挥弘扬羌族文化，丰富群众文化活动，培养文化队伍，让文化站更全面的发挥好其本身作用。</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2.项目管理</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项目实施过程中，严格按照相关法律法规及项目管理制度进行管理。</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3.项目实施</w:t>
      </w:r>
    </w:p>
    <w:p>
      <w:pPr>
        <w:pStyle w:val="26"/>
        <w:spacing w:after="0" w:line="578" w:lineRule="exact"/>
        <w:ind w:leftChars="0" w:left="0"/>
        <w:rPr>
          <w:rFonts w:eastAsia="仿宋_GB2312" w:cs="仿宋"/>
          <w:color w:val="000000"/>
          <w:kern w:val="0"/>
          <w:sz w:val="32"/>
          <w:lang w:val="zh-CN"/>
        </w:rPr>
      </w:pPr>
      <w:r>
        <w:rPr>
          <w:rFonts w:eastAsia="仿宋_GB2312" w:cs="仿宋" w:hint="eastAsia"/>
          <w:color w:val="000000"/>
          <w:kern w:val="0"/>
          <w:sz w:val="32"/>
          <w:lang w:val="zh-CN"/>
        </w:rPr>
        <w:t>严格资金的审批和使用制度，专款专用，资金使用符合支出范围。</w:t>
      </w:r>
      <w:r>
        <w:rPr>
          <w:rFonts w:eastAsia="仿宋_GB2312" w:cs="仿宋" w:hint="eastAsia"/>
          <w:color w:val="000000"/>
          <w:kern w:val="0"/>
          <w:sz w:val="32"/>
        </w:rPr>
        <w:t>2024年12月支付资金9.68万元，项目资金结余0.31万元，县财政</w:t>
      </w:r>
      <w:r>
        <w:rPr>
          <w:rFonts w:eastAsia="仿宋_GB2312" w:cs="仿宋" w:hint="eastAsia"/>
          <w:color w:val="000000"/>
          <w:kern w:val="0"/>
          <w:sz w:val="32"/>
          <w:lang w:eastAsia="zh-CN"/>
        </w:rPr>
        <w:t>局</w:t>
      </w:r>
      <w:r>
        <w:rPr>
          <w:rFonts w:eastAsia="仿宋_GB2312" w:cs="仿宋" w:hint="eastAsia"/>
          <w:color w:val="000000"/>
          <w:kern w:val="0"/>
          <w:sz w:val="32"/>
        </w:rPr>
        <w:t>于2024年12月收回。</w:t>
      </w:r>
      <w:r>
        <w:rPr>
          <w:rFonts w:eastAsia="仿宋_GB2312" w:cs="仿宋" w:hint="eastAsia"/>
          <w:color w:val="000000"/>
          <w:kern w:val="0"/>
          <w:sz w:val="32"/>
          <w:lang w:val="zh-CN"/>
        </w:rPr>
        <w:t>茂县</w:t>
      </w:r>
      <w:r>
        <w:rPr>
          <w:rFonts w:eastAsia="仿宋_GB2312" w:cs="仿宋" w:hint="eastAsia"/>
          <w:color w:val="000000"/>
          <w:kern w:val="0"/>
          <w:sz w:val="32"/>
        </w:rPr>
        <w:t>南新镇基层文化阵地改造提升项目</w:t>
      </w:r>
      <w:r>
        <w:rPr>
          <w:rFonts w:eastAsia="仿宋_GB2312" w:cs="仿宋" w:hint="eastAsia"/>
          <w:color w:val="000000"/>
          <w:kern w:val="0"/>
          <w:sz w:val="32"/>
          <w:lang w:val="zh-CN"/>
        </w:rPr>
        <w:t>已完成</w:t>
      </w:r>
      <w:r>
        <w:rPr>
          <w:rFonts w:eastAsia="仿宋_GB2312" w:cs="仿宋" w:hint="eastAsia"/>
          <w:color w:val="000000"/>
          <w:kern w:val="0"/>
          <w:sz w:val="32"/>
        </w:rPr>
        <w:t>支付</w:t>
      </w:r>
      <w:r>
        <w:rPr>
          <w:rFonts w:eastAsia="仿宋_GB2312" w:cs="仿宋" w:hint="eastAsia"/>
          <w:color w:val="000000"/>
          <w:kern w:val="0"/>
          <w:sz w:val="32"/>
          <w:lang w:val="zh-CN"/>
        </w:rPr>
        <w:t>。</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4.项目结果</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通过基层文化阵地改造提升项目，充分发挥弘扬羌族文化，丰富群众文化活动，培养文化队伍，让文化站更全面的发挥好其本身作用。</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（二）</w:t>
      </w:r>
      <w:r>
        <w:rPr>
          <w:rFonts w:ascii="仿宋" w:eastAsia="仿宋" w:cs="仿宋" w:hint="eastAsia"/>
          <w:b/>
          <w:sz w:val="32"/>
          <w:szCs w:val="32"/>
        </w:rPr>
        <w:t>专用指标</w:t>
      </w:r>
      <w:r>
        <w:rPr>
          <w:rFonts w:ascii="仿宋" w:eastAsia="仿宋" w:cs="仿宋" w:hint="eastAsia"/>
          <w:b/>
          <w:color w:val="000000"/>
          <w:kern w:val="0"/>
          <w:sz w:val="32"/>
          <w:szCs w:val="32"/>
          <w:shd w:val="clear" w:color="auto" w:fill="FFFFFF"/>
          <w:lang w:val="zh-CN"/>
        </w:rPr>
        <w:t>绩效分析</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基础设施</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 xml:space="preserve">项目验收及时合格，进一步改善了基础设施和公共服务。 </w:t>
      </w:r>
    </w:p>
    <w:p>
      <w:pPr>
        <w:spacing w:line="578" w:lineRule="exact"/>
        <w:ind w:firstLineChars="200" w:firstLine="640"/>
        <w:rPr>
          <w:rFonts w:ascii="仿宋" w:eastAsia="仿宋" w:cs="仿宋"/>
          <w:b/>
          <w:sz w:val="32"/>
          <w:szCs w:val="32"/>
        </w:rPr>
      </w:pPr>
      <w:r>
        <w:rPr>
          <w:rFonts w:ascii="仿宋" w:eastAsia="仿宋" w:cs="仿宋" w:hint="eastAsia"/>
          <w:b/>
          <w:sz w:val="32"/>
          <w:szCs w:val="32"/>
          <w:lang w:val="zh-CN"/>
        </w:rPr>
        <w:t>（三）个性指标绩效分析</w:t>
      </w:r>
    </w:p>
    <w:p>
      <w:pPr>
        <w:pStyle w:val="26"/>
        <w:spacing w:after="0" w:line="578" w:lineRule="exact"/>
        <w:ind w:leftChars="0" w:left="0"/>
        <w:rPr>
          <w:rFonts w:eastAsia="仿宋_GB2312" w:cs="仿宋"/>
          <w:color w:val="000000"/>
          <w:kern w:val="0"/>
          <w:sz w:val="32"/>
        </w:rPr>
      </w:pPr>
      <w:r>
        <w:rPr>
          <w:rFonts w:eastAsia="仿宋_GB2312" w:cs="仿宋" w:hint="eastAsia"/>
          <w:color w:val="000000"/>
          <w:kern w:val="0"/>
          <w:sz w:val="32"/>
        </w:rPr>
        <w:t>我单位不涉及个性指标绩效分析情况。</w:t>
      </w:r>
    </w:p>
    <w:p>
      <w:pPr>
        <w:pStyle w:val="18"/>
        <w:tabs>
          <w:tab w:val="left" w:pos="2160"/>
        </w:tabs>
        <w:spacing w:beforeLines="0" w:before="93" w:line="600" w:lineRule="exact"/>
        <w:ind w:firstLineChars="200" w:firstLine="640"/>
        <w:rPr>
          <w:rFonts w:ascii="仿宋" w:eastAsia="仿宋" w:cs="仿宋"/>
          <w:b/>
          <w:bCs/>
          <w:sz w:val="32"/>
          <w:szCs w:val="32"/>
        </w:rPr>
      </w:pPr>
      <w:r>
        <w:rPr>
          <w:rFonts w:ascii="仿宋" w:eastAsia="仿宋" w:cs="仿宋" w:hint="eastAsia"/>
          <w:b/>
          <w:bCs/>
          <w:sz w:val="32"/>
          <w:szCs w:val="32"/>
        </w:rPr>
        <w:t>四、评价结论</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通过我镇基层文化阵地改造提升项目，充分发挥弘扬羌族文化，丰富群众文化活动，培养文化队伍，让文化站更全面的发挥好其本身作用。</w:t>
      </w:r>
    </w:p>
    <w:p>
      <w:pPr>
        <w:pStyle w:val="18"/>
        <w:tabs>
          <w:tab w:val="left" w:pos="2160"/>
        </w:tabs>
        <w:spacing w:beforeLines="0" w:before="93" w:line="600" w:lineRule="exact"/>
        <w:ind w:firstLineChars="200" w:firstLine="640"/>
        <w:rPr>
          <w:rFonts w:ascii="仿宋" w:eastAsia="仿宋" w:cs="仿宋"/>
          <w:b/>
          <w:bCs/>
          <w:sz w:val="32"/>
          <w:szCs w:val="32"/>
        </w:rPr>
      </w:pPr>
      <w:r>
        <w:rPr>
          <w:rFonts w:ascii="仿宋" w:eastAsia="仿宋" w:cs="仿宋" w:hint="eastAsia"/>
          <w:b/>
          <w:bCs/>
          <w:sz w:val="32"/>
          <w:szCs w:val="32"/>
        </w:rPr>
        <w:t>五、存在主要问题</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加快报账进度、加强财务管理。</w:t>
      </w:r>
    </w:p>
    <w:p>
      <w:pPr>
        <w:pStyle w:val="18"/>
        <w:tabs>
          <w:tab w:val="left" w:pos="2160"/>
        </w:tabs>
        <w:spacing w:beforeLines="0" w:before="93" w:line="600" w:lineRule="exact"/>
        <w:ind w:firstLineChars="200" w:firstLine="640"/>
        <w:rPr>
          <w:rFonts w:ascii="仿宋" w:eastAsia="仿宋" w:cs="仿宋"/>
          <w:b/>
          <w:bCs/>
          <w:sz w:val="32"/>
          <w:szCs w:val="32"/>
        </w:rPr>
      </w:pPr>
      <w:r>
        <w:rPr>
          <w:rFonts w:ascii="仿宋" w:eastAsia="仿宋" w:cs="仿宋" w:hint="eastAsia"/>
          <w:b/>
          <w:bCs/>
          <w:sz w:val="32"/>
          <w:szCs w:val="32"/>
          <w:lang w:val="zh-CN"/>
        </w:rPr>
        <w:t>六、改进建议</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下一步工作中加强财务管理。</w:t>
      </w:r>
    </w:p>
    <w:p>
      <w:pPr>
        <w:spacing w:line="578" w:lineRule="exact"/>
        <w:ind w:firstLineChars="200" w:firstLine="640"/>
        <w:rPr>
          <w:rFonts w:ascii="仿宋_GB2312" w:eastAsia="仿宋_GB2312" w:cs="仿宋"/>
          <w:color w:val="000000"/>
          <w:kern w:val="0"/>
          <w:sz w:val="32"/>
          <w:szCs w:val="32"/>
          <w:lang w:val="zh-CN"/>
        </w:rPr>
      </w:pPr>
    </w:p>
    <w:p>
      <w:pPr>
        <w:pStyle w:val="15"/>
        <w:rPr>
          <w:color w:val="000000"/>
          <w:kern w:val="0"/>
          <w:shd w:val="clear" w:color="auto" w:fill="FFFFFF"/>
          <w:lang w:val="zh-CN"/>
        </w:rPr>
      </w:pPr>
    </w:p>
    <w:p>
      <w:pPr>
        <w:rPr>
          <w:color w:val="000000"/>
          <w:kern w:val="0"/>
          <w:shd w:val="clear" w:color="auto" w:fill="FFFFFF"/>
          <w:lang w:val="zh-CN"/>
        </w:rPr>
      </w:pPr>
    </w:p>
    <w:p>
      <w:pPr>
        <w:pStyle w:val="15"/>
        <w:rPr>
          <w:lang w:val="zh-CN"/>
        </w:rPr>
      </w:pPr>
    </w:p>
    <w:p>
      <w:pPr>
        <w:pStyle w:val="39"/>
        <w:spacing w:line="578" w:lineRule="exact"/>
        <w:jc w:val="center"/>
        <w:rPr>
          <w:rFonts w:ascii="方正小标宋简体" w:eastAsia="方正小标宋简体" w:cs="方正小标宋简体" w:hint="eastAsia"/>
          <w:color w:val="auto"/>
          <w:kern w:val="2"/>
          <w:sz w:val="44"/>
          <w:szCs w:val="44"/>
          <w:lang w:val="en-US"/>
        </w:rPr>
      </w:pPr>
      <w:r>
        <w:rPr>
          <w:rFonts w:ascii="方正小标宋简体" w:eastAsia="方正小标宋简体" w:cs="方正小标宋简体" w:hint="eastAsia"/>
          <w:color w:val="auto"/>
          <w:kern w:val="2"/>
          <w:sz w:val="44"/>
          <w:szCs w:val="44"/>
          <w:lang w:val="en-US"/>
        </w:rPr>
        <w:t>茂县南新镇人民政府</w:t>
      </w:r>
      <w:r>
        <w:rPr>
          <w:rFonts w:ascii="方正小标宋简体" w:eastAsia="方正小标宋简体" w:hint="eastAsia"/>
          <w:sz w:val="44"/>
          <w:szCs w:val="44"/>
          <w:lang w:val="en-US"/>
        </w:rPr>
        <w:t>人大工作经费</w:t>
      </w:r>
      <w:r>
        <w:rPr>
          <w:rFonts w:ascii="方正小标宋简体" w:eastAsia="方正小标宋简体" w:cs="方正小标宋简体"/>
          <w:color w:val="auto"/>
          <w:kern w:val="2"/>
          <w:sz w:val="44"/>
          <w:szCs w:val="44"/>
          <w:lang w:val="en-US"/>
        </w:rPr>
        <w:t>预算</w:t>
      </w:r>
    </w:p>
    <w:p>
      <w:pPr>
        <w:pStyle w:val="39"/>
        <w:spacing w:line="578" w:lineRule="exact"/>
        <w:jc w:val="center"/>
        <w:rPr>
          <w:rFonts w:ascii="方正小标宋简体" w:eastAsia="方正小标宋简体" w:cs="方正小标宋简体" w:hint="eastAsia"/>
          <w:color w:val="auto"/>
          <w:kern w:val="2"/>
          <w:sz w:val="44"/>
          <w:szCs w:val="44"/>
          <w:lang w:val="en-US"/>
        </w:rPr>
      </w:pPr>
      <w:r>
        <w:rPr>
          <w:rFonts w:ascii="方正小标宋简体" w:eastAsia="方正小标宋简体" w:cs="方正小标宋简体"/>
          <w:color w:val="auto"/>
          <w:kern w:val="2"/>
          <w:sz w:val="44"/>
          <w:szCs w:val="44"/>
          <w:lang w:val="en-US"/>
        </w:rPr>
        <w:t>绩效自评报告</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一、</w:t>
      </w:r>
      <w:r>
        <w:rPr>
          <w:rFonts w:ascii="仿宋" w:eastAsia="仿宋" w:cs="仿宋" w:hint="eastAsia"/>
          <w:b/>
          <w:bCs/>
          <w:sz w:val="32"/>
          <w:szCs w:val="32"/>
          <w:lang w:val="zh-CN"/>
        </w:rPr>
        <w:t>项目概况</w:t>
      </w:r>
    </w:p>
    <w:p>
      <w:pPr>
        <w:spacing w:line="560" w:lineRule="exact"/>
        <w:ind w:firstLineChars="200" w:firstLine="640"/>
        <w:rPr>
          <w:rFonts w:ascii="仿宋" w:eastAsia="仿宋" w:cs="仿宋"/>
          <w:b/>
          <w:sz w:val="32"/>
          <w:szCs w:val="32"/>
          <w:lang w:val="zh-CN"/>
        </w:rPr>
      </w:pPr>
      <w:r>
        <w:rPr>
          <w:rFonts w:ascii="仿宋" w:eastAsia="仿宋" w:cs="仿宋" w:hint="eastAsia"/>
          <w:b/>
          <w:sz w:val="32"/>
          <w:szCs w:val="32"/>
          <w:lang w:val="zh-CN"/>
        </w:rPr>
        <w:t>（一）设立背景及基本情况</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为加强各镇人大工作开展，代表履职及自身建设方面的专项工作经费。人大工作经费的管理和使用，坚持公平、公开、公正的原则，确保专项工作经费的规范、安全和高效。</w:t>
      </w:r>
    </w:p>
    <w:p>
      <w:pPr>
        <w:widowControl/>
        <w:ind w:firstLineChars="200" w:firstLine="640"/>
        <w:jc w:val="left"/>
        <w:rPr>
          <w:rFonts w:ascii="仿宋" w:eastAsia="仿宋" w:cs="仿宋"/>
          <w:b/>
          <w:sz w:val="32"/>
          <w:szCs w:val="32"/>
        </w:rPr>
      </w:pPr>
      <w:r>
        <w:rPr>
          <w:rFonts w:ascii="仿宋" w:eastAsia="仿宋" w:cs="仿宋" w:hint="eastAsia"/>
          <w:b/>
          <w:sz w:val="32"/>
          <w:szCs w:val="32"/>
        </w:rPr>
        <w:t>（二）实施目的及支持方向</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人大工作经费是指用于各镇人大工作开展，代表履职及自身建设方面的专项工作经费。人大工作经费的管理和使用，坚持公平、公开、公正的原则，确保专项工作经费的规范、安全和高效。</w:t>
      </w:r>
    </w:p>
    <w:p>
      <w:pPr>
        <w:widowControl/>
        <w:adjustRightInd w:val="0"/>
        <w:snapToGrid w:val="0"/>
        <w:spacing w:line="578" w:lineRule="exact"/>
        <w:ind w:firstLineChars="200" w:firstLine="640"/>
        <w:contextualSpacing/>
        <w:jc w:val="left"/>
        <w:rPr>
          <w:rFonts w:ascii="仿宋" w:eastAsia="仿宋" w:cs="仿宋"/>
          <w:b/>
          <w:sz w:val="32"/>
          <w:szCs w:val="32"/>
        </w:rPr>
      </w:pPr>
      <w:r>
        <w:rPr>
          <w:rFonts w:ascii="仿宋" w:eastAsia="仿宋" w:cs="仿宋" w:hint="eastAsia"/>
          <w:b/>
          <w:sz w:val="32"/>
          <w:szCs w:val="32"/>
          <w:lang w:val="zh-CN"/>
        </w:rPr>
        <w:t>（三）</w:t>
      </w:r>
      <w:r>
        <w:rPr>
          <w:rFonts w:ascii="仿宋" w:eastAsia="仿宋" w:cs="仿宋" w:hint="eastAsia"/>
          <w:b/>
          <w:sz w:val="32"/>
          <w:szCs w:val="32"/>
        </w:rPr>
        <w:t>预算安排及分配管理</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lang w:val="zh-CN"/>
        </w:rPr>
        <w:t>南新镇</w:t>
      </w:r>
      <w:r>
        <w:rPr>
          <w:rFonts w:ascii="仿宋_GB2312" w:eastAsia="仿宋_GB2312" w:cs="仿宋" w:hint="eastAsia"/>
          <w:color w:val="000000"/>
          <w:kern w:val="0"/>
          <w:sz w:val="32"/>
          <w:szCs w:val="32"/>
        </w:rPr>
        <w:t>人大工作</w:t>
      </w:r>
      <w:r>
        <w:rPr>
          <w:rFonts w:ascii="仿宋_GB2312" w:eastAsia="仿宋_GB2312" w:cs="仿宋" w:hint="eastAsia"/>
          <w:color w:val="000000"/>
          <w:kern w:val="0"/>
          <w:sz w:val="32"/>
          <w:szCs w:val="32"/>
          <w:lang w:val="zh-CN"/>
        </w:rPr>
        <w:t>经费资金申报</w:t>
      </w:r>
      <w:r>
        <w:rPr>
          <w:rFonts w:ascii="仿宋_GB2312" w:eastAsia="仿宋_GB2312" w:cs="仿宋" w:hint="eastAsia"/>
          <w:color w:val="000000"/>
          <w:kern w:val="0"/>
          <w:sz w:val="32"/>
          <w:szCs w:val="32"/>
        </w:rPr>
        <w:t>10.00万</w:t>
      </w:r>
      <w:r>
        <w:rPr>
          <w:rFonts w:ascii="仿宋_GB2312" w:eastAsia="仿宋_GB2312" w:cs="仿宋" w:hint="eastAsia"/>
          <w:color w:val="000000"/>
          <w:kern w:val="0"/>
          <w:sz w:val="32"/>
          <w:szCs w:val="32"/>
          <w:lang w:val="zh-CN"/>
        </w:rPr>
        <w:t>元，批复</w:t>
      </w:r>
      <w:r>
        <w:rPr>
          <w:rFonts w:ascii="仿宋_GB2312" w:eastAsia="仿宋_GB2312" w:cs="仿宋" w:hint="eastAsia"/>
          <w:color w:val="000000"/>
          <w:kern w:val="0"/>
          <w:sz w:val="32"/>
          <w:szCs w:val="32"/>
        </w:rPr>
        <w:t>10.00万元，实际支付9.92万元，申报与批复资金一致。</w:t>
      </w:r>
    </w:p>
    <w:p>
      <w:pPr>
        <w:adjustRightInd w:val="0"/>
        <w:snapToGrid w:val="0"/>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（四）项目绩效目标设置</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人大工作经费是指用于各镇人大工作开展，代表履职及自身建设方面的专项工作经费。人大工作经费的管理和使用，坚持公平、公开、公正的原则，确保专项工作经费的规范、安全和高效。我</w:t>
      </w:r>
      <w:r>
        <w:rPr>
          <w:rFonts w:ascii="仿宋_GB2312" w:eastAsia="仿宋_GB2312" w:cs="仿宋" w:hint="eastAsia"/>
          <w:color w:val="000000"/>
          <w:kern w:val="0"/>
          <w:sz w:val="32"/>
          <w:szCs w:val="32"/>
          <w:lang w:val="zh-CN"/>
        </w:rPr>
        <w:t>镇人大工作经费申报内容是与实际相符，申报目标合理可行。</w:t>
      </w:r>
    </w:p>
    <w:p>
      <w:pPr>
        <w:adjustRightInd w:val="0"/>
        <w:snapToGrid w:val="0"/>
        <w:spacing w:line="578" w:lineRule="exact"/>
        <w:ind w:firstLineChars="200" w:firstLine="640"/>
        <w:rPr>
          <w:rFonts w:ascii="仿宋" w:eastAsia="仿宋" w:cs="仿宋"/>
          <w:b/>
          <w:bCs/>
          <w:sz w:val="32"/>
          <w:szCs w:val="32"/>
        </w:rPr>
      </w:pPr>
      <w:r>
        <w:rPr>
          <w:rFonts w:ascii="仿宋" w:eastAsia="仿宋" w:cs="仿宋" w:hint="eastAsia"/>
          <w:b/>
          <w:bCs/>
          <w:sz w:val="32"/>
          <w:szCs w:val="32"/>
        </w:rPr>
        <w:t>二、评价实施</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（一）评价目的</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加强各镇人大工作开展，代表履职及自身建设方面的专项工作经费。人大工作经费的管理和使用，坚持公平、公开、公正的原则，确保专项工作经费的规范、安全和高效</w:t>
      </w:r>
      <w:r>
        <w:rPr>
          <w:rFonts w:ascii="仿宋_GB2312" w:eastAsia="仿宋_GB2312" w:cs="仿宋" w:hint="eastAsia"/>
          <w:color w:val="000000"/>
          <w:kern w:val="0"/>
          <w:sz w:val="32"/>
          <w:szCs w:val="32"/>
          <w:lang w:val="zh-CN"/>
        </w:rPr>
        <w:t>。</w:t>
      </w:r>
    </w:p>
    <w:p>
      <w:pPr>
        <w:spacing w:line="578" w:lineRule="exact"/>
        <w:ind w:firstLineChars="200" w:firstLine="640"/>
        <w:rPr>
          <w:rFonts w:ascii="仿宋" w:eastAsia="仿宋" w:cs="仿宋"/>
          <w:b/>
          <w:bCs/>
          <w:sz w:val="32"/>
          <w:szCs w:val="32"/>
        </w:rPr>
      </w:pPr>
      <w:r>
        <w:rPr>
          <w:rFonts w:ascii="仿宋" w:eastAsia="仿宋" w:cs="仿宋" w:hint="eastAsia"/>
          <w:b/>
          <w:bCs/>
          <w:sz w:val="32"/>
          <w:szCs w:val="32"/>
        </w:rPr>
        <w:t>（二）</w:t>
      </w:r>
      <w:r>
        <w:rPr>
          <w:rFonts w:ascii="仿宋" w:eastAsia="仿宋" w:cs="仿宋" w:hint="eastAsia"/>
          <w:b/>
          <w:bCs/>
          <w:sz w:val="32"/>
          <w:szCs w:val="32"/>
          <w:lang w:val="zh-CN"/>
        </w:rPr>
        <w:t>预设问题及评价重点</w:t>
      </w:r>
    </w:p>
    <w:p>
      <w:pPr>
        <w:spacing w:line="578" w:lineRule="exact"/>
        <w:ind w:firstLineChars="200" w:firstLine="640"/>
        <w:rPr>
          <w:rFonts w:ascii="仿宋" w:eastAsia="仿宋" w:cs="仿宋"/>
          <w:sz w:val="32"/>
          <w:szCs w:val="32"/>
        </w:rPr>
      </w:pPr>
      <w:r>
        <w:rPr>
          <w:rFonts w:ascii="仿宋_GB2312" w:eastAsia="仿宋_GB2312" w:cs="仿宋" w:hint="eastAsia"/>
          <w:color w:val="000000"/>
          <w:kern w:val="0"/>
          <w:sz w:val="32"/>
          <w:szCs w:val="32"/>
        </w:rPr>
        <w:t>我单位没有预设问题及评价重点情况</w:t>
      </w:r>
      <w:r>
        <w:rPr>
          <w:rFonts w:ascii="仿宋_GB2312" w:eastAsia="仿宋_GB2312" w:cs="仿宋" w:hint="eastAsia"/>
          <w:color w:val="000000"/>
          <w:kern w:val="0"/>
          <w:sz w:val="32"/>
          <w:szCs w:val="32"/>
          <w:lang w:val="zh-CN"/>
        </w:rPr>
        <w:t>。</w:t>
      </w:r>
    </w:p>
    <w:p>
      <w:pPr>
        <w:adjustRightInd w:val="0"/>
        <w:snapToGrid w:val="0"/>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w:t>
      </w:r>
      <w:r>
        <w:rPr>
          <w:rFonts w:ascii="仿宋" w:eastAsia="仿宋" w:cs="仿宋" w:hint="eastAsia"/>
          <w:b/>
          <w:sz w:val="32"/>
          <w:szCs w:val="32"/>
        </w:rPr>
        <w:t>三</w:t>
      </w:r>
      <w:r>
        <w:rPr>
          <w:rFonts w:ascii="仿宋" w:eastAsia="仿宋" w:cs="仿宋" w:hint="eastAsia"/>
          <w:b/>
          <w:sz w:val="32"/>
          <w:szCs w:val="32"/>
          <w:lang w:val="zh-CN"/>
        </w:rPr>
        <w:t>）评价选点</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抽取2024年人大经费办公用品费用1个</w:t>
      </w:r>
      <w:r>
        <w:rPr>
          <w:rFonts w:ascii="仿宋_GB2312" w:eastAsia="仿宋_GB2312" w:cs="仿宋" w:hint="eastAsia"/>
          <w:color w:val="000000"/>
          <w:kern w:val="0"/>
          <w:sz w:val="32"/>
          <w:szCs w:val="32"/>
          <w:lang w:val="zh-CN"/>
        </w:rPr>
        <w:t>样点</w:t>
      </w:r>
      <w:r>
        <w:rPr>
          <w:rFonts w:ascii="仿宋_GB2312" w:eastAsia="仿宋_GB2312" w:cs="仿宋" w:hint="eastAsia"/>
          <w:color w:val="000000"/>
          <w:kern w:val="0"/>
          <w:sz w:val="32"/>
          <w:szCs w:val="32"/>
        </w:rPr>
        <w:t>进行评价</w:t>
      </w:r>
      <w:r>
        <w:rPr>
          <w:rFonts w:ascii="仿宋_GB2312" w:eastAsia="仿宋_GB2312" w:cs="仿宋" w:hint="eastAsia"/>
          <w:color w:val="000000"/>
          <w:kern w:val="0"/>
          <w:sz w:val="32"/>
          <w:szCs w:val="32"/>
          <w:lang w:val="zh-CN"/>
        </w:rPr>
        <w:t>。</w:t>
      </w:r>
    </w:p>
    <w:p>
      <w:pPr>
        <w:adjustRightInd w:val="0"/>
        <w:snapToGrid w:val="0"/>
        <w:spacing w:line="580" w:lineRule="exact"/>
        <w:ind w:firstLineChars="200" w:firstLine="640"/>
        <w:rPr>
          <w:rFonts w:ascii="仿宋" w:eastAsia="仿宋" w:cs="仿宋"/>
          <w:b/>
          <w:sz w:val="32"/>
          <w:szCs w:val="32"/>
          <w:lang w:val="zh-CN"/>
        </w:rPr>
      </w:pPr>
      <w:r>
        <w:rPr>
          <w:rFonts w:ascii="仿宋" w:eastAsia="仿宋" w:cs="仿宋" w:hint="eastAsia"/>
          <w:b/>
          <w:sz w:val="32"/>
          <w:szCs w:val="32"/>
          <w:lang w:val="zh-CN"/>
        </w:rPr>
        <w:t>（四）评价方法</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本项目采取自评与他评相结合的方式，结合评价内容，做到有计划，有安排，扎实开展本次自评工作。针对申报内容、实施情况、资金拨付、财务管理、社会效益等做出自我评价。</w:t>
      </w:r>
    </w:p>
    <w:p>
      <w:pPr>
        <w:adjustRightInd w:val="0"/>
        <w:snapToGrid w:val="0"/>
        <w:spacing w:line="580" w:lineRule="exact"/>
        <w:ind w:firstLineChars="200" w:firstLine="640"/>
        <w:rPr>
          <w:rFonts w:ascii="仿宋" w:eastAsia="仿宋" w:cs="仿宋"/>
          <w:b/>
          <w:sz w:val="32"/>
          <w:szCs w:val="32"/>
          <w:lang w:val="zh-CN"/>
        </w:rPr>
      </w:pPr>
      <w:r>
        <w:rPr>
          <w:rFonts w:ascii="仿宋" w:eastAsia="仿宋" w:cs="仿宋" w:hint="eastAsia"/>
          <w:b/>
          <w:sz w:val="32"/>
          <w:szCs w:val="32"/>
          <w:lang w:val="zh-CN"/>
        </w:rPr>
        <w:t>（</w:t>
      </w:r>
      <w:r>
        <w:rPr>
          <w:rFonts w:ascii="仿宋" w:eastAsia="仿宋" w:cs="仿宋" w:hint="eastAsia"/>
          <w:b/>
          <w:sz w:val="32"/>
          <w:szCs w:val="32"/>
        </w:rPr>
        <w:t>五</w:t>
      </w:r>
      <w:r>
        <w:rPr>
          <w:rFonts w:ascii="仿宋" w:eastAsia="仿宋" w:cs="仿宋" w:hint="eastAsia"/>
          <w:b/>
          <w:sz w:val="32"/>
          <w:szCs w:val="32"/>
          <w:lang w:val="zh-CN"/>
        </w:rPr>
        <w:t>）评价组织</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由项目经办人员及财务人员分工协作，项目经办人员负责评价项目具体实施情况，财务人员负责评价经费、资金用途等情况</w:t>
      </w:r>
      <w:r>
        <w:rPr>
          <w:rFonts w:ascii="仿宋_GB2312" w:eastAsia="仿宋_GB2312" w:cs="仿宋" w:hint="eastAsia"/>
          <w:color w:val="000000"/>
          <w:kern w:val="0"/>
          <w:sz w:val="32"/>
          <w:szCs w:val="32"/>
          <w:lang w:val="zh-CN"/>
        </w:rPr>
        <w:t>。</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三、绩效分析</w:t>
      </w:r>
      <w:r>
        <w:rPr>
          <w:rFonts w:ascii="仿宋" w:eastAsia="仿宋" w:cs="仿宋" w:hint="eastAsia"/>
          <w:b/>
          <w:bCs/>
          <w:sz w:val="32"/>
          <w:szCs w:val="32"/>
          <w:lang w:val="zh-CN"/>
        </w:rPr>
        <w:tab/>
      </w:r>
    </w:p>
    <w:p>
      <w:pPr>
        <w:spacing w:line="578" w:lineRule="exact"/>
        <w:ind w:firstLine="640"/>
        <w:rPr>
          <w:rFonts w:ascii="仿宋" w:eastAsia="仿宋" w:cs="仿宋"/>
          <w:b/>
          <w:sz w:val="32"/>
          <w:szCs w:val="32"/>
        </w:rPr>
      </w:pPr>
      <w:r>
        <w:rPr>
          <w:rFonts w:ascii="仿宋" w:eastAsia="仿宋" w:cs="仿宋" w:hint="eastAsia"/>
          <w:b/>
          <w:sz w:val="32"/>
          <w:szCs w:val="32"/>
          <w:lang w:val="zh-CN"/>
        </w:rPr>
        <w:t>（一）</w:t>
      </w:r>
      <w:r>
        <w:rPr>
          <w:rFonts w:ascii="仿宋" w:eastAsia="仿宋" w:cs="仿宋" w:hint="eastAsia"/>
          <w:b/>
          <w:sz w:val="32"/>
          <w:szCs w:val="32"/>
        </w:rPr>
        <w:t>通用指标</w:t>
      </w:r>
      <w:r>
        <w:rPr>
          <w:rFonts w:ascii="仿宋" w:eastAsia="仿宋" w:cs="仿宋" w:hint="eastAsia"/>
          <w:b/>
          <w:bCs/>
          <w:color w:val="000000"/>
          <w:kern w:val="0"/>
          <w:sz w:val="32"/>
          <w:szCs w:val="32"/>
          <w:shd w:val="clear" w:color="auto" w:fill="FFFFFF"/>
          <w:lang w:val="zh-CN"/>
        </w:rPr>
        <w:t>绩效分析</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1.项目决策</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进一步加强</w:t>
      </w:r>
      <w:r>
        <w:rPr>
          <w:rFonts w:ascii="仿宋_GB2312" w:eastAsia="仿宋_GB2312" w:cs="仿宋" w:hint="eastAsia"/>
          <w:color w:val="000000"/>
          <w:kern w:val="0"/>
          <w:sz w:val="32"/>
          <w:szCs w:val="32"/>
        </w:rPr>
        <w:t>人大工作开展，代表履职及自身建设方面的专项工作经费。人大工作经费的管理和使用，坚持公平、公开、公正的原则，确保专项工作经费的规范、安全和高效。</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2.项目管理</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项目实施过程中，严格按照相关法律法规及项目管理制度进行管理。</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3.项目实施</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严格资金的审批和使用制度，专款专用，资金使用符合支出范围。</w:t>
      </w:r>
      <w:r>
        <w:rPr>
          <w:rFonts w:ascii="仿宋_GB2312" w:eastAsia="仿宋_GB2312" w:cs="仿宋" w:hint="eastAsia"/>
          <w:color w:val="000000"/>
          <w:kern w:val="0"/>
          <w:sz w:val="32"/>
          <w:szCs w:val="32"/>
        </w:rPr>
        <w:t>2024年12月支付资金9.92万元，项目资金结余0.08万元，县财政</w:t>
      </w:r>
      <w:r>
        <w:rPr>
          <w:rFonts w:ascii="仿宋_GB2312" w:eastAsia="仿宋_GB2312" w:cs="仿宋" w:hint="eastAsia"/>
          <w:color w:val="000000"/>
          <w:kern w:val="0"/>
          <w:sz w:val="32"/>
          <w:szCs w:val="32"/>
          <w:lang w:eastAsia="zh-CN"/>
        </w:rPr>
        <w:t>局</w:t>
      </w:r>
      <w:r>
        <w:rPr>
          <w:rFonts w:ascii="仿宋_GB2312" w:eastAsia="仿宋_GB2312" w:cs="仿宋" w:hint="eastAsia"/>
          <w:color w:val="000000"/>
          <w:kern w:val="0"/>
          <w:sz w:val="32"/>
          <w:szCs w:val="32"/>
        </w:rPr>
        <w:t>于2024年12月收回。</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4.项目结果</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lang w:val="zh-CN"/>
        </w:rPr>
        <w:t>人大工作经费用于</w:t>
      </w:r>
      <w:r>
        <w:rPr>
          <w:rFonts w:ascii="仿宋_GB2312" w:eastAsia="仿宋_GB2312" w:cs="仿宋" w:hint="eastAsia"/>
          <w:color w:val="000000"/>
          <w:kern w:val="0"/>
          <w:sz w:val="32"/>
          <w:szCs w:val="32"/>
        </w:rPr>
        <w:t>我单位</w:t>
      </w:r>
      <w:r>
        <w:rPr>
          <w:rFonts w:ascii="仿宋_GB2312" w:eastAsia="仿宋_GB2312" w:cs="仿宋" w:hint="eastAsia"/>
          <w:color w:val="000000"/>
          <w:kern w:val="0"/>
          <w:sz w:val="32"/>
          <w:szCs w:val="32"/>
          <w:lang w:val="zh-CN"/>
        </w:rPr>
        <w:t>人大工作开展，代表履职及自身建设方面的专项工作经费。经费的管理和使用，坚持公平、公开、公正的原则</w:t>
      </w:r>
      <w:r>
        <w:rPr>
          <w:rFonts w:ascii="仿宋_GB2312" w:eastAsia="仿宋_GB2312" w:cs="仿宋" w:hint="eastAsia"/>
          <w:color w:val="000000"/>
          <w:kern w:val="0"/>
          <w:sz w:val="32"/>
          <w:szCs w:val="32"/>
        </w:rPr>
        <w:t>。</w:t>
      </w:r>
    </w:p>
    <w:p>
      <w:pPr>
        <w:spacing w:line="578" w:lineRule="exact"/>
        <w:ind w:firstLineChars="200" w:firstLine="640"/>
        <w:rPr>
          <w:rFonts w:ascii="仿宋" w:eastAsia="仿宋" w:cs="仿宋"/>
          <w:b/>
          <w:sz w:val="32"/>
          <w:szCs w:val="32"/>
          <w:lang w:val="zh-CN"/>
        </w:rPr>
      </w:pPr>
      <w:r>
        <w:rPr>
          <w:rFonts w:ascii="仿宋" w:eastAsia="仿宋" w:cs="仿宋" w:hint="eastAsia"/>
          <w:b/>
          <w:sz w:val="32"/>
          <w:szCs w:val="32"/>
          <w:lang w:val="zh-CN"/>
        </w:rPr>
        <w:t>（二）</w:t>
      </w:r>
      <w:r>
        <w:rPr>
          <w:rFonts w:ascii="仿宋" w:eastAsia="仿宋" w:cs="仿宋" w:hint="eastAsia"/>
          <w:b/>
          <w:sz w:val="32"/>
          <w:szCs w:val="32"/>
        </w:rPr>
        <w:t>专用指标</w:t>
      </w:r>
      <w:r>
        <w:rPr>
          <w:rFonts w:ascii="仿宋" w:eastAsia="仿宋" w:cs="仿宋" w:hint="eastAsia"/>
          <w:b/>
          <w:color w:val="000000"/>
          <w:kern w:val="0"/>
          <w:sz w:val="32"/>
          <w:szCs w:val="32"/>
          <w:shd w:val="clear" w:color="auto" w:fill="FFFFFF"/>
          <w:lang w:val="zh-CN"/>
        </w:rPr>
        <w:t>绩效分析</w:t>
      </w:r>
    </w:p>
    <w:p>
      <w:pPr>
        <w:spacing w:line="578" w:lineRule="exact"/>
        <w:ind w:firstLineChars="200" w:firstLine="640"/>
        <w:rPr>
          <w:rFonts w:ascii="仿宋" w:eastAsia="仿宋" w:cs="仿宋"/>
          <w:color w:val="212121"/>
          <w:sz w:val="32"/>
          <w:szCs w:val="32"/>
          <w:shd w:val="clear" w:color="auto" w:fill="FFFFFF"/>
        </w:rPr>
      </w:pPr>
      <w:r>
        <w:rPr>
          <w:rFonts w:ascii="仿宋_GB2312" w:eastAsia="仿宋_GB2312" w:cs="仿宋" w:hint="eastAsia"/>
          <w:color w:val="000000"/>
          <w:kern w:val="0"/>
          <w:sz w:val="32"/>
          <w:szCs w:val="32"/>
          <w:lang w:val="zh-CN"/>
        </w:rPr>
        <w:t>进一步加强人大工作开展，代表履职及自身建设方面的专项工作经费。人大工作经费的管理和使用，坚持公平、公开、公正的原则，确保专项工作经费的规范、安全和高效。</w:t>
      </w:r>
      <w:r>
        <w:rPr>
          <w:rFonts w:ascii="仿宋_GB2312" w:eastAsia="仿宋_GB2312" w:cs="仿宋" w:hint="eastAsia"/>
          <w:color w:val="000000"/>
          <w:kern w:val="0"/>
          <w:sz w:val="32"/>
          <w:szCs w:val="32"/>
        </w:rPr>
        <w:t xml:space="preserve"> </w:t>
      </w:r>
    </w:p>
    <w:p>
      <w:pPr>
        <w:spacing w:line="578" w:lineRule="exact"/>
        <w:ind w:firstLineChars="200" w:firstLine="640"/>
        <w:rPr>
          <w:rFonts w:ascii="仿宋" w:eastAsia="仿宋" w:cs="仿宋"/>
          <w:b/>
          <w:sz w:val="32"/>
          <w:szCs w:val="32"/>
        </w:rPr>
      </w:pPr>
      <w:r>
        <w:rPr>
          <w:rFonts w:ascii="仿宋" w:eastAsia="仿宋" w:cs="仿宋" w:hint="eastAsia"/>
          <w:b/>
          <w:sz w:val="32"/>
          <w:szCs w:val="32"/>
          <w:lang w:val="zh-CN"/>
        </w:rPr>
        <w:t>（三）个性指标绩效分析</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我单位没有个性指标绩效分析情况。</w:t>
      </w:r>
    </w:p>
    <w:p>
      <w:pPr>
        <w:pStyle w:val="18"/>
        <w:tabs>
          <w:tab w:val="left" w:pos="2160"/>
        </w:tabs>
        <w:spacing w:beforeLines="0" w:before="93" w:line="600" w:lineRule="exact"/>
        <w:ind w:firstLineChars="200" w:firstLine="640"/>
        <w:rPr>
          <w:rFonts w:ascii="仿宋" w:eastAsia="仿宋" w:cs="仿宋"/>
          <w:b/>
          <w:bCs/>
          <w:sz w:val="32"/>
          <w:szCs w:val="32"/>
        </w:rPr>
      </w:pPr>
      <w:r>
        <w:rPr>
          <w:rFonts w:ascii="仿宋" w:eastAsia="仿宋" w:cs="仿宋" w:hint="eastAsia"/>
          <w:b/>
          <w:bCs/>
          <w:sz w:val="32"/>
          <w:szCs w:val="32"/>
        </w:rPr>
        <w:t>四、评价结论</w:t>
      </w:r>
    </w:p>
    <w:p>
      <w:pPr>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Style w:val="18"/>
        <w:tabs>
          <w:tab w:val="left" w:pos="2160"/>
        </w:tabs>
        <w:spacing w:beforeLines="0" w:before="93" w:line="600" w:lineRule="exact"/>
        <w:ind w:firstLineChars="200" w:firstLine="640"/>
        <w:rPr>
          <w:rFonts w:ascii="仿宋" w:eastAsia="仿宋" w:cs="仿宋"/>
          <w:b/>
          <w:bCs/>
          <w:sz w:val="32"/>
          <w:szCs w:val="32"/>
        </w:rPr>
      </w:pPr>
      <w:r>
        <w:rPr>
          <w:rFonts w:ascii="仿宋" w:eastAsia="仿宋" w:cs="仿宋" w:hint="eastAsia"/>
          <w:b/>
          <w:bCs/>
          <w:sz w:val="32"/>
          <w:szCs w:val="32"/>
        </w:rPr>
        <w:t>五、存在主要问题</w:t>
      </w:r>
    </w:p>
    <w:p>
      <w:pPr>
        <w:spacing w:line="578" w:lineRule="exact"/>
        <w:ind w:firstLineChars="200" w:firstLine="640"/>
        <w:rPr>
          <w:rFonts w:ascii="仿宋" w:eastAsia="仿宋" w:cs="仿宋"/>
          <w:sz w:val="32"/>
          <w:szCs w:val="32"/>
        </w:rPr>
      </w:pPr>
      <w:r>
        <w:rPr>
          <w:rFonts w:ascii="仿宋_GB2312" w:eastAsia="仿宋_GB2312" w:cs="仿宋" w:hint="eastAsia"/>
          <w:color w:val="000000"/>
          <w:kern w:val="0"/>
          <w:sz w:val="32"/>
          <w:szCs w:val="32"/>
        </w:rPr>
        <w:t>加快报账进度、加强财务管理</w:t>
      </w:r>
      <w:r>
        <w:rPr>
          <w:rFonts w:ascii="仿宋_GB2312" w:eastAsia="仿宋_GB2312" w:cs="仿宋" w:hint="eastAsia"/>
          <w:color w:val="000000"/>
          <w:kern w:val="0"/>
          <w:sz w:val="32"/>
          <w:szCs w:val="32"/>
          <w:lang w:val="zh-CN"/>
        </w:rPr>
        <w:t>。</w:t>
      </w:r>
    </w:p>
    <w:p>
      <w:pPr>
        <w:pStyle w:val="18"/>
        <w:tabs>
          <w:tab w:val="left" w:pos="2160"/>
        </w:tabs>
        <w:spacing w:beforeLines="0" w:before="93" w:line="600" w:lineRule="exact"/>
        <w:ind w:firstLineChars="200" w:firstLine="640"/>
        <w:rPr>
          <w:rFonts w:ascii="仿宋" w:eastAsia="仿宋" w:cs="仿宋"/>
          <w:b/>
          <w:bCs/>
          <w:sz w:val="32"/>
          <w:szCs w:val="32"/>
        </w:rPr>
      </w:pPr>
      <w:r>
        <w:rPr>
          <w:rFonts w:ascii="仿宋" w:eastAsia="仿宋" w:cs="仿宋" w:hint="eastAsia"/>
          <w:b/>
          <w:bCs/>
          <w:sz w:val="32"/>
          <w:szCs w:val="32"/>
          <w:lang w:val="zh-CN"/>
        </w:rPr>
        <w:t>六、改进建议</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下一步工作中加强财务管理。</w:t>
      </w:r>
    </w:p>
    <w:p>
      <w:pPr>
        <w:pStyle w:val="15"/>
      </w:pPr>
    </w:p>
    <w:p/>
    <w:p>
      <w:pPr>
        <w:pStyle w:val="15"/>
      </w:pPr>
    </w:p>
    <w:p>
      <w:pPr>
        <w:pStyle w:val="39"/>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hint="eastAsia"/>
          <w:color w:val="auto"/>
          <w:kern w:val="2"/>
          <w:sz w:val="44"/>
          <w:szCs w:val="44"/>
          <w:lang w:val="en-US"/>
        </w:rPr>
        <w:t>南新镇奖励南新镇党纪学习教育费用</w:t>
      </w:r>
    </w:p>
    <w:p>
      <w:pPr>
        <w:pStyle w:val="39"/>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w:t>
      </w:r>
      <w:r>
        <w:rPr>
          <w:rFonts w:ascii="Times New Roman" w:eastAsia="方正小标宋简体" w:hAnsi="Times New Roman" w:hint="eastAsia"/>
          <w:color w:val="auto"/>
          <w:kern w:val="2"/>
          <w:sz w:val="44"/>
          <w:szCs w:val="44"/>
          <w:lang w:val="en-US"/>
        </w:rPr>
        <w:t>自评报告</w:t>
      </w:r>
    </w:p>
    <w:p>
      <w:pPr>
        <w:pStyle w:val="39"/>
        <w:spacing w:line="578" w:lineRule="exact"/>
        <w:ind w:firstLine="640"/>
        <w:jc w:val="center"/>
        <w:rPr>
          <w:rFonts w:ascii="Times New Roman" w:hAnsi="Times New Roman"/>
          <w:color w:val="auto"/>
          <w:kern w:val="2"/>
          <w:sz w:val="32"/>
          <w:szCs w:val="32"/>
        </w:rPr>
      </w:pP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一、</w:t>
      </w:r>
      <w:r>
        <w:rPr>
          <w:rFonts w:ascii="仿宋" w:eastAsia="仿宋" w:cs="仿宋" w:hint="eastAsia"/>
          <w:b/>
          <w:bCs/>
          <w:sz w:val="32"/>
          <w:szCs w:val="32"/>
          <w:lang w:val="zh-CN"/>
        </w:rPr>
        <w:t>项目概况</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（一）设立背景及基本情况</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为推动全镇党员干部发展，中共茂县县委组织部安排我镇教育工作经费0.30万元，用于我镇开展党员教育支出。</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rPr>
        <w:t>(二)</w:t>
      </w:r>
      <w:r>
        <w:rPr>
          <w:rFonts w:ascii="仿宋" w:eastAsia="仿宋" w:cs="仿宋" w:hint="eastAsia"/>
          <w:b/>
          <w:bCs/>
          <w:sz w:val="32"/>
          <w:szCs w:val="32"/>
          <w:lang w:val="zh-CN"/>
        </w:rPr>
        <w:t>实施目的及支持方向</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规范资金使用，明确经费开支范围、审批流程及监督机制。项目实施目的是通过保障主题教育各项活动有序开展，实现全镇党员干部理论学习有收获、思想政治受洗礼、干事创业敢担当、为民服务解难题、清正廉洁作表率。项目支持方向聚焦基层党组织建设和党员教育管理，重点保障学习教育、调查研究、检视整改等核心环节，确保主题教育全覆盖、见实效。</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w:t>
      </w:r>
      <w:r>
        <w:rPr>
          <w:rFonts w:ascii="仿宋" w:eastAsia="仿宋" w:cs="仿宋" w:hint="eastAsia"/>
          <w:b/>
          <w:bCs/>
          <w:sz w:val="32"/>
          <w:szCs w:val="32"/>
        </w:rPr>
        <w:t>三</w:t>
      </w:r>
      <w:r>
        <w:rPr>
          <w:rFonts w:ascii="仿宋" w:eastAsia="仿宋" w:cs="仿宋" w:hint="eastAsia"/>
          <w:b/>
          <w:bCs/>
          <w:sz w:val="32"/>
          <w:szCs w:val="32"/>
          <w:lang w:val="zh-CN"/>
        </w:rPr>
        <w:t>）预算安排及分配管理</w:t>
      </w:r>
    </w:p>
    <w:p>
      <w:pPr>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lang w:val="zh-CN"/>
        </w:rPr>
        <w:t>南新镇</w:t>
      </w:r>
      <w:r>
        <w:rPr>
          <w:rFonts w:ascii="仿宋_GB2312" w:eastAsia="仿宋_GB2312" w:cs="仿宋"/>
          <w:color w:val="000000"/>
          <w:kern w:val="0"/>
          <w:sz w:val="32"/>
          <w:szCs w:val="32"/>
          <w:lang w:val="zh-CN"/>
        </w:rPr>
        <w:t>主题教育工作经费项目预算总额</w:t>
      </w:r>
      <w:r>
        <w:rPr>
          <w:rFonts w:ascii="仿宋_GB2312" w:eastAsia="仿宋_GB2312" w:cs="仿宋" w:hint="eastAsia"/>
          <w:color w:val="000000"/>
          <w:kern w:val="0"/>
          <w:sz w:val="32"/>
          <w:szCs w:val="32"/>
        </w:rPr>
        <w:t>0.30</w:t>
      </w:r>
      <w:r>
        <w:rPr>
          <w:rFonts w:ascii="仿宋_GB2312" w:eastAsia="仿宋_GB2312" w:cs="仿宋" w:hint="eastAsia"/>
          <w:color w:val="000000"/>
          <w:kern w:val="0"/>
          <w:sz w:val="32"/>
          <w:szCs w:val="32"/>
          <w:lang w:val="zh-CN"/>
        </w:rPr>
        <w:t>万元</w:t>
      </w:r>
      <w:r>
        <w:rPr>
          <w:rFonts w:ascii="仿宋_GB2312" w:eastAsia="仿宋_GB2312" w:cs="仿宋"/>
          <w:color w:val="000000"/>
          <w:kern w:val="0"/>
          <w:sz w:val="32"/>
          <w:szCs w:val="32"/>
          <w:lang w:val="zh-CN"/>
        </w:rPr>
        <w:t>，</w:t>
      </w:r>
      <w:r>
        <w:rPr>
          <w:rFonts w:ascii="仿宋_GB2312" w:eastAsia="仿宋_GB2312" w:cs="仿宋" w:hint="eastAsia"/>
          <w:color w:val="000000"/>
          <w:kern w:val="0"/>
          <w:sz w:val="32"/>
          <w:szCs w:val="32"/>
          <w:lang w:val="zh-CN"/>
        </w:rPr>
        <w:t>实际执行金额为</w:t>
      </w:r>
      <w:r>
        <w:rPr>
          <w:rFonts w:ascii="仿宋_GB2312" w:eastAsia="仿宋_GB2312" w:cs="仿宋" w:hint="eastAsia"/>
          <w:color w:val="000000"/>
          <w:kern w:val="0"/>
          <w:sz w:val="32"/>
          <w:szCs w:val="32"/>
        </w:rPr>
        <w:t>0.30</w:t>
      </w:r>
      <w:r>
        <w:rPr>
          <w:rFonts w:ascii="仿宋_GB2312" w:eastAsia="仿宋_GB2312" w:cs="仿宋" w:hint="eastAsia"/>
          <w:color w:val="000000"/>
          <w:kern w:val="0"/>
          <w:sz w:val="32"/>
          <w:szCs w:val="32"/>
          <w:lang w:val="zh-CN"/>
        </w:rPr>
        <w:t>万元。</w:t>
      </w:r>
      <w:r>
        <w:rPr>
          <w:rFonts w:ascii="仿宋_GB2312" w:eastAsia="仿宋_GB2312" w:cs="仿宋" w:hint="eastAsia"/>
          <w:color w:val="000000"/>
          <w:kern w:val="0"/>
          <w:sz w:val="32"/>
          <w:szCs w:val="32"/>
        </w:rPr>
        <w:t>截至2024年12月31日支付购买党员教育相关资料费用0.30万元。</w:t>
      </w:r>
    </w:p>
    <w:p>
      <w:pPr>
        <w:adjustRightInd w:val="0"/>
        <w:snapToGrid w:val="0"/>
        <w:spacing w:line="578" w:lineRule="exact"/>
        <w:ind w:firstLineChars="200" w:firstLine="640"/>
        <w:rPr>
          <w:rFonts w:ascii="仿宋_GB2312" w:eastAsia="仿宋_GB2312" w:cs="仿宋"/>
          <w:color w:val="000000"/>
          <w:kern w:val="0"/>
          <w:sz w:val="32"/>
          <w:szCs w:val="32"/>
          <w:lang w:val="zh-CN"/>
        </w:rPr>
      </w:pPr>
      <w:r>
        <w:rPr>
          <w:rFonts w:ascii="仿宋" w:eastAsia="仿宋" w:cs="仿宋" w:hint="eastAsia"/>
          <w:b/>
          <w:bCs/>
          <w:sz w:val="32"/>
          <w:szCs w:val="32"/>
          <w:lang w:val="zh-CN"/>
        </w:rPr>
        <w:t>（四）项目绩效目标设置。</w:t>
      </w:r>
      <w:r>
        <w:rPr>
          <w:rFonts w:ascii="仿宋_GB2312" w:eastAsia="仿宋_GB2312" w:cs="仿宋" w:hint="eastAsia"/>
          <w:color w:val="000000"/>
          <w:kern w:val="0"/>
          <w:sz w:val="32"/>
          <w:szCs w:val="32"/>
          <w:lang w:val="zh-CN"/>
        </w:rPr>
        <w:t>整体目标：开展党员教育，提高党员思想，有效提升全镇主题教育质量，</w:t>
      </w:r>
      <w:r>
        <w:rPr>
          <w:rFonts w:ascii="仿宋_GB2312" w:eastAsia="仿宋_GB2312" w:cs="仿宋" w:hint="eastAsia"/>
          <w:color w:val="000000"/>
          <w:kern w:val="0"/>
          <w:sz w:val="32"/>
          <w:szCs w:val="32"/>
        </w:rPr>
        <w:t>受益党员满意度</w:t>
      </w:r>
      <w:r>
        <w:rPr>
          <w:rFonts w:ascii="仿宋_GB2312" w:eastAsia="仿宋_GB2312" w:cs="仿宋" w:hint="eastAsia"/>
          <w:color w:val="000000"/>
          <w:kern w:val="0"/>
          <w:sz w:val="32"/>
          <w:szCs w:val="32"/>
          <w:lang w:val="zh-CN"/>
        </w:rPr>
        <w:t>达到95%以上。</w:t>
      </w:r>
    </w:p>
    <w:p>
      <w:pPr>
        <w:adjustRightInd w:val="0"/>
        <w:snapToGrid w:val="0"/>
        <w:spacing w:line="578" w:lineRule="exact"/>
        <w:ind w:firstLineChars="200" w:firstLine="640"/>
        <w:rPr>
          <w:rFonts w:ascii="仿宋" w:eastAsia="仿宋" w:cs="仿宋"/>
          <w:b/>
          <w:bCs/>
          <w:sz w:val="32"/>
          <w:szCs w:val="32"/>
        </w:rPr>
      </w:pPr>
      <w:r>
        <w:rPr>
          <w:rFonts w:ascii="仿宋" w:eastAsia="仿宋" w:cs="仿宋" w:hint="eastAsia"/>
          <w:b/>
          <w:bCs/>
          <w:sz w:val="32"/>
          <w:szCs w:val="32"/>
        </w:rPr>
        <w:t>二、评价实施</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（一）评价目的</w:t>
      </w:r>
    </w:p>
    <w:p>
      <w:pPr>
        <w:adjustRightInd w:val="0"/>
        <w:snapToGrid w:val="0"/>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通过绩效自评，检验主题教育经费使用的合规性、有效性，评估党员教育成效、问题整改力度及群众满意度，总结经验做法，查找短板不足，为优化基层党建经费配置、提升主题教育质效提供决策依据。</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w:t>
      </w:r>
      <w:r>
        <w:rPr>
          <w:rFonts w:ascii="仿宋" w:eastAsia="仿宋" w:cs="仿宋" w:hint="eastAsia"/>
          <w:b/>
          <w:bCs/>
          <w:sz w:val="32"/>
          <w:szCs w:val="32"/>
        </w:rPr>
        <w:t>二</w:t>
      </w:r>
      <w:r>
        <w:rPr>
          <w:rFonts w:ascii="仿宋" w:eastAsia="仿宋" w:cs="仿宋" w:hint="eastAsia"/>
          <w:b/>
          <w:bCs/>
          <w:sz w:val="32"/>
          <w:szCs w:val="32"/>
          <w:lang w:val="zh-CN"/>
        </w:rPr>
        <w:t>）预设问题及评价重点</w:t>
      </w:r>
    </w:p>
    <w:p>
      <w:pPr>
        <w:adjustRightInd w:val="0"/>
        <w:snapToGrid w:val="0"/>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按照绩效评价指标体系，重点评价资金支出使用的合理性和及时性，以及项目在开展党员教育，提高党员思想，有效提升全镇主题教育质量</w:t>
      </w:r>
      <w:r>
        <w:rPr>
          <w:rFonts w:ascii="仿宋_GB2312" w:eastAsia="仿宋_GB2312" w:cs="仿宋" w:hint="eastAsia"/>
          <w:color w:val="000000"/>
          <w:kern w:val="0"/>
          <w:sz w:val="32"/>
          <w:szCs w:val="32"/>
        </w:rPr>
        <w:t>以及</w:t>
      </w:r>
      <w:r>
        <w:rPr>
          <w:rFonts w:ascii="仿宋_GB2312" w:eastAsia="仿宋_GB2312" w:cs="仿宋" w:hint="eastAsia"/>
          <w:color w:val="000000"/>
          <w:kern w:val="0"/>
          <w:sz w:val="32"/>
          <w:szCs w:val="32"/>
          <w:lang w:val="zh-CN"/>
        </w:rPr>
        <w:t>提高社会满意度方面的实际效果。</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w:t>
      </w:r>
      <w:r>
        <w:rPr>
          <w:rFonts w:ascii="仿宋" w:eastAsia="仿宋" w:cs="仿宋" w:hint="eastAsia"/>
          <w:b/>
          <w:bCs/>
          <w:sz w:val="32"/>
          <w:szCs w:val="32"/>
        </w:rPr>
        <w:t>三</w:t>
      </w:r>
      <w:r>
        <w:rPr>
          <w:rFonts w:ascii="仿宋" w:eastAsia="仿宋" w:cs="仿宋" w:hint="eastAsia"/>
          <w:b/>
          <w:bCs/>
          <w:sz w:val="32"/>
          <w:szCs w:val="32"/>
          <w:lang w:val="zh-CN"/>
        </w:rPr>
        <w:t>）评价选点</w:t>
      </w:r>
    </w:p>
    <w:p>
      <w:pPr>
        <w:adjustRightInd w:val="0"/>
        <w:snapToGrid w:val="0"/>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抽取代表性党组织作为评价点位：镇政府机关党支部。</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w:t>
      </w:r>
      <w:r>
        <w:rPr>
          <w:rFonts w:ascii="仿宋" w:eastAsia="仿宋" w:cs="仿宋" w:hint="eastAsia"/>
          <w:b/>
          <w:bCs/>
          <w:sz w:val="32"/>
          <w:szCs w:val="32"/>
        </w:rPr>
        <w:t>四</w:t>
      </w:r>
      <w:r>
        <w:rPr>
          <w:rFonts w:ascii="仿宋" w:eastAsia="仿宋" w:cs="仿宋" w:hint="eastAsia"/>
          <w:b/>
          <w:bCs/>
          <w:sz w:val="32"/>
          <w:szCs w:val="32"/>
          <w:lang w:val="zh-CN"/>
        </w:rPr>
        <w:t>）评价方法</w:t>
      </w:r>
    </w:p>
    <w:p>
      <w:pPr>
        <w:adjustRightInd w:val="0"/>
        <w:snapToGrid w:val="0"/>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lang w:val="zh-CN"/>
        </w:rPr>
        <w:t>评价方法包括成本效益分析法和问卷调查法。通过对资金使用情况的审计和受益群众的满意度调查，全面评估项目的实施效果和绩效目标的实现情况。</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w:t>
      </w:r>
      <w:r>
        <w:rPr>
          <w:rFonts w:ascii="仿宋" w:eastAsia="仿宋" w:cs="仿宋" w:hint="eastAsia"/>
          <w:b/>
          <w:bCs/>
          <w:sz w:val="32"/>
          <w:szCs w:val="32"/>
        </w:rPr>
        <w:t>五</w:t>
      </w:r>
      <w:r>
        <w:rPr>
          <w:rFonts w:ascii="仿宋" w:eastAsia="仿宋" w:cs="仿宋" w:hint="eastAsia"/>
          <w:b/>
          <w:bCs/>
          <w:sz w:val="32"/>
          <w:szCs w:val="32"/>
          <w:lang w:val="zh-CN"/>
        </w:rPr>
        <w:t>）评价组织</w:t>
      </w:r>
    </w:p>
    <w:p>
      <w:pPr>
        <w:adjustRightInd w:val="0"/>
        <w:snapToGrid w:val="0"/>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由项目办人员及具体经办人员分工协作，负责评价方法</w:t>
      </w:r>
      <w:r>
        <w:rPr>
          <w:rFonts w:ascii="仿宋_GB2312" w:eastAsia="仿宋_GB2312" w:cs="仿宋" w:hint="eastAsia"/>
          <w:color w:val="000000"/>
          <w:kern w:val="0"/>
          <w:sz w:val="32"/>
          <w:szCs w:val="32"/>
          <w:lang w:val="zh-CN"/>
        </w:rPr>
        <w:t>。</w:t>
      </w:r>
    </w:p>
    <w:p>
      <w:pPr>
        <w:adjustRightInd w:val="0"/>
        <w:snapToGrid w:val="0"/>
        <w:spacing w:line="578" w:lineRule="exact"/>
        <w:ind w:firstLineChars="200" w:firstLine="640"/>
        <w:rPr>
          <w:lang w:val="zh-CN"/>
        </w:rPr>
      </w:pPr>
      <w:r>
        <w:rPr>
          <w:rFonts w:ascii="仿宋" w:eastAsia="仿宋" w:cs="仿宋" w:hint="eastAsia"/>
          <w:b/>
          <w:bCs/>
          <w:sz w:val="32"/>
          <w:szCs w:val="32"/>
        </w:rPr>
        <w:t>三、绩效分析</w:t>
      </w:r>
      <w:r>
        <w:rPr>
          <w:rFonts w:ascii="仿宋" w:eastAsia="仿宋" w:cs="仿宋" w:hint="eastAsia"/>
          <w:b/>
          <w:bCs/>
          <w:sz w:val="32"/>
          <w:szCs w:val="32"/>
          <w:lang w:val="zh-CN"/>
        </w:rPr>
        <w:tab/>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（一）通用指标绩效分析</w:t>
      </w:r>
    </w:p>
    <w:p>
      <w:pPr>
        <w:adjustRightInd w:val="0"/>
        <w:snapToGrid w:val="0"/>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1、</w:t>
      </w:r>
      <w:r>
        <w:rPr>
          <w:rFonts w:ascii="仿宋_GB2312" w:eastAsia="仿宋_GB2312" w:cs="仿宋" w:hint="eastAsia"/>
          <w:color w:val="000000"/>
          <w:kern w:val="0"/>
          <w:sz w:val="32"/>
          <w:szCs w:val="32"/>
          <w:lang w:val="zh-CN"/>
        </w:rPr>
        <w:t>项目决策：决策程序规范，结合县委部署制定实施方案，资金投向聚焦党员教育、问题整改等核心任务。规划论证充分吸纳基层党组织意见。</w:t>
      </w:r>
    </w:p>
    <w:p>
      <w:pPr>
        <w:adjustRightInd w:val="0"/>
        <w:snapToGrid w:val="0"/>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2、项目管理：项目管理制度健全，截至2024年12月31日支付购买党员教育相关资料费用0.30万元。</w:t>
      </w:r>
    </w:p>
    <w:p>
      <w:pPr>
        <w:adjustRightInd w:val="0"/>
        <w:snapToGrid w:val="0"/>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3、项目实施：预算执行较低，无截留挪用现象。机关支部按计划开展学习活动。</w:t>
      </w:r>
    </w:p>
    <w:p>
      <w:pPr>
        <w:adjustRightInd w:val="0"/>
        <w:snapToGrid w:val="0"/>
        <w:spacing w:line="578" w:lineRule="exact"/>
        <w:ind w:firstLineChars="200" w:firstLine="640"/>
        <w:rPr>
          <w:rFonts w:ascii="仿宋_GB2312" w:eastAsia="仿宋_GB2312" w:cs="仿宋"/>
          <w:color w:val="000000"/>
          <w:kern w:val="0"/>
          <w:sz w:val="32"/>
          <w:szCs w:val="32"/>
          <w:lang w:val="zh-CN"/>
        </w:rPr>
      </w:pPr>
      <w:r>
        <w:rPr>
          <w:rFonts w:ascii="仿宋_GB2312" w:eastAsia="仿宋_GB2312" w:cs="仿宋" w:hint="eastAsia"/>
          <w:color w:val="000000"/>
          <w:kern w:val="0"/>
          <w:sz w:val="32"/>
          <w:szCs w:val="32"/>
        </w:rPr>
        <w:t>4、项目结果：党员集中学习参与率高，主题教育群众知晓范围广，均超预期目标。</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（二）专用指标绩效分析。</w:t>
      </w:r>
    </w:p>
    <w:p>
      <w:pPr>
        <w:adjustRightInd w:val="0"/>
        <w:snapToGrid w:val="0"/>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我单位不涉及专用指标绩效分析情况。</w:t>
      </w:r>
    </w:p>
    <w:p>
      <w:pPr>
        <w:adjustRightInd w:val="0"/>
        <w:snapToGrid w:val="0"/>
        <w:spacing w:line="578" w:lineRule="exact"/>
        <w:ind w:firstLineChars="200" w:firstLine="640"/>
        <w:rPr>
          <w:rFonts w:ascii="仿宋" w:eastAsia="仿宋" w:cs="仿宋"/>
          <w:b/>
          <w:bCs/>
          <w:sz w:val="32"/>
          <w:szCs w:val="32"/>
          <w:lang w:val="zh-CN"/>
        </w:rPr>
      </w:pPr>
      <w:r>
        <w:rPr>
          <w:rFonts w:ascii="仿宋" w:eastAsia="仿宋" w:cs="仿宋" w:hint="eastAsia"/>
          <w:b/>
          <w:bCs/>
          <w:sz w:val="32"/>
          <w:szCs w:val="32"/>
          <w:lang w:val="zh-CN"/>
        </w:rPr>
        <w:t>（三）</w:t>
      </w:r>
      <w:r>
        <w:rPr>
          <w:rFonts w:ascii="仿宋" w:eastAsia="仿宋" w:cs="仿宋" w:hint="eastAsia"/>
          <w:b/>
          <w:bCs/>
          <w:sz w:val="32"/>
          <w:szCs w:val="32"/>
        </w:rPr>
        <w:t>个性指标</w:t>
      </w:r>
      <w:r>
        <w:rPr>
          <w:rFonts w:ascii="仿宋" w:eastAsia="仿宋" w:cs="仿宋" w:hint="eastAsia"/>
          <w:b/>
          <w:bCs/>
          <w:sz w:val="32"/>
          <w:szCs w:val="32"/>
          <w:lang w:val="zh-CN"/>
        </w:rPr>
        <w:t>绩效分析</w:t>
      </w:r>
    </w:p>
    <w:p>
      <w:pPr>
        <w:adjustRightInd w:val="0"/>
        <w:snapToGrid w:val="0"/>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我单位不涉及个性指标绩效分析情况</w:t>
      </w:r>
      <w:r>
        <w:rPr>
          <w:rFonts w:ascii="仿宋_GB2312" w:eastAsia="仿宋_GB2312" w:cs="仿宋" w:hint="eastAsia"/>
          <w:color w:val="000000"/>
          <w:kern w:val="0"/>
          <w:sz w:val="32"/>
          <w:szCs w:val="32"/>
          <w:lang w:val="zh-CN"/>
        </w:rPr>
        <w:t>。</w:t>
      </w:r>
    </w:p>
    <w:p>
      <w:pPr>
        <w:pStyle w:val="18"/>
        <w:tabs>
          <w:tab w:val="left" w:pos="2160"/>
        </w:tabs>
        <w:spacing w:beforeLines="0" w:before="93" w:line="600" w:lineRule="exact"/>
        <w:ind w:firstLineChars="200" w:firstLine="640"/>
        <w:rPr>
          <w:rFonts w:ascii="仿宋" w:eastAsia="仿宋" w:cs="仿宋"/>
          <w:b/>
          <w:bCs/>
          <w:kern w:val="2"/>
          <w:sz w:val="32"/>
          <w:szCs w:val="32"/>
        </w:rPr>
      </w:pPr>
      <w:r>
        <w:rPr>
          <w:rFonts w:ascii="仿宋" w:eastAsia="仿宋" w:cs="仿宋" w:hint="eastAsia"/>
          <w:b/>
          <w:bCs/>
          <w:kern w:val="2"/>
          <w:sz w:val="32"/>
          <w:szCs w:val="32"/>
        </w:rPr>
        <w:t>四、评价结论</w:t>
      </w:r>
    </w:p>
    <w:p>
      <w:pPr>
        <w:adjustRightInd w:val="0"/>
        <w:snapToGrid w:val="0"/>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“南新镇主题教育工作经费”项目的绩效评价结果显示，该项目有利于我镇开展党员教育，提高党员思想。达到了预期的绩效目标，具有显著的社会效益</w:t>
      </w:r>
      <w:r>
        <w:rPr>
          <w:rFonts w:ascii="仿宋_GB2312" w:eastAsia="仿宋_GB2312" w:cs="仿宋" w:hint="eastAsia"/>
          <w:color w:val="000000"/>
          <w:kern w:val="0"/>
          <w:sz w:val="32"/>
          <w:szCs w:val="32"/>
          <w:lang w:val="zh-CN"/>
        </w:rPr>
        <w:t>。</w:t>
      </w:r>
    </w:p>
    <w:p>
      <w:pPr>
        <w:pStyle w:val="18"/>
        <w:tabs>
          <w:tab w:val="left" w:pos="2160"/>
        </w:tabs>
        <w:spacing w:beforeLines="0" w:before="93" w:line="600" w:lineRule="exact"/>
        <w:ind w:firstLineChars="200" w:firstLine="640"/>
        <w:rPr>
          <w:rFonts w:ascii="仿宋" w:eastAsia="仿宋" w:cs="仿宋"/>
          <w:b/>
          <w:bCs/>
          <w:kern w:val="2"/>
          <w:sz w:val="32"/>
          <w:szCs w:val="32"/>
        </w:rPr>
      </w:pPr>
      <w:r>
        <w:rPr>
          <w:rFonts w:ascii="仿宋" w:eastAsia="仿宋" w:cs="仿宋" w:hint="eastAsia"/>
          <w:b/>
          <w:bCs/>
          <w:kern w:val="2"/>
          <w:sz w:val="32"/>
          <w:szCs w:val="32"/>
        </w:rPr>
        <w:t>五、存在主要问题</w:t>
      </w:r>
    </w:p>
    <w:p>
      <w:pPr>
        <w:adjustRightInd w:val="0"/>
        <w:snapToGrid w:val="0"/>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加快报账进度、加强财务管理。</w:t>
      </w:r>
    </w:p>
    <w:p>
      <w:pPr>
        <w:pStyle w:val="18"/>
        <w:tabs>
          <w:tab w:val="left" w:pos="2160"/>
        </w:tabs>
        <w:spacing w:beforeLines="0" w:before="93" w:line="600" w:lineRule="exact"/>
        <w:ind w:firstLineChars="200" w:firstLine="640"/>
        <w:rPr>
          <w:rFonts w:ascii="仿宋" w:eastAsia="仿宋" w:cs="仿宋"/>
          <w:b/>
          <w:bCs/>
          <w:kern w:val="2"/>
          <w:sz w:val="32"/>
          <w:szCs w:val="32"/>
          <w:lang w:val="zh-CN"/>
        </w:rPr>
      </w:pPr>
      <w:r>
        <w:rPr>
          <w:rFonts w:ascii="仿宋" w:eastAsia="仿宋" w:cs="仿宋" w:hint="eastAsia"/>
          <w:b/>
          <w:bCs/>
          <w:kern w:val="2"/>
          <w:sz w:val="32"/>
          <w:szCs w:val="32"/>
          <w:lang w:val="zh-CN"/>
        </w:rPr>
        <w:t>六、改进建议</w:t>
      </w:r>
    </w:p>
    <w:p>
      <w:pPr>
        <w:adjustRightInd w:val="0"/>
        <w:snapToGrid w:val="0"/>
        <w:spacing w:line="578" w:lineRule="exact"/>
        <w:ind w:firstLineChars="200" w:firstLine="640"/>
        <w:rPr>
          <w:rFonts w:ascii="仿宋_GB2312" w:eastAsia="仿宋_GB2312" w:cs="仿宋"/>
          <w:color w:val="000000"/>
          <w:kern w:val="0"/>
          <w:sz w:val="32"/>
          <w:szCs w:val="32"/>
        </w:rPr>
      </w:pPr>
      <w:r>
        <w:rPr>
          <w:rFonts w:ascii="仿宋_GB2312" w:eastAsia="仿宋_GB2312" w:cs="仿宋" w:hint="eastAsia"/>
          <w:color w:val="000000"/>
          <w:kern w:val="0"/>
          <w:sz w:val="32"/>
          <w:szCs w:val="32"/>
        </w:rPr>
        <w:t>下一步加强财务管理。</w:t>
      </w:r>
    </w:p>
    <w:p>
      <w:pPr>
        <w:adjustRightInd w:val="0"/>
        <w:snapToGrid w:val="0"/>
        <w:spacing w:line="578" w:lineRule="exact"/>
        <w:ind w:firstLineChars="200" w:firstLine="640"/>
        <w:rPr>
          <w:rFonts w:ascii="仿宋_GB2312" w:eastAsia="仿宋_GB2312" w:cs="仿宋"/>
          <w:color w:val="000000"/>
          <w:kern w:val="0"/>
          <w:sz w:val="32"/>
          <w:szCs w:val="32"/>
          <w:lang w:val="zh-CN"/>
        </w:rPr>
      </w:pPr>
    </w:p>
    <w:p>
      <w:pPr>
        <w:rPr>
          <w:color w:val="000000"/>
          <w:kern w:val="0"/>
          <w:shd w:val="clear" w:color="auto" w:fill="FFFFFF"/>
          <w:lang w:val="zh-CN"/>
        </w:rPr>
      </w:pPr>
    </w:p>
    <w:p>
      <w:pPr>
        <w:pStyle w:val="15"/>
        <w:rPr>
          <w:lang w:val="zh-CN"/>
        </w:rPr>
      </w:pPr>
    </w:p>
    <w:p>
      <w:pPr>
        <w:rPr>
          <w:lang w:val="zh-CN"/>
        </w:rPr>
      </w:pPr>
    </w:p>
    <w:tbl>
      <w:tblPr>
        <w:jc w:val="center"/>
        <w:tblW w:w="95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803"/>
        <w:gridCol w:w="816"/>
        <w:gridCol w:w="1167"/>
        <w:gridCol w:w="1226"/>
        <w:gridCol w:w="1052"/>
        <w:gridCol w:w="907"/>
        <w:gridCol w:w="991"/>
        <w:gridCol w:w="876"/>
        <w:gridCol w:w="1722"/>
      </w:tblGrid>
      <w:tr>
        <w:trPr>
          <w:trHeight w:val="627"/>
        </w:trPr>
        <w:tc>
          <w:tcPr>
            <w:tcW w:w="95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339"/>
        </w:trPr>
        <w:tc>
          <w:tcPr>
            <w:tcW w:w="4012"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项目名称</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51322323T000009212835-基层组织活动和公共服务运行经费</w:t>
            </w:r>
          </w:p>
        </w:tc>
      </w:tr>
      <w:tr>
        <w:trPr>
          <w:trHeight w:val="496"/>
        </w:trPr>
        <w:tc>
          <w:tcPr>
            <w:tcW w:w="4012"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预算单位</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茂县南新镇人民政府（行政）</w:t>
            </w:r>
          </w:p>
        </w:tc>
      </w:tr>
      <w:tr>
        <w:trPr>
          <w:trHeight w:val="339"/>
        </w:trPr>
        <w:tc>
          <w:tcPr>
            <w:tcW w:w="4012"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项目类型</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637"/>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项目 </w:t>
            </w:r>
          </w:p>
          <w:p>
            <w:pPr>
              <w:widowControl/>
              <w:spacing w:line="300" w:lineRule="exact"/>
              <w:jc w:val="center"/>
              <w:textAlignment w:val="center"/>
              <w:rPr>
                <w:color w:val="000000"/>
                <w:sz w:val="18"/>
                <w:szCs w:val="18"/>
              </w:rPr>
            </w:pPr>
            <w:r>
              <w:rPr>
                <w:color w:val="000000"/>
                <w:kern w:val="0"/>
                <w:sz w:val="18"/>
                <w:szCs w:val="18"/>
              </w:rPr>
              <w:t>概况</w:t>
            </w:r>
          </w:p>
        </w:tc>
        <w:tc>
          <w:tcPr>
            <w:tcW w:w="320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18"/>
                <w:szCs w:val="18"/>
              </w:rPr>
            </w:pPr>
            <w:r>
              <w:rPr>
                <w:color w:val="000000"/>
                <w:kern w:val="0"/>
                <w:sz w:val="18"/>
                <w:szCs w:val="18"/>
              </w:rPr>
              <w:t>中长期规划（名称、文号，仅指</w:t>
            </w:r>
          </w:p>
          <w:p>
            <w:pPr>
              <w:widowControl/>
              <w:spacing w:line="300" w:lineRule="exact"/>
              <w:jc w:val="left"/>
              <w:textAlignment w:val="center"/>
              <w:rPr>
                <w:color w:val="000000"/>
                <w:sz w:val="18"/>
                <w:szCs w:val="18"/>
              </w:rPr>
            </w:pPr>
            <w:r>
              <w:rPr>
                <w:color w:val="000000"/>
                <w:kern w:val="0"/>
                <w:sz w:val="18"/>
                <w:szCs w:val="18"/>
              </w:rPr>
              <w:t>常年项目）</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39"/>
        </w:trPr>
        <w:tc>
          <w:tcPr>
            <w:tcW w:w="803" w:type="dxa"/>
            <w:vMerge/>
            <w:tcBorders>
              <w:top w:val="single" w:sz="4" w:space="0" w:color="000000"/>
              <w:left w:val="single" w:sz="4" w:space="0" w:color="000000"/>
              <w:bottom w:val="single" w:sz="4" w:space="0" w:color="000000"/>
              <w:right w:val="single" w:sz="4" w:space="0" w:color="000000"/>
            </w:tcBorders>
            <w:vAlign w:val="center"/>
          </w:tcPr>
          <w:p/>
        </w:tc>
        <w:tc>
          <w:tcPr>
            <w:tcW w:w="320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637"/>
        </w:trPr>
        <w:tc>
          <w:tcPr>
            <w:tcW w:w="803" w:type="dxa"/>
            <w:vMerge/>
            <w:tcBorders>
              <w:top w:val="single" w:sz="4" w:space="0" w:color="000000"/>
              <w:left w:val="single" w:sz="4" w:space="0" w:color="000000"/>
              <w:bottom w:val="single" w:sz="4" w:space="0" w:color="000000"/>
              <w:right w:val="single" w:sz="4" w:space="0" w:color="000000"/>
            </w:tcBorders>
            <w:vAlign w:val="center"/>
          </w:tcPr>
          <w:p/>
        </w:tc>
        <w:tc>
          <w:tcPr>
            <w:tcW w:w="320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05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87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7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rPr>
          <w:trHeight w:val="339"/>
        </w:trPr>
        <w:tc>
          <w:tcPr>
            <w:tcW w:w="803" w:type="dxa"/>
            <w:vMerge/>
            <w:tcBorders>
              <w:top w:val="single" w:sz="4" w:space="0" w:color="000000"/>
              <w:left w:val="single" w:sz="4" w:space="0" w:color="000000"/>
              <w:bottom w:val="single" w:sz="4" w:space="0" w:color="000000"/>
              <w:right w:val="single" w:sz="4" w:space="0" w:color="000000"/>
            </w:tcBorders>
            <w:vAlign w:val="center"/>
          </w:tcPr>
          <w:p/>
        </w:tc>
        <w:tc>
          <w:tcPr>
            <w:tcW w:w="320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39"/>
        </w:trPr>
        <w:tc>
          <w:tcPr>
            <w:tcW w:w="803" w:type="dxa"/>
            <w:vMerge/>
            <w:tcBorders>
              <w:top w:val="single" w:sz="4" w:space="0" w:color="000000"/>
              <w:left w:val="single" w:sz="4" w:space="0" w:color="000000"/>
              <w:bottom w:val="single" w:sz="4" w:space="0" w:color="000000"/>
              <w:right w:val="single" w:sz="4" w:space="0" w:color="000000"/>
            </w:tcBorders>
            <w:vAlign w:val="center"/>
          </w:tcPr>
          <w:p/>
        </w:tc>
        <w:tc>
          <w:tcPr>
            <w:tcW w:w="320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39"/>
        </w:trPr>
        <w:tc>
          <w:tcPr>
            <w:tcW w:w="803" w:type="dxa"/>
            <w:vMerge/>
            <w:tcBorders>
              <w:top w:val="single" w:sz="4" w:space="0" w:color="000000"/>
              <w:left w:val="single" w:sz="4" w:space="0" w:color="000000"/>
              <w:bottom w:val="single" w:sz="4" w:space="0" w:color="000000"/>
              <w:right w:val="single" w:sz="4" w:space="0" w:color="000000"/>
            </w:tcBorders>
            <w:vAlign w:val="center"/>
          </w:tcPr>
          <w:p/>
        </w:tc>
        <w:tc>
          <w:tcPr>
            <w:tcW w:w="320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39"/>
        </w:trPr>
        <w:tc>
          <w:tcPr>
            <w:tcW w:w="803" w:type="dxa"/>
            <w:vMerge/>
            <w:tcBorders>
              <w:top w:val="single" w:sz="4" w:space="0" w:color="000000"/>
              <w:left w:val="single" w:sz="4" w:space="0" w:color="000000"/>
              <w:bottom w:val="single" w:sz="4" w:space="0" w:color="000000"/>
              <w:right w:val="single" w:sz="4" w:space="0" w:color="000000"/>
            </w:tcBorders>
            <w:vAlign w:val="center"/>
          </w:tcPr>
          <w:p/>
        </w:tc>
        <w:tc>
          <w:tcPr>
            <w:tcW w:w="320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2024.1-2024.12</w:t>
            </w:r>
          </w:p>
        </w:tc>
      </w:tr>
      <w:tr>
        <w:trPr>
          <w:trHeight w:val="339"/>
        </w:trPr>
        <w:tc>
          <w:tcPr>
            <w:tcW w:w="1619"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110"/>
                <w:tab w:val="right" w:pos="6028"/>
              </w:tabs>
              <w:spacing w:line="300" w:lineRule="exact"/>
              <w:jc w:val="center"/>
              <w:rPr>
                <w:color w:val="000000"/>
                <w:sz w:val="18"/>
                <w:szCs w:val="18"/>
              </w:rPr>
            </w:pPr>
            <w:r>
              <w:rPr>
                <w:rFonts w:hint="eastAsia"/>
                <w:color w:val="000000"/>
                <w:sz w:val="18"/>
                <w:szCs w:val="18"/>
              </w:rPr>
              <w:t xml:space="preserve">    120.00</w:t>
              <w:tab/>
            </w:r>
          </w:p>
        </w:tc>
      </w:tr>
      <w:tr>
        <w:trPr>
          <w:trHeight w:val="339"/>
        </w:trPr>
        <w:tc>
          <w:tcPr>
            <w:tcW w:w="1619"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305"/>
                <w:tab w:val="right" w:pos="6028"/>
              </w:tabs>
              <w:spacing w:line="300" w:lineRule="exact"/>
              <w:ind w:firstLineChars="1500" w:firstLine="2700"/>
              <w:rPr>
                <w:color w:val="000000"/>
                <w:sz w:val="18"/>
                <w:szCs w:val="18"/>
              </w:rPr>
            </w:pPr>
            <w:r>
              <w:rPr>
                <w:rFonts w:hint="eastAsia"/>
                <w:color w:val="000000"/>
                <w:sz w:val="18"/>
                <w:szCs w:val="18"/>
              </w:rPr>
              <w:t>120.00</w:t>
            </w:r>
          </w:p>
        </w:tc>
      </w:tr>
      <w:tr>
        <w:trPr>
          <w:trHeight w:val="339"/>
        </w:trPr>
        <w:tc>
          <w:tcPr>
            <w:tcW w:w="1619"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54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18"/>
                <w:szCs w:val="18"/>
              </w:rPr>
            </w:pPr>
          </w:p>
        </w:tc>
      </w:tr>
      <w:tr>
        <w:trPr>
          <w:trHeight w:val="339"/>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总体 </w:t>
            </w:r>
          </w:p>
          <w:p>
            <w:pPr>
              <w:widowControl/>
              <w:spacing w:line="300" w:lineRule="exact"/>
              <w:jc w:val="center"/>
              <w:textAlignment w:val="center"/>
              <w:rPr>
                <w:color w:val="000000"/>
                <w:sz w:val="18"/>
                <w:szCs w:val="18"/>
              </w:rPr>
            </w:pPr>
            <w:r>
              <w:rPr>
                <w:color w:val="000000"/>
                <w:kern w:val="0"/>
                <w:sz w:val="18"/>
                <w:szCs w:val="18"/>
              </w:rPr>
              <w:t>目标</w:t>
            </w:r>
          </w:p>
        </w:tc>
        <w:tc>
          <w:tcPr>
            <w:tcW w:w="8757"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rPr>
          <w:trHeight w:val="836"/>
        </w:trPr>
        <w:tc>
          <w:tcPr>
            <w:tcW w:w="803" w:type="dxa"/>
            <w:vMerge/>
            <w:tcBorders>
              <w:top w:val="single" w:sz="4" w:space="0" w:color="000000"/>
              <w:left w:val="single" w:sz="4" w:space="0" w:color="000000"/>
              <w:bottom w:val="single" w:sz="4" w:space="0" w:color="000000"/>
              <w:right w:val="single" w:sz="4" w:space="0" w:color="000000"/>
            </w:tcBorders>
            <w:vAlign w:val="center"/>
          </w:tcPr>
          <w:p/>
        </w:tc>
        <w:tc>
          <w:tcPr>
            <w:tcW w:w="8757"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严格执行相关政策，及时足额完成村级运行维护费资金支付；各村运行维护费,共计120万元预算.</w:t>
            </w:r>
          </w:p>
        </w:tc>
      </w:tr>
      <w:tr>
        <w:trPr>
          <w:trHeight w:val="339"/>
        </w:trPr>
        <w:tc>
          <w:tcPr>
            <w:tcW w:w="803"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绩效</w:t>
            </w:r>
          </w:p>
          <w:p>
            <w:pPr>
              <w:widowControl/>
              <w:spacing w:line="300" w:lineRule="exact"/>
              <w:jc w:val="center"/>
              <w:textAlignment w:val="center"/>
              <w:rPr>
                <w:color w:val="000000"/>
                <w:sz w:val="18"/>
                <w:szCs w:val="18"/>
              </w:rPr>
            </w:pPr>
            <w:r>
              <w:rPr>
                <w:color w:val="000000"/>
                <w:kern w:val="0"/>
                <w:sz w:val="18"/>
                <w:szCs w:val="18"/>
              </w:rPr>
              <w:t xml:space="preserve"> 指标</w:t>
            </w:r>
          </w:p>
        </w:tc>
        <w:tc>
          <w:tcPr>
            <w:tcW w:w="81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16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05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0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99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87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7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rPr>
          <w:trHeight w:val="339"/>
        </w:trPr>
        <w:tc>
          <w:tcPr>
            <w:tcW w:w="803" w:type="dxa"/>
            <w:vMerge/>
            <w:tcBorders>
              <w:top w:val="single" w:sz="4" w:space="0" w:color="000000"/>
              <w:left w:val="single" w:sz="4" w:space="0" w:color="000000"/>
              <w:bottom w:val="single" w:sz="4" w:space="0" w:color="000000"/>
            </w:tcBorders>
            <w:vAlign w:val="center"/>
          </w:tcPr>
          <w:p/>
        </w:tc>
        <w:tc>
          <w:tcPr>
            <w:tcW w:w="816"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产出指标</w:t>
            </w:r>
          </w:p>
        </w:tc>
        <w:tc>
          <w:tcPr>
            <w:tcW w:w="116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数量指标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涉及村个数</w:t>
            </w:r>
          </w:p>
        </w:tc>
        <w:tc>
          <w:tcPr>
            <w:tcW w:w="105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0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w:t>
            </w:r>
          </w:p>
        </w:tc>
        <w:tc>
          <w:tcPr>
            <w:tcW w:w="99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个</w:t>
            </w:r>
          </w:p>
        </w:tc>
        <w:tc>
          <w:tcPr>
            <w:tcW w:w="87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w:t>
            </w:r>
          </w:p>
        </w:tc>
      </w:tr>
      <w:tr>
        <w:trPr>
          <w:trHeight w:val="637"/>
        </w:trPr>
        <w:tc>
          <w:tcPr>
            <w:tcW w:w="803" w:type="dxa"/>
            <w:vMerge/>
            <w:tcBorders>
              <w:top w:val="single" w:sz="4" w:space="0" w:color="000000"/>
              <w:left w:val="single" w:sz="4" w:space="0" w:color="000000"/>
              <w:bottom w:val="single" w:sz="4" w:space="0" w:color="000000"/>
            </w:tcBorders>
            <w:vAlign w:val="center"/>
          </w:tcPr>
          <w:p/>
        </w:tc>
        <w:tc>
          <w:tcPr>
            <w:tcW w:w="816" w:type="dxa"/>
            <w:vMerge/>
            <w:tcBorders>
              <w:top w:val="single" w:sz="4" w:space="0" w:color="000000"/>
              <w:left w:val="single" w:sz="4" w:space="0" w:color="000000"/>
              <w:bottom w:val="single" w:sz="4" w:space="0" w:color="000000"/>
              <w:right w:val="single" w:sz="4" w:space="0" w:color="000000"/>
            </w:tcBorders>
            <w:vAlign w:val="center"/>
          </w:tcP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质量指标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项目资金使用合格率</w:t>
            </w:r>
          </w:p>
        </w:tc>
        <w:tc>
          <w:tcPr>
            <w:tcW w:w="105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0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c>
          <w:tcPr>
            <w:tcW w:w="99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87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637"/>
        </w:trPr>
        <w:tc>
          <w:tcPr>
            <w:tcW w:w="803" w:type="dxa"/>
            <w:vMerge/>
            <w:tcBorders>
              <w:top w:val="single" w:sz="4" w:space="0" w:color="000000"/>
              <w:left w:val="single" w:sz="4" w:space="0" w:color="000000"/>
              <w:bottom w:val="single" w:sz="4" w:space="0" w:color="000000"/>
            </w:tcBorders>
            <w:vAlign w:val="center"/>
          </w:tcPr>
          <w:p/>
        </w:tc>
        <w:tc>
          <w:tcPr>
            <w:tcW w:w="816" w:type="dxa"/>
            <w:vMerge/>
            <w:tcBorders>
              <w:top w:val="single" w:sz="4" w:space="0" w:color="000000"/>
              <w:left w:val="single" w:sz="4" w:space="0" w:color="000000"/>
              <w:bottom w:val="single" w:sz="4" w:space="0" w:color="000000"/>
              <w:right w:val="single" w:sz="4" w:space="0" w:color="000000"/>
            </w:tcBorders>
            <w:vAlign w:val="center"/>
          </w:tcPr>
          <w:p/>
        </w:tc>
        <w:tc>
          <w:tcPr>
            <w:tcW w:w="1167" w:type="dxa"/>
            <w:vMerge/>
            <w:tcBorders>
              <w:top w:val="single" w:sz="4" w:space="0" w:color="000000"/>
              <w:left w:val="single" w:sz="4" w:space="0" w:color="000000"/>
              <w:bottom w:val="single" w:sz="4" w:space="0" w:color="000000"/>
              <w:right w:val="single" w:sz="4" w:space="0" w:color="000000"/>
            </w:tcBorders>
            <w:vAlign w:val="center"/>
          </w:tcP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项目竣工验收合格率</w:t>
            </w:r>
          </w:p>
        </w:tc>
        <w:tc>
          <w:tcPr>
            <w:tcW w:w="105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0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c>
          <w:tcPr>
            <w:tcW w:w="99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87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339"/>
        </w:trPr>
        <w:tc>
          <w:tcPr>
            <w:tcW w:w="803" w:type="dxa"/>
            <w:vMerge/>
            <w:tcBorders>
              <w:top w:val="single" w:sz="4" w:space="0" w:color="000000"/>
              <w:left w:val="single" w:sz="4" w:space="0" w:color="000000"/>
              <w:bottom w:val="single" w:sz="4" w:space="0" w:color="000000"/>
            </w:tcBorders>
            <w:vAlign w:val="center"/>
          </w:tcPr>
          <w:p/>
        </w:tc>
        <w:tc>
          <w:tcPr>
            <w:tcW w:w="816" w:type="dxa"/>
            <w:vMerge/>
            <w:tcBorders>
              <w:top w:val="single" w:sz="4" w:space="0" w:color="000000"/>
              <w:left w:val="single" w:sz="4" w:space="0" w:color="000000"/>
              <w:bottom w:val="single" w:sz="4" w:space="0" w:color="000000"/>
              <w:right w:val="single" w:sz="4" w:space="0" w:color="000000"/>
            </w:tcBorders>
            <w:vAlign w:val="center"/>
          </w:tcPr>
          <w:p/>
        </w:tc>
        <w:tc>
          <w:tcPr>
            <w:tcW w:w="116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时效指标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完成时效</w:t>
            </w:r>
          </w:p>
        </w:tc>
        <w:tc>
          <w:tcPr>
            <w:tcW w:w="105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0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c>
          <w:tcPr>
            <w:tcW w:w="99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年</w:t>
            </w:r>
          </w:p>
        </w:tc>
        <w:tc>
          <w:tcPr>
            <w:tcW w:w="87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339"/>
        </w:trPr>
        <w:tc>
          <w:tcPr>
            <w:tcW w:w="803" w:type="dxa"/>
            <w:vMerge/>
            <w:tcBorders>
              <w:top w:val="single" w:sz="4" w:space="0" w:color="000000"/>
              <w:left w:val="single" w:sz="4" w:space="0" w:color="000000"/>
              <w:bottom w:val="single" w:sz="4" w:space="0" w:color="000000"/>
            </w:tcBorders>
            <w:vAlign w:val="center"/>
          </w:tcPr>
          <w:p/>
        </w:tc>
        <w:tc>
          <w:tcPr>
            <w:tcW w:w="81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效益指标</w:t>
            </w:r>
          </w:p>
        </w:tc>
        <w:tc>
          <w:tcPr>
            <w:tcW w:w="116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rFonts w:hint="eastAsia"/>
                <w:color w:val="000000"/>
                <w:kern w:val="0"/>
                <w:sz w:val="18"/>
                <w:szCs w:val="18"/>
              </w:rPr>
              <w:t>生态效益指标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绿色可持续</w:t>
            </w:r>
          </w:p>
        </w:tc>
        <w:tc>
          <w:tcPr>
            <w:tcW w:w="105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定性</w:t>
            </w:r>
          </w:p>
        </w:tc>
        <w:tc>
          <w:tcPr>
            <w:tcW w:w="90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高中低</w:t>
            </w:r>
          </w:p>
        </w:tc>
        <w:tc>
          <w:tcPr>
            <w:tcW w:w="99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其他</w:t>
            </w:r>
          </w:p>
        </w:tc>
        <w:tc>
          <w:tcPr>
            <w:tcW w:w="87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30</w:t>
            </w:r>
          </w:p>
        </w:tc>
        <w:tc>
          <w:tcPr>
            <w:tcW w:w="17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中</w:t>
            </w:r>
          </w:p>
        </w:tc>
      </w:tr>
      <w:tr>
        <w:trPr>
          <w:trHeight w:val="637"/>
        </w:trPr>
        <w:tc>
          <w:tcPr>
            <w:tcW w:w="803" w:type="dxa"/>
            <w:vMerge/>
            <w:tcBorders>
              <w:top w:val="single" w:sz="4" w:space="0" w:color="000000"/>
              <w:left w:val="single" w:sz="4" w:space="0" w:color="000000"/>
              <w:bottom w:val="single" w:sz="4" w:space="0" w:color="000000"/>
            </w:tcBorders>
            <w:vAlign w:val="center"/>
          </w:tcPr>
          <w:p/>
        </w:tc>
        <w:tc>
          <w:tcPr>
            <w:tcW w:w="816"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满意度</w:t>
            </w:r>
          </w:p>
          <w:p>
            <w:pPr>
              <w:widowControl/>
              <w:spacing w:line="300" w:lineRule="exact"/>
              <w:jc w:val="center"/>
              <w:textAlignment w:val="center"/>
              <w:rPr>
                <w:color w:val="000000"/>
                <w:sz w:val="18"/>
                <w:szCs w:val="18"/>
              </w:rPr>
            </w:pPr>
            <w:r>
              <w:rPr>
                <w:color w:val="000000"/>
                <w:kern w:val="0"/>
                <w:sz w:val="18"/>
                <w:szCs w:val="18"/>
              </w:rPr>
              <w:t>指标</w:t>
            </w:r>
          </w:p>
        </w:tc>
        <w:tc>
          <w:tcPr>
            <w:tcW w:w="1167"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服务对象</w:t>
            </w:r>
          </w:p>
          <w:p>
            <w:pPr>
              <w:widowControl/>
              <w:spacing w:line="300" w:lineRule="exact"/>
              <w:jc w:val="center"/>
              <w:textAlignment w:val="center"/>
              <w:rPr>
                <w:color w:val="000000"/>
                <w:sz w:val="18"/>
                <w:szCs w:val="18"/>
              </w:rPr>
            </w:pPr>
            <w:r>
              <w:rPr>
                <w:color w:val="000000"/>
                <w:kern w:val="0"/>
                <w:sz w:val="18"/>
                <w:szCs w:val="18"/>
              </w:rPr>
              <w:t>满意度指标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群众满意度</w:t>
            </w:r>
          </w:p>
        </w:tc>
        <w:tc>
          <w:tcPr>
            <w:tcW w:w="105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0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c>
          <w:tcPr>
            <w:tcW w:w="99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87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r>
      <w:tr>
        <w:trPr>
          <w:trHeight w:val="647"/>
        </w:trPr>
        <w:tc>
          <w:tcPr>
            <w:tcW w:w="803" w:type="dxa"/>
            <w:vMerge/>
            <w:tcBorders>
              <w:top w:val="single" w:sz="4" w:space="0" w:color="000000"/>
              <w:left w:val="single" w:sz="4" w:space="0" w:color="000000"/>
              <w:bottom w:val="single" w:sz="4" w:space="0" w:color="000000"/>
            </w:tcBorders>
            <w:vAlign w:val="center"/>
          </w:tcPr>
          <w:p/>
        </w:tc>
        <w:tc>
          <w:tcPr>
            <w:tcW w:w="81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成本指标</w:t>
            </w:r>
          </w:p>
        </w:tc>
        <w:tc>
          <w:tcPr>
            <w:tcW w:w="116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经济成本</w:t>
            </w:r>
          </w:p>
          <w:p>
            <w:pPr>
              <w:widowControl/>
              <w:spacing w:line="300" w:lineRule="exact"/>
              <w:jc w:val="center"/>
              <w:textAlignment w:val="center"/>
              <w:rPr>
                <w:color w:val="000000"/>
                <w:sz w:val="18"/>
                <w:szCs w:val="18"/>
              </w:rPr>
            </w:pPr>
            <w:r>
              <w:rPr>
                <w:color w:val="000000"/>
                <w:kern w:val="0"/>
                <w:sz w:val="18"/>
                <w:szCs w:val="18"/>
              </w:rPr>
              <w:t>指标</w:t>
            </w:r>
          </w:p>
        </w:tc>
        <w:tc>
          <w:tcPr>
            <w:tcW w:w="1226" w:type="dxa"/>
            <w:tcBorders>
              <w:top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预算资金</w:t>
            </w:r>
          </w:p>
        </w:tc>
        <w:tc>
          <w:tcPr>
            <w:tcW w:w="105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0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120.00</w:t>
            </w:r>
          </w:p>
        </w:tc>
        <w:tc>
          <w:tcPr>
            <w:tcW w:w="99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万元</w:t>
            </w:r>
          </w:p>
        </w:tc>
        <w:tc>
          <w:tcPr>
            <w:tcW w:w="87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120.00</w:t>
            </w:r>
          </w:p>
        </w:tc>
      </w:tr>
    </w:tbl>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tbl>
      <w:tblPr>
        <w:jc w:val="center"/>
        <w:tblW w:w="9688"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296"/>
      </w:tblGrid>
      <w:tr>
        <w:trPr>
          <w:trHeight w:val="576"/>
        </w:trPr>
        <w:tc>
          <w:tcPr>
            <w:tcW w:w="9688"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51322322T000007156231-残协工作经费</w:t>
            </w:r>
          </w:p>
        </w:tc>
      </w:tr>
      <w:tr>
        <w:trPr>
          <w:trHeight w:val="458"/>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29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2024.1-2024.12</w:t>
            </w:r>
          </w:p>
        </w:tc>
      </w:tr>
      <w:tr>
        <w:trPr>
          <w:trHeight w:val="23"/>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0.32</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0.32</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036"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1255"/>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9036"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加强残疾人工作，更好地为残疾人服务。</w:t>
            </w:r>
          </w:p>
        </w:tc>
      </w:tr>
      <w:tr>
        <w:trPr>
          <w:trHeight w:val="23"/>
        </w:trPr>
        <w:tc>
          <w:tcPr>
            <w:tcW w:w="652"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29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下拨资金</w:t>
            </w:r>
          </w:p>
        </w:tc>
        <w:tc>
          <w:tcPr>
            <w:tcW w:w="1127" w:type="dxa"/>
            <w:tcBorders>
              <w:top w:val="single" w:sz="4" w:space="0" w:color="000000"/>
              <w:left w:val="single" w:sz="4" w:space="0" w:color="000000"/>
              <w:bottom w:val="single" w:sz="4" w:space="0" w:color="000000"/>
              <w:right w:val="single" w:sz="4" w:space="0" w:color="000000"/>
            </w:tcBorders>
            <w:vAlign w:val="center"/>
          </w:tcPr>
          <w:p>
            <w:pPr>
              <w:tabs>
                <w:tab w:val="left" w:pos="515"/>
              </w:tabs>
              <w:spacing w:line="300" w:lineRule="exact"/>
              <w:jc w:val="left"/>
              <w:rPr>
                <w:color w:val="000000"/>
                <w:sz w:val="24"/>
              </w:rPr>
            </w:pPr>
            <w:r>
              <w:rPr>
                <w:rFonts w:hint="eastAsia"/>
                <w:color w:val="000000"/>
                <w:sz w:val="24"/>
              </w:rPr>
              <w:tab/>
              <w:t>＝</w:t>
            </w: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0.32</w:t>
            </w: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万元</w:t>
            </w: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29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0.32</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项目完工合格率</w:t>
            </w:r>
          </w:p>
        </w:tc>
        <w:tc>
          <w:tcPr>
            <w:tcW w:w="112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29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项目完成及时率</w:t>
            </w:r>
          </w:p>
        </w:tc>
        <w:tc>
          <w:tcPr>
            <w:tcW w:w="112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年</w:t>
            </w: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29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社会效益</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辐射南新镇村个数</w:t>
            </w:r>
          </w:p>
        </w:tc>
        <w:tc>
          <w:tcPr>
            <w:tcW w:w="112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w:t>
            </w: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个</w:t>
            </w: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29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textAlignment w:val="center"/>
              <w:rPr>
                <w:color w:val="000000"/>
                <w:sz w:val="24"/>
              </w:rPr>
            </w:pPr>
            <w:r>
              <w:rPr>
                <w:rFonts w:hint="eastAsia"/>
                <w:color w:val="000000"/>
                <w:kern w:val="0"/>
                <w:sz w:val="24"/>
              </w:rPr>
              <w:t>可持续影响指标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进一步保障各村残疾人权益</w:t>
            </w:r>
          </w:p>
        </w:tc>
        <w:tc>
          <w:tcPr>
            <w:tcW w:w="112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29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满意度</w:t>
            </w:r>
          </w:p>
          <w:p>
            <w:pPr>
              <w:widowControl/>
              <w:spacing w:line="300" w:lineRule="exact"/>
              <w:jc w:val="center"/>
              <w:textAlignment w:val="center"/>
              <w:rPr>
                <w:color w:val="000000"/>
                <w:sz w:val="24"/>
              </w:rPr>
            </w:pPr>
            <w:r>
              <w:rPr>
                <w:color w:val="000000"/>
                <w:kern w:val="0"/>
                <w:sz w:val="24"/>
              </w:rPr>
              <w:t>指标</w:t>
            </w:r>
          </w:p>
        </w:tc>
        <w:tc>
          <w:tcPr>
            <w:tcW w:w="1250"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服务对象</w:t>
            </w:r>
          </w:p>
          <w:p>
            <w:pPr>
              <w:widowControl/>
              <w:spacing w:line="300" w:lineRule="exact"/>
              <w:jc w:val="center"/>
              <w:textAlignment w:val="center"/>
              <w:rPr>
                <w:color w:val="000000"/>
                <w:sz w:val="24"/>
              </w:rPr>
            </w:pPr>
            <w:r>
              <w:rPr>
                <w:color w:val="000000"/>
                <w:kern w:val="0"/>
                <w:sz w:val="24"/>
              </w:rPr>
              <w:t>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受益群众满意度</w:t>
            </w:r>
          </w:p>
        </w:tc>
        <w:tc>
          <w:tcPr>
            <w:tcW w:w="112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29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经济成本</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预算金额</w:t>
            </w:r>
          </w:p>
        </w:tc>
        <w:tc>
          <w:tcPr>
            <w:tcW w:w="1127" w:type="dxa"/>
            <w:tcBorders>
              <w:top w:val="single" w:sz="4" w:space="0" w:color="000000"/>
              <w:left w:val="single" w:sz="4" w:space="0" w:color="000000"/>
              <w:bottom w:val="single" w:sz="4" w:space="0" w:color="000000"/>
              <w:right w:val="single" w:sz="4" w:space="0" w:color="000000"/>
            </w:tcBorders>
            <w:vAlign w:val="center"/>
          </w:tcPr>
          <w:p>
            <w:pPr>
              <w:tabs>
                <w:tab w:val="left" w:pos="515"/>
              </w:tabs>
              <w:spacing w:line="300" w:lineRule="exact"/>
              <w:jc w:val="left"/>
              <w:rPr>
                <w:color w:val="000000"/>
                <w:sz w:val="24"/>
              </w:rPr>
            </w:pPr>
            <w:r>
              <w:rPr>
                <w:rFonts w:hint="eastAsia"/>
                <w:color w:val="000000"/>
                <w:sz w:val="24"/>
              </w:rPr>
              <w:tab/>
              <w:t>＝</w:t>
            </w: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0.32</w:t>
            </w: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万元</w:t>
            </w: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29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0.32</w:t>
            </w:r>
          </w:p>
        </w:tc>
      </w:tr>
    </w:tbl>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tbl>
      <w:tblPr>
        <w:jc w:val="center"/>
        <w:tblW w:w="98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28"/>
        <w:gridCol w:w="1041"/>
        <w:gridCol w:w="1204"/>
        <w:gridCol w:w="1265"/>
        <w:gridCol w:w="1085"/>
        <w:gridCol w:w="935"/>
        <w:gridCol w:w="1022"/>
        <w:gridCol w:w="903"/>
        <w:gridCol w:w="1777"/>
      </w:tblGrid>
      <w:tr>
        <w:trPr>
          <w:trHeight w:val="635"/>
        </w:trPr>
        <w:tc>
          <w:tcPr>
            <w:tcW w:w="98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342"/>
        </w:trPr>
        <w:tc>
          <w:tcPr>
            <w:tcW w:w="413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项目名称</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51322324T000011851495-基层文化阵地改造提升项目</w:t>
            </w:r>
          </w:p>
        </w:tc>
      </w:tr>
      <w:tr>
        <w:trPr>
          <w:trHeight w:val="502"/>
        </w:trPr>
        <w:tc>
          <w:tcPr>
            <w:tcW w:w="413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预算单位</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茂县南新镇人民政府（行政）</w:t>
            </w:r>
          </w:p>
        </w:tc>
      </w:tr>
      <w:tr>
        <w:trPr>
          <w:trHeight w:val="342"/>
        </w:trPr>
        <w:tc>
          <w:tcPr>
            <w:tcW w:w="413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项目类型</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42"/>
        </w:trPr>
        <w:tc>
          <w:tcPr>
            <w:tcW w:w="628" w:type="dxa"/>
            <w:vMerge w:val="restart"/>
            <w:tcBorders>
              <w:top w:val="single" w:sz="4" w:space="0" w:color="000000"/>
              <w:left w:val="single" w:sz="4" w:space="0" w:color="000000"/>
              <w:right w:val="single" w:sz="4" w:space="0" w:color="000000"/>
            </w:tcBorders>
            <w:vAlign w:val="center"/>
          </w:tcPr>
          <w:p>
            <w:pPr>
              <w:spacing w:line="300" w:lineRule="exact"/>
              <w:rPr>
                <w:color w:val="000000"/>
                <w:sz w:val="18"/>
                <w:szCs w:val="18"/>
              </w:rPr>
            </w:p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645"/>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77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2024.01-2024.12</w:t>
            </w:r>
          </w:p>
        </w:tc>
      </w:tr>
      <w:tr>
        <w:trPr>
          <w:trHeight w:val="342"/>
        </w:trPr>
        <w:tc>
          <w:tcPr>
            <w:tcW w:w="1669"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10.00</w:t>
            </w:r>
          </w:p>
        </w:tc>
      </w:tr>
      <w:tr>
        <w:trPr>
          <w:trHeight w:val="342"/>
        </w:trPr>
        <w:tc>
          <w:tcPr>
            <w:tcW w:w="1669"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10.00</w:t>
            </w:r>
          </w:p>
        </w:tc>
      </w:tr>
      <w:tr>
        <w:trPr>
          <w:trHeight w:val="342"/>
        </w:trPr>
        <w:tc>
          <w:tcPr>
            <w:tcW w:w="1669"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18"/>
                <w:szCs w:val="18"/>
              </w:rPr>
            </w:pPr>
          </w:p>
        </w:tc>
      </w:tr>
      <w:tr>
        <w:trPr>
          <w:trHeight w:val="342"/>
        </w:trPr>
        <w:tc>
          <w:tcPr>
            <w:tcW w:w="628"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总体 目标</w:t>
            </w:r>
          </w:p>
        </w:tc>
        <w:tc>
          <w:tcPr>
            <w:tcW w:w="9232"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9232"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为建设一个具备良好的设施和服务的文化阵地，提供丰富多样的文化活动和学习机会，增加镇村居民对于文化活动的参与度，提高村民的文化素质，增加村民之间的交流和互动，促进社区的凝聚力与和谐发展。</w:t>
            </w:r>
          </w:p>
        </w:tc>
      </w:tr>
      <w:tr>
        <w:trPr>
          <w:trHeight w:val="342"/>
        </w:trPr>
        <w:tc>
          <w:tcPr>
            <w:tcW w:w="628"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绩效 指标</w:t>
            </w:r>
          </w:p>
        </w:tc>
        <w:tc>
          <w:tcPr>
            <w:tcW w:w="10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77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vMerge w:val="restart"/>
            <w:tcBorders>
              <w:top w:val="single" w:sz="4" w:space="0" w:color="000000"/>
              <w:left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产出指标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数量指标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涉及</w:t>
            </w:r>
            <w:r>
              <w:rPr>
                <w:rFonts w:ascii="宋体" w:cs="宋体" w:hint="eastAsia"/>
                <w:color w:val="000000"/>
                <w:kern w:val="0"/>
                <w:sz w:val="18"/>
                <w:szCs w:val="18"/>
              </w:rPr>
              <w:t>项目</w:t>
            </w:r>
            <w:r>
              <w:rPr>
                <w:rFonts w:ascii="宋体" w:cs="宋体"/>
                <w:color w:val="000000"/>
                <w:kern w:val="0"/>
                <w:sz w:val="18"/>
                <w:szCs w:val="18"/>
              </w:rPr>
              <w:t>个数</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1</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个</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vMerge/>
            <w:tcBorders>
              <w:left w:val="single" w:sz="4" w:space="0" w:color="000000"/>
              <w:right w:val="single" w:sz="4" w:space="0" w:color="000000"/>
            </w:tcBorders>
            <w:vAlign w:val="center"/>
          </w:tcP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质量指标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项目完工及时率</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100</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20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vMerge/>
            <w:tcBorders>
              <w:left w:val="single" w:sz="4" w:space="0" w:color="000000"/>
              <w:bottom w:val="single" w:sz="4" w:space="0" w:color="000000"/>
              <w:right w:val="single" w:sz="4" w:space="0" w:color="000000"/>
            </w:tcBorders>
            <w:vAlign w:val="center"/>
          </w:tcP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时效指标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项目完成时间</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年</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971"/>
        </w:trPr>
        <w:tc>
          <w:tcPr>
            <w:tcW w:w="628" w:type="dxa"/>
            <w:vMerge/>
            <w:tcBorders>
              <w:top w:val="single" w:sz="4" w:space="0" w:color="000000"/>
              <w:left w:val="single" w:sz="4" w:space="0" w:color="000000"/>
              <w:bottom w:val="single" w:sz="4" w:space="0" w:color="000000"/>
            </w:tcBorders>
            <w:vAlign w:val="center"/>
          </w:tcP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效益指标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社会效益指标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效益化率</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定性</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高中低</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其他</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vMerge/>
            <w:tcBorders>
              <w:top w:val="single" w:sz="4" w:space="0" w:color="000000"/>
              <w:left w:val="single" w:sz="4" w:space="0" w:color="000000"/>
              <w:bottom w:val="single" w:sz="4" w:space="0" w:color="000000"/>
              <w:right w:val="single" w:sz="4" w:space="0" w:color="000000"/>
            </w:tcBorders>
            <w:vAlign w:val="center"/>
          </w:tcP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生态效益指标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项目对生态环境影响</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定性</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b/>
                <w:bCs/>
                <w:color w:val="000000"/>
                <w:sz w:val="18"/>
                <w:szCs w:val="18"/>
              </w:rPr>
            </w:pPr>
            <w:r>
              <w:rPr>
                <w:rFonts w:ascii="宋体" w:cs="宋体"/>
                <w:color w:val="000000"/>
                <w:kern w:val="0"/>
                <w:sz w:val="18"/>
                <w:szCs w:val="18"/>
              </w:rPr>
              <w:t>高中低</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其他</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满意度指标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服务对象满意度指标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服务对象满意度</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95</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成本指标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经济成本指标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项目下达资金</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10.00</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万</w:t>
            </w:r>
            <w:r>
              <w:rPr>
                <w:rFonts w:ascii="宋体" w:cs="宋体"/>
                <w:color w:val="000000"/>
                <w:kern w:val="0"/>
                <w:sz w:val="18"/>
                <w:szCs w:val="18"/>
              </w:rPr>
              <w:t>元</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20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9.68</w:t>
            </w:r>
          </w:p>
        </w:tc>
      </w:tr>
    </w:tbl>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p>
      <w:pPr>
        <w:pStyle w:val="22"/>
        <w:tabs>
          <w:tab w:val="center" w:pos="4153"/>
          <w:tab w:val="right" w:pos="8306"/>
        </w:tabs>
      </w:pPr>
    </w:p>
    <w:tbl>
      <w:tblPr>
        <w:jc w:val="center"/>
        <w:tblW w:w="9468"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933"/>
        <w:gridCol w:w="726"/>
        <w:gridCol w:w="1197"/>
        <w:gridCol w:w="1257"/>
        <w:gridCol w:w="1079"/>
        <w:gridCol w:w="929"/>
        <w:gridCol w:w="1017"/>
        <w:gridCol w:w="898"/>
        <w:gridCol w:w="1432"/>
      </w:tblGrid>
      <w:tr>
        <w:trPr>
          <w:trHeight w:val="747"/>
        </w:trPr>
        <w:tc>
          <w:tcPr>
            <w:tcW w:w="9468"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03"/>
        </w:trPr>
        <w:tc>
          <w:tcPr>
            <w:tcW w:w="4113"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51322324T000011905709-2024年人大工作经费</w:t>
            </w:r>
          </w:p>
        </w:tc>
      </w:tr>
      <w:tr>
        <w:trPr>
          <w:trHeight w:val="590"/>
        </w:trPr>
        <w:tc>
          <w:tcPr>
            <w:tcW w:w="4113"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03"/>
        </w:trPr>
        <w:tc>
          <w:tcPr>
            <w:tcW w:w="4113"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03"/>
        </w:trPr>
        <w:tc>
          <w:tcPr>
            <w:tcW w:w="933" w:type="dxa"/>
            <w:vMerge w:val="restart"/>
            <w:tcBorders>
              <w:top w:val="single" w:sz="4" w:space="0" w:color="000000"/>
              <w:left w:val="single" w:sz="4" w:space="0" w:color="000000"/>
              <w:right w:val="single" w:sz="4" w:space="0" w:color="000000"/>
            </w:tcBorders>
            <w:vAlign w:val="center"/>
          </w:tcPr>
          <w:p>
            <w:pPr>
              <w:spacing w:line="300" w:lineRule="exact"/>
              <w:rPr>
                <w:color w:val="000000"/>
                <w:sz w:val="24"/>
              </w:rPr>
            </w:pPr>
          </w:p>
        </w:tc>
        <w:tc>
          <w:tcPr>
            <w:tcW w:w="318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759"/>
        </w:trPr>
        <w:tc>
          <w:tcPr>
            <w:tcW w:w="933" w:type="dxa"/>
            <w:vMerge/>
            <w:tcBorders>
              <w:top w:val="single" w:sz="4" w:space="0" w:color="000000"/>
              <w:left w:val="single" w:sz="4" w:space="0" w:color="000000"/>
              <w:bottom w:val="single" w:sz="4" w:space="0" w:color="000000"/>
              <w:right w:val="single" w:sz="4" w:space="0" w:color="000000"/>
            </w:tcBorders>
            <w:vAlign w:val="center"/>
          </w:tcPr>
          <w:p/>
        </w:tc>
        <w:tc>
          <w:tcPr>
            <w:tcW w:w="318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89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43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03"/>
        </w:trPr>
        <w:tc>
          <w:tcPr>
            <w:tcW w:w="933" w:type="dxa"/>
            <w:vMerge/>
            <w:tcBorders>
              <w:top w:val="single" w:sz="4" w:space="0" w:color="000000"/>
              <w:left w:val="single" w:sz="4" w:space="0" w:color="000000"/>
              <w:bottom w:val="single" w:sz="4" w:space="0" w:color="000000"/>
              <w:right w:val="single" w:sz="4" w:space="0" w:color="000000"/>
            </w:tcBorders>
            <w:vAlign w:val="center"/>
          </w:tcPr>
          <w:p/>
        </w:tc>
        <w:tc>
          <w:tcPr>
            <w:tcW w:w="318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03"/>
        </w:trPr>
        <w:tc>
          <w:tcPr>
            <w:tcW w:w="933" w:type="dxa"/>
            <w:vMerge/>
            <w:tcBorders>
              <w:top w:val="single" w:sz="4" w:space="0" w:color="000000"/>
              <w:left w:val="single" w:sz="4" w:space="0" w:color="000000"/>
              <w:bottom w:val="single" w:sz="4" w:space="0" w:color="000000"/>
              <w:right w:val="single" w:sz="4" w:space="0" w:color="000000"/>
            </w:tcBorders>
            <w:vAlign w:val="center"/>
          </w:tcPr>
          <w:p/>
        </w:tc>
        <w:tc>
          <w:tcPr>
            <w:tcW w:w="318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03"/>
        </w:trPr>
        <w:tc>
          <w:tcPr>
            <w:tcW w:w="933" w:type="dxa"/>
            <w:vMerge/>
            <w:tcBorders>
              <w:top w:val="single" w:sz="4" w:space="0" w:color="000000"/>
              <w:left w:val="single" w:sz="4" w:space="0" w:color="000000"/>
              <w:bottom w:val="single" w:sz="4" w:space="0" w:color="000000"/>
              <w:right w:val="single" w:sz="4" w:space="0" w:color="000000"/>
            </w:tcBorders>
            <w:vAlign w:val="center"/>
          </w:tcPr>
          <w:p/>
        </w:tc>
        <w:tc>
          <w:tcPr>
            <w:tcW w:w="318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03"/>
        </w:trPr>
        <w:tc>
          <w:tcPr>
            <w:tcW w:w="933" w:type="dxa"/>
            <w:vMerge/>
            <w:tcBorders>
              <w:top w:val="single" w:sz="4" w:space="0" w:color="000000"/>
              <w:left w:val="single" w:sz="4" w:space="0" w:color="000000"/>
              <w:bottom w:val="single" w:sz="4" w:space="0" w:color="000000"/>
              <w:right w:val="single" w:sz="4" w:space="0" w:color="000000"/>
            </w:tcBorders>
            <w:vAlign w:val="center"/>
          </w:tcPr>
          <w:p/>
        </w:tc>
        <w:tc>
          <w:tcPr>
            <w:tcW w:w="318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03"/>
        </w:trPr>
        <w:tc>
          <w:tcPr>
            <w:tcW w:w="1659"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454"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tabs>
                <w:tab w:val="left" w:pos="2135"/>
              </w:tabs>
              <w:spacing w:line="300" w:lineRule="exact"/>
              <w:jc w:val="left"/>
              <w:rPr>
                <w:color w:val="000000"/>
                <w:sz w:val="24"/>
              </w:rPr>
            </w:pPr>
            <w:r>
              <w:rPr>
                <w:rFonts w:hint="eastAsia"/>
                <w:color w:val="000000"/>
                <w:sz w:val="24"/>
              </w:rPr>
              <w:tab/>
              <w:t>10.00</w:t>
            </w:r>
          </w:p>
        </w:tc>
      </w:tr>
      <w:tr>
        <w:trPr>
          <w:trHeight w:val="403"/>
        </w:trPr>
        <w:tc>
          <w:tcPr>
            <w:tcW w:w="1659"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454"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tabs>
                <w:tab w:val="left" w:pos="2300"/>
              </w:tabs>
              <w:spacing w:line="300" w:lineRule="exact"/>
              <w:ind w:firstLineChars="900" w:firstLine="2160"/>
              <w:jc w:val="left"/>
              <w:rPr>
                <w:color w:val="000000"/>
                <w:sz w:val="24"/>
              </w:rPr>
            </w:pPr>
            <w:r>
              <w:rPr>
                <w:rFonts w:hint="eastAsia"/>
                <w:color w:val="000000"/>
                <w:sz w:val="24"/>
              </w:rPr>
              <w:t>10.00</w:t>
            </w:r>
          </w:p>
        </w:tc>
      </w:tr>
      <w:tr>
        <w:trPr>
          <w:trHeight w:val="403"/>
        </w:trPr>
        <w:tc>
          <w:tcPr>
            <w:tcW w:w="1659"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454"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35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403"/>
        </w:trPr>
        <w:tc>
          <w:tcPr>
            <w:tcW w:w="933"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8535"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403"/>
        </w:trPr>
        <w:tc>
          <w:tcPr>
            <w:tcW w:w="933" w:type="dxa"/>
            <w:vMerge/>
            <w:tcBorders>
              <w:top w:val="single" w:sz="4" w:space="0" w:color="000000"/>
              <w:left w:val="single" w:sz="4" w:space="0" w:color="000000"/>
              <w:bottom w:val="single" w:sz="4" w:space="0" w:color="000000"/>
              <w:right w:val="single" w:sz="4" w:space="0" w:color="000000"/>
            </w:tcBorders>
            <w:vAlign w:val="center"/>
          </w:tcPr>
          <w:p/>
        </w:tc>
        <w:tc>
          <w:tcPr>
            <w:tcW w:w="8535"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p>
        </w:tc>
      </w:tr>
      <w:tr>
        <w:trPr>
          <w:trHeight w:val="403"/>
        </w:trPr>
        <w:tc>
          <w:tcPr>
            <w:tcW w:w="933"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72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25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2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89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43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17"/>
        </w:trPr>
        <w:tc>
          <w:tcPr>
            <w:tcW w:w="933" w:type="dxa"/>
            <w:vMerge/>
            <w:tcBorders>
              <w:top w:val="single" w:sz="4" w:space="0" w:color="000000"/>
              <w:left w:val="single" w:sz="4" w:space="0" w:color="000000"/>
              <w:bottom w:val="single" w:sz="4" w:space="0" w:color="000000"/>
            </w:tcBorders>
            <w:vAlign w:val="center"/>
          </w:tcPr>
          <w:p/>
        </w:tc>
        <w:tc>
          <w:tcPr>
            <w:tcW w:w="726"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产出指标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数量指标</w:t>
            </w:r>
          </w:p>
        </w:tc>
        <w:tc>
          <w:tcPr>
            <w:tcW w:w="125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涉及村个数</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2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8</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hint="eastAsia"/>
                <w:color w:val="000000"/>
                <w:kern w:val="0"/>
                <w:sz w:val="18"/>
                <w:szCs w:val="18"/>
              </w:rPr>
              <w:t>个</w:t>
            </w:r>
          </w:p>
        </w:tc>
        <w:tc>
          <w:tcPr>
            <w:tcW w:w="89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hint="eastAsia"/>
                <w:color w:val="000000"/>
                <w:sz w:val="24"/>
              </w:rPr>
              <w:t>20</w:t>
            </w:r>
          </w:p>
        </w:tc>
        <w:tc>
          <w:tcPr>
            <w:tcW w:w="14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w:t>
            </w:r>
          </w:p>
        </w:tc>
      </w:tr>
      <w:tr>
        <w:trPr>
          <w:trHeight w:val="417"/>
        </w:trPr>
        <w:tc>
          <w:tcPr>
            <w:tcW w:w="933" w:type="dxa"/>
            <w:vMerge/>
            <w:tcBorders>
              <w:top w:val="single" w:sz="4" w:space="0" w:color="000000"/>
              <w:left w:val="single" w:sz="4" w:space="0" w:color="000000"/>
              <w:bottom w:val="single" w:sz="4" w:space="0" w:color="000000"/>
            </w:tcBorders>
            <w:vAlign w:val="center"/>
          </w:tcPr>
          <w:p/>
        </w:tc>
        <w:tc>
          <w:tcPr>
            <w:tcW w:w="726" w:type="dxa"/>
            <w:vMerge/>
            <w:tcBorders>
              <w:top w:val="single" w:sz="4" w:space="0" w:color="000000"/>
              <w:left w:val="single" w:sz="4" w:space="0" w:color="000000"/>
              <w:bottom w:val="single" w:sz="4" w:space="0" w:color="000000"/>
              <w:right w:val="single" w:sz="4" w:space="0" w:color="000000"/>
            </w:tcBorders>
            <w:vAlign w:val="center"/>
          </w:tcP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时效指标</w:t>
            </w:r>
          </w:p>
        </w:tc>
        <w:tc>
          <w:tcPr>
            <w:tcW w:w="125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完成时间</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2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hint="eastAsia"/>
                <w:color w:val="000000"/>
                <w:kern w:val="0"/>
                <w:sz w:val="18"/>
                <w:szCs w:val="18"/>
              </w:rPr>
              <w:t>年</w:t>
            </w:r>
          </w:p>
        </w:tc>
        <w:tc>
          <w:tcPr>
            <w:tcW w:w="89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4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787"/>
        </w:trPr>
        <w:tc>
          <w:tcPr>
            <w:tcW w:w="933" w:type="dxa"/>
            <w:vMerge/>
            <w:tcBorders>
              <w:top w:val="single" w:sz="4" w:space="0" w:color="000000"/>
              <w:left w:val="single" w:sz="4" w:space="0" w:color="000000"/>
              <w:bottom w:val="single" w:sz="4" w:space="0" w:color="000000"/>
            </w:tcBorders>
            <w:vAlign w:val="center"/>
          </w:tcPr>
          <w:p/>
        </w:tc>
        <w:tc>
          <w:tcPr>
            <w:tcW w:w="726"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效益指标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社会效益指标</w:t>
            </w:r>
          </w:p>
        </w:tc>
        <w:tc>
          <w:tcPr>
            <w:tcW w:w="125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确保人大工作有序开展</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定性</w:t>
            </w:r>
          </w:p>
        </w:tc>
        <w:tc>
          <w:tcPr>
            <w:tcW w:w="92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进一步提高</w:t>
            </w:r>
          </w:p>
        </w:tc>
        <w:tc>
          <w:tcPr>
            <w:tcW w:w="1017" w:type="dxa"/>
            <w:tcBorders>
              <w:top w:val="single" w:sz="4" w:space="0" w:color="000000"/>
              <w:left w:val="single" w:sz="4" w:space="0" w:color="000000"/>
              <w:bottom w:val="single" w:sz="4" w:space="0" w:color="000000"/>
              <w:right w:val="single" w:sz="4" w:space="0" w:color="000000"/>
            </w:tcBorders>
            <w:vAlign w:val="center"/>
          </w:tcPr>
          <w:p>
            <w:pPr>
              <w:jc w:val="center"/>
              <w:rPr>
                <w:color w:val="000000"/>
                <w:sz w:val="24"/>
              </w:rPr>
            </w:pPr>
          </w:p>
        </w:tc>
        <w:tc>
          <w:tcPr>
            <w:tcW w:w="89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4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r>
        <w:trPr>
          <w:trHeight w:val="787"/>
        </w:trPr>
        <w:tc>
          <w:tcPr>
            <w:tcW w:w="933" w:type="dxa"/>
            <w:vMerge/>
            <w:tcBorders>
              <w:top w:val="single" w:sz="4" w:space="0" w:color="000000"/>
              <w:left w:val="single" w:sz="4" w:space="0" w:color="000000"/>
              <w:bottom w:val="single" w:sz="4" w:space="0" w:color="000000"/>
            </w:tcBorders>
            <w:vAlign w:val="center"/>
          </w:tcPr>
          <w:p/>
        </w:tc>
        <w:tc>
          <w:tcPr>
            <w:tcW w:w="726" w:type="dxa"/>
            <w:vMerge/>
            <w:tcBorders>
              <w:top w:val="single" w:sz="4" w:space="0" w:color="000000"/>
              <w:left w:val="single" w:sz="4" w:space="0" w:color="000000"/>
              <w:bottom w:val="single" w:sz="4" w:space="0" w:color="000000"/>
              <w:right w:val="single" w:sz="4" w:space="0" w:color="000000"/>
            </w:tcBorders>
            <w:vAlign w:val="center"/>
          </w:tcPr>
          <w:p/>
        </w:tc>
        <w:tc>
          <w:tcPr>
            <w:tcW w:w="1197" w:type="dxa"/>
            <w:tcBorders>
              <w:top w:val="single" w:sz="4" w:space="0" w:color="000000"/>
              <w:left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可持续发展指标</w:t>
            </w:r>
          </w:p>
        </w:tc>
        <w:tc>
          <w:tcPr>
            <w:tcW w:w="125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可持续发展</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定性</w:t>
            </w:r>
          </w:p>
        </w:tc>
        <w:tc>
          <w:tcPr>
            <w:tcW w:w="92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高中低</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其他</w:t>
            </w:r>
          </w:p>
        </w:tc>
        <w:tc>
          <w:tcPr>
            <w:tcW w:w="89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4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r>
        <w:trPr>
          <w:trHeight w:val="787"/>
        </w:trPr>
        <w:tc>
          <w:tcPr>
            <w:tcW w:w="933" w:type="dxa"/>
            <w:vMerge/>
            <w:tcBorders>
              <w:top w:val="single" w:sz="4" w:space="0" w:color="000000"/>
              <w:left w:val="single" w:sz="4" w:space="0" w:color="000000"/>
              <w:bottom w:val="single" w:sz="4" w:space="0" w:color="000000"/>
            </w:tcBorders>
            <w:vAlign w:val="center"/>
          </w:tcPr>
          <w:p/>
        </w:tc>
        <w:tc>
          <w:tcPr>
            <w:tcW w:w="726" w:type="dxa"/>
            <w:vMerge/>
            <w:tcBorders>
              <w:top w:val="single" w:sz="4" w:space="0" w:color="000000"/>
              <w:left w:val="single" w:sz="4" w:space="0" w:color="000000"/>
              <w:bottom w:val="single" w:sz="4" w:space="0" w:color="000000"/>
              <w:right w:val="single" w:sz="4" w:space="0" w:color="000000"/>
            </w:tcBorders>
            <w:vAlign w:val="center"/>
          </w:tcP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可持续影响指标</w:t>
            </w:r>
          </w:p>
        </w:tc>
        <w:tc>
          <w:tcPr>
            <w:tcW w:w="125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可持续影响</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定性</w:t>
            </w:r>
          </w:p>
        </w:tc>
        <w:tc>
          <w:tcPr>
            <w:tcW w:w="92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高中低</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其他</w:t>
            </w:r>
          </w:p>
        </w:tc>
        <w:tc>
          <w:tcPr>
            <w:tcW w:w="89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4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r>
        <w:trPr>
          <w:trHeight w:val="787"/>
        </w:trPr>
        <w:tc>
          <w:tcPr>
            <w:tcW w:w="933" w:type="dxa"/>
            <w:vMerge/>
            <w:tcBorders>
              <w:top w:val="single" w:sz="4" w:space="0" w:color="000000"/>
              <w:left w:val="single" w:sz="4" w:space="0" w:color="000000"/>
              <w:bottom w:val="single" w:sz="4" w:space="0" w:color="000000"/>
            </w:tcBorders>
            <w:vAlign w:val="center"/>
          </w:tcPr>
          <w:p/>
        </w:tc>
        <w:tc>
          <w:tcPr>
            <w:tcW w:w="726"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满意度</w:t>
            </w:r>
          </w:p>
          <w:p>
            <w:pPr>
              <w:widowControl/>
              <w:spacing w:line="300" w:lineRule="exact"/>
              <w:jc w:val="center"/>
              <w:textAlignment w:val="center"/>
              <w:rPr>
                <w:color w:val="000000"/>
                <w:sz w:val="24"/>
              </w:rPr>
            </w:pPr>
            <w:r>
              <w:rPr>
                <w:color w:val="000000"/>
                <w:kern w:val="0"/>
                <w:sz w:val="24"/>
              </w:rPr>
              <w:t>指标</w:t>
            </w:r>
          </w:p>
        </w:tc>
        <w:tc>
          <w:tcPr>
            <w:tcW w:w="1197" w:type="dxa"/>
            <w:tcBorders>
              <w:top w:val="single" w:sz="4" w:space="0" w:color="000000"/>
              <w:left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服务对象满意度指标</w:t>
            </w:r>
          </w:p>
        </w:tc>
        <w:tc>
          <w:tcPr>
            <w:tcW w:w="125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受益对象满意度</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2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hint="eastAsia"/>
                <w:color w:val="000000"/>
                <w:kern w:val="0"/>
                <w:sz w:val="18"/>
                <w:szCs w:val="18"/>
              </w:rPr>
              <w:t>8</w:t>
            </w:r>
            <w:r>
              <w:rPr>
                <w:rFonts w:ascii="宋体" w:cs="宋体"/>
                <w:color w:val="000000"/>
                <w:kern w:val="0"/>
                <w:sz w:val="18"/>
                <w:szCs w:val="18"/>
              </w:rPr>
              <w:t>5</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89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hint="eastAsia"/>
                <w:color w:val="000000"/>
                <w:kern w:val="0"/>
                <w:sz w:val="18"/>
                <w:szCs w:val="18"/>
              </w:rPr>
              <w:t>10</w:t>
            </w:r>
          </w:p>
        </w:tc>
        <w:tc>
          <w:tcPr>
            <w:tcW w:w="14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429"/>
        </w:trPr>
        <w:tc>
          <w:tcPr>
            <w:tcW w:w="933" w:type="dxa"/>
            <w:vMerge/>
            <w:tcBorders>
              <w:top w:val="single" w:sz="4" w:space="0" w:color="000000"/>
              <w:left w:val="single" w:sz="4" w:space="0" w:color="000000"/>
              <w:bottom w:val="single" w:sz="4" w:space="0" w:color="000000"/>
            </w:tcBorders>
            <w:vAlign w:val="center"/>
          </w:tcPr>
          <w:p/>
        </w:tc>
        <w:tc>
          <w:tcPr>
            <w:tcW w:w="72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成本指标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经济成本指标</w:t>
            </w:r>
          </w:p>
        </w:tc>
        <w:tc>
          <w:tcPr>
            <w:tcW w:w="1257" w:type="dxa"/>
            <w:tcBorders>
              <w:top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金额</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2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10</w:t>
            </w:r>
            <w:r>
              <w:rPr>
                <w:rFonts w:ascii="宋体" w:cs="宋体" w:hint="eastAsia"/>
                <w:color w:val="000000"/>
                <w:kern w:val="0"/>
                <w:sz w:val="18"/>
                <w:szCs w:val="18"/>
              </w:rPr>
              <w:t>.00</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万元</w:t>
            </w:r>
          </w:p>
        </w:tc>
        <w:tc>
          <w:tcPr>
            <w:tcW w:w="89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hint="eastAsia"/>
                <w:color w:val="000000"/>
                <w:kern w:val="0"/>
                <w:sz w:val="18"/>
                <w:szCs w:val="18"/>
              </w:rPr>
              <w:t>10</w:t>
            </w:r>
          </w:p>
        </w:tc>
        <w:tc>
          <w:tcPr>
            <w:tcW w:w="14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r>
    </w:tbl>
    <w:p>
      <w:pPr>
        <w:pStyle w:val="22"/>
        <w:tabs>
          <w:tab w:val="center" w:pos="4153"/>
          <w:tab w:val="right" w:pos="8306"/>
        </w:tabs>
      </w:pPr>
    </w:p>
    <w:p>
      <w:pPr>
        <w:pStyle w:val="22"/>
        <w:tabs>
          <w:tab w:val="center" w:pos="4153"/>
          <w:tab w:val="right" w:pos="8306"/>
        </w:tabs>
      </w:pPr>
    </w:p>
    <w:p>
      <w:pPr>
        <w:pStyle w:val="22"/>
        <w:tabs>
          <w:tab w:val="center" w:pos="4153"/>
          <w:tab w:val="right" w:pos="8306"/>
        </w:tabs>
      </w:pPr>
    </w:p>
    <w:tbl>
      <w:tblPr>
        <w:jc w:val="center"/>
        <w:tblW w:w="994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548"/>
      </w:tblGrid>
      <w:tr>
        <w:trPr>
          <w:trHeight w:val="576"/>
        </w:trPr>
        <w:tc>
          <w:tcPr>
            <w:tcW w:w="994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51322325T000012853644-奖励南新镇党纪学习教育费用</w:t>
            </w:r>
          </w:p>
        </w:tc>
      </w:tr>
      <w:tr>
        <w:trPr>
          <w:trHeight w:val="458"/>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ascii="Wingdings 2" w:eastAsia="Wingdings 2" w:cs="Wingdings 2" w:hAnsi="Wingdings 2"/>
                <w:color w:val="000000"/>
                <w:kern w:val="0"/>
                <w:sz w:val="24"/>
              </w:rPr>
              <w:t></w:t>
            </w:r>
            <w:r>
              <w:rPr>
                <w:rFonts w:ascii="宋体" w:cs="宋体"/>
                <w:color w:val="000000"/>
                <w:kern w:val="0"/>
                <w:sz w:val="24"/>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ascii="Wingdings 2" w:eastAsia="Wingdings 2" w:cs="Wingdings 2" w:hAnsi="Wingdings 2"/>
                <w:color w:val="000000"/>
                <w:kern w:val="0"/>
                <w:sz w:val="24"/>
              </w:rPr>
              <w:t>项目法</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ascii="Wingdings 2" w:eastAsia="Wingdings 2" w:cs="Wingdings 2" w:hAnsi="Wingdings 2"/>
                <w:color w:val="000000"/>
                <w:kern w:val="0"/>
                <w:sz w:val="24"/>
              </w:rPr>
              <w:t></w:t>
            </w:r>
            <w:r>
              <w:rPr>
                <w:rFonts w:ascii="宋体" w:cs="宋体"/>
                <w:color w:val="000000"/>
                <w:kern w:val="0"/>
                <w:sz w:val="24"/>
              </w:rPr>
              <w:t>据实据效</w:t>
            </w:r>
          </w:p>
        </w:tc>
        <w:tc>
          <w:tcPr>
            <w:tcW w:w="154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ascii="Wingdings 2" w:eastAsia="Wingdings 2" w:cs="Wingdings 2" w:hAnsi="Wingdings 2"/>
                <w:color w:val="000000"/>
                <w:kern w:val="0"/>
                <w:sz w:val="24"/>
              </w:rPr>
              <w:t></w:t>
            </w:r>
            <w:r>
              <w:rPr>
                <w:rFonts w:ascii="宋体" w:cs="宋体"/>
                <w:color w:val="000000"/>
                <w:kern w:val="0"/>
                <w:sz w:val="24"/>
              </w:rPr>
              <w:t>因素法与项目法相结合</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ascii="宋体" w:cs="宋体" w:hint="eastAsia"/>
                <w:color w:val="000000"/>
                <w:sz w:val="24"/>
              </w:rPr>
              <w:t>2024年1月至2024年12月</w:t>
            </w:r>
          </w:p>
        </w:tc>
      </w:tr>
      <w:tr>
        <w:trPr>
          <w:trHeight w:val="23"/>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645"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288"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9288"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南新镇主题教育工作经费：中共茂县县委组织部安排我镇教育工作经费3000.00元，用于我镇开展党员教育。</w:t>
            </w:r>
          </w:p>
        </w:tc>
      </w:tr>
      <w:tr>
        <w:trPr>
          <w:trHeight w:val="23"/>
        </w:trPr>
        <w:tc>
          <w:tcPr>
            <w:tcW w:w="652"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54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val="restart"/>
            <w:tcBorders>
              <w:top w:val="single" w:sz="4" w:space="0" w:color="000000"/>
              <w:left w:val="single" w:sz="4" w:space="0" w:color="000000"/>
              <w:right w:val="single" w:sz="4" w:space="0" w:color="000000"/>
            </w:tcBorders>
            <w:vAlign w:val="center"/>
          </w:tcPr>
          <w:p>
            <w:pPr>
              <w:spacing w:line="300" w:lineRule="exact"/>
              <w:jc w:val="center"/>
              <w:rPr>
                <w:color w:val="000000"/>
                <w:sz w:val="24"/>
              </w:rPr>
            </w:p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项目验收合格率</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100</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20</w:t>
            </w: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项目完成年限</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1</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年</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20</w:t>
            </w: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效益指标</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经济效益</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vMerge/>
            <w:tcBorders>
              <w:top w:val="single" w:sz="4" w:space="0" w:color="000000"/>
              <w:left w:val="single" w:sz="4" w:space="0" w:color="000000"/>
              <w:bottom w:val="single" w:sz="4" w:space="0" w:color="000000"/>
              <w:right w:val="single" w:sz="4" w:space="0" w:color="000000"/>
            </w:tcBorders>
            <w:vAlign w:val="center"/>
          </w:tcP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vMerge w:val="restart"/>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社会效益</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开展党员教育，提高党员思想</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进一步保障</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20</w:t>
            </w: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color w:val="000000"/>
                <w:kern w:val="0"/>
                <w:sz w:val="24"/>
              </w:rPr>
              <w:t>进一步保障</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vMerge/>
            <w:tcBorders>
              <w:top w:val="single" w:sz="4" w:space="0" w:color="000000"/>
              <w:left w:val="single" w:sz="4" w:space="0" w:color="000000"/>
              <w:right w:val="single" w:sz="4" w:space="0" w:color="000000"/>
            </w:tcBorders>
            <w:vAlign w:val="center"/>
          </w:tcPr>
          <w:p/>
        </w:tc>
        <w:tc>
          <w:tcPr>
            <w:tcW w:w="1312"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p>
        </w:tc>
        <w:tc>
          <w:tcPr>
            <w:tcW w:w="112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w:t>
            </w:r>
          </w:p>
        </w:tc>
        <w:tc>
          <w:tcPr>
            <w:tcW w:w="1312"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p>
        </w:tc>
        <w:tc>
          <w:tcPr>
            <w:tcW w:w="112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满意度</w:t>
            </w:r>
          </w:p>
          <w:p>
            <w:pPr>
              <w:widowControl/>
              <w:spacing w:line="300" w:lineRule="exact"/>
              <w:jc w:val="center"/>
              <w:textAlignment w:val="center"/>
              <w:rPr>
                <w:color w:val="000000"/>
                <w:sz w:val="24"/>
              </w:rPr>
            </w:pPr>
            <w:r>
              <w:rPr>
                <w:color w:val="000000"/>
                <w:kern w:val="0"/>
                <w:sz w:val="24"/>
              </w:rPr>
              <w:t>指标</w:t>
            </w:r>
          </w:p>
        </w:tc>
        <w:tc>
          <w:tcPr>
            <w:tcW w:w="1250"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服务对象</w:t>
            </w:r>
          </w:p>
          <w:p>
            <w:pPr>
              <w:widowControl/>
              <w:spacing w:line="300" w:lineRule="exact"/>
              <w:jc w:val="center"/>
              <w:textAlignment w:val="center"/>
              <w:rPr>
                <w:color w:val="000000"/>
                <w:sz w:val="24"/>
              </w:rPr>
            </w:pPr>
            <w:r>
              <w:rPr>
                <w:color w:val="000000"/>
                <w:kern w:val="0"/>
                <w:sz w:val="24"/>
              </w:rPr>
              <w:t>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hint="eastAsia"/>
                <w:color w:val="000000"/>
                <w:sz w:val="24"/>
              </w:rPr>
              <w:t>受益党员满意度</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95</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95</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经济成本</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hint="eastAsia"/>
                <w:color w:val="000000"/>
                <w:sz w:val="24"/>
              </w:rPr>
              <w:t>项目预算资金</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hint="eastAsia"/>
                <w:color w:val="00000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hint="eastAsia"/>
                <w:color w:val="000000"/>
                <w:sz w:val="24"/>
              </w:rPr>
              <w:t>0.30</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hint="eastAsia"/>
                <w:color w:val="000000"/>
                <w:sz w:val="24"/>
              </w:rPr>
              <w:t>万元</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hint="eastAsia"/>
                <w:color w:val="000000"/>
                <w:sz w:val="24"/>
              </w:rPr>
              <w:t>20</w:t>
            </w: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0.30</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w:t>
            </w:r>
          </w:p>
        </w:tc>
        <w:tc>
          <w:tcPr>
            <w:tcW w:w="1312" w:type="dxa"/>
            <w:tcBorders>
              <w:top w:val="single" w:sz="4" w:space="0" w:color="000000"/>
              <w:bottom w:val="single" w:sz="4" w:space="0" w:color="000000"/>
              <w:right w:val="single" w:sz="4" w:space="0" w:color="000000"/>
            </w:tcBorders>
            <w:vAlign w:val="center"/>
          </w:tcPr>
          <w:p>
            <w:pPr>
              <w:spacing w:line="300" w:lineRule="exact"/>
              <w:rPr>
                <w:color w:val="000000"/>
                <w:sz w:val="24"/>
              </w:rPr>
            </w:pPr>
          </w:p>
        </w:tc>
        <w:tc>
          <w:tcPr>
            <w:tcW w:w="112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c>
          <w:tcPr>
            <w:tcW w:w="154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p>
        </w:tc>
      </w:tr>
    </w:tbl>
    <w:p>
      <w:pPr>
        <w:pStyle w:val="22"/>
        <w:tabs>
          <w:tab w:val="center" w:pos="4153"/>
          <w:tab w:val="right" w:pos="8306"/>
        </w:tabs>
      </w:pPr>
    </w:p>
    <w:p>
      <w:pPr>
        <w:pStyle w:val="22"/>
        <w:tabs>
          <w:tab w:val="center" w:pos="4153"/>
          <w:tab w:val="right" w:pos="8306"/>
        </w:tabs>
      </w:pPr>
    </w:p>
    <w:tbl>
      <w:tblPr>
        <w:jc w:val="center"/>
        <w:tblW w:w="10087"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756"/>
        <w:gridCol w:w="1039"/>
        <w:gridCol w:w="1197"/>
        <w:gridCol w:w="1262"/>
        <w:gridCol w:w="1079"/>
        <w:gridCol w:w="931"/>
        <w:gridCol w:w="1017"/>
        <w:gridCol w:w="899"/>
        <w:gridCol w:w="1907"/>
      </w:tblGrid>
      <w:tr>
        <w:trPr>
          <w:trHeight w:val="95"/>
        </w:trPr>
        <w:tc>
          <w:tcPr>
            <w:tcW w:w="10086"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95"/>
        </w:trPr>
        <w:tc>
          <w:tcPr>
            <w:tcW w:w="425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ascii="宋体" w:cs="宋体" w:hint="eastAsia"/>
                <w:color w:val="000000"/>
                <w:kern w:val="0"/>
                <w:sz w:val="18"/>
                <w:szCs w:val="18"/>
              </w:rPr>
              <w:t>51322324T000011929942-南新镇干部职工周转宿舍生活设施设备购置及办公楼、宿舍楼安全维修项目</w:t>
            </w:r>
          </w:p>
        </w:tc>
      </w:tr>
      <w:tr>
        <w:trPr>
          <w:trHeight w:val="95"/>
        </w:trPr>
        <w:tc>
          <w:tcPr>
            <w:tcW w:w="425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ascii="宋体" w:cs="宋体" w:hint="eastAsia"/>
                <w:color w:val="000000"/>
                <w:kern w:val="0"/>
                <w:sz w:val="18"/>
                <w:szCs w:val="18"/>
              </w:rPr>
              <w:t>茂县南新镇人民政府（行政）</w:t>
            </w:r>
          </w:p>
        </w:tc>
      </w:tr>
      <w:tr>
        <w:trPr>
          <w:trHeight w:val="95"/>
        </w:trPr>
        <w:tc>
          <w:tcPr>
            <w:tcW w:w="425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95"/>
        </w:trPr>
        <w:tc>
          <w:tcPr>
            <w:tcW w:w="756" w:type="dxa"/>
            <w:vMerge w:val="restart"/>
            <w:tcBorders>
              <w:top w:val="single" w:sz="4" w:space="0" w:color="000000"/>
              <w:left w:val="single" w:sz="4" w:space="0" w:color="000000"/>
              <w:right w:val="single" w:sz="4" w:space="0" w:color="000000"/>
            </w:tcBorders>
            <w:vAlign w:val="center"/>
          </w:tcPr>
          <w:p>
            <w:pPr>
              <w:spacing w:line="300" w:lineRule="exact"/>
              <w:rPr>
                <w:color w:val="000000"/>
                <w:sz w:val="24"/>
              </w:rPr>
            </w:pPr>
          </w:p>
        </w:tc>
        <w:tc>
          <w:tcPr>
            <w:tcW w:w="349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95"/>
        </w:trPr>
        <w:tc>
          <w:tcPr>
            <w:tcW w:w="756" w:type="dxa"/>
            <w:vMerge/>
            <w:tcBorders>
              <w:top w:val="single" w:sz="4" w:space="0" w:color="000000"/>
              <w:left w:val="single" w:sz="4" w:space="0" w:color="000000"/>
              <w:bottom w:val="single" w:sz="4" w:space="0" w:color="000000"/>
              <w:right w:val="single" w:sz="4" w:space="0" w:color="000000"/>
            </w:tcBorders>
            <w:vAlign w:val="center"/>
          </w:tcPr>
          <w:p/>
        </w:tc>
        <w:tc>
          <w:tcPr>
            <w:tcW w:w="349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194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95"/>
        </w:trPr>
        <w:tc>
          <w:tcPr>
            <w:tcW w:w="756" w:type="dxa"/>
            <w:vMerge/>
            <w:tcBorders>
              <w:top w:val="single" w:sz="4" w:space="0" w:color="000000"/>
              <w:left w:val="single" w:sz="4" w:space="0" w:color="000000"/>
              <w:bottom w:val="single" w:sz="4" w:space="0" w:color="000000"/>
              <w:right w:val="single" w:sz="4" w:space="0" w:color="000000"/>
            </w:tcBorders>
            <w:vAlign w:val="center"/>
          </w:tcPr>
          <w:p/>
        </w:tc>
        <w:tc>
          <w:tcPr>
            <w:tcW w:w="349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95"/>
        </w:trPr>
        <w:tc>
          <w:tcPr>
            <w:tcW w:w="756" w:type="dxa"/>
            <w:vMerge/>
            <w:tcBorders>
              <w:top w:val="single" w:sz="4" w:space="0" w:color="000000"/>
              <w:left w:val="single" w:sz="4" w:space="0" w:color="000000"/>
              <w:bottom w:val="single" w:sz="4" w:space="0" w:color="000000"/>
              <w:right w:val="single" w:sz="4" w:space="0" w:color="000000"/>
            </w:tcBorders>
            <w:vAlign w:val="center"/>
          </w:tcPr>
          <w:p/>
        </w:tc>
        <w:tc>
          <w:tcPr>
            <w:tcW w:w="349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95"/>
        </w:trPr>
        <w:tc>
          <w:tcPr>
            <w:tcW w:w="756" w:type="dxa"/>
            <w:vMerge/>
            <w:tcBorders>
              <w:top w:val="single" w:sz="4" w:space="0" w:color="000000"/>
              <w:left w:val="single" w:sz="4" w:space="0" w:color="000000"/>
              <w:bottom w:val="single" w:sz="4" w:space="0" w:color="000000"/>
              <w:right w:val="single" w:sz="4" w:space="0" w:color="000000"/>
            </w:tcBorders>
            <w:vAlign w:val="center"/>
          </w:tcPr>
          <w:p/>
        </w:tc>
        <w:tc>
          <w:tcPr>
            <w:tcW w:w="349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95"/>
        </w:trPr>
        <w:tc>
          <w:tcPr>
            <w:tcW w:w="756" w:type="dxa"/>
            <w:vMerge/>
            <w:tcBorders>
              <w:top w:val="single" w:sz="4" w:space="0" w:color="000000"/>
              <w:left w:val="single" w:sz="4" w:space="0" w:color="000000"/>
              <w:bottom w:val="single" w:sz="4" w:space="0" w:color="000000"/>
              <w:right w:val="single" w:sz="4" w:space="0" w:color="000000"/>
            </w:tcBorders>
            <w:vAlign w:val="center"/>
          </w:tcPr>
          <w:p/>
        </w:tc>
        <w:tc>
          <w:tcPr>
            <w:tcW w:w="349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r>
              <w:rPr>
                <w:rFonts w:ascii="宋体" w:cs="宋体" w:hint="eastAsia"/>
                <w:color w:val="000000"/>
                <w:kern w:val="0"/>
                <w:sz w:val="18"/>
                <w:szCs w:val="18"/>
              </w:rPr>
              <w:t>2024.01-2024.12</w:t>
            </w:r>
          </w:p>
        </w:tc>
      </w:tr>
      <w:tr>
        <w:trPr>
          <w:trHeight w:val="95"/>
        </w:trPr>
        <w:tc>
          <w:tcPr>
            <w:tcW w:w="1795"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458"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ascii="宋体" w:cs="宋体" w:hint="eastAsia"/>
                <w:color w:val="000000"/>
                <w:kern w:val="0"/>
                <w:sz w:val="18"/>
                <w:szCs w:val="18"/>
              </w:rPr>
              <w:t>40.00</w:t>
            </w:r>
          </w:p>
        </w:tc>
      </w:tr>
      <w:tr>
        <w:trPr>
          <w:trHeight w:val="242"/>
        </w:trPr>
        <w:tc>
          <w:tcPr>
            <w:tcW w:w="1795"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458"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3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ascii="宋体" w:cs="宋体" w:hint="eastAsia"/>
                <w:color w:val="000000"/>
                <w:kern w:val="0"/>
                <w:sz w:val="18"/>
                <w:szCs w:val="18"/>
              </w:rPr>
              <w:t>40.00</w:t>
            </w:r>
          </w:p>
        </w:tc>
      </w:tr>
      <w:tr>
        <w:trPr>
          <w:trHeight w:val="95"/>
        </w:trPr>
        <w:tc>
          <w:tcPr>
            <w:tcW w:w="756"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330"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95"/>
        </w:trPr>
        <w:tc>
          <w:tcPr>
            <w:tcW w:w="756" w:type="dxa"/>
            <w:vMerge/>
            <w:tcBorders>
              <w:top w:val="single" w:sz="4" w:space="0" w:color="000000"/>
              <w:left w:val="single" w:sz="4" w:space="0" w:color="000000"/>
              <w:bottom w:val="single" w:sz="4" w:space="0" w:color="000000"/>
              <w:right w:val="single" w:sz="4" w:space="0" w:color="000000"/>
            </w:tcBorders>
            <w:vAlign w:val="center"/>
          </w:tcPr>
          <w:p/>
        </w:tc>
        <w:tc>
          <w:tcPr>
            <w:tcW w:w="9330"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ascii="宋体" w:cs="宋体" w:hint="eastAsia"/>
                <w:color w:val="000000"/>
                <w:kern w:val="0"/>
                <w:sz w:val="18"/>
                <w:szCs w:val="18"/>
              </w:rPr>
              <w:t>一是对南新镇办公用房进行提升改造，消除安全隐患，优化用房布局，进行电网改造，满足办公服务需求。二是对住宿楼进行全面修缮，改善居住环境，提升居住舒适度，满足干部基本生活需求。三是优化提升职工食堂、澡堂、厕所等，营造关爱基层干部的良好氛围，确保基层干部职工身心愉悦更安心工作。</w:t>
            </w:r>
          </w:p>
        </w:tc>
      </w:tr>
      <w:tr>
        <w:trPr>
          <w:trHeight w:val="95"/>
        </w:trPr>
        <w:tc>
          <w:tcPr>
            <w:tcW w:w="756"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03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2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95"/>
        </w:trPr>
        <w:tc>
          <w:tcPr>
            <w:tcW w:w="756" w:type="dxa"/>
            <w:vMerge/>
            <w:tcBorders>
              <w:top w:val="single" w:sz="4" w:space="0" w:color="000000"/>
              <w:left w:val="single" w:sz="4" w:space="0" w:color="000000"/>
              <w:bottom w:val="single" w:sz="4" w:space="0" w:color="000000"/>
            </w:tcBorders>
            <w:vAlign w:val="center"/>
          </w:tcPr>
          <w:p/>
        </w:tc>
        <w:tc>
          <w:tcPr>
            <w:tcW w:w="1039"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产出指标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数量指标</w:t>
            </w:r>
          </w:p>
        </w:tc>
        <w:tc>
          <w:tcPr>
            <w:tcW w:w="12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改造项目数量</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项</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20</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color w:val="000000"/>
                <w:kern w:val="0"/>
                <w:sz w:val="18"/>
                <w:szCs w:val="18"/>
              </w:rPr>
            </w:pPr>
            <w:r>
              <w:rPr>
                <w:rFonts w:ascii="宋体" w:cs="宋体" w:hint="eastAsia"/>
                <w:color w:val="000000"/>
                <w:kern w:val="0"/>
                <w:sz w:val="18"/>
                <w:szCs w:val="18"/>
              </w:rPr>
              <w:t>1</w:t>
            </w:r>
          </w:p>
        </w:tc>
      </w:tr>
      <w:tr>
        <w:trPr>
          <w:trHeight w:val="95"/>
        </w:trPr>
        <w:tc>
          <w:tcPr>
            <w:tcW w:w="756" w:type="dxa"/>
            <w:vMerge/>
            <w:tcBorders>
              <w:top w:val="single" w:sz="4" w:space="0" w:color="000000"/>
              <w:left w:val="single" w:sz="4" w:space="0" w:color="000000"/>
              <w:bottom w:val="single" w:sz="4" w:space="0" w:color="000000"/>
            </w:tcBorders>
            <w:vAlign w:val="center"/>
          </w:tcPr>
          <w:p/>
        </w:tc>
        <w:tc>
          <w:tcPr>
            <w:tcW w:w="1039" w:type="dxa"/>
            <w:vMerge/>
            <w:tcBorders>
              <w:top w:val="single" w:sz="4" w:space="0" w:color="000000"/>
              <w:left w:val="single" w:sz="4" w:space="0" w:color="000000"/>
              <w:bottom w:val="single" w:sz="4" w:space="0" w:color="000000"/>
              <w:right w:val="single" w:sz="4" w:space="0" w:color="000000"/>
            </w:tcBorders>
            <w:vAlign w:val="center"/>
          </w:tcP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质量指标</w:t>
            </w:r>
          </w:p>
        </w:tc>
        <w:tc>
          <w:tcPr>
            <w:tcW w:w="12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项目（工程）验收合格率</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100</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10</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color w:val="000000"/>
                <w:kern w:val="0"/>
                <w:sz w:val="18"/>
                <w:szCs w:val="18"/>
              </w:rPr>
            </w:pPr>
            <w:r>
              <w:rPr>
                <w:rFonts w:ascii="宋体" w:cs="宋体" w:hint="eastAsia"/>
                <w:color w:val="000000"/>
                <w:kern w:val="0"/>
                <w:sz w:val="18"/>
                <w:szCs w:val="18"/>
              </w:rPr>
              <w:t>100</w:t>
            </w:r>
          </w:p>
        </w:tc>
      </w:tr>
      <w:tr>
        <w:trPr>
          <w:trHeight w:val="95"/>
        </w:trPr>
        <w:tc>
          <w:tcPr>
            <w:tcW w:w="756" w:type="dxa"/>
            <w:vMerge/>
            <w:tcBorders>
              <w:top w:val="single" w:sz="4" w:space="0" w:color="000000"/>
              <w:left w:val="single" w:sz="4" w:space="0" w:color="000000"/>
              <w:bottom w:val="single" w:sz="4" w:space="0" w:color="000000"/>
            </w:tcBorders>
            <w:vAlign w:val="center"/>
          </w:tcPr>
          <w:p/>
        </w:tc>
        <w:tc>
          <w:tcPr>
            <w:tcW w:w="1039" w:type="dxa"/>
            <w:vMerge/>
            <w:tcBorders>
              <w:top w:val="single" w:sz="4" w:space="0" w:color="000000"/>
              <w:left w:val="single" w:sz="4" w:space="0" w:color="000000"/>
              <w:bottom w:val="single" w:sz="4" w:space="0" w:color="000000"/>
              <w:right w:val="single" w:sz="4" w:space="0" w:color="000000"/>
            </w:tcBorders>
            <w:vAlign w:val="center"/>
          </w:tcP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时效指标</w:t>
            </w:r>
          </w:p>
        </w:tc>
        <w:tc>
          <w:tcPr>
            <w:tcW w:w="12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项目（工程）完成及时率</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100</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20</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color w:val="000000"/>
                <w:kern w:val="0"/>
                <w:sz w:val="18"/>
                <w:szCs w:val="18"/>
              </w:rPr>
            </w:pPr>
            <w:r>
              <w:rPr>
                <w:rFonts w:ascii="宋体" w:cs="宋体" w:hint="eastAsia"/>
                <w:color w:val="000000"/>
                <w:kern w:val="0"/>
                <w:sz w:val="18"/>
                <w:szCs w:val="18"/>
              </w:rPr>
              <w:t>100</w:t>
            </w:r>
          </w:p>
        </w:tc>
      </w:tr>
      <w:tr>
        <w:trPr>
          <w:trHeight w:val="95"/>
        </w:trPr>
        <w:tc>
          <w:tcPr>
            <w:tcW w:w="756" w:type="dxa"/>
            <w:vMerge/>
            <w:tcBorders>
              <w:top w:val="single" w:sz="4" w:space="0" w:color="000000"/>
              <w:left w:val="single" w:sz="4" w:space="0" w:color="000000"/>
              <w:bottom w:val="single" w:sz="4" w:space="0" w:color="000000"/>
            </w:tcBorders>
            <w:vAlign w:val="center"/>
          </w:tcPr>
          <w:p/>
        </w:tc>
        <w:tc>
          <w:tcPr>
            <w:tcW w:w="1039"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效益指标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社会效益指标</w:t>
            </w:r>
          </w:p>
        </w:tc>
        <w:tc>
          <w:tcPr>
            <w:tcW w:w="12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消除安全隐患，并提供干部职工正常生活条件</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定性</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高中低</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其他</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10</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color w:val="000000"/>
                <w:kern w:val="0"/>
                <w:sz w:val="18"/>
                <w:szCs w:val="18"/>
              </w:rPr>
            </w:pPr>
            <w:r>
              <w:rPr>
                <w:rFonts w:ascii="宋体" w:cs="宋体" w:hint="eastAsia"/>
                <w:color w:val="000000"/>
                <w:kern w:val="0"/>
                <w:sz w:val="18"/>
                <w:szCs w:val="18"/>
              </w:rPr>
              <w:t>高</w:t>
            </w:r>
          </w:p>
        </w:tc>
      </w:tr>
      <w:tr>
        <w:trPr>
          <w:trHeight w:val="95"/>
        </w:trPr>
        <w:tc>
          <w:tcPr>
            <w:tcW w:w="756" w:type="dxa"/>
            <w:vMerge/>
            <w:tcBorders>
              <w:top w:val="single" w:sz="4" w:space="0" w:color="000000"/>
              <w:left w:val="single" w:sz="4" w:space="0" w:color="000000"/>
              <w:bottom w:val="single" w:sz="4" w:space="0" w:color="000000"/>
            </w:tcBorders>
            <w:vAlign w:val="center"/>
          </w:tcPr>
          <w:p/>
        </w:tc>
        <w:tc>
          <w:tcPr>
            <w:tcW w:w="1039" w:type="dxa"/>
            <w:vMerge/>
            <w:tcBorders>
              <w:top w:val="single" w:sz="4" w:space="0" w:color="000000"/>
              <w:left w:val="single" w:sz="4" w:space="0" w:color="000000"/>
              <w:bottom w:val="single" w:sz="4" w:space="0" w:color="000000"/>
              <w:right w:val="single" w:sz="4" w:space="0" w:color="000000"/>
            </w:tcBorders>
            <w:vAlign w:val="center"/>
          </w:tcP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可持续影响指标</w:t>
            </w:r>
          </w:p>
        </w:tc>
        <w:tc>
          <w:tcPr>
            <w:tcW w:w="12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项目工程使用年限</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5</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年</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10</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color w:val="000000"/>
                <w:kern w:val="0"/>
                <w:sz w:val="18"/>
                <w:szCs w:val="18"/>
              </w:rPr>
            </w:pPr>
            <w:r>
              <w:rPr>
                <w:rFonts w:ascii="宋体" w:cs="宋体" w:hint="eastAsia"/>
                <w:color w:val="000000"/>
                <w:kern w:val="0"/>
                <w:sz w:val="18"/>
                <w:szCs w:val="18"/>
              </w:rPr>
              <w:t>1</w:t>
            </w:r>
          </w:p>
        </w:tc>
      </w:tr>
      <w:tr>
        <w:trPr>
          <w:trHeight w:val="95"/>
        </w:trPr>
        <w:tc>
          <w:tcPr>
            <w:tcW w:w="756" w:type="dxa"/>
            <w:vMerge/>
            <w:tcBorders>
              <w:top w:val="single" w:sz="4" w:space="0" w:color="000000"/>
              <w:left w:val="single" w:sz="4" w:space="0" w:color="000000"/>
              <w:bottom w:val="single" w:sz="4" w:space="0" w:color="000000"/>
            </w:tcBorders>
            <w:vAlign w:val="center"/>
          </w:tcPr>
          <w:p/>
        </w:tc>
        <w:tc>
          <w:tcPr>
            <w:tcW w:w="103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满意度指标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服务对象满意度指标</w:t>
            </w:r>
          </w:p>
        </w:tc>
        <w:tc>
          <w:tcPr>
            <w:tcW w:w="12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服务对象满意度</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9</w:t>
            </w:r>
            <w:r>
              <w:rPr>
                <w:rFonts w:ascii="宋体" w:cs="宋体" w:hint="eastAsia"/>
                <w:color w:val="000000"/>
                <w:kern w:val="0"/>
                <w:sz w:val="18"/>
                <w:szCs w:val="18"/>
              </w:rPr>
              <w:t>0</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10</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color w:val="000000"/>
                <w:kern w:val="0"/>
                <w:sz w:val="18"/>
                <w:szCs w:val="18"/>
              </w:rPr>
            </w:pPr>
            <w:r>
              <w:rPr>
                <w:rFonts w:ascii="宋体" w:cs="宋体" w:hint="eastAsia"/>
                <w:color w:val="000000"/>
                <w:kern w:val="0"/>
                <w:sz w:val="18"/>
                <w:szCs w:val="18"/>
              </w:rPr>
              <w:t>90</w:t>
            </w:r>
          </w:p>
        </w:tc>
      </w:tr>
      <w:tr>
        <w:trPr>
          <w:trHeight w:val="95"/>
        </w:trPr>
        <w:tc>
          <w:tcPr>
            <w:tcW w:w="756" w:type="dxa"/>
            <w:vMerge/>
            <w:tcBorders>
              <w:top w:val="single" w:sz="4" w:space="0" w:color="000000"/>
              <w:left w:val="single" w:sz="4" w:space="0" w:color="000000"/>
              <w:bottom w:val="single" w:sz="4" w:space="0" w:color="000000"/>
            </w:tcBorders>
            <w:vAlign w:val="center"/>
          </w:tcPr>
          <w:p/>
        </w:tc>
        <w:tc>
          <w:tcPr>
            <w:tcW w:w="103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成本指标</w:t>
            </w:r>
          </w:p>
        </w:tc>
        <w:tc>
          <w:tcPr>
            <w:tcW w:w="119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经济成本指标</w:t>
            </w:r>
          </w:p>
        </w:tc>
        <w:tc>
          <w:tcPr>
            <w:tcW w:w="12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投入资金</w:t>
            </w:r>
          </w:p>
        </w:tc>
        <w:tc>
          <w:tcPr>
            <w:tcW w:w="107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hint="eastAsia"/>
                <w:color w:val="000000"/>
                <w:kern w:val="0"/>
                <w:sz w:val="18"/>
                <w:szCs w:val="18"/>
              </w:rPr>
              <w:t>40.00</w:t>
            </w:r>
          </w:p>
        </w:tc>
        <w:tc>
          <w:tcPr>
            <w:tcW w:w="10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hint="eastAsia"/>
                <w:color w:val="000000"/>
                <w:kern w:val="0"/>
                <w:sz w:val="18"/>
                <w:szCs w:val="18"/>
              </w:rPr>
              <w:t>万</w:t>
            </w:r>
            <w:r>
              <w:rPr>
                <w:rFonts w:ascii="宋体" w:cs="宋体"/>
                <w:color w:val="000000"/>
                <w:kern w:val="0"/>
                <w:sz w:val="18"/>
                <w:szCs w:val="18"/>
              </w:rPr>
              <w:t>元</w:t>
            </w:r>
          </w:p>
        </w:tc>
        <w:tc>
          <w:tcPr>
            <w:tcW w:w="89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color w:val="000000"/>
                <w:kern w:val="0"/>
                <w:sz w:val="18"/>
                <w:szCs w:val="18"/>
              </w:rPr>
              <w:t>10</w:t>
            </w:r>
          </w:p>
        </w:tc>
        <w:tc>
          <w:tcPr>
            <w:tcW w:w="190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24"/>
              </w:rPr>
            </w:pPr>
            <w:r>
              <w:rPr>
                <w:rFonts w:ascii="宋体" w:cs="宋体" w:hint="eastAsia"/>
                <w:color w:val="000000"/>
                <w:kern w:val="0"/>
                <w:sz w:val="18"/>
                <w:szCs w:val="18"/>
              </w:rPr>
              <w:t>387355.92</w:t>
            </w:r>
          </w:p>
        </w:tc>
      </w:tr>
    </w:tbl>
    <w:p>
      <w:pPr>
        <w:pStyle w:val="26"/>
        <w:spacing w:after="0" w:line="20" w:lineRule="exact"/>
        <w:ind w:leftChars="0" w:left="0"/>
        <w:rPr>
          <w:rFonts w:ascii="Times New Roman" w:eastAsia="黑体" w:hAnsi="Times New Roman"/>
          <w:sz w:val="24"/>
          <w:szCs w:val="24"/>
        </w:rPr>
      </w:pPr>
    </w:p>
    <w:p>
      <w:pPr>
        <w:pStyle w:val="22"/>
        <w:tabs>
          <w:tab w:val="center" w:pos="4153"/>
          <w:tab w:val="right" w:pos="8306"/>
        </w:tabs>
      </w:pPr>
    </w:p>
    <w:p>
      <w:pPr>
        <w:pStyle w:val="22"/>
        <w:tabs>
          <w:tab w:val="center" w:pos="4153"/>
          <w:tab w:val="right" w:pos="8306"/>
        </w:tabs>
      </w:pPr>
    </w:p>
    <w:tbl>
      <w:tblPr>
        <w:jc w:val="center"/>
        <w:tblW w:w="10233"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rPr>
          <w:trHeight w:val="576"/>
        </w:trPr>
        <w:tc>
          <w:tcPr>
            <w:tcW w:w="10233"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kern w:val="0"/>
                <w:sz w:val="24"/>
              </w:rPr>
              <w:t>51322325T000012818663-2024年乡镇机关食堂经费</w:t>
            </w:r>
          </w:p>
        </w:tc>
      </w:tr>
      <w:tr>
        <w:trPr>
          <w:trHeight w:val="458"/>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ascii="Wingdings 2" w:eastAsia="Wingdings 2" w:cs="Wingdings 2" w:hAnsi="Wingdings 2"/>
                <w:color w:val="000000"/>
                <w:kern w:val="0"/>
                <w:sz w:val="24"/>
              </w:rPr>
              <w:t></w:t>
            </w:r>
            <w:r>
              <w:rPr>
                <w:rFonts w:ascii="宋体" w:cs="宋体"/>
                <w:color w:val="000000"/>
                <w:kern w:val="0"/>
                <w:sz w:val="24"/>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ascii="Wingdings 2" w:eastAsia="Wingdings 2" w:cs="Wingdings 2" w:hAnsi="Wingdings 2"/>
                <w:color w:val="000000"/>
                <w:kern w:val="0"/>
                <w:sz w:val="24"/>
              </w:rPr>
              <w:t>项目法</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ascii="Wingdings 2" w:eastAsia="Wingdings 2" w:cs="Wingdings 2" w:hAnsi="Wingdings 2"/>
                <w:color w:val="000000"/>
                <w:kern w:val="0"/>
                <w:sz w:val="24"/>
              </w:rPr>
              <w:t></w:t>
            </w:r>
            <w:r>
              <w:rPr>
                <w:rFonts w:ascii="宋体" w:cs="宋体"/>
                <w:color w:val="000000"/>
                <w:kern w:val="0"/>
                <w:sz w:val="24"/>
              </w:rPr>
              <w:t>据实据效</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ascii="Wingdings 2" w:eastAsia="Wingdings 2" w:cs="Wingdings 2" w:hAnsi="Wingdings 2"/>
                <w:color w:val="000000"/>
                <w:kern w:val="0"/>
                <w:sz w:val="24"/>
              </w:rPr>
              <w:t></w:t>
            </w:r>
            <w:r>
              <w:rPr>
                <w:rFonts w:ascii="宋体" w:cs="宋体"/>
                <w:color w:val="000000"/>
                <w:kern w:val="0"/>
                <w:sz w:val="24"/>
              </w:rPr>
              <w:t>因素法与项目法相结合</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r>
              <w:rPr>
                <w:rFonts w:hint="eastAsia"/>
                <w:color w:val="000000"/>
                <w:kern w:val="0"/>
                <w:sz w:val="24"/>
              </w:rPr>
              <w:t>2024年乡镇机关食堂经费</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ascii="宋体" w:cs="宋体" w:hint="eastAsia"/>
                <w:color w:val="000000"/>
                <w:sz w:val="24"/>
              </w:rPr>
              <w:t>2024年1月至2024年12月</w:t>
            </w:r>
          </w:p>
        </w:tc>
      </w:tr>
      <w:tr>
        <w:trPr>
          <w:trHeight w:val="230"/>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977"/>
              </w:tabs>
              <w:spacing w:line="300" w:lineRule="exact"/>
              <w:jc w:val="center"/>
              <w:rPr>
                <w:color w:val="000000"/>
                <w:sz w:val="24"/>
              </w:rPr>
            </w:pPr>
            <w:r>
              <w:rPr>
                <w:rFonts w:hint="eastAsia"/>
                <w:color w:val="000000"/>
                <w:sz w:val="24"/>
              </w:rPr>
              <w:t>12.00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tabs>
                <w:tab w:val="left" w:pos="2277"/>
              </w:tabs>
              <w:spacing w:line="300" w:lineRule="exact"/>
              <w:jc w:val="center"/>
              <w:rPr>
                <w:color w:val="000000"/>
                <w:sz w:val="24"/>
              </w:rPr>
            </w:pPr>
            <w:r>
              <w:rPr>
                <w:rFonts w:hint="eastAsia"/>
                <w:color w:val="000000"/>
                <w:sz w:val="24"/>
              </w:rPr>
              <w:t>12.00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81"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vAlign w:val="center"/>
          </w:tcPr>
          <w:p/>
        </w:tc>
        <w:tc>
          <w:tcPr>
            <w:tcW w:w="9581"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用于支付南新镇机关食堂购买大米、蔬菜、油，肉类等支出，及食堂厨师工资。保障我镇食堂正常运转、保障我镇职工正常用餐。</w:t>
            </w:r>
          </w:p>
        </w:tc>
      </w:tr>
      <w:tr>
        <w:trPr>
          <w:trHeight w:val="23"/>
        </w:trPr>
        <w:tc>
          <w:tcPr>
            <w:tcW w:w="652"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val="restart"/>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产出指标</w:t>
            </w:r>
          </w:p>
        </w:tc>
        <w:tc>
          <w:tcPr>
            <w:tcW w:w="1250"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工作日每天食堂就餐人次</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51</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人次</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20</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r>
              <w:rPr>
                <w:rFonts w:hint="eastAsia"/>
                <w:color w:val="000000"/>
                <w:kern w:val="0"/>
                <w:sz w:val="24"/>
              </w:rPr>
              <w:t>51人次</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left w:val="single" w:sz="4" w:space="0" w:color="000000"/>
              <w:right w:val="single" w:sz="4" w:space="0" w:color="000000"/>
            </w:tcBorders>
            <w:vAlign w:val="center"/>
          </w:tcPr>
          <w:p/>
        </w:tc>
        <w:tc>
          <w:tcPr>
            <w:tcW w:w="1250"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质量指标</w:t>
            </w:r>
          </w:p>
          <w:p>
            <w:pPr>
              <w:widowControl/>
              <w:spacing w:line="300" w:lineRule="exact"/>
              <w:jc w:val="center"/>
              <w:textAlignment w:val="center"/>
              <w:rPr>
                <w:color w:val="000000"/>
                <w:kern w:val="0"/>
                <w:sz w:val="24"/>
              </w:rPr>
            </w:pP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项目验收合格率</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100</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10</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=100%</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项目完成年限</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年</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10</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=1年</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val="restart"/>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效益指标</w:t>
            </w:r>
          </w:p>
        </w:tc>
        <w:tc>
          <w:tcPr>
            <w:tcW w:w="1250" w:type="dxa"/>
            <w:vMerge w:val="restart"/>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社会效益</w:t>
            </w:r>
          </w:p>
          <w:p>
            <w:pPr>
              <w:widowControl/>
              <w:spacing w:line="300" w:lineRule="exact"/>
              <w:jc w:val="center"/>
              <w:textAlignment w:val="center"/>
              <w:rPr>
                <w:color w:val="000000"/>
                <w:kern w:val="0"/>
                <w:sz w:val="24"/>
              </w:rPr>
            </w:pPr>
            <w:r>
              <w:rPr>
                <w:color w:val="000000"/>
                <w:kern w:val="0"/>
                <w:sz w:val="24"/>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保障我镇职工正常用餐</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进一步保障</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15</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进一步保障</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vMerge/>
            <w:tcBorders>
              <w:left w:val="single" w:sz="4" w:space="0" w:color="000000"/>
              <w:bottom w:val="single" w:sz="4" w:space="0" w:color="000000"/>
              <w:right w:val="single" w:sz="4" w:space="0" w:color="000000"/>
            </w:tcBorders>
            <w:vAlign w:val="center"/>
          </w:tcPr>
          <w:p/>
        </w:tc>
        <w:tc>
          <w:tcPr>
            <w:tcW w:w="1250" w:type="dxa"/>
            <w:vMerge/>
            <w:tcBorders>
              <w:left w:val="single" w:sz="4" w:space="0" w:color="000000"/>
              <w:right w:val="single" w:sz="4" w:space="0" w:color="000000"/>
            </w:tcBorders>
            <w:vAlign w:val="center"/>
          </w:tcP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保障我镇食堂正常运转</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进一步保障</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15</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进一步保障</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满意度</w:t>
            </w:r>
          </w:p>
          <w:p>
            <w:pPr>
              <w:widowControl/>
              <w:spacing w:line="300" w:lineRule="exact"/>
              <w:jc w:val="center"/>
              <w:textAlignment w:val="center"/>
              <w:rPr>
                <w:color w:val="000000"/>
                <w:kern w:val="0"/>
                <w:sz w:val="24"/>
              </w:rPr>
            </w:pPr>
            <w:r>
              <w:rPr>
                <w:color w:val="000000"/>
                <w:kern w:val="0"/>
                <w:sz w:val="24"/>
              </w:rPr>
              <w:t>指标</w:t>
            </w:r>
          </w:p>
        </w:tc>
        <w:tc>
          <w:tcPr>
            <w:tcW w:w="1250"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服务对象</w:t>
            </w:r>
          </w:p>
          <w:p>
            <w:pPr>
              <w:widowControl/>
              <w:spacing w:line="300" w:lineRule="exact"/>
              <w:jc w:val="center"/>
              <w:textAlignment w:val="center"/>
              <w:rPr>
                <w:color w:val="000000"/>
                <w:kern w:val="0"/>
                <w:sz w:val="24"/>
              </w:rPr>
            </w:pPr>
            <w:r>
              <w:rPr>
                <w:color w:val="000000"/>
                <w:kern w:val="0"/>
                <w:sz w:val="24"/>
              </w:rPr>
              <w:t>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职工满意度</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95</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10</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r>
              <w:rPr>
                <w:rFonts w:hint="eastAsia"/>
                <w:color w:val="000000"/>
                <w:kern w:val="0"/>
                <w:sz w:val="24"/>
              </w:rPr>
              <w:t>95%</w:t>
            </w:r>
          </w:p>
        </w:tc>
      </w:tr>
      <w:tr>
        <w:trPr>
          <w:trHeight w:val="23"/>
        </w:trPr>
        <w:tc>
          <w:tcPr>
            <w:tcW w:w="652" w:type="dxa"/>
            <w:vMerge/>
            <w:tcBorders>
              <w:top w:val="single" w:sz="4" w:space="0" w:color="000000"/>
              <w:left w:val="single" w:sz="4" w:space="0" w:color="000000"/>
              <w:bottom w:val="single" w:sz="4" w:space="0" w:color="000000"/>
            </w:tcBorders>
            <w:vAlign w:val="center"/>
          </w:tcPr>
          <w:p/>
        </w:tc>
        <w:tc>
          <w:tcPr>
            <w:tcW w:w="108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经济成本</w:t>
            </w:r>
          </w:p>
          <w:p>
            <w:pPr>
              <w:widowControl/>
              <w:spacing w:line="300" w:lineRule="exact"/>
              <w:jc w:val="center"/>
              <w:textAlignment w:val="center"/>
              <w:rPr>
                <w:color w:val="000000"/>
                <w:kern w:val="0"/>
                <w:sz w:val="24"/>
              </w:rPr>
            </w:pPr>
            <w:r>
              <w:rPr>
                <w:color w:val="000000"/>
                <w:kern w:val="0"/>
                <w:sz w:val="24"/>
              </w:rPr>
              <w:t>指标</w:t>
            </w:r>
          </w:p>
        </w:tc>
        <w:tc>
          <w:tcPr>
            <w:tcW w:w="1312" w:type="dxa"/>
            <w:tcBorders>
              <w:top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2024年乡镇机关食堂经费预算</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12.00</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万</w:t>
            </w:r>
            <w:r>
              <w:rPr>
                <w:color w:val="000000"/>
                <w:kern w:val="0"/>
                <w:sz w:val="24"/>
              </w:rPr>
              <w:t>元</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10</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rFonts w:hint="eastAsia"/>
                <w:color w:val="000000"/>
                <w:kern w:val="0"/>
                <w:sz w:val="24"/>
              </w:rPr>
              <w:t>=12万元</w:t>
            </w:r>
          </w:p>
        </w:tc>
      </w:tr>
    </w:tbl>
    <w:p>
      <w:pPr>
        <w:pStyle w:val="22"/>
        <w:tabs>
          <w:tab w:val="center" w:pos="4153"/>
          <w:tab w:val="right" w:pos="8306"/>
        </w:tabs>
      </w:pPr>
    </w:p>
    <w:p>
      <w:pPr>
        <w:pStyle w:val="22"/>
        <w:tabs>
          <w:tab w:val="center" w:pos="4153"/>
          <w:tab w:val="right" w:pos="8306"/>
        </w:tabs>
      </w:pPr>
    </w:p>
    <w:tbl>
      <w:tblPr>
        <w:jc w:val="center"/>
        <w:tblW w:w="10173"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855"/>
        <w:gridCol w:w="868"/>
        <w:gridCol w:w="1243"/>
        <w:gridCol w:w="1304"/>
        <w:gridCol w:w="1120"/>
        <w:gridCol w:w="965"/>
        <w:gridCol w:w="1055"/>
        <w:gridCol w:w="932"/>
        <w:gridCol w:w="1831"/>
      </w:tblGrid>
      <w:tr>
        <w:trPr>
          <w:trHeight w:val="582"/>
        </w:trPr>
        <w:tc>
          <w:tcPr>
            <w:tcW w:w="10173"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70"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项目名称</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51322321T000000170317-村干部工资</w:t>
            </w:r>
          </w:p>
        </w:tc>
      </w:tr>
      <w:tr>
        <w:trPr>
          <w:trHeight w:val="463"/>
        </w:trPr>
        <w:tc>
          <w:tcPr>
            <w:tcW w:w="4270"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预算单位</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茂县南新镇人民政府（行政）</w:t>
            </w:r>
          </w:p>
        </w:tc>
      </w:tr>
      <w:tr>
        <w:trPr>
          <w:trHeight w:val="23"/>
        </w:trPr>
        <w:tc>
          <w:tcPr>
            <w:tcW w:w="4270"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项目类型</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项目 </w:t>
            </w:r>
          </w:p>
          <w:p>
            <w:pPr>
              <w:widowControl/>
              <w:spacing w:line="300" w:lineRule="exact"/>
              <w:jc w:val="center"/>
              <w:textAlignment w:val="center"/>
              <w:rPr>
                <w:color w:val="000000"/>
                <w:sz w:val="18"/>
                <w:szCs w:val="18"/>
              </w:rPr>
            </w:pPr>
            <w:r>
              <w:rPr>
                <w:color w:val="000000"/>
                <w:kern w:val="0"/>
                <w:sz w:val="18"/>
                <w:szCs w:val="18"/>
              </w:rPr>
              <w:t>概况</w:t>
            </w:r>
          </w:p>
        </w:tc>
        <w:tc>
          <w:tcPr>
            <w:tcW w:w="341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18"/>
                <w:szCs w:val="18"/>
              </w:rPr>
            </w:pPr>
            <w:r>
              <w:rPr>
                <w:color w:val="000000"/>
                <w:kern w:val="0"/>
                <w:sz w:val="18"/>
                <w:szCs w:val="18"/>
              </w:rPr>
              <w:t>中长期规划（名称、文号，仅指</w:t>
            </w:r>
          </w:p>
          <w:p>
            <w:pPr>
              <w:widowControl/>
              <w:spacing w:line="300" w:lineRule="exact"/>
              <w:jc w:val="left"/>
              <w:textAlignment w:val="center"/>
              <w:rPr>
                <w:color w:val="000000"/>
                <w:sz w:val="18"/>
                <w:szCs w:val="18"/>
              </w:rPr>
            </w:pPr>
            <w:r>
              <w:rPr>
                <w:color w:val="000000"/>
                <w:kern w:val="0"/>
                <w:sz w:val="18"/>
                <w:szCs w:val="18"/>
              </w:rPr>
              <w:t>常年项目）</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55" w:type="dxa"/>
            <w:vMerge/>
            <w:tcBorders>
              <w:top w:val="single" w:sz="4" w:space="0" w:color="000000"/>
              <w:left w:val="single" w:sz="4" w:space="0" w:color="000000"/>
              <w:bottom w:val="single" w:sz="4" w:space="0" w:color="000000"/>
              <w:right w:val="single" w:sz="4" w:space="0" w:color="000000"/>
            </w:tcBorders>
            <w:vAlign w:val="center"/>
          </w:tcPr>
          <w:p/>
        </w:tc>
        <w:tc>
          <w:tcPr>
            <w:tcW w:w="341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55" w:type="dxa"/>
            <w:vMerge/>
            <w:tcBorders>
              <w:top w:val="single" w:sz="4" w:space="0" w:color="000000"/>
              <w:left w:val="single" w:sz="4" w:space="0" w:color="000000"/>
              <w:bottom w:val="single" w:sz="4" w:space="0" w:color="000000"/>
              <w:right w:val="single" w:sz="4" w:space="0" w:color="000000"/>
            </w:tcBorders>
            <w:vAlign w:val="center"/>
          </w:tcPr>
          <w:p/>
        </w:tc>
        <w:tc>
          <w:tcPr>
            <w:tcW w:w="341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12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2020"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93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rPr>
          <w:trHeight w:val="23"/>
        </w:trPr>
        <w:tc>
          <w:tcPr>
            <w:tcW w:w="855" w:type="dxa"/>
            <w:vMerge/>
            <w:tcBorders>
              <w:top w:val="single" w:sz="4" w:space="0" w:color="000000"/>
              <w:left w:val="single" w:sz="4" w:space="0" w:color="000000"/>
              <w:bottom w:val="single" w:sz="4" w:space="0" w:color="000000"/>
              <w:right w:val="single" w:sz="4" w:space="0" w:color="000000"/>
            </w:tcBorders>
            <w:vAlign w:val="center"/>
          </w:tcPr>
          <w:p/>
        </w:tc>
        <w:tc>
          <w:tcPr>
            <w:tcW w:w="341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55" w:type="dxa"/>
            <w:vMerge/>
            <w:tcBorders>
              <w:top w:val="single" w:sz="4" w:space="0" w:color="000000"/>
              <w:left w:val="single" w:sz="4" w:space="0" w:color="000000"/>
              <w:bottom w:val="single" w:sz="4" w:space="0" w:color="000000"/>
              <w:right w:val="single" w:sz="4" w:space="0" w:color="000000"/>
            </w:tcBorders>
            <w:vAlign w:val="center"/>
          </w:tcPr>
          <w:p/>
        </w:tc>
        <w:tc>
          <w:tcPr>
            <w:tcW w:w="341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55" w:type="dxa"/>
            <w:vMerge/>
            <w:tcBorders>
              <w:top w:val="single" w:sz="4" w:space="0" w:color="000000"/>
              <w:left w:val="single" w:sz="4" w:space="0" w:color="000000"/>
              <w:bottom w:val="single" w:sz="4" w:space="0" w:color="000000"/>
              <w:right w:val="single" w:sz="4" w:space="0" w:color="000000"/>
            </w:tcBorders>
            <w:vAlign w:val="center"/>
          </w:tcPr>
          <w:p/>
        </w:tc>
        <w:tc>
          <w:tcPr>
            <w:tcW w:w="341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55" w:type="dxa"/>
            <w:vMerge/>
            <w:tcBorders>
              <w:top w:val="single" w:sz="4" w:space="0" w:color="000000"/>
              <w:left w:val="single" w:sz="4" w:space="0" w:color="000000"/>
              <w:bottom w:val="single" w:sz="4" w:space="0" w:color="000000"/>
              <w:right w:val="single" w:sz="4" w:space="0" w:color="000000"/>
            </w:tcBorders>
            <w:vAlign w:val="center"/>
          </w:tcPr>
          <w:p/>
        </w:tc>
        <w:tc>
          <w:tcPr>
            <w:tcW w:w="341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2024.1-2024.12</w:t>
            </w:r>
          </w:p>
        </w:tc>
      </w:tr>
      <w:tr>
        <w:trPr>
          <w:trHeight w:val="23"/>
        </w:trPr>
        <w:tc>
          <w:tcPr>
            <w:tcW w:w="172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54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110"/>
                <w:tab w:val="right" w:pos="6028"/>
              </w:tabs>
              <w:spacing w:line="300" w:lineRule="exact"/>
              <w:jc w:val="center"/>
              <w:rPr>
                <w:color w:val="000000"/>
                <w:sz w:val="18"/>
                <w:szCs w:val="18"/>
              </w:rPr>
            </w:pPr>
            <w:r>
              <w:rPr>
                <w:rFonts w:hint="eastAsia"/>
                <w:color w:val="000000"/>
                <w:sz w:val="18"/>
                <w:szCs w:val="18"/>
              </w:rPr>
              <w:t xml:space="preserve">   145.92</w:t>
              <w:tab/>
            </w:r>
          </w:p>
        </w:tc>
      </w:tr>
      <w:tr>
        <w:trPr>
          <w:trHeight w:val="23"/>
        </w:trPr>
        <w:tc>
          <w:tcPr>
            <w:tcW w:w="172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4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305"/>
                <w:tab w:val="right" w:pos="6028"/>
              </w:tabs>
              <w:spacing w:line="300" w:lineRule="exact"/>
              <w:jc w:val="center"/>
              <w:rPr>
                <w:color w:val="000000"/>
                <w:sz w:val="18"/>
                <w:szCs w:val="18"/>
              </w:rPr>
            </w:pPr>
            <w:r>
              <w:rPr>
                <w:rFonts w:hint="eastAsia"/>
                <w:color w:val="000000"/>
                <w:sz w:val="18"/>
                <w:szCs w:val="18"/>
              </w:rPr>
              <w:t>145.92</w:t>
            </w:r>
          </w:p>
        </w:tc>
      </w:tr>
      <w:tr>
        <w:trPr>
          <w:trHeight w:val="23"/>
        </w:trPr>
        <w:tc>
          <w:tcPr>
            <w:tcW w:w="172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4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903"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18"/>
                <w:szCs w:val="18"/>
              </w:rPr>
            </w:pPr>
          </w:p>
        </w:tc>
      </w:tr>
      <w:tr>
        <w:trPr>
          <w:trHeight w:val="23"/>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总体 </w:t>
            </w:r>
          </w:p>
          <w:p>
            <w:pPr>
              <w:widowControl/>
              <w:spacing w:line="300" w:lineRule="exact"/>
              <w:jc w:val="center"/>
              <w:textAlignment w:val="center"/>
              <w:rPr>
                <w:color w:val="000000"/>
                <w:sz w:val="18"/>
                <w:szCs w:val="18"/>
              </w:rPr>
            </w:pPr>
            <w:r>
              <w:rPr>
                <w:color w:val="000000"/>
                <w:kern w:val="0"/>
                <w:sz w:val="18"/>
                <w:szCs w:val="18"/>
              </w:rPr>
              <w:t>目标</w:t>
            </w:r>
          </w:p>
        </w:tc>
        <w:tc>
          <w:tcPr>
            <w:tcW w:w="9318"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rPr>
          <w:trHeight w:val="809"/>
        </w:trPr>
        <w:tc>
          <w:tcPr>
            <w:tcW w:w="855" w:type="dxa"/>
            <w:vMerge/>
            <w:tcBorders>
              <w:top w:val="single" w:sz="4" w:space="0" w:color="000000"/>
              <w:left w:val="single" w:sz="4" w:space="0" w:color="000000"/>
              <w:bottom w:val="single" w:sz="4" w:space="0" w:color="000000"/>
              <w:right w:val="single" w:sz="4" w:space="0" w:color="000000"/>
            </w:tcBorders>
            <w:vAlign w:val="center"/>
          </w:tcPr>
          <w:p/>
        </w:tc>
        <w:tc>
          <w:tcPr>
            <w:tcW w:w="9318"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及时发放各村村干部工资；2024年村干部工资，按照八个行政村，共计72名村干部，村书记8人，每人每月标准3500元，村副书记8人，每人每月标准2800元，村会计8人，每人每月标准2450元，村监委会主任8人，每人每月标准2450元，村妇女主任8人，每人每月标准800元，村组长32人，每人每月800元；</w:t>
            </w:r>
          </w:p>
        </w:tc>
      </w:tr>
      <w:tr>
        <w:trPr>
          <w:trHeight w:val="23"/>
        </w:trPr>
        <w:tc>
          <w:tcPr>
            <w:tcW w:w="855"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绩效</w:t>
            </w:r>
          </w:p>
          <w:p>
            <w:pPr>
              <w:widowControl/>
              <w:spacing w:line="300" w:lineRule="exact"/>
              <w:jc w:val="center"/>
              <w:textAlignment w:val="center"/>
              <w:rPr>
                <w:color w:val="000000"/>
                <w:sz w:val="18"/>
                <w:szCs w:val="18"/>
              </w:rPr>
            </w:pPr>
            <w:r>
              <w:rPr>
                <w:color w:val="000000"/>
                <w:kern w:val="0"/>
                <w:sz w:val="18"/>
                <w:szCs w:val="18"/>
              </w:rPr>
              <w:t xml:space="preserve"> 指标</w:t>
            </w:r>
          </w:p>
        </w:tc>
        <w:tc>
          <w:tcPr>
            <w:tcW w:w="86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24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30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12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6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105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93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rPr>
          <w:trHeight w:val="293"/>
        </w:trPr>
        <w:tc>
          <w:tcPr>
            <w:tcW w:w="855" w:type="dxa"/>
            <w:vMerge/>
            <w:tcBorders>
              <w:top w:val="single" w:sz="4" w:space="0" w:color="000000"/>
              <w:left w:val="single" w:sz="4" w:space="0" w:color="000000"/>
              <w:bottom w:val="single" w:sz="4" w:space="0" w:color="000000"/>
            </w:tcBorders>
            <w:vAlign w:val="center"/>
          </w:tcPr>
          <w:p/>
        </w:tc>
        <w:tc>
          <w:tcPr>
            <w:tcW w:w="868"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产出指标</w:t>
            </w:r>
          </w:p>
        </w:tc>
        <w:tc>
          <w:tcPr>
            <w:tcW w:w="124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数量指标</w:t>
            </w:r>
          </w:p>
        </w:tc>
        <w:tc>
          <w:tcPr>
            <w:tcW w:w="1304"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涉及人数</w:t>
            </w:r>
          </w:p>
        </w:tc>
        <w:tc>
          <w:tcPr>
            <w:tcW w:w="11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72</w:t>
            </w:r>
          </w:p>
        </w:tc>
        <w:tc>
          <w:tcPr>
            <w:tcW w:w="105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人</w:t>
            </w:r>
          </w:p>
        </w:tc>
        <w:tc>
          <w:tcPr>
            <w:tcW w:w="9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w:t>
            </w:r>
          </w:p>
        </w:tc>
      </w:tr>
      <w:tr>
        <w:trPr>
          <w:trHeight w:val="23"/>
        </w:trPr>
        <w:tc>
          <w:tcPr>
            <w:tcW w:w="855" w:type="dxa"/>
            <w:vMerge/>
            <w:tcBorders>
              <w:top w:val="single" w:sz="4" w:space="0" w:color="000000"/>
              <w:left w:val="single" w:sz="4" w:space="0" w:color="000000"/>
              <w:bottom w:val="single" w:sz="4" w:space="0" w:color="000000"/>
            </w:tcBorders>
            <w:vAlign w:val="center"/>
          </w:tcPr>
          <w:p/>
        </w:tc>
        <w:tc>
          <w:tcPr>
            <w:tcW w:w="868" w:type="dxa"/>
            <w:vMerge/>
            <w:tcBorders>
              <w:top w:val="single" w:sz="4" w:space="0" w:color="000000"/>
              <w:left w:val="single" w:sz="4" w:space="0" w:color="000000"/>
              <w:bottom w:val="single" w:sz="4" w:space="0" w:color="000000"/>
              <w:right w:val="single" w:sz="4" w:space="0" w:color="000000"/>
            </w:tcBorders>
            <w:vAlign w:val="center"/>
          </w:tcPr>
          <w:p/>
        </w:tc>
        <w:tc>
          <w:tcPr>
            <w:tcW w:w="1243"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质量指标</w:t>
            </w:r>
          </w:p>
        </w:tc>
        <w:tc>
          <w:tcPr>
            <w:tcW w:w="1304"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项目资金使用合格率</w:t>
            </w:r>
          </w:p>
        </w:tc>
        <w:tc>
          <w:tcPr>
            <w:tcW w:w="11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c>
          <w:tcPr>
            <w:tcW w:w="105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23"/>
        </w:trPr>
        <w:tc>
          <w:tcPr>
            <w:tcW w:w="855" w:type="dxa"/>
            <w:vMerge/>
            <w:tcBorders>
              <w:top w:val="single" w:sz="4" w:space="0" w:color="000000"/>
              <w:left w:val="single" w:sz="4" w:space="0" w:color="000000"/>
              <w:bottom w:val="single" w:sz="4" w:space="0" w:color="000000"/>
            </w:tcBorders>
            <w:vAlign w:val="center"/>
          </w:tcPr>
          <w:p/>
        </w:tc>
        <w:tc>
          <w:tcPr>
            <w:tcW w:w="868" w:type="dxa"/>
            <w:vMerge/>
            <w:tcBorders>
              <w:top w:val="single" w:sz="4" w:space="0" w:color="000000"/>
              <w:left w:val="single" w:sz="4" w:space="0" w:color="000000"/>
              <w:bottom w:val="single" w:sz="4" w:space="0" w:color="000000"/>
              <w:right w:val="single" w:sz="4" w:space="0" w:color="000000"/>
            </w:tcBorders>
            <w:vAlign w:val="center"/>
          </w:tcPr>
          <w:p/>
        </w:tc>
        <w:tc>
          <w:tcPr>
            <w:tcW w:w="1243" w:type="dxa"/>
            <w:vMerge/>
            <w:tcBorders>
              <w:top w:val="single" w:sz="4" w:space="0" w:color="000000"/>
              <w:left w:val="single" w:sz="4" w:space="0" w:color="000000"/>
              <w:bottom w:val="single" w:sz="4" w:space="0" w:color="000000"/>
              <w:right w:val="single" w:sz="4" w:space="0" w:color="000000"/>
            </w:tcBorders>
            <w:vAlign w:val="center"/>
          </w:tcPr>
          <w:p/>
        </w:tc>
        <w:tc>
          <w:tcPr>
            <w:tcW w:w="1304"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项目竣工验收合格率</w:t>
            </w:r>
          </w:p>
        </w:tc>
        <w:tc>
          <w:tcPr>
            <w:tcW w:w="11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c>
          <w:tcPr>
            <w:tcW w:w="105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15</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23"/>
        </w:trPr>
        <w:tc>
          <w:tcPr>
            <w:tcW w:w="855" w:type="dxa"/>
            <w:vMerge/>
            <w:tcBorders>
              <w:top w:val="single" w:sz="4" w:space="0" w:color="000000"/>
              <w:left w:val="single" w:sz="4" w:space="0" w:color="000000"/>
              <w:bottom w:val="single" w:sz="4" w:space="0" w:color="000000"/>
            </w:tcBorders>
            <w:vAlign w:val="center"/>
          </w:tcPr>
          <w:p/>
        </w:tc>
        <w:tc>
          <w:tcPr>
            <w:tcW w:w="868" w:type="dxa"/>
            <w:vMerge/>
            <w:tcBorders>
              <w:top w:val="single" w:sz="4" w:space="0" w:color="000000"/>
              <w:left w:val="single" w:sz="4" w:space="0" w:color="000000"/>
              <w:bottom w:val="single" w:sz="4" w:space="0" w:color="000000"/>
              <w:right w:val="single" w:sz="4" w:space="0" w:color="000000"/>
            </w:tcBorders>
            <w:vAlign w:val="center"/>
          </w:tcPr>
          <w:p/>
        </w:tc>
        <w:tc>
          <w:tcPr>
            <w:tcW w:w="124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时效指标</w:t>
            </w:r>
          </w:p>
        </w:tc>
        <w:tc>
          <w:tcPr>
            <w:tcW w:w="1304"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完成时效</w:t>
            </w:r>
          </w:p>
        </w:tc>
        <w:tc>
          <w:tcPr>
            <w:tcW w:w="11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c>
          <w:tcPr>
            <w:tcW w:w="105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年</w:t>
            </w:r>
          </w:p>
        </w:tc>
        <w:tc>
          <w:tcPr>
            <w:tcW w:w="9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15</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23"/>
        </w:trPr>
        <w:tc>
          <w:tcPr>
            <w:tcW w:w="855" w:type="dxa"/>
            <w:vMerge/>
            <w:tcBorders>
              <w:top w:val="single" w:sz="4" w:space="0" w:color="000000"/>
              <w:left w:val="single" w:sz="4" w:space="0" w:color="000000"/>
              <w:bottom w:val="single" w:sz="4" w:space="0" w:color="000000"/>
            </w:tcBorders>
            <w:vAlign w:val="center"/>
          </w:tcPr>
          <w:p/>
        </w:tc>
        <w:tc>
          <w:tcPr>
            <w:tcW w:w="86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效益指标</w:t>
            </w:r>
          </w:p>
        </w:tc>
        <w:tc>
          <w:tcPr>
            <w:tcW w:w="124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rFonts w:hint="eastAsia"/>
                <w:color w:val="000000"/>
                <w:kern w:val="0"/>
                <w:sz w:val="18"/>
                <w:szCs w:val="18"/>
              </w:rPr>
              <w:t>经济效益指标</w:t>
            </w:r>
          </w:p>
        </w:tc>
        <w:tc>
          <w:tcPr>
            <w:tcW w:w="1304"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预算金额</w:t>
            </w:r>
          </w:p>
        </w:tc>
        <w:tc>
          <w:tcPr>
            <w:tcW w:w="11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1459200</w:t>
            </w:r>
          </w:p>
        </w:tc>
        <w:tc>
          <w:tcPr>
            <w:tcW w:w="105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元</w:t>
            </w:r>
          </w:p>
        </w:tc>
        <w:tc>
          <w:tcPr>
            <w:tcW w:w="9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1459200</w:t>
            </w:r>
          </w:p>
        </w:tc>
      </w:tr>
      <w:tr>
        <w:trPr>
          <w:trHeight w:val="23"/>
        </w:trPr>
        <w:tc>
          <w:tcPr>
            <w:tcW w:w="855" w:type="dxa"/>
            <w:vMerge/>
            <w:tcBorders>
              <w:top w:val="single" w:sz="4" w:space="0" w:color="000000"/>
              <w:left w:val="single" w:sz="4" w:space="0" w:color="000000"/>
              <w:bottom w:val="single" w:sz="4" w:space="0" w:color="000000"/>
            </w:tcBorders>
            <w:vAlign w:val="center"/>
          </w:tcPr>
          <w:p/>
        </w:tc>
        <w:tc>
          <w:tcPr>
            <w:tcW w:w="868"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满意度</w:t>
            </w:r>
          </w:p>
          <w:p>
            <w:pPr>
              <w:widowControl/>
              <w:spacing w:line="300" w:lineRule="exact"/>
              <w:jc w:val="center"/>
              <w:textAlignment w:val="center"/>
              <w:rPr>
                <w:color w:val="000000"/>
                <w:sz w:val="18"/>
                <w:szCs w:val="18"/>
              </w:rPr>
            </w:pPr>
            <w:r>
              <w:rPr>
                <w:color w:val="000000"/>
                <w:kern w:val="0"/>
                <w:sz w:val="18"/>
                <w:szCs w:val="18"/>
              </w:rPr>
              <w:t>指标</w:t>
            </w:r>
          </w:p>
        </w:tc>
        <w:tc>
          <w:tcPr>
            <w:tcW w:w="1243"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服务对象</w:t>
            </w:r>
          </w:p>
          <w:p>
            <w:pPr>
              <w:widowControl/>
              <w:spacing w:line="300" w:lineRule="exact"/>
              <w:jc w:val="center"/>
              <w:textAlignment w:val="center"/>
              <w:rPr>
                <w:color w:val="000000"/>
                <w:sz w:val="18"/>
                <w:szCs w:val="18"/>
              </w:rPr>
            </w:pPr>
            <w:r>
              <w:rPr>
                <w:color w:val="000000"/>
                <w:kern w:val="0"/>
                <w:sz w:val="18"/>
                <w:szCs w:val="18"/>
              </w:rPr>
              <w:t>满意度指标</w:t>
            </w:r>
          </w:p>
        </w:tc>
        <w:tc>
          <w:tcPr>
            <w:tcW w:w="1304"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群众满意度</w:t>
            </w:r>
          </w:p>
        </w:tc>
        <w:tc>
          <w:tcPr>
            <w:tcW w:w="11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c>
          <w:tcPr>
            <w:tcW w:w="105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r>
      <w:tr>
        <w:trPr>
          <w:trHeight w:val="23"/>
        </w:trPr>
        <w:tc>
          <w:tcPr>
            <w:tcW w:w="855" w:type="dxa"/>
            <w:vMerge/>
            <w:tcBorders>
              <w:top w:val="single" w:sz="4" w:space="0" w:color="000000"/>
              <w:left w:val="single" w:sz="4" w:space="0" w:color="000000"/>
              <w:bottom w:val="single" w:sz="4" w:space="0" w:color="000000"/>
            </w:tcBorders>
            <w:vAlign w:val="center"/>
          </w:tcPr>
          <w:p/>
        </w:tc>
        <w:tc>
          <w:tcPr>
            <w:tcW w:w="86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成本指标</w:t>
            </w:r>
          </w:p>
        </w:tc>
        <w:tc>
          <w:tcPr>
            <w:tcW w:w="124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rFonts w:hint="eastAsia"/>
                <w:color w:val="000000"/>
                <w:sz w:val="18"/>
                <w:szCs w:val="18"/>
              </w:rPr>
              <w:t>生态环境成本指标</w:t>
            </w:r>
          </w:p>
        </w:tc>
        <w:tc>
          <w:tcPr>
            <w:tcW w:w="1304" w:type="dxa"/>
            <w:tcBorders>
              <w:top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可持续性</w:t>
            </w:r>
          </w:p>
        </w:tc>
        <w:tc>
          <w:tcPr>
            <w:tcW w:w="11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定性</w:t>
            </w:r>
          </w:p>
        </w:tc>
        <w:tc>
          <w:tcPr>
            <w:tcW w:w="96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高中低</w:t>
            </w:r>
          </w:p>
        </w:tc>
        <w:tc>
          <w:tcPr>
            <w:tcW w:w="105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其他</w:t>
            </w:r>
          </w:p>
        </w:tc>
        <w:tc>
          <w:tcPr>
            <w:tcW w:w="93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w:t>
            </w:r>
          </w:p>
        </w:tc>
      </w:tr>
    </w:tbl>
    <w:p>
      <w:pPr>
        <w:pStyle w:val="22"/>
        <w:tabs>
          <w:tab w:val="center" w:pos="4153"/>
          <w:tab w:val="right" w:pos="8306"/>
        </w:tabs>
      </w:pPr>
    </w:p>
    <w:p>
      <w:pPr>
        <w:pStyle w:val="22"/>
        <w:tabs>
          <w:tab w:val="center" w:pos="4153"/>
          <w:tab w:val="right" w:pos="8306"/>
        </w:tabs>
      </w:pPr>
    </w:p>
    <w:tbl>
      <w:tblPr>
        <w:jc w:val="center"/>
        <w:tblW w:w="10008"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841"/>
        <w:gridCol w:w="854"/>
        <w:gridCol w:w="1222"/>
        <w:gridCol w:w="1284"/>
        <w:gridCol w:w="1102"/>
        <w:gridCol w:w="950"/>
        <w:gridCol w:w="1038"/>
        <w:gridCol w:w="917"/>
        <w:gridCol w:w="1800"/>
      </w:tblGrid>
      <w:tr>
        <w:trPr>
          <w:trHeight w:val="585"/>
        </w:trPr>
        <w:tc>
          <w:tcPr>
            <w:tcW w:w="10008"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00"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项目名称</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51322321T000000170320-村干部体检费</w:t>
            </w:r>
          </w:p>
        </w:tc>
      </w:tr>
      <w:tr>
        <w:trPr>
          <w:trHeight w:val="465"/>
        </w:trPr>
        <w:tc>
          <w:tcPr>
            <w:tcW w:w="4200"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预算单位</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茂县南新镇人民政府（行政）</w:t>
            </w:r>
          </w:p>
        </w:tc>
      </w:tr>
      <w:tr>
        <w:trPr>
          <w:trHeight w:val="23"/>
        </w:trPr>
        <w:tc>
          <w:tcPr>
            <w:tcW w:w="4200"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项目类型</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41"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项目 </w:t>
            </w:r>
          </w:p>
          <w:p>
            <w:pPr>
              <w:widowControl/>
              <w:spacing w:line="300" w:lineRule="exact"/>
              <w:jc w:val="center"/>
              <w:textAlignment w:val="center"/>
              <w:rPr>
                <w:color w:val="000000"/>
                <w:sz w:val="18"/>
                <w:szCs w:val="18"/>
              </w:rPr>
            </w:pPr>
            <w:r>
              <w:rPr>
                <w:color w:val="000000"/>
                <w:kern w:val="0"/>
                <w:sz w:val="18"/>
                <w:szCs w:val="18"/>
              </w:rPr>
              <w:t>概况</w:t>
            </w:r>
          </w:p>
        </w:tc>
        <w:tc>
          <w:tcPr>
            <w:tcW w:w="335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18"/>
                <w:szCs w:val="18"/>
              </w:rPr>
            </w:pPr>
            <w:r>
              <w:rPr>
                <w:color w:val="000000"/>
                <w:kern w:val="0"/>
                <w:sz w:val="18"/>
                <w:szCs w:val="18"/>
              </w:rPr>
              <w:t>中长期规划（名称、文号，仅指</w:t>
            </w:r>
          </w:p>
          <w:p>
            <w:pPr>
              <w:widowControl/>
              <w:spacing w:line="300" w:lineRule="exact"/>
              <w:jc w:val="left"/>
              <w:textAlignment w:val="center"/>
              <w:rPr>
                <w:color w:val="000000"/>
                <w:sz w:val="18"/>
                <w:szCs w:val="18"/>
              </w:rPr>
            </w:pPr>
            <w:r>
              <w:rPr>
                <w:color w:val="000000"/>
                <w:kern w:val="0"/>
                <w:sz w:val="18"/>
                <w:szCs w:val="18"/>
              </w:rPr>
              <w:t>常年项目）</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41" w:type="dxa"/>
            <w:vMerge/>
            <w:tcBorders>
              <w:top w:val="single" w:sz="4" w:space="0" w:color="000000"/>
              <w:left w:val="single" w:sz="4" w:space="0" w:color="000000"/>
              <w:bottom w:val="single" w:sz="4" w:space="0" w:color="000000"/>
              <w:right w:val="single" w:sz="4" w:space="0" w:color="000000"/>
            </w:tcBorders>
            <w:vAlign w:val="center"/>
          </w:tcPr>
          <w:p/>
        </w:tc>
        <w:tc>
          <w:tcPr>
            <w:tcW w:w="335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41" w:type="dxa"/>
            <w:vMerge/>
            <w:tcBorders>
              <w:top w:val="single" w:sz="4" w:space="0" w:color="000000"/>
              <w:left w:val="single" w:sz="4" w:space="0" w:color="000000"/>
              <w:bottom w:val="single" w:sz="4" w:space="0" w:color="000000"/>
              <w:right w:val="single" w:sz="4" w:space="0" w:color="000000"/>
            </w:tcBorders>
            <w:vAlign w:val="center"/>
          </w:tcPr>
          <w:p/>
        </w:tc>
        <w:tc>
          <w:tcPr>
            <w:tcW w:w="335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10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91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80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rPr>
          <w:trHeight w:val="23"/>
        </w:trPr>
        <w:tc>
          <w:tcPr>
            <w:tcW w:w="841" w:type="dxa"/>
            <w:vMerge/>
            <w:tcBorders>
              <w:top w:val="single" w:sz="4" w:space="0" w:color="000000"/>
              <w:left w:val="single" w:sz="4" w:space="0" w:color="000000"/>
              <w:bottom w:val="single" w:sz="4" w:space="0" w:color="000000"/>
              <w:right w:val="single" w:sz="4" w:space="0" w:color="000000"/>
            </w:tcBorders>
            <w:vAlign w:val="center"/>
          </w:tcPr>
          <w:p/>
        </w:tc>
        <w:tc>
          <w:tcPr>
            <w:tcW w:w="335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41" w:type="dxa"/>
            <w:vMerge/>
            <w:tcBorders>
              <w:top w:val="single" w:sz="4" w:space="0" w:color="000000"/>
              <w:left w:val="single" w:sz="4" w:space="0" w:color="000000"/>
              <w:bottom w:val="single" w:sz="4" w:space="0" w:color="000000"/>
              <w:right w:val="single" w:sz="4" w:space="0" w:color="000000"/>
            </w:tcBorders>
            <w:vAlign w:val="center"/>
          </w:tcPr>
          <w:p/>
        </w:tc>
        <w:tc>
          <w:tcPr>
            <w:tcW w:w="335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41" w:type="dxa"/>
            <w:vMerge/>
            <w:tcBorders>
              <w:top w:val="single" w:sz="4" w:space="0" w:color="000000"/>
              <w:left w:val="single" w:sz="4" w:space="0" w:color="000000"/>
              <w:bottom w:val="single" w:sz="4" w:space="0" w:color="000000"/>
              <w:right w:val="single" w:sz="4" w:space="0" w:color="000000"/>
            </w:tcBorders>
            <w:vAlign w:val="center"/>
          </w:tcPr>
          <w:p/>
        </w:tc>
        <w:tc>
          <w:tcPr>
            <w:tcW w:w="335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41" w:type="dxa"/>
            <w:vMerge/>
            <w:tcBorders>
              <w:top w:val="single" w:sz="4" w:space="0" w:color="000000"/>
              <w:left w:val="single" w:sz="4" w:space="0" w:color="000000"/>
              <w:bottom w:val="single" w:sz="4" w:space="0" w:color="000000"/>
              <w:right w:val="single" w:sz="4" w:space="0" w:color="000000"/>
            </w:tcBorders>
            <w:vAlign w:val="center"/>
          </w:tcPr>
          <w:p/>
        </w:tc>
        <w:tc>
          <w:tcPr>
            <w:tcW w:w="3359"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2024.1-2024.12</w:t>
            </w:r>
          </w:p>
        </w:tc>
      </w:tr>
      <w:tr>
        <w:trPr>
          <w:trHeight w:val="23"/>
        </w:trPr>
        <w:tc>
          <w:tcPr>
            <w:tcW w:w="1695"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506"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110"/>
                <w:tab w:val="right" w:pos="6028"/>
              </w:tabs>
              <w:spacing w:line="300" w:lineRule="exact"/>
              <w:jc w:val="center"/>
              <w:rPr>
                <w:color w:val="000000"/>
                <w:sz w:val="18"/>
                <w:szCs w:val="18"/>
              </w:rPr>
            </w:pPr>
            <w:r>
              <w:rPr>
                <w:rFonts w:hint="eastAsia"/>
                <w:color w:val="000000"/>
                <w:sz w:val="18"/>
                <w:szCs w:val="18"/>
              </w:rPr>
              <w:t>1.24</w:t>
            </w:r>
          </w:p>
        </w:tc>
      </w:tr>
      <w:tr>
        <w:trPr>
          <w:trHeight w:val="23"/>
        </w:trPr>
        <w:tc>
          <w:tcPr>
            <w:tcW w:w="1695"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06"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305"/>
                <w:tab w:val="right" w:pos="6028"/>
              </w:tabs>
              <w:spacing w:line="300" w:lineRule="exact"/>
              <w:jc w:val="center"/>
              <w:rPr>
                <w:color w:val="000000"/>
                <w:sz w:val="18"/>
                <w:szCs w:val="18"/>
              </w:rPr>
            </w:pPr>
            <w:r>
              <w:rPr>
                <w:rFonts w:hint="eastAsia"/>
                <w:color w:val="000000"/>
                <w:sz w:val="18"/>
                <w:szCs w:val="18"/>
              </w:rPr>
              <w:t>1.24</w:t>
            </w:r>
          </w:p>
        </w:tc>
      </w:tr>
      <w:tr>
        <w:trPr>
          <w:trHeight w:val="23"/>
        </w:trPr>
        <w:tc>
          <w:tcPr>
            <w:tcW w:w="1695"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06"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80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18"/>
                <w:szCs w:val="18"/>
              </w:rPr>
            </w:pPr>
          </w:p>
        </w:tc>
      </w:tr>
      <w:tr>
        <w:trPr>
          <w:trHeight w:val="23"/>
        </w:trPr>
        <w:tc>
          <w:tcPr>
            <w:tcW w:w="841"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总体 </w:t>
            </w:r>
          </w:p>
          <w:p>
            <w:pPr>
              <w:widowControl/>
              <w:spacing w:line="300" w:lineRule="exact"/>
              <w:jc w:val="center"/>
              <w:textAlignment w:val="center"/>
              <w:rPr>
                <w:color w:val="000000"/>
                <w:sz w:val="18"/>
                <w:szCs w:val="18"/>
              </w:rPr>
            </w:pPr>
            <w:r>
              <w:rPr>
                <w:color w:val="000000"/>
                <w:kern w:val="0"/>
                <w:sz w:val="18"/>
                <w:szCs w:val="18"/>
              </w:rPr>
              <w:t>目标</w:t>
            </w:r>
          </w:p>
        </w:tc>
        <w:tc>
          <w:tcPr>
            <w:tcW w:w="9167"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rPr>
          <w:trHeight w:val="813"/>
        </w:trPr>
        <w:tc>
          <w:tcPr>
            <w:tcW w:w="841" w:type="dxa"/>
            <w:vMerge/>
            <w:tcBorders>
              <w:top w:val="single" w:sz="4" w:space="0" w:color="000000"/>
              <w:left w:val="single" w:sz="4" w:space="0" w:color="000000"/>
              <w:bottom w:val="single" w:sz="4" w:space="0" w:color="000000"/>
              <w:right w:val="single" w:sz="4" w:space="0" w:color="000000"/>
            </w:tcBorders>
            <w:vAlign w:val="center"/>
          </w:tcPr>
          <w:p/>
        </w:tc>
        <w:tc>
          <w:tcPr>
            <w:tcW w:w="9167"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完成村干部体检费项，村干部体检费，按文件标准男性400元每人，女性500元每人，共32人，其中女性5人，男性27人；共计13300元；</w:t>
            </w:r>
          </w:p>
        </w:tc>
      </w:tr>
      <w:tr>
        <w:trPr>
          <w:trHeight w:val="23"/>
        </w:trPr>
        <w:tc>
          <w:tcPr>
            <w:tcW w:w="841"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绩效</w:t>
            </w:r>
          </w:p>
          <w:p>
            <w:pPr>
              <w:widowControl/>
              <w:spacing w:line="300" w:lineRule="exact"/>
              <w:jc w:val="center"/>
              <w:textAlignment w:val="center"/>
              <w:rPr>
                <w:color w:val="000000"/>
                <w:sz w:val="18"/>
                <w:szCs w:val="18"/>
              </w:rPr>
            </w:pPr>
            <w:r>
              <w:rPr>
                <w:color w:val="000000"/>
                <w:kern w:val="0"/>
                <w:sz w:val="18"/>
                <w:szCs w:val="18"/>
              </w:rPr>
              <w:t xml:space="preserve"> 指标</w:t>
            </w:r>
          </w:p>
        </w:tc>
        <w:tc>
          <w:tcPr>
            <w:tcW w:w="85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2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28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10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10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91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80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rPr>
          <w:trHeight w:val="295"/>
        </w:trPr>
        <w:tc>
          <w:tcPr>
            <w:tcW w:w="841" w:type="dxa"/>
            <w:vMerge/>
            <w:tcBorders>
              <w:top w:val="single" w:sz="4" w:space="0" w:color="000000"/>
              <w:left w:val="single" w:sz="4" w:space="0" w:color="000000"/>
              <w:bottom w:val="single" w:sz="4" w:space="0" w:color="000000"/>
            </w:tcBorders>
            <w:vAlign w:val="center"/>
          </w:tcP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产出指标</w:t>
            </w:r>
          </w:p>
        </w:tc>
        <w:tc>
          <w:tcPr>
            <w:tcW w:w="12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数量指标</w:t>
            </w:r>
          </w:p>
        </w:tc>
        <w:tc>
          <w:tcPr>
            <w:tcW w:w="1283"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涉及村个数</w:t>
            </w:r>
          </w:p>
        </w:tc>
        <w:tc>
          <w:tcPr>
            <w:tcW w:w="110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w:t>
            </w:r>
          </w:p>
        </w:tc>
        <w:tc>
          <w:tcPr>
            <w:tcW w:w="10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个</w:t>
            </w:r>
          </w:p>
        </w:tc>
        <w:tc>
          <w:tcPr>
            <w:tcW w:w="91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0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w:t>
            </w:r>
          </w:p>
        </w:tc>
      </w:tr>
      <w:tr>
        <w:trPr>
          <w:trHeight w:val="295"/>
        </w:trPr>
        <w:tc>
          <w:tcPr>
            <w:tcW w:w="841" w:type="dxa"/>
            <w:vMerge/>
            <w:tcBorders>
              <w:top w:val="single" w:sz="4" w:space="0" w:color="000000"/>
              <w:left w:val="single" w:sz="4" w:space="0" w:color="000000"/>
              <w:bottom w:val="single" w:sz="4" w:space="0" w:color="000000"/>
            </w:tcBorders>
            <w:vAlign w:val="center"/>
          </w:tcPr>
          <w:p/>
        </w:tc>
        <w:tc>
          <w:tcPr>
            <w:tcW w:w="854" w:type="dxa"/>
            <w:vMerge/>
            <w:tcBorders>
              <w:left w:val="single" w:sz="4" w:space="0" w:color="000000"/>
              <w:right w:val="single" w:sz="4" w:space="0" w:color="000000"/>
            </w:tcBorders>
            <w:vAlign w:val="center"/>
          </w:tcPr>
          <w:p/>
        </w:tc>
        <w:tc>
          <w:tcPr>
            <w:tcW w:w="12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数量指标</w:t>
            </w:r>
          </w:p>
        </w:tc>
        <w:tc>
          <w:tcPr>
            <w:tcW w:w="1283"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参加体检人数</w:t>
            </w:r>
          </w:p>
        </w:tc>
        <w:tc>
          <w:tcPr>
            <w:tcW w:w="110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32</w:t>
            </w:r>
          </w:p>
        </w:tc>
        <w:tc>
          <w:tcPr>
            <w:tcW w:w="10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人</w:t>
            </w:r>
          </w:p>
        </w:tc>
        <w:tc>
          <w:tcPr>
            <w:tcW w:w="91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0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32</w:t>
            </w:r>
          </w:p>
        </w:tc>
      </w:tr>
      <w:tr>
        <w:trPr>
          <w:trHeight w:val="23"/>
        </w:trPr>
        <w:tc>
          <w:tcPr>
            <w:tcW w:w="841" w:type="dxa"/>
            <w:vMerge/>
            <w:tcBorders>
              <w:top w:val="single" w:sz="4" w:space="0" w:color="000000"/>
              <w:left w:val="single" w:sz="4" w:space="0" w:color="000000"/>
              <w:bottom w:val="single" w:sz="4" w:space="0" w:color="000000"/>
            </w:tcBorders>
            <w:vAlign w:val="center"/>
          </w:tcPr>
          <w:p/>
        </w:tc>
        <w:tc>
          <w:tcPr>
            <w:tcW w:w="854" w:type="dxa"/>
            <w:vMerge/>
            <w:tcBorders>
              <w:top w:val="single" w:sz="4" w:space="0" w:color="000000"/>
              <w:left w:val="single" w:sz="4" w:space="0" w:color="000000"/>
              <w:bottom w:val="single" w:sz="4" w:space="0" w:color="000000"/>
              <w:right w:val="single" w:sz="4" w:space="0" w:color="000000"/>
            </w:tcBorders>
            <w:vAlign w:val="center"/>
          </w:tcPr>
          <w:p/>
        </w:tc>
        <w:tc>
          <w:tcPr>
            <w:tcW w:w="12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质量指标</w:t>
            </w:r>
          </w:p>
        </w:tc>
        <w:tc>
          <w:tcPr>
            <w:tcW w:w="1283"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资金使用合格率</w:t>
            </w:r>
          </w:p>
        </w:tc>
        <w:tc>
          <w:tcPr>
            <w:tcW w:w="110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c>
          <w:tcPr>
            <w:tcW w:w="10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1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0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23"/>
        </w:trPr>
        <w:tc>
          <w:tcPr>
            <w:tcW w:w="841" w:type="dxa"/>
            <w:vMerge/>
            <w:tcBorders>
              <w:top w:val="single" w:sz="4" w:space="0" w:color="000000"/>
              <w:left w:val="single" w:sz="4" w:space="0" w:color="000000"/>
              <w:bottom w:val="single" w:sz="4" w:space="0" w:color="000000"/>
            </w:tcBorders>
            <w:vAlign w:val="center"/>
          </w:tcPr>
          <w:p/>
        </w:tc>
        <w:tc>
          <w:tcPr>
            <w:tcW w:w="854" w:type="dxa"/>
            <w:vMerge/>
            <w:tcBorders>
              <w:top w:val="single" w:sz="4" w:space="0" w:color="000000"/>
              <w:left w:val="single" w:sz="4" w:space="0" w:color="000000"/>
              <w:bottom w:val="single" w:sz="4" w:space="0" w:color="000000"/>
              <w:right w:val="single" w:sz="4" w:space="0" w:color="000000"/>
            </w:tcBorders>
            <w:vAlign w:val="center"/>
          </w:tcPr>
          <w:p/>
        </w:tc>
        <w:tc>
          <w:tcPr>
            <w:tcW w:w="12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时效指标</w:t>
            </w:r>
          </w:p>
        </w:tc>
        <w:tc>
          <w:tcPr>
            <w:tcW w:w="1283"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完成时效</w:t>
            </w:r>
          </w:p>
        </w:tc>
        <w:tc>
          <w:tcPr>
            <w:tcW w:w="110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c>
          <w:tcPr>
            <w:tcW w:w="10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年</w:t>
            </w:r>
          </w:p>
        </w:tc>
        <w:tc>
          <w:tcPr>
            <w:tcW w:w="91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0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23"/>
        </w:trPr>
        <w:tc>
          <w:tcPr>
            <w:tcW w:w="841" w:type="dxa"/>
            <w:vMerge/>
            <w:tcBorders>
              <w:top w:val="single" w:sz="4" w:space="0" w:color="000000"/>
              <w:left w:val="single" w:sz="4" w:space="0" w:color="000000"/>
              <w:bottom w:val="single" w:sz="4" w:space="0" w:color="000000"/>
            </w:tcBorders>
            <w:vAlign w:val="center"/>
          </w:tcPr>
          <w:p/>
        </w:tc>
        <w:tc>
          <w:tcPr>
            <w:tcW w:w="85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效益指标</w:t>
            </w:r>
          </w:p>
        </w:tc>
        <w:tc>
          <w:tcPr>
            <w:tcW w:w="12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rFonts w:hint="eastAsia"/>
                <w:color w:val="000000"/>
                <w:kern w:val="0"/>
                <w:sz w:val="18"/>
                <w:szCs w:val="18"/>
              </w:rPr>
              <w:t>经济效益指标</w:t>
            </w:r>
          </w:p>
        </w:tc>
        <w:tc>
          <w:tcPr>
            <w:tcW w:w="1283"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保障村干部更好地为群众服务</w:t>
            </w:r>
          </w:p>
        </w:tc>
        <w:tc>
          <w:tcPr>
            <w:tcW w:w="110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定性</w:t>
            </w:r>
          </w:p>
        </w:tc>
        <w:tc>
          <w:tcPr>
            <w:tcW w:w="95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进一步保障</w:t>
            </w:r>
          </w:p>
        </w:tc>
        <w:tc>
          <w:tcPr>
            <w:tcW w:w="10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其他</w:t>
            </w:r>
          </w:p>
        </w:tc>
        <w:tc>
          <w:tcPr>
            <w:tcW w:w="91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20</w:t>
            </w:r>
          </w:p>
        </w:tc>
        <w:tc>
          <w:tcPr>
            <w:tcW w:w="180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12400</w:t>
            </w:r>
          </w:p>
        </w:tc>
      </w:tr>
      <w:tr>
        <w:trPr>
          <w:trHeight w:val="23"/>
        </w:trPr>
        <w:tc>
          <w:tcPr>
            <w:tcW w:w="841" w:type="dxa"/>
            <w:vMerge/>
            <w:tcBorders>
              <w:top w:val="single" w:sz="4" w:space="0" w:color="000000"/>
              <w:left w:val="single" w:sz="4" w:space="0" w:color="000000"/>
              <w:bottom w:val="single" w:sz="4" w:space="0" w:color="000000"/>
            </w:tcBorders>
            <w:vAlign w:val="center"/>
          </w:tcPr>
          <w:p/>
        </w:tc>
        <w:tc>
          <w:tcPr>
            <w:tcW w:w="854"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满意度</w:t>
            </w:r>
          </w:p>
          <w:p>
            <w:pPr>
              <w:widowControl/>
              <w:spacing w:line="300" w:lineRule="exact"/>
              <w:jc w:val="center"/>
              <w:textAlignment w:val="center"/>
              <w:rPr>
                <w:color w:val="000000"/>
                <w:sz w:val="18"/>
                <w:szCs w:val="18"/>
              </w:rPr>
            </w:pPr>
            <w:r>
              <w:rPr>
                <w:color w:val="000000"/>
                <w:kern w:val="0"/>
                <w:sz w:val="18"/>
                <w:szCs w:val="18"/>
              </w:rPr>
              <w:t>指标</w:t>
            </w:r>
          </w:p>
        </w:tc>
        <w:tc>
          <w:tcPr>
            <w:tcW w:w="1222"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服务对象</w:t>
            </w:r>
          </w:p>
          <w:p>
            <w:pPr>
              <w:widowControl/>
              <w:spacing w:line="300" w:lineRule="exact"/>
              <w:jc w:val="center"/>
              <w:textAlignment w:val="center"/>
              <w:rPr>
                <w:color w:val="000000"/>
                <w:sz w:val="18"/>
                <w:szCs w:val="18"/>
              </w:rPr>
            </w:pPr>
            <w:r>
              <w:rPr>
                <w:color w:val="000000"/>
                <w:kern w:val="0"/>
                <w:sz w:val="18"/>
                <w:szCs w:val="18"/>
              </w:rPr>
              <w:t>满意度指标</w:t>
            </w:r>
          </w:p>
        </w:tc>
        <w:tc>
          <w:tcPr>
            <w:tcW w:w="1283"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群众满意度</w:t>
            </w:r>
          </w:p>
        </w:tc>
        <w:tc>
          <w:tcPr>
            <w:tcW w:w="110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c>
          <w:tcPr>
            <w:tcW w:w="10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1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80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r>
      <w:tr>
        <w:trPr>
          <w:trHeight w:val="23"/>
        </w:trPr>
        <w:tc>
          <w:tcPr>
            <w:tcW w:w="841" w:type="dxa"/>
            <w:vMerge/>
            <w:tcBorders>
              <w:top w:val="single" w:sz="4" w:space="0" w:color="000000"/>
              <w:left w:val="single" w:sz="4" w:space="0" w:color="000000"/>
              <w:bottom w:val="single" w:sz="4" w:space="0" w:color="000000"/>
            </w:tcBorders>
            <w:vAlign w:val="center"/>
          </w:tcPr>
          <w:p/>
        </w:tc>
        <w:tc>
          <w:tcPr>
            <w:tcW w:w="85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成本指标</w:t>
            </w:r>
          </w:p>
        </w:tc>
        <w:tc>
          <w:tcPr>
            <w:tcW w:w="12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rFonts w:hint="eastAsia"/>
                <w:color w:val="000000"/>
                <w:sz w:val="18"/>
                <w:szCs w:val="18"/>
              </w:rPr>
              <w:t>经济成本指标</w:t>
            </w:r>
          </w:p>
        </w:tc>
        <w:tc>
          <w:tcPr>
            <w:tcW w:w="1283" w:type="dxa"/>
            <w:tcBorders>
              <w:top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项目预算资金</w:t>
            </w:r>
          </w:p>
        </w:tc>
        <w:tc>
          <w:tcPr>
            <w:tcW w:w="110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1.24</w:t>
            </w:r>
          </w:p>
        </w:tc>
        <w:tc>
          <w:tcPr>
            <w:tcW w:w="1038"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万元</w:t>
            </w:r>
          </w:p>
        </w:tc>
        <w:tc>
          <w:tcPr>
            <w:tcW w:w="91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20</w:t>
            </w:r>
          </w:p>
        </w:tc>
        <w:tc>
          <w:tcPr>
            <w:tcW w:w="180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1.24</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98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28"/>
        <w:gridCol w:w="1041"/>
        <w:gridCol w:w="1204"/>
        <w:gridCol w:w="1265"/>
        <w:gridCol w:w="1085"/>
        <w:gridCol w:w="935"/>
        <w:gridCol w:w="1022"/>
        <w:gridCol w:w="903"/>
        <w:gridCol w:w="1777"/>
      </w:tblGrid>
      <w:tr>
        <w:trPr>
          <w:trHeight w:val="635"/>
        </w:trPr>
        <w:tc>
          <w:tcPr>
            <w:tcW w:w="98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342"/>
        </w:trPr>
        <w:tc>
          <w:tcPr>
            <w:tcW w:w="413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项目名称</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51322325T000013055411-2024年中央支持地方公共文化服务体系建设补助资金</w:t>
            </w:r>
          </w:p>
        </w:tc>
      </w:tr>
      <w:tr>
        <w:trPr>
          <w:trHeight w:val="502"/>
        </w:trPr>
        <w:tc>
          <w:tcPr>
            <w:tcW w:w="413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预算单位</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茂县南新镇人民政府（行政）</w:t>
            </w:r>
          </w:p>
        </w:tc>
      </w:tr>
      <w:tr>
        <w:trPr>
          <w:trHeight w:val="342"/>
        </w:trPr>
        <w:tc>
          <w:tcPr>
            <w:tcW w:w="413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项目类型</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42"/>
        </w:trPr>
        <w:tc>
          <w:tcPr>
            <w:tcW w:w="628" w:type="dxa"/>
            <w:vMerge w:val="restart"/>
            <w:tcBorders>
              <w:top w:val="single" w:sz="4" w:space="0" w:color="000000"/>
              <w:left w:val="single" w:sz="4" w:space="0" w:color="000000"/>
              <w:right w:val="single" w:sz="4" w:space="0" w:color="000000"/>
            </w:tcBorders>
            <w:vAlign w:val="center"/>
          </w:tcPr>
          <w:p>
            <w:pPr>
              <w:spacing w:line="300" w:lineRule="exact"/>
              <w:rPr>
                <w:color w:val="000000"/>
                <w:sz w:val="18"/>
                <w:szCs w:val="18"/>
              </w:rPr>
            </w:p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645"/>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77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2024.01-2024.12</w:t>
            </w:r>
          </w:p>
        </w:tc>
      </w:tr>
      <w:tr>
        <w:trPr>
          <w:trHeight w:val="342"/>
        </w:trPr>
        <w:tc>
          <w:tcPr>
            <w:tcW w:w="1669"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342"/>
        </w:trPr>
        <w:tc>
          <w:tcPr>
            <w:tcW w:w="1669"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342"/>
        </w:trPr>
        <w:tc>
          <w:tcPr>
            <w:tcW w:w="1669"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722"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18"/>
                <w:szCs w:val="18"/>
              </w:rPr>
            </w:pPr>
          </w:p>
        </w:tc>
      </w:tr>
      <w:tr>
        <w:trPr>
          <w:trHeight w:val="342"/>
        </w:trPr>
        <w:tc>
          <w:tcPr>
            <w:tcW w:w="628"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总体 目标</w:t>
            </w:r>
          </w:p>
        </w:tc>
        <w:tc>
          <w:tcPr>
            <w:tcW w:w="9232"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rPr>
          <w:trHeight w:val="342"/>
        </w:trPr>
        <w:tc>
          <w:tcPr>
            <w:tcW w:w="628" w:type="dxa"/>
            <w:vMerge/>
            <w:tcBorders>
              <w:top w:val="single" w:sz="4" w:space="0" w:color="000000"/>
              <w:left w:val="single" w:sz="4" w:space="0" w:color="000000"/>
              <w:bottom w:val="single" w:sz="4" w:space="0" w:color="000000"/>
              <w:right w:val="single" w:sz="4" w:space="0" w:color="000000"/>
            </w:tcBorders>
            <w:vAlign w:val="center"/>
          </w:tcPr>
          <w:p/>
        </w:tc>
        <w:tc>
          <w:tcPr>
            <w:tcW w:w="9232"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茂县南新镇新时代文明实践中心办公费支出，充分发挥打通宣传群众、教育群众、关心群众、服务群众的“最后一公里”的重要作用，有效推进乡风文明，助力创建文明城市和乡村振兴。</w:t>
            </w:r>
          </w:p>
        </w:tc>
      </w:tr>
      <w:tr>
        <w:trPr>
          <w:trHeight w:val="342"/>
        </w:trPr>
        <w:tc>
          <w:tcPr>
            <w:tcW w:w="628"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绩效 指标</w:t>
            </w:r>
          </w:p>
        </w:tc>
        <w:tc>
          <w:tcPr>
            <w:tcW w:w="10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35"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102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90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77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vMerge w:val="restart"/>
            <w:tcBorders>
              <w:top w:val="single" w:sz="4" w:space="0" w:color="000000"/>
              <w:left w:val="single" w:sz="4" w:space="0" w:color="000000"/>
              <w:right w:val="single" w:sz="4" w:space="0" w:color="000000"/>
            </w:tcBorders>
            <w:vAlign w:val="center"/>
          </w:tcPr>
          <w:p>
            <w:pPr>
              <w:widowControl/>
              <w:jc w:val="left"/>
              <w:textAlignment w:val="center"/>
              <w:rPr>
                <w:rFonts w:ascii="宋体" w:cs="宋体"/>
                <w:color w:val="000000"/>
                <w:kern w:val="0"/>
                <w:sz w:val="18"/>
                <w:szCs w:val="18"/>
              </w:rPr>
            </w:pPr>
            <w:r>
              <w:rPr>
                <w:rFonts w:ascii="宋体" w:cs="宋体" w:hint="eastAsia"/>
                <w:color w:val="000000"/>
                <w:kern w:val="0"/>
                <w:sz w:val="18"/>
                <w:szCs w:val="18"/>
              </w:rPr>
              <w:t>产出指标</w:t>
            </w:r>
          </w:p>
          <w:p>
            <w:pPr>
              <w:widowControl/>
              <w:jc w:val="left"/>
              <w:textAlignment w:val="center"/>
              <w:rPr>
                <w:color w:val="000000"/>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数量指标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涉及项目个数</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c>
          <w:tcPr>
            <w:tcW w:w="10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个</w:t>
            </w:r>
          </w:p>
        </w:tc>
        <w:tc>
          <w:tcPr>
            <w:tcW w:w="90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vMerge/>
            <w:tcBorders>
              <w:left w:val="single" w:sz="4" w:space="0" w:color="000000"/>
              <w:right w:val="single" w:sz="4" w:space="0" w:color="000000"/>
            </w:tcBorders>
            <w:vAlign w:val="center"/>
          </w:tcP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时效指标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项目完成年度</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c>
          <w:tcPr>
            <w:tcW w:w="10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年</w:t>
            </w:r>
          </w:p>
        </w:tc>
        <w:tc>
          <w:tcPr>
            <w:tcW w:w="90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vMerge/>
            <w:tcBorders>
              <w:left w:val="single" w:sz="4" w:space="0" w:color="000000"/>
              <w:bottom w:val="single" w:sz="4" w:space="0" w:color="000000"/>
              <w:right w:val="single" w:sz="4" w:space="0" w:color="000000"/>
            </w:tcBorders>
            <w:vAlign w:val="center"/>
          </w:tcP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质量指标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项目验收合格率</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c>
          <w:tcPr>
            <w:tcW w:w="10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ascii="宋体" w:cs="宋体" w:hint="eastAsia"/>
                <w:color w:val="000000"/>
                <w:kern w:val="0"/>
                <w:sz w:val="18"/>
                <w:szCs w:val="18"/>
              </w:rPr>
              <w:t>%</w:t>
            </w:r>
          </w:p>
        </w:tc>
        <w:tc>
          <w:tcPr>
            <w:tcW w:w="90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20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971"/>
        </w:trPr>
        <w:tc>
          <w:tcPr>
            <w:tcW w:w="628" w:type="dxa"/>
            <w:vMerge/>
            <w:tcBorders>
              <w:top w:val="single" w:sz="4" w:space="0" w:color="000000"/>
              <w:left w:val="single" w:sz="4" w:space="0" w:color="000000"/>
              <w:bottom w:val="single" w:sz="4" w:space="0" w:color="000000"/>
            </w:tcBorders>
            <w:vAlign w:val="center"/>
          </w:tcPr>
          <w:p/>
        </w:tc>
        <w:tc>
          <w:tcPr>
            <w:tcW w:w="1041" w:type="dxa"/>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color w:val="000000"/>
                <w:sz w:val="18"/>
                <w:szCs w:val="18"/>
              </w:rPr>
            </w:pPr>
            <w:r>
              <w:rPr>
                <w:rFonts w:ascii="宋体" w:cs="宋体" w:hint="eastAsia"/>
                <w:color w:val="000000"/>
                <w:kern w:val="0"/>
                <w:sz w:val="18"/>
                <w:szCs w:val="18"/>
              </w:rPr>
              <w:t>效益指标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社会效益指标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充分发挥新时代文明实践中心作用</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定性</w:t>
            </w:r>
          </w:p>
        </w:tc>
        <w:tc>
          <w:tcPr>
            <w:tcW w:w="93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ascii="宋体" w:cs="宋体" w:hint="eastAsia"/>
                <w:color w:val="000000"/>
                <w:kern w:val="0"/>
                <w:sz w:val="18"/>
                <w:szCs w:val="18"/>
              </w:rPr>
              <w:t>高或低</w:t>
            </w:r>
          </w:p>
        </w:tc>
        <w:tc>
          <w:tcPr>
            <w:tcW w:w="10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其他</w:t>
            </w:r>
          </w:p>
        </w:tc>
        <w:tc>
          <w:tcPr>
            <w:tcW w:w="90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20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color w:val="000000"/>
                <w:sz w:val="18"/>
                <w:szCs w:val="18"/>
              </w:rPr>
            </w:pPr>
            <w:r>
              <w:rPr>
                <w:rFonts w:ascii="宋体" w:cs="宋体" w:hint="eastAsia"/>
                <w:color w:val="000000"/>
                <w:kern w:val="0"/>
                <w:sz w:val="18"/>
                <w:szCs w:val="18"/>
              </w:rPr>
              <w:t>效益指标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经济效益指标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有效推进乡风文明，助力创建文明城市和乡村振兴</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定性</w:t>
            </w:r>
          </w:p>
        </w:tc>
        <w:tc>
          <w:tcPr>
            <w:tcW w:w="93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b/>
                <w:bCs/>
                <w:color w:val="000000"/>
                <w:sz w:val="18"/>
                <w:szCs w:val="18"/>
              </w:rPr>
            </w:pPr>
            <w:r>
              <w:rPr>
                <w:rFonts w:ascii="宋体" w:cs="宋体" w:hint="eastAsia"/>
                <w:color w:val="000000"/>
                <w:kern w:val="0"/>
                <w:sz w:val="18"/>
                <w:szCs w:val="18"/>
              </w:rPr>
              <w:t>高或低</w:t>
            </w:r>
          </w:p>
        </w:tc>
        <w:tc>
          <w:tcPr>
            <w:tcW w:w="10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其他</w:t>
            </w:r>
          </w:p>
        </w:tc>
        <w:tc>
          <w:tcPr>
            <w:tcW w:w="90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color w:val="000000"/>
                <w:sz w:val="18"/>
                <w:szCs w:val="18"/>
              </w:rPr>
            </w:pPr>
            <w:r>
              <w:rPr>
                <w:rFonts w:ascii="宋体" w:cs="宋体" w:hint="eastAsia"/>
                <w:color w:val="000000"/>
                <w:kern w:val="0"/>
                <w:sz w:val="18"/>
                <w:szCs w:val="18"/>
              </w:rPr>
              <w:t>满意度指标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服务对象满意度指标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受益群众满意度</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c>
          <w:tcPr>
            <w:tcW w:w="10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ascii="宋体" w:cs="宋体" w:hint="eastAsia"/>
                <w:color w:val="000000"/>
                <w:kern w:val="0"/>
                <w:sz w:val="18"/>
                <w:szCs w:val="18"/>
              </w:rPr>
              <w:t>%</w:t>
            </w:r>
          </w:p>
        </w:tc>
        <w:tc>
          <w:tcPr>
            <w:tcW w:w="90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r>
      <w:tr>
        <w:trPr>
          <w:trHeight w:val="342"/>
        </w:trPr>
        <w:tc>
          <w:tcPr>
            <w:tcW w:w="628" w:type="dxa"/>
            <w:vMerge/>
            <w:tcBorders>
              <w:top w:val="single" w:sz="4" w:space="0" w:color="000000"/>
              <w:left w:val="single" w:sz="4" w:space="0" w:color="000000"/>
              <w:bottom w:val="single" w:sz="4" w:space="0" w:color="000000"/>
            </w:tcBorders>
            <w:vAlign w:val="center"/>
          </w:tcPr>
          <w:p/>
        </w:tc>
        <w:tc>
          <w:tcPr>
            <w:tcW w:w="1041" w:type="dxa"/>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color w:val="000000"/>
                <w:sz w:val="18"/>
                <w:szCs w:val="18"/>
              </w:rPr>
            </w:pPr>
            <w:r>
              <w:rPr>
                <w:rFonts w:ascii="宋体" w:cs="宋体" w:hint="eastAsia"/>
                <w:color w:val="000000"/>
                <w:kern w:val="0"/>
                <w:sz w:val="18"/>
                <w:szCs w:val="18"/>
              </w:rPr>
              <w:t>成本指标</w:t>
            </w:r>
          </w:p>
        </w:tc>
        <w:tc>
          <w:tcPr>
            <w:tcW w:w="120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经济成本指标</w:t>
            </w:r>
          </w:p>
        </w:tc>
        <w:tc>
          <w:tcPr>
            <w:tcW w:w="126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茂县南新镇新时代文明实践中心</w:t>
            </w:r>
          </w:p>
        </w:tc>
        <w:tc>
          <w:tcPr>
            <w:tcW w:w="1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c>
          <w:tcPr>
            <w:tcW w:w="1022"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万元</w:t>
            </w:r>
          </w:p>
        </w:tc>
        <w:tc>
          <w:tcPr>
            <w:tcW w:w="90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777"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0.99</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1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47"/>
        <w:gridCol w:w="1246"/>
        <w:gridCol w:w="1230"/>
        <w:gridCol w:w="1141"/>
        <w:gridCol w:w="1118"/>
        <w:gridCol w:w="964"/>
        <w:gridCol w:w="1053"/>
        <w:gridCol w:w="931"/>
        <w:gridCol w:w="1830"/>
      </w:tblGrid>
      <w:tr>
        <w:trPr>
          <w:trHeight w:val="797"/>
        </w:trPr>
        <w:tc>
          <w:tcPr>
            <w:tcW w:w="101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51322325T000012823021-关于划拨党费用于支持防汛救灾工作的费用</w:t>
            </w:r>
          </w:p>
        </w:tc>
      </w:tr>
      <w:tr>
        <w:trPr>
          <w:trHeight w:val="6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1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30"/>
        </w:trPr>
        <w:tc>
          <w:tcPr>
            <w:tcW w:w="189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5.50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5.50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产出指标</w:t>
            </w:r>
          </w:p>
          <w:p>
            <w:pPr>
              <w:widowControl/>
              <w:ind w:firstLineChars="100" w:firstLine="210"/>
              <w:jc w:val="left"/>
              <w:textAlignment w:val="center"/>
              <w:rPr>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Cs w:val="21"/>
              </w:rPr>
            </w:pPr>
            <w:r>
              <w:rPr>
                <w:color w:val="000000"/>
                <w:kern w:val="0"/>
                <w:szCs w:val="21"/>
              </w:rPr>
              <w:t>数量指标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金额</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b/>
                <w:bCs/>
                <w:color w:val="000000"/>
                <w:kern w:val="0"/>
                <w:szCs w:val="21"/>
              </w:rPr>
            </w:pPr>
            <w:r>
              <w:rPr>
                <w:b/>
                <w:bCs/>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b/>
                <w:bCs/>
                <w:color w:val="000000"/>
                <w:kern w:val="0"/>
                <w:szCs w:val="21"/>
              </w:rPr>
            </w:pPr>
            <w:r>
              <w:rPr>
                <w:rFonts w:hint="eastAsia"/>
                <w:b/>
                <w:bCs/>
                <w:color w:val="000000"/>
                <w:kern w:val="0"/>
                <w:szCs w:val="21"/>
              </w:rPr>
              <w:t>5.50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元</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5.50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质量指标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完成质量合格率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时效指标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完成项目年度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年</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效益指标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社会效益指标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受益人满意度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85</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840"/>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帮扶对象满意度指标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定性</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高中低</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其他</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bl>
    <w:p>
      <w:pPr>
        <w:pStyle w:val="26"/>
        <w:spacing w:after="0" w:line="20" w:lineRule="exact"/>
        <w:ind w:leftChars="0" w:left="0"/>
        <w:rPr>
          <w:rFonts w:ascii="Times New Roman" w:eastAsia="黑体" w:hAnsi="Times New Roman"/>
          <w:sz w:val="24"/>
          <w:szCs w:val="24"/>
        </w:rPr>
      </w:pPr>
    </w:p>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9935"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1094"/>
        <w:gridCol w:w="858"/>
        <w:gridCol w:w="1226"/>
        <w:gridCol w:w="1290"/>
        <w:gridCol w:w="1106"/>
        <w:gridCol w:w="953"/>
        <w:gridCol w:w="1043"/>
        <w:gridCol w:w="920"/>
        <w:gridCol w:w="1446"/>
      </w:tblGrid>
      <w:tr>
        <w:trPr>
          <w:trHeight w:val="783"/>
        </w:trPr>
        <w:tc>
          <w:tcPr>
            <w:tcW w:w="9935"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50"/>
        </w:trPr>
        <w:tc>
          <w:tcPr>
            <w:tcW w:w="446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项目名称</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51322323T000008336532-2022年州级福彩公益金</w:t>
            </w:r>
          </w:p>
        </w:tc>
      </w:tr>
      <w:tr>
        <w:trPr>
          <w:trHeight w:val="637"/>
        </w:trPr>
        <w:tc>
          <w:tcPr>
            <w:tcW w:w="446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预算单位</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茂县南新镇人民政府（行政）</w:t>
            </w:r>
          </w:p>
        </w:tc>
      </w:tr>
      <w:tr>
        <w:trPr>
          <w:trHeight w:val="450"/>
        </w:trPr>
        <w:tc>
          <w:tcPr>
            <w:tcW w:w="4468"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项目类型</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805"/>
        </w:trPr>
        <w:tc>
          <w:tcPr>
            <w:tcW w:w="1094"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项目 </w:t>
            </w:r>
          </w:p>
          <w:p>
            <w:pPr>
              <w:widowControl/>
              <w:spacing w:line="300" w:lineRule="exact"/>
              <w:jc w:val="center"/>
              <w:textAlignment w:val="center"/>
              <w:rPr>
                <w:color w:val="000000"/>
                <w:sz w:val="18"/>
                <w:szCs w:val="18"/>
              </w:rPr>
            </w:pPr>
            <w:r>
              <w:rPr>
                <w:color w:val="000000"/>
                <w:kern w:val="0"/>
                <w:sz w:val="18"/>
                <w:szCs w:val="18"/>
              </w:rPr>
              <w:t>概况</w:t>
            </w:r>
          </w:p>
        </w:tc>
        <w:tc>
          <w:tcPr>
            <w:tcW w:w="3374"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18"/>
                <w:szCs w:val="18"/>
              </w:rPr>
            </w:pPr>
            <w:r>
              <w:rPr>
                <w:color w:val="000000"/>
                <w:kern w:val="0"/>
                <w:sz w:val="18"/>
                <w:szCs w:val="18"/>
              </w:rPr>
              <w:t>中长期规划（名称、文号，仅指</w:t>
            </w:r>
          </w:p>
          <w:p>
            <w:pPr>
              <w:widowControl/>
              <w:spacing w:line="300" w:lineRule="exact"/>
              <w:jc w:val="left"/>
              <w:textAlignment w:val="center"/>
              <w:rPr>
                <w:color w:val="000000"/>
                <w:sz w:val="18"/>
                <w:szCs w:val="18"/>
              </w:rPr>
            </w:pPr>
            <w:r>
              <w:rPr>
                <w:color w:val="000000"/>
                <w:kern w:val="0"/>
                <w:sz w:val="18"/>
                <w:szCs w:val="18"/>
              </w:rPr>
              <w:t>常年项目）</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450"/>
        </w:trPr>
        <w:tc>
          <w:tcPr>
            <w:tcW w:w="1094" w:type="dxa"/>
            <w:vMerge/>
            <w:tcBorders>
              <w:top w:val="single" w:sz="4" w:space="0" w:color="000000"/>
              <w:left w:val="single" w:sz="4" w:space="0" w:color="000000"/>
              <w:bottom w:val="single" w:sz="4" w:space="0" w:color="000000"/>
              <w:right w:val="single" w:sz="4" w:space="0" w:color="000000"/>
            </w:tcBorders>
            <w:vAlign w:val="center"/>
          </w:tcPr>
          <w:p/>
        </w:tc>
        <w:tc>
          <w:tcPr>
            <w:tcW w:w="3374"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805"/>
        </w:trPr>
        <w:tc>
          <w:tcPr>
            <w:tcW w:w="1094" w:type="dxa"/>
            <w:vMerge/>
            <w:tcBorders>
              <w:top w:val="single" w:sz="4" w:space="0" w:color="000000"/>
              <w:left w:val="single" w:sz="4" w:space="0" w:color="000000"/>
              <w:bottom w:val="single" w:sz="4" w:space="0" w:color="000000"/>
              <w:right w:val="single" w:sz="4" w:space="0" w:color="000000"/>
            </w:tcBorders>
            <w:vAlign w:val="center"/>
          </w:tcPr>
          <w:p/>
        </w:tc>
        <w:tc>
          <w:tcPr>
            <w:tcW w:w="3374"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10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4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rPr>
          <w:trHeight w:val="450"/>
        </w:trPr>
        <w:tc>
          <w:tcPr>
            <w:tcW w:w="1094" w:type="dxa"/>
            <w:vMerge/>
            <w:tcBorders>
              <w:top w:val="single" w:sz="4" w:space="0" w:color="000000"/>
              <w:left w:val="single" w:sz="4" w:space="0" w:color="000000"/>
              <w:bottom w:val="single" w:sz="4" w:space="0" w:color="000000"/>
              <w:right w:val="single" w:sz="4" w:space="0" w:color="000000"/>
            </w:tcBorders>
            <w:vAlign w:val="center"/>
          </w:tcPr>
          <w:p/>
        </w:tc>
        <w:tc>
          <w:tcPr>
            <w:tcW w:w="3374"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450"/>
        </w:trPr>
        <w:tc>
          <w:tcPr>
            <w:tcW w:w="1094" w:type="dxa"/>
            <w:vMerge/>
            <w:tcBorders>
              <w:top w:val="single" w:sz="4" w:space="0" w:color="000000"/>
              <w:left w:val="single" w:sz="4" w:space="0" w:color="000000"/>
              <w:bottom w:val="single" w:sz="4" w:space="0" w:color="000000"/>
              <w:right w:val="single" w:sz="4" w:space="0" w:color="000000"/>
            </w:tcBorders>
            <w:vAlign w:val="center"/>
          </w:tcPr>
          <w:p/>
        </w:tc>
        <w:tc>
          <w:tcPr>
            <w:tcW w:w="3374"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450"/>
        </w:trPr>
        <w:tc>
          <w:tcPr>
            <w:tcW w:w="1094" w:type="dxa"/>
            <w:vMerge/>
            <w:tcBorders>
              <w:top w:val="single" w:sz="4" w:space="0" w:color="000000"/>
              <w:left w:val="single" w:sz="4" w:space="0" w:color="000000"/>
              <w:bottom w:val="single" w:sz="4" w:space="0" w:color="000000"/>
              <w:right w:val="single" w:sz="4" w:space="0" w:color="000000"/>
            </w:tcBorders>
            <w:vAlign w:val="center"/>
          </w:tcPr>
          <w:p/>
        </w:tc>
        <w:tc>
          <w:tcPr>
            <w:tcW w:w="3374"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450"/>
        </w:trPr>
        <w:tc>
          <w:tcPr>
            <w:tcW w:w="1094" w:type="dxa"/>
            <w:vMerge/>
            <w:tcBorders>
              <w:top w:val="single" w:sz="4" w:space="0" w:color="000000"/>
              <w:left w:val="single" w:sz="4" w:space="0" w:color="000000"/>
              <w:bottom w:val="single" w:sz="4" w:space="0" w:color="000000"/>
              <w:right w:val="single" w:sz="4" w:space="0" w:color="000000"/>
            </w:tcBorders>
            <w:vAlign w:val="center"/>
          </w:tcPr>
          <w:p/>
        </w:tc>
        <w:tc>
          <w:tcPr>
            <w:tcW w:w="3374"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2024.1-2024.12</w:t>
            </w:r>
          </w:p>
        </w:tc>
      </w:tr>
      <w:tr>
        <w:trPr>
          <w:trHeight w:val="450"/>
        </w:trPr>
        <w:tc>
          <w:tcPr>
            <w:tcW w:w="1952"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516"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110"/>
                <w:tab w:val="right" w:pos="6028"/>
              </w:tabs>
              <w:spacing w:line="300" w:lineRule="exact"/>
              <w:jc w:val="center"/>
              <w:rPr>
                <w:color w:val="000000"/>
                <w:sz w:val="18"/>
                <w:szCs w:val="18"/>
              </w:rPr>
            </w:pPr>
            <w:r>
              <w:rPr>
                <w:rFonts w:hint="eastAsia"/>
                <w:color w:val="000000"/>
                <w:sz w:val="18"/>
                <w:szCs w:val="18"/>
              </w:rPr>
              <w:t xml:space="preserve">   0.005</w:t>
              <w:tab/>
            </w:r>
          </w:p>
        </w:tc>
      </w:tr>
      <w:tr>
        <w:trPr>
          <w:trHeight w:val="450"/>
        </w:trPr>
        <w:tc>
          <w:tcPr>
            <w:tcW w:w="1952"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16"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305"/>
                <w:tab w:val="right" w:pos="6028"/>
              </w:tabs>
              <w:spacing w:line="300" w:lineRule="exact"/>
              <w:jc w:val="center"/>
              <w:rPr>
                <w:color w:val="000000"/>
                <w:sz w:val="18"/>
                <w:szCs w:val="18"/>
              </w:rPr>
            </w:pPr>
            <w:r>
              <w:rPr>
                <w:rFonts w:hint="eastAsia"/>
                <w:color w:val="000000"/>
                <w:sz w:val="18"/>
                <w:szCs w:val="18"/>
              </w:rPr>
              <w:t>0.005</w:t>
            </w:r>
          </w:p>
        </w:tc>
      </w:tr>
      <w:tr>
        <w:trPr>
          <w:trHeight w:val="450"/>
        </w:trPr>
        <w:tc>
          <w:tcPr>
            <w:tcW w:w="1952"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16"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18"/>
                <w:szCs w:val="18"/>
              </w:rPr>
            </w:pPr>
          </w:p>
        </w:tc>
      </w:tr>
      <w:tr>
        <w:trPr>
          <w:trHeight w:val="450"/>
        </w:trPr>
        <w:tc>
          <w:tcPr>
            <w:tcW w:w="1094"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总体 </w:t>
            </w:r>
          </w:p>
          <w:p>
            <w:pPr>
              <w:widowControl/>
              <w:spacing w:line="300" w:lineRule="exact"/>
              <w:jc w:val="center"/>
              <w:textAlignment w:val="center"/>
              <w:rPr>
                <w:color w:val="000000"/>
                <w:sz w:val="18"/>
                <w:szCs w:val="18"/>
              </w:rPr>
            </w:pPr>
            <w:r>
              <w:rPr>
                <w:color w:val="000000"/>
                <w:kern w:val="0"/>
                <w:sz w:val="18"/>
                <w:szCs w:val="18"/>
              </w:rPr>
              <w:t>目标</w:t>
            </w:r>
          </w:p>
        </w:tc>
        <w:tc>
          <w:tcPr>
            <w:tcW w:w="8841"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rPr>
          <w:trHeight w:val="1044"/>
        </w:trPr>
        <w:tc>
          <w:tcPr>
            <w:tcW w:w="1094" w:type="dxa"/>
            <w:vMerge/>
            <w:tcBorders>
              <w:top w:val="single" w:sz="4" w:space="0" w:color="000000"/>
              <w:left w:val="single" w:sz="4" w:space="0" w:color="000000"/>
              <w:bottom w:val="single" w:sz="4" w:space="0" w:color="000000"/>
              <w:right w:val="single" w:sz="4" w:space="0" w:color="000000"/>
            </w:tcBorders>
            <w:vAlign w:val="center"/>
          </w:tcPr>
          <w:p/>
        </w:tc>
        <w:tc>
          <w:tcPr>
            <w:tcW w:w="8841"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引导专业社工参与基层服务,有效充实基层民政力量,延伸服务触角,提升民政经办服务能力,加快民政专业化进程。工作程序顺，服务效率快，资源分配精，服务理念专。</w:t>
            </w:r>
          </w:p>
        </w:tc>
      </w:tr>
      <w:tr>
        <w:trPr>
          <w:trHeight w:val="450"/>
        </w:trPr>
        <w:tc>
          <w:tcPr>
            <w:tcW w:w="1094"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绩效</w:t>
            </w:r>
          </w:p>
          <w:p>
            <w:pPr>
              <w:widowControl/>
              <w:spacing w:line="300" w:lineRule="exact"/>
              <w:jc w:val="center"/>
              <w:textAlignment w:val="center"/>
              <w:rPr>
                <w:color w:val="000000"/>
                <w:sz w:val="18"/>
                <w:szCs w:val="18"/>
              </w:rPr>
            </w:pPr>
            <w:r>
              <w:rPr>
                <w:color w:val="000000"/>
                <w:kern w:val="0"/>
                <w:sz w:val="18"/>
                <w:szCs w:val="18"/>
              </w:rPr>
              <w:t xml:space="preserve"> 指标</w:t>
            </w:r>
          </w:p>
        </w:tc>
        <w:tc>
          <w:tcPr>
            <w:tcW w:w="85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289"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10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104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4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rPr>
          <w:trHeight w:val="450"/>
        </w:trPr>
        <w:tc>
          <w:tcPr>
            <w:tcW w:w="1094" w:type="dxa"/>
            <w:vMerge/>
            <w:tcBorders>
              <w:top w:val="single" w:sz="4" w:space="0" w:color="000000"/>
              <w:left w:val="single" w:sz="4" w:space="0" w:color="000000"/>
              <w:bottom w:val="single" w:sz="4" w:space="0" w:color="000000"/>
            </w:tcBorders>
            <w:vAlign w:val="center"/>
          </w:tcPr>
          <w:p/>
        </w:tc>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产出指标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数量指标</w:t>
            </w:r>
          </w:p>
        </w:tc>
        <w:tc>
          <w:tcPr>
            <w:tcW w:w="1289"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补助金额</w:t>
            </w:r>
          </w:p>
        </w:tc>
        <w:tc>
          <w:tcPr>
            <w:tcW w:w="110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0.005</w:t>
            </w:r>
          </w:p>
        </w:tc>
        <w:tc>
          <w:tcPr>
            <w:tcW w:w="104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万元</w:t>
            </w:r>
          </w:p>
        </w:tc>
        <w:tc>
          <w:tcPr>
            <w:tcW w:w="9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20</w:t>
            </w:r>
          </w:p>
        </w:tc>
        <w:tc>
          <w:tcPr>
            <w:tcW w:w="144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w:t>
            </w:r>
          </w:p>
        </w:tc>
      </w:tr>
      <w:tr>
        <w:trPr>
          <w:trHeight w:val="805"/>
        </w:trPr>
        <w:tc>
          <w:tcPr>
            <w:tcW w:w="1094" w:type="dxa"/>
            <w:vMerge/>
            <w:tcBorders>
              <w:top w:val="single" w:sz="4" w:space="0" w:color="000000"/>
              <w:left w:val="single" w:sz="4" w:space="0" w:color="000000"/>
              <w:bottom w:val="single" w:sz="4" w:space="0" w:color="000000"/>
            </w:tcBorders>
            <w:vAlign w:val="center"/>
          </w:tcPr>
          <w:p/>
        </w:tc>
        <w:tc>
          <w:tcPr>
            <w:tcW w:w="858" w:type="dxa"/>
            <w:vMerge/>
            <w:tcBorders>
              <w:top w:val="single" w:sz="4" w:space="0" w:color="000000"/>
              <w:left w:val="single" w:sz="4" w:space="0" w:color="000000"/>
              <w:bottom w:val="single" w:sz="4" w:space="0" w:color="000000"/>
              <w:right w:val="single" w:sz="4" w:space="0" w:color="000000"/>
            </w:tcBorders>
            <w:vAlign w:val="center"/>
          </w:tcPr>
          <w:p/>
        </w:tc>
        <w:tc>
          <w:tcPr>
            <w:tcW w:w="122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质量指标</w:t>
            </w:r>
          </w:p>
        </w:tc>
        <w:tc>
          <w:tcPr>
            <w:tcW w:w="1289"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资金使用合格率</w:t>
            </w:r>
          </w:p>
        </w:tc>
        <w:tc>
          <w:tcPr>
            <w:tcW w:w="110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c>
          <w:tcPr>
            <w:tcW w:w="104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20</w:t>
            </w:r>
          </w:p>
        </w:tc>
        <w:tc>
          <w:tcPr>
            <w:tcW w:w="144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450"/>
        </w:trPr>
        <w:tc>
          <w:tcPr>
            <w:tcW w:w="1094" w:type="dxa"/>
            <w:vMerge/>
            <w:tcBorders>
              <w:top w:val="single" w:sz="4" w:space="0" w:color="000000"/>
              <w:left w:val="single" w:sz="4" w:space="0" w:color="000000"/>
              <w:bottom w:val="single" w:sz="4" w:space="0" w:color="000000"/>
            </w:tcBorders>
            <w:vAlign w:val="center"/>
          </w:tcPr>
          <w:p/>
        </w:tc>
        <w:tc>
          <w:tcPr>
            <w:tcW w:w="858" w:type="dxa"/>
            <w:vMerge/>
            <w:tcBorders>
              <w:top w:val="single" w:sz="4" w:space="0" w:color="000000"/>
              <w:left w:val="single" w:sz="4" w:space="0" w:color="000000"/>
              <w:bottom w:val="single" w:sz="4" w:space="0" w:color="000000"/>
              <w:right w:val="single" w:sz="4" w:space="0" w:color="000000"/>
            </w:tcBorders>
            <w:vAlign w:val="center"/>
          </w:tcPr>
          <w:p/>
        </w:tc>
        <w:tc>
          <w:tcPr>
            <w:tcW w:w="122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时效指标</w:t>
            </w:r>
          </w:p>
        </w:tc>
        <w:tc>
          <w:tcPr>
            <w:tcW w:w="1289"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完成时效</w:t>
            </w:r>
          </w:p>
        </w:tc>
        <w:tc>
          <w:tcPr>
            <w:tcW w:w="110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w:t>
            </w:r>
          </w:p>
        </w:tc>
        <w:tc>
          <w:tcPr>
            <w:tcW w:w="95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c>
          <w:tcPr>
            <w:tcW w:w="1043"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年</w:t>
            </w:r>
          </w:p>
        </w:tc>
        <w:tc>
          <w:tcPr>
            <w:tcW w:w="9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44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450"/>
        </w:trPr>
        <w:tc>
          <w:tcPr>
            <w:tcW w:w="1094" w:type="dxa"/>
            <w:vMerge/>
            <w:tcBorders>
              <w:top w:val="single" w:sz="4" w:space="0" w:color="000000"/>
              <w:left w:val="single" w:sz="4" w:space="0" w:color="000000"/>
              <w:bottom w:val="single" w:sz="4" w:space="0" w:color="000000"/>
            </w:tcBorders>
            <w:vAlign w:val="center"/>
          </w:tcPr>
          <w:p/>
        </w:tc>
        <w:tc>
          <w:tcPr>
            <w:tcW w:w="85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效益指标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kern w:val="0"/>
                <w:sz w:val="18"/>
                <w:szCs w:val="18"/>
              </w:rPr>
            </w:pPr>
            <w:r>
              <w:rPr>
                <w:rFonts w:ascii="宋体" w:cs="宋体"/>
                <w:color w:val="000000"/>
                <w:kern w:val="0"/>
                <w:sz w:val="18"/>
                <w:szCs w:val="18"/>
              </w:rPr>
              <w:t>社会效益指标</w:t>
            </w:r>
          </w:p>
        </w:tc>
        <w:tc>
          <w:tcPr>
            <w:tcW w:w="1289" w:type="dxa"/>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color w:val="000000"/>
                <w:sz w:val="18"/>
                <w:szCs w:val="18"/>
              </w:rPr>
            </w:pPr>
            <w:r>
              <w:rPr>
                <w:rFonts w:ascii="宋体" w:cs="宋体"/>
                <w:color w:val="000000"/>
                <w:kern w:val="0"/>
                <w:sz w:val="18"/>
                <w:szCs w:val="18"/>
              </w:rPr>
              <w:t>辐射村个数</w:t>
            </w:r>
          </w:p>
        </w:tc>
        <w:tc>
          <w:tcPr>
            <w:tcW w:w="110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5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8</w:t>
            </w:r>
          </w:p>
        </w:tc>
        <w:tc>
          <w:tcPr>
            <w:tcW w:w="104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个</w:t>
            </w:r>
          </w:p>
        </w:tc>
        <w:tc>
          <w:tcPr>
            <w:tcW w:w="9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5</w:t>
            </w:r>
          </w:p>
        </w:tc>
        <w:tc>
          <w:tcPr>
            <w:tcW w:w="144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p>
        </w:tc>
      </w:tr>
      <w:tr>
        <w:trPr>
          <w:trHeight w:val="764"/>
        </w:trPr>
        <w:tc>
          <w:tcPr>
            <w:tcW w:w="1094" w:type="dxa"/>
            <w:vMerge/>
            <w:tcBorders>
              <w:top w:val="single" w:sz="4" w:space="0" w:color="000000"/>
              <w:left w:val="single" w:sz="4" w:space="0" w:color="000000"/>
              <w:bottom w:val="single" w:sz="4" w:space="0" w:color="000000"/>
            </w:tcBorders>
            <w:vAlign w:val="center"/>
          </w:tcPr>
          <w:p/>
        </w:tc>
        <w:tc>
          <w:tcPr>
            <w:tcW w:w="85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效益指标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可持续影响指标</w:t>
            </w:r>
          </w:p>
        </w:tc>
        <w:tc>
          <w:tcPr>
            <w:tcW w:w="128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养老服务可持续</w:t>
            </w:r>
          </w:p>
        </w:tc>
        <w:tc>
          <w:tcPr>
            <w:tcW w:w="110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定性</w:t>
            </w:r>
          </w:p>
        </w:tc>
        <w:tc>
          <w:tcPr>
            <w:tcW w:w="95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高中低</w:t>
            </w:r>
          </w:p>
        </w:tc>
        <w:tc>
          <w:tcPr>
            <w:tcW w:w="104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其他</w:t>
            </w:r>
          </w:p>
        </w:tc>
        <w:tc>
          <w:tcPr>
            <w:tcW w:w="9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15</w:t>
            </w:r>
          </w:p>
        </w:tc>
        <w:tc>
          <w:tcPr>
            <w:tcW w:w="144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w:t>
            </w:r>
          </w:p>
        </w:tc>
      </w:tr>
      <w:tr>
        <w:trPr>
          <w:trHeight w:val="805"/>
        </w:trPr>
        <w:tc>
          <w:tcPr>
            <w:tcW w:w="1094" w:type="dxa"/>
            <w:vMerge/>
            <w:tcBorders>
              <w:top w:val="single" w:sz="4" w:space="0" w:color="000000"/>
              <w:left w:val="single" w:sz="4" w:space="0" w:color="000000"/>
              <w:bottom w:val="single" w:sz="4" w:space="0" w:color="000000"/>
            </w:tcBorders>
            <w:vAlign w:val="center"/>
          </w:tcPr>
          <w:p/>
        </w:tc>
        <w:tc>
          <w:tcPr>
            <w:tcW w:w="858"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满意度</w:t>
            </w:r>
          </w:p>
          <w:p>
            <w:pPr>
              <w:widowControl/>
              <w:spacing w:line="300" w:lineRule="exact"/>
              <w:jc w:val="center"/>
              <w:textAlignment w:val="center"/>
              <w:rPr>
                <w:color w:val="000000"/>
                <w:sz w:val="18"/>
                <w:szCs w:val="18"/>
              </w:rPr>
            </w:pPr>
            <w:r>
              <w:rPr>
                <w:color w:val="000000"/>
                <w:kern w:val="0"/>
                <w:sz w:val="18"/>
                <w:szCs w:val="18"/>
              </w:rPr>
              <w:t>指标</w:t>
            </w:r>
          </w:p>
        </w:tc>
        <w:tc>
          <w:tcPr>
            <w:tcW w:w="1226"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服务对象</w:t>
            </w:r>
          </w:p>
          <w:p>
            <w:pPr>
              <w:widowControl/>
              <w:spacing w:line="300" w:lineRule="exact"/>
              <w:jc w:val="center"/>
              <w:textAlignment w:val="center"/>
              <w:rPr>
                <w:color w:val="000000"/>
                <w:sz w:val="18"/>
                <w:szCs w:val="18"/>
              </w:rPr>
            </w:pPr>
            <w:r>
              <w:rPr>
                <w:color w:val="000000"/>
                <w:kern w:val="0"/>
                <w:sz w:val="18"/>
                <w:szCs w:val="18"/>
              </w:rPr>
              <w:t>满意度指标</w:t>
            </w:r>
          </w:p>
        </w:tc>
        <w:tc>
          <w:tcPr>
            <w:tcW w:w="1289" w:type="dxa"/>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群众满意度</w:t>
            </w:r>
          </w:p>
        </w:tc>
        <w:tc>
          <w:tcPr>
            <w:tcW w:w="110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定性</w:t>
            </w:r>
          </w:p>
        </w:tc>
        <w:tc>
          <w:tcPr>
            <w:tcW w:w="95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高中低</w:t>
            </w:r>
          </w:p>
        </w:tc>
        <w:tc>
          <w:tcPr>
            <w:tcW w:w="104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其他</w:t>
            </w:r>
          </w:p>
        </w:tc>
        <w:tc>
          <w:tcPr>
            <w:tcW w:w="9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44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高</w:t>
            </w:r>
          </w:p>
        </w:tc>
      </w:tr>
      <w:tr>
        <w:trPr>
          <w:trHeight w:val="830"/>
        </w:trPr>
        <w:tc>
          <w:tcPr>
            <w:tcW w:w="1094" w:type="dxa"/>
            <w:vMerge/>
            <w:tcBorders>
              <w:top w:val="single" w:sz="4" w:space="0" w:color="000000"/>
              <w:left w:val="single" w:sz="4" w:space="0" w:color="000000"/>
              <w:bottom w:val="single" w:sz="4" w:space="0" w:color="000000"/>
            </w:tcBorders>
            <w:vAlign w:val="center"/>
          </w:tcPr>
          <w:p/>
        </w:tc>
        <w:tc>
          <w:tcPr>
            <w:tcW w:w="85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成本指标</w:t>
            </w:r>
          </w:p>
        </w:tc>
        <w:tc>
          <w:tcPr>
            <w:tcW w:w="122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经济成本</w:t>
            </w:r>
          </w:p>
          <w:p>
            <w:pPr>
              <w:widowControl/>
              <w:spacing w:line="300" w:lineRule="exact"/>
              <w:jc w:val="center"/>
              <w:textAlignment w:val="center"/>
              <w:rPr>
                <w:color w:val="000000"/>
                <w:sz w:val="18"/>
                <w:szCs w:val="18"/>
              </w:rPr>
            </w:pPr>
            <w:r>
              <w:rPr>
                <w:color w:val="000000"/>
                <w:kern w:val="0"/>
                <w:sz w:val="18"/>
                <w:szCs w:val="18"/>
              </w:rPr>
              <w:t>指标</w:t>
            </w:r>
          </w:p>
        </w:tc>
        <w:tc>
          <w:tcPr>
            <w:tcW w:w="1289" w:type="dxa"/>
            <w:tcBorders>
              <w:top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预算资金</w:t>
            </w:r>
          </w:p>
        </w:tc>
        <w:tc>
          <w:tcPr>
            <w:tcW w:w="110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5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0.00</w:t>
            </w:r>
            <w:r>
              <w:rPr>
                <w:rFonts w:ascii="宋体" w:cs="宋体"/>
                <w:color w:val="000000"/>
                <w:kern w:val="0"/>
                <w:sz w:val="18"/>
                <w:szCs w:val="18"/>
              </w:rPr>
              <w:t>5</w:t>
            </w:r>
          </w:p>
        </w:tc>
        <w:tc>
          <w:tcPr>
            <w:tcW w:w="104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万</w:t>
            </w:r>
            <w:r>
              <w:rPr>
                <w:rFonts w:ascii="宋体" w:cs="宋体"/>
                <w:color w:val="000000"/>
                <w:kern w:val="0"/>
                <w:sz w:val="18"/>
                <w:szCs w:val="18"/>
              </w:rPr>
              <w:t>元</w:t>
            </w:r>
          </w:p>
        </w:tc>
        <w:tc>
          <w:tcPr>
            <w:tcW w:w="92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c>
          <w:tcPr>
            <w:tcW w:w="1446"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0.005</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233"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860"/>
        <w:gridCol w:w="873"/>
        <w:gridCol w:w="1250"/>
        <w:gridCol w:w="1312"/>
        <w:gridCol w:w="1127"/>
        <w:gridCol w:w="971"/>
        <w:gridCol w:w="1061"/>
        <w:gridCol w:w="938"/>
        <w:gridCol w:w="1841"/>
      </w:tblGrid>
      <w:tr>
        <w:trPr>
          <w:trHeight w:val="576"/>
        </w:trPr>
        <w:tc>
          <w:tcPr>
            <w:tcW w:w="10233"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项目名称</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51322324T000011833914-茂县衔接资金支持新型村村集体经济项目</w:t>
            </w:r>
          </w:p>
        </w:tc>
      </w:tr>
      <w:tr>
        <w:trPr>
          <w:trHeight w:val="458"/>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预算单位</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茂县南新镇人民政府（行政）</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项目类型</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6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项目 </w:t>
            </w:r>
          </w:p>
          <w:p>
            <w:pPr>
              <w:widowControl/>
              <w:spacing w:line="300" w:lineRule="exact"/>
              <w:jc w:val="center"/>
              <w:textAlignment w:val="center"/>
              <w:rPr>
                <w:color w:val="000000"/>
                <w:sz w:val="18"/>
                <w:szCs w:val="18"/>
              </w:rPr>
            </w:pPr>
            <w:r>
              <w:rPr>
                <w:color w:val="000000"/>
                <w:kern w:val="0"/>
                <w:sz w:val="18"/>
                <w:szCs w:val="18"/>
              </w:rPr>
              <w:t>概况</w:t>
            </w:r>
          </w:p>
        </w:tc>
        <w:tc>
          <w:tcPr>
            <w:tcW w:w="343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18"/>
                <w:szCs w:val="18"/>
              </w:rPr>
            </w:pPr>
            <w:r>
              <w:rPr>
                <w:color w:val="000000"/>
                <w:kern w:val="0"/>
                <w:sz w:val="18"/>
                <w:szCs w:val="18"/>
              </w:rPr>
              <w:t>中长期规划（名称、文号，仅指</w:t>
            </w:r>
          </w:p>
          <w:p>
            <w:pPr>
              <w:widowControl/>
              <w:spacing w:line="300" w:lineRule="exact"/>
              <w:jc w:val="left"/>
              <w:textAlignment w:val="center"/>
              <w:rPr>
                <w:color w:val="000000"/>
                <w:sz w:val="18"/>
                <w:szCs w:val="18"/>
              </w:rPr>
            </w:pPr>
            <w:r>
              <w:rPr>
                <w:color w:val="000000"/>
                <w:kern w:val="0"/>
                <w:sz w:val="18"/>
                <w:szCs w:val="18"/>
              </w:rPr>
              <w:t>常年项目）</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60" w:type="dxa"/>
            <w:vMerge/>
            <w:tcBorders>
              <w:top w:val="single" w:sz="4" w:space="0" w:color="000000"/>
              <w:left w:val="single" w:sz="4" w:space="0" w:color="000000"/>
              <w:bottom w:val="single" w:sz="4" w:space="0" w:color="000000"/>
              <w:right w:val="single" w:sz="4" w:space="0" w:color="000000"/>
            </w:tcBorders>
            <w:vAlign w:val="center"/>
          </w:tcPr>
          <w:p/>
        </w:tc>
        <w:tc>
          <w:tcPr>
            <w:tcW w:w="343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60" w:type="dxa"/>
            <w:vMerge/>
            <w:tcBorders>
              <w:top w:val="single" w:sz="4" w:space="0" w:color="000000"/>
              <w:left w:val="single" w:sz="4" w:space="0" w:color="000000"/>
              <w:bottom w:val="single" w:sz="4" w:space="0" w:color="000000"/>
              <w:right w:val="single" w:sz="4" w:space="0" w:color="000000"/>
            </w:tcBorders>
            <w:vAlign w:val="center"/>
          </w:tcPr>
          <w:p/>
        </w:tc>
        <w:tc>
          <w:tcPr>
            <w:tcW w:w="343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rPr>
          <w:trHeight w:val="23"/>
        </w:trPr>
        <w:tc>
          <w:tcPr>
            <w:tcW w:w="860" w:type="dxa"/>
            <w:vMerge/>
            <w:tcBorders>
              <w:top w:val="single" w:sz="4" w:space="0" w:color="000000"/>
              <w:left w:val="single" w:sz="4" w:space="0" w:color="000000"/>
              <w:bottom w:val="single" w:sz="4" w:space="0" w:color="000000"/>
              <w:right w:val="single" w:sz="4" w:space="0" w:color="000000"/>
            </w:tcBorders>
            <w:vAlign w:val="center"/>
          </w:tcPr>
          <w:p/>
        </w:tc>
        <w:tc>
          <w:tcPr>
            <w:tcW w:w="343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60" w:type="dxa"/>
            <w:vMerge/>
            <w:tcBorders>
              <w:top w:val="single" w:sz="4" w:space="0" w:color="000000"/>
              <w:left w:val="single" w:sz="4" w:space="0" w:color="000000"/>
              <w:bottom w:val="single" w:sz="4" w:space="0" w:color="000000"/>
              <w:right w:val="single" w:sz="4" w:space="0" w:color="000000"/>
            </w:tcBorders>
            <w:vAlign w:val="center"/>
          </w:tcPr>
          <w:p/>
        </w:tc>
        <w:tc>
          <w:tcPr>
            <w:tcW w:w="343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60" w:type="dxa"/>
            <w:vMerge/>
            <w:tcBorders>
              <w:top w:val="single" w:sz="4" w:space="0" w:color="000000"/>
              <w:left w:val="single" w:sz="4" w:space="0" w:color="000000"/>
              <w:bottom w:val="single" w:sz="4" w:space="0" w:color="000000"/>
              <w:right w:val="single" w:sz="4" w:space="0" w:color="000000"/>
            </w:tcBorders>
            <w:vAlign w:val="center"/>
          </w:tcPr>
          <w:p/>
        </w:tc>
        <w:tc>
          <w:tcPr>
            <w:tcW w:w="343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18"/>
                <w:szCs w:val="18"/>
              </w:rPr>
            </w:pPr>
          </w:p>
        </w:tc>
      </w:tr>
      <w:tr>
        <w:trPr>
          <w:trHeight w:val="23"/>
        </w:trPr>
        <w:tc>
          <w:tcPr>
            <w:tcW w:w="860" w:type="dxa"/>
            <w:vMerge/>
            <w:tcBorders>
              <w:top w:val="single" w:sz="4" w:space="0" w:color="000000"/>
              <w:left w:val="single" w:sz="4" w:space="0" w:color="000000"/>
              <w:bottom w:val="single" w:sz="4" w:space="0" w:color="000000"/>
              <w:right w:val="single" w:sz="4" w:space="0" w:color="000000"/>
            </w:tcBorders>
            <w:vAlign w:val="center"/>
          </w:tcPr>
          <w:p/>
        </w:tc>
        <w:tc>
          <w:tcPr>
            <w:tcW w:w="3435"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sz w:val="18"/>
                <w:szCs w:val="18"/>
              </w:rPr>
              <w:t>2024.1-2024.12</w:t>
            </w:r>
          </w:p>
        </w:tc>
      </w:tr>
      <w:tr>
        <w:trPr>
          <w:trHeight w:val="23"/>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110"/>
                <w:tab w:val="right" w:pos="6028"/>
              </w:tabs>
              <w:spacing w:line="300" w:lineRule="exact"/>
              <w:jc w:val="center"/>
              <w:rPr>
                <w:color w:val="000000"/>
                <w:sz w:val="18"/>
                <w:szCs w:val="18"/>
              </w:rPr>
            </w:pPr>
            <w:r>
              <w:rPr>
                <w:rFonts w:hint="eastAsia"/>
                <w:color w:val="000000"/>
                <w:sz w:val="18"/>
                <w:szCs w:val="18"/>
              </w:rPr>
              <w:t xml:space="preserve">     150.00</w:t>
              <w:tab/>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tabs>
                <w:tab w:val="left" w:pos="1305"/>
                <w:tab w:val="right" w:pos="6028"/>
              </w:tabs>
              <w:spacing w:line="300" w:lineRule="exact"/>
              <w:jc w:val="center"/>
              <w:rPr>
                <w:color w:val="000000"/>
                <w:sz w:val="18"/>
                <w:szCs w:val="18"/>
              </w:rPr>
            </w:pPr>
            <w:r>
              <w:rPr>
                <w:rFonts w:hint="eastAsia"/>
                <w:color w:val="000000"/>
                <w:sz w:val="18"/>
                <w:szCs w:val="18"/>
              </w:rPr>
              <w:t>150.00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18"/>
                <w:szCs w:val="18"/>
              </w:rPr>
            </w:pPr>
          </w:p>
        </w:tc>
      </w:tr>
      <w:tr>
        <w:trPr>
          <w:trHeight w:val="23"/>
        </w:trPr>
        <w:tc>
          <w:tcPr>
            <w:tcW w:w="86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总体 </w:t>
            </w:r>
          </w:p>
          <w:p>
            <w:pPr>
              <w:widowControl/>
              <w:spacing w:line="300" w:lineRule="exact"/>
              <w:jc w:val="center"/>
              <w:textAlignment w:val="center"/>
              <w:rPr>
                <w:color w:val="000000"/>
                <w:sz w:val="18"/>
                <w:szCs w:val="18"/>
              </w:rPr>
            </w:pPr>
            <w:r>
              <w:rPr>
                <w:color w:val="000000"/>
                <w:kern w:val="0"/>
                <w:sz w:val="18"/>
                <w:szCs w:val="18"/>
              </w:rPr>
              <w:t>目标</w:t>
            </w:r>
          </w:p>
        </w:tc>
        <w:tc>
          <w:tcPr>
            <w:tcW w:w="937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rPr>
          <w:trHeight w:val="800"/>
        </w:trPr>
        <w:tc>
          <w:tcPr>
            <w:tcW w:w="860" w:type="dxa"/>
            <w:vMerge/>
            <w:tcBorders>
              <w:top w:val="single" w:sz="4" w:space="0" w:color="000000"/>
              <w:left w:val="single" w:sz="4" w:space="0" w:color="000000"/>
              <w:bottom w:val="single" w:sz="4" w:space="0" w:color="000000"/>
              <w:right w:val="single" w:sz="4" w:space="0" w:color="000000"/>
            </w:tcBorders>
            <w:vAlign w:val="center"/>
          </w:tcPr>
          <w:p/>
        </w:tc>
        <w:tc>
          <w:tcPr>
            <w:tcW w:w="9373"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18"/>
                <w:szCs w:val="18"/>
              </w:rPr>
            </w:pPr>
            <w:r>
              <w:rPr>
                <w:rFonts w:hint="eastAsia"/>
                <w:color w:val="000000"/>
                <w:kern w:val="0"/>
                <w:sz w:val="18"/>
                <w:szCs w:val="18"/>
              </w:rPr>
              <w:t>促进棉簇村集体经济增长：通过整合资源、优化配置，提高生产效率和经济效益，增加集体的收入，推动地方经济的发展。</w:t>
            </w:r>
          </w:p>
        </w:tc>
      </w:tr>
      <w:tr>
        <w:trPr>
          <w:trHeight w:val="23"/>
        </w:trPr>
        <w:tc>
          <w:tcPr>
            <w:tcW w:w="860"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绩效</w:t>
            </w:r>
          </w:p>
          <w:p>
            <w:pPr>
              <w:widowControl/>
              <w:spacing w:line="300" w:lineRule="exact"/>
              <w:jc w:val="center"/>
              <w:textAlignment w:val="center"/>
              <w:rPr>
                <w:color w:val="000000"/>
                <w:sz w:val="18"/>
                <w:szCs w:val="18"/>
              </w:rPr>
            </w:pPr>
            <w:r>
              <w:rPr>
                <w:color w:val="000000"/>
                <w:kern w:val="0"/>
                <w:sz w:val="18"/>
                <w:szCs w:val="18"/>
              </w:rPr>
              <w:t xml:space="preserve"> 指标</w:t>
            </w:r>
          </w:p>
        </w:tc>
        <w:tc>
          <w:tcPr>
            <w:tcW w:w="87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8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rPr>
          <w:trHeight w:val="290"/>
        </w:trPr>
        <w:tc>
          <w:tcPr>
            <w:tcW w:w="860" w:type="dxa"/>
            <w:vMerge/>
            <w:tcBorders>
              <w:top w:val="single" w:sz="4" w:space="0" w:color="000000"/>
              <w:left w:val="single" w:sz="4" w:space="0" w:color="000000"/>
              <w:bottom w:val="single" w:sz="4" w:space="0" w:color="000000"/>
            </w:tcBorders>
            <w:vAlign w:val="center"/>
          </w:tcPr>
          <w:p/>
        </w:tc>
        <w:tc>
          <w:tcPr>
            <w:tcW w:w="873"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产出指标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建设农产品加工储藏点</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座</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w:t>
            </w:r>
          </w:p>
        </w:tc>
      </w:tr>
      <w:tr>
        <w:trPr>
          <w:trHeight w:val="23"/>
        </w:trPr>
        <w:tc>
          <w:tcPr>
            <w:tcW w:w="860" w:type="dxa"/>
            <w:vMerge/>
            <w:tcBorders>
              <w:top w:val="single" w:sz="4" w:space="0" w:color="000000"/>
              <w:left w:val="single" w:sz="4" w:space="0" w:color="000000"/>
              <w:bottom w:val="single" w:sz="4" w:space="0" w:color="000000"/>
            </w:tcBorders>
            <w:vAlign w:val="center"/>
          </w:tcPr>
          <w:p/>
        </w:tc>
        <w:tc>
          <w:tcPr>
            <w:tcW w:w="873"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项目（工程）验收合格率</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100</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15</w:t>
            </w:r>
          </w:p>
        </w:tc>
        <w:tc>
          <w:tcPr>
            <w:tcW w:w="184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100</w:t>
            </w:r>
          </w:p>
        </w:tc>
      </w:tr>
      <w:tr>
        <w:trPr>
          <w:trHeight w:val="23"/>
        </w:trPr>
        <w:tc>
          <w:tcPr>
            <w:tcW w:w="860" w:type="dxa"/>
            <w:vMerge/>
            <w:tcBorders>
              <w:top w:val="single" w:sz="4" w:space="0" w:color="000000"/>
              <w:left w:val="single" w:sz="4" w:space="0" w:color="000000"/>
              <w:bottom w:val="single" w:sz="4" w:space="0" w:color="000000"/>
            </w:tcBorders>
            <w:vAlign w:val="center"/>
          </w:tcPr>
          <w:p/>
        </w:tc>
        <w:tc>
          <w:tcPr>
            <w:tcW w:w="873" w:type="dxa"/>
            <w:vMerge/>
            <w:tcBorders>
              <w:top w:val="single" w:sz="4" w:space="0" w:color="000000"/>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时效指标</w:t>
            </w:r>
          </w:p>
          <w:p>
            <w:pPr>
              <w:widowControl/>
              <w:spacing w:line="300" w:lineRule="exact"/>
              <w:jc w:val="center"/>
              <w:textAlignment w:val="center"/>
              <w:rPr>
                <w:color w:val="000000"/>
                <w:sz w:val="18"/>
                <w:szCs w:val="18"/>
              </w:rPr>
            </w:pP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项目设计年限</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年</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hint="eastAsia"/>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10</w:t>
            </w:r>
          </w:p>
        </w:tc>
      </w:tr>
      <w:tr>
        <w:trPr>
          <w:trHeight w:val="23"/>
        </w:trPr>
        <w:tc>
          <w:tcPr>
            <w:tcW w:w="860" w:type="dxa"/>
            <w:vMerge/>
            <w:tcBorders>
              <w:top w:val="single" w:sz="4" w:space="0" w:color="000000"/>
              <w:left w:val="single" w:sz="4" w:space="0" w:color="000000"/>
              <w:bottom w:val="single" w:sz="4" w:space="0" w:color="000000"/>
            </w:tcBorders>
            <w:vAlign w:val="center"/>
          </w:tcPr>
          <w:p/>
        </w:tc>
        <w:tc>
          <w:tcPr>
            <w:tcW w:w="873" w:type="dxa"/>
            <w:vMerge w:val="restart"/>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效益指标</w:t>
            </w:r>
          </w:p>
        </w:tc>
        <w:tc>
          <w:tcPr>
            <w:tcW w:w="1250" w:type="dxa"/>
            <w:vMerge w:val="restart"/>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rFonts w:hint="eastAsia"/>
                <w:color w:val="000000"/>
                <w:kern w:val="0"/>
                <w:sz w:val="18"/>
                <w:szCs w:val="18"/>
              </w:rPr>
              <w:t>经济效益指标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村集体经济收益</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5</w:t>
            </w:r>
            <w:r>
              <w:rPr>
                <w:rFonts w:ascii="宋体" w:cs="宋体" w:hint="eastAsia"/>
                <w:color w:val="000000"/>
                <w:kern w:val="0"/>
                <w:sz w:val="18"/>
                <w:szCs w:val="18"/>
              </w:rPr>
              <w:t>.00</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万元</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5</w:t>
            </w:r>
          </w:p>
        </w:tc>
        <w:tc>
          <w:tcPr>
            <w:tcW w:w="184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5.00</w:t>
            </w:r>
          </w:p>
        </w:tc>
      </w:tr>
      <w:tr>
        <w:trPr>
          <w:trHeight w:val="23"/>
        </w:trPr>
        <w:tc>
          <w:tcPr>
            <w:tcW w:w="860" w:type="dxa"/>
            <w:vMerge/>
            <w:tcBorders>
              <w:top w:val="single" w:sz="4" w:space="0" w:color="000000"/>
              <w:left w:val="single" w:sz="4" w:space="0" w:color="000000"/>
              <w:bottom w:val="single" w:sz="4" w:space="0" w:color="000000"/>
            </w:tcBorders>
            <w:vAlign w:val="center"/>
          </w:tcPr>
          <w:p/>
        </w:tc>
        <w:tc>
          <w:tcPr>
            <w:tcW w:w="873" w:type="dxa"/>
            <w:vMerge/>
            <w:tcBorders>
              <w:left w:val="single" w:sz="4" w:space="0" w:color="000000"/>
              <w:right w:val="single" w:sz="4" w:space="0" w:color="000000"/>
            </w:tcBorders>
            <w:vAlign w:val="center"/>
          </w:tcPr>
          <w:p/>
        </w:tc>
        <w:tc>
          <w:tcPr>
            <w:tcW w:w="1250" w:type="dxa"/>
            <w:vMerge/>
            <w:tcBorders>
              <w:left w:val="single" w:sz="4" w:space="0" w:color="000000"/>
              <w:bottom w:val="single" w:sz="4" w:space="0" w:color="000000"/>
              <w:right w:val="single" w:sz="4" w:space="0" w:color="000000"/>
            </w:tcBorders>
            <w:vAlign w:val="center"/>
          </w:tcP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带动增加脱贫人口收入</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0.1</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万元</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5</w:t>
            </w:r>
          </w:p>
        </w:tc>
        <w:tc>
          <w:tcPr>
            <w:tcW w:w="184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0.1</w:t>
            </w:r>
          </w:p>
        </w:tc>
      </w:tr>
      <w:tr>
        <w:trPr>
          <w:trHeight w:val="23"/>
        </w:trPr>
        <w:tc>
          <w:tcPr>
            <w:tcW w:w="860" w:type="dxa"/>
            <w:vMerge/>
            <w:tcBorders>
              <w:top w:val="single" w:sz="4" w:space="0" w:color="000000"/>
              <w:left w:val="single" w:sz="4" w:space="0" w:color="000000"/>
              <w:bottom w:val="single" w:sz="4" w:space="0" w:color="000000"/>
            </w:tcBorders>
            <w:vAlign w:val="center"/>
          </w:tcPr>
          <w:p/>
        </w:tc>
        <w:tc>
          <w:tcPr>
            <w:tcW w:w="873" w:type="dxa"/>
            <w:vMerge/>
            <w:tcBorders>
              <w:left w:val="single" w:sz="4" w:space="0" w:color="000000"/>
              <w:bottom w:val="single" w:sz="4" w:space="0" w:color="000000"/>
              <w:right w:val="single" w:sz="4" w:space="0" w:color="000000"/>
            </w:tcBorders>
            <w:vAlign w:val="center"/>
          </w:tcP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rFonts w:hint="eastAsia"/>
                <w:color w:val="000000"/>
                <w:kern w:val="0"/>
                <w:sz w:val="18"/>
                <w:szCs w:val="18"/>
              </w:rPr>
              <w:t>社会效益指标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受益脱贫人口</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18</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人</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18</w:t>
            </w:r>
          </w:p>
        </w:tc>
      </w:tr>
      <w:tr>
        <w:trPr>
          <w:trHeight w:val="23"/>
        </w:trPr>
        <w:tc>
          <w:tcPr>
            <w:tcW w:w="860" w:type="dxa"/>
            <w:vMerge/>
            <w:tcBorders>
              <w:top w:val="single" w:sz="4" w:space="0" w:color="000000"/>
              <w:left w:val="single" w:sz="4" w:space="0" w:color="000000"/>
              <w:bottom w:val="single" w:sz="4" w:space="0" w:color="000000"/>
            </w:tcBorders>
            <w:vAlign w:val="center"/>
          </w:tcPr>
          <w:p/>
        </w:tc>
        <w:tc>
          <w:tcPr>
            <w:tcW w:w="873" w:type="dxa"/>
            <w:tcBorders>
              <w:top w:val="single" w:sz="4" w:space="0" w:color="000000"/>
              <w:left w:val="single" w:sz="4" w:space="0" w:color="000000"/>
              <w:right w:val="single" w:sz="4" w:space="0" w:color="000000"/>
            </w:tcBorders>
            <w:vAlign w:val="center"/>
          </w:tcPr>
          <w:p>
            <w:pPr>
              <w:widowControl/>
              <w:spacing w:line="300" w:lineRule="exact"/>
              <w:jc w:val="center"/>
              <w:textAlignment w:val="center"/>
              <w:rPr>
                <w:color w:val="000000"/>
                <w:kern w:val="0"/>
                <w:sz w:val="18"/>
                <w:szCs w:val="18"/>
              </w:rPr>
            </w:pPr>
            <w:r>
              <w:rPr>
                <w:color w:val="000000"/>
                <w:kern w:val="0"/>
                <w:sz w:val="18"/>
                <w:szCs w:val="18"/>
              </w:rPr>
              <w:t>满意度</w:t>
            </w:r>
          </w:p>
          <w:p>
            <w:pPr>
              <w:widowControl/>
              <w:spacing w:line="300" w:lineRule="exact"/>
              <w:jc w:val="center"/>
              <w:textAlignment w:val="center"/>
              <w:rPr>
                <w:color w:val="000000"/>
                <w:sz w:val="18"/>
                <w:szCs w:val="18"/>
              </w:rPr>
            </w:pPr>
            <w:r>
              <w:rPr>
                <w:color w:val="000000"/>
                <w:kern w:val="0"/>
                <w:sz w:val="18"/>
                <w:szCs w:val="18"/>
              </w:rPr>
              <w:t>指标</w:t>
            </w:r>
          </w:p>
        </w:tc>
        <w:tc>
          <w:tcPr>
            <w:tcW w:w="1250" w:type="dxa"/>
            <w:tcBorders>
              <w:top w:val="single" w:sz="4" w:space="0" w:color="000000"/>
              <w:left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服务对象满意度指标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收益人口满意度</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85</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85</w:t>
            </w:r>
          </w:p>
        </w:tc>
      </w:tr>
      <w:tr>
        <w:trPr>
          <w:trHeight w:val="23"/>
        </w:trPr>
        <w:tc>
          <w:tcPr>
            <w:tcW w:w="860" w:type="dxa"/>
            <w:vMerge/>
            <w:tcBorders>
              <w:top w:val="single" w:sz="4" w:space="0" w:color="000000"/>
              <w:left w:val="single" w:sz="4" w:space="0" w:color="000000"/>
              <w:bottom w:val="single" w:sz="4" w:space="0" w:color="000000"/>
            </w:tcBorders>
            <w:vAlign w:val="center"/>
          </w:tcPr>
          <w:p/>
        </w:tc>
        <w:tc>
          <w:tcPr>
            <w:tcW w:w="87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18"/>
                <w:szCs w:val="18"/>
              </w:rPr>
            </w:pPr>
            <w:r>
              <w:rPr>
                <w:color w:val="000000"/>
                <w:kern w:val="0"/>
                <w:sz w:val="18"/>
                <w:szCs w:val="18"/>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经济成本指标</w:t>
            </w:r>
          </w:p>
        </w:tc>
        <w:tc>
          <w:tcPr>
            <w:tcW w:w="1312" w:type="dxa"/>
            <w:tcBorders>
              <w:top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项目资金投入</w:t>
            </w:r>
          </w:p>
        </w:tc>
        <w:tc>
          <w:tcPr>
            <w:tcW w:w="112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150</w:t>
            </w:r>
            <w:r>
              <w:rPr>
                <w:rFonts w:ascii="宋体" w:cs="宋体" w:hint="eastAsia"/>
                <w:color w:val="000000"/>
                <w:kern w:val="0"/>
                <w:sz w:val="18"/>
                <w:szCs w:val="18"/>
              </w:rPr>
              <w:t>.00</w:t>
            </w:r>
          </w:p>
        </w:tc>
        <w:tc>
          <w:tcPr>
            <w:tcW w:w="106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万元</w:t>
            </w:r>
          </w:p>
        </w:tc>
        <w:tc>
          <w:tcPr>
            <w:tcW w:w="93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color w:val="000000"/>
                <w:sz w:val="18"/>
                <w:szCs w:val="18"/>
              </w:rPr>
            </w:pPr>
            <w:r>
              <w:rPr>
                <w:rFonts w:ascii="宋体" w:cs="宋体"/>
                <w:color w:val="000000"/>
                <w:kern w:val="0"/>
                <w:sz w:val="18"/>
                <w:szCs w:val="18"/>
              </w:rPr>
              <w:t>20</w:t>
            </w:r>
          </w:p>
        </w:tc>
        <w:tc>
          <w:tcPr>
            <w:tcW w:w="184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18"/>
                <w:szCs w:val="18"/>
              </w:rPr>
            </w:pPr>
            <w:r>
              <w:rPr>
                <w:rFonts w:hint="eastAsia"/>
                <w:color w:val="000000"/>
                <w:sz w:val="18"/>
                <w:szCs w:val="18"/>
              </w:rPr>
              <w:t>150.00</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1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47"/>
        <w:gridCol w:w="1246"/>
        <w:gridCol w:w="1230"/>
        <w:gridCol w:w="1141"/>
        <w:gridCol w:w="794"/>
        <w:gridCol w:w="1288"/>
        <w:gridCol w:w="1053"/>
        <w:gridCol w:w="931"/>
        <w:gridCol w:w="1830"/>
      </w:tblGrid>
      <w:tr>
        <w:trPr>
          <w:trHeight w:val="797"/>
        </w:trPr>
        <w:tc>
          <w:tcPr>
            <w:tcW w:w="101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51322325T000012420177-南新镇2023年七星标杆村建设项目质量质保金</w:t>
            </w:r>
          </w:p>
        </w:tc>
      </w:tr>
      <w:tr>
        <w:trPr>
          <w:trHeight w:val="6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34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30"/>
        </w:trPr>
        <w:tc>
          <w:tcPr>
            <w:tcW w:w="189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7.41</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7.41</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完成2023年七星标杆村建设项目质量质保金支付。</w:t>
            </w:r>
          </w:p>
        </w:tc>
      </w:tr>
      <w:tr>
        <w:trPr>
          <w:trHeight w:val="430"/>
        </w:trPr>
        <w:tc>
          <w:tcPr>
            <w:tcW w:w="647"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产出指标</w:t>
            </w:r>
          </w:p>
          <w:p>
            <w:pPr>
              <w:widowControl/>
              <w:ind w:firstLineChars="100" w:firstLine="210"/>
              <w:jc w:val="left"/>
              <w:textAlignment w:val="center"/>
              <w:rPr>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Cs w:val="21"/>
              </w:rPr>
            </w:pPr>
            <w:r>
              <w:rPr>
                <w:color w:val="000000"/>
                <w:kern w:val="0"/>
                <w:szCs w:val="21"/>
              </w:rPr>
              <w:t>数量指标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金额</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7.41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万</w:t>
            </w:r>
            <w:r>
              <w:rPr>
                <w:color w:val="000000"/>
                <w:kern w:val="0"/>
                <w:szCs w:val="21"/>
              </w:rPr>
              <w:t>元</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5.95</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质量指标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完成质量合格率</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时效指标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完成项目年度</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年</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效益指标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社会效益指标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受益人满意度</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85</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840"/>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帮扶对象满意度指标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定性</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高中低</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其他</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1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47"/>
        <w:gridCol w:w="1246"/>
        <w:gridCol w:w="1230"/>
        <w:gridCol w:w="1141"/>
        <w:gridCol w:w="1118"/>
        <w:gridCol w:w="964"/>
        <w:gridCol w:w="1053"/>
        <w:gridCol w:w="931"/>
        <w:gridCol w:w="1830"/>
      </w:tblGrid>
      <w:tr>
        <w:trPr>
          <w:trHeight w:val="797"/>
        </w:trPr>
        <w:tc>
          <w:tcPr>
            <w:tcW w:w="101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51322325T000012403784-茂县南新镇七星村农村公益事业建设项目</w:t>
            </w:r>
          </w:p>
        </w:tc>
      </w:tr>
      <w:tr>
        <w:trPr>
          <w:trHeight w:val="6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1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30"/>
        </w:trPr>
        <w:tc>
          <w:tcPr>
            <w:tcW w:w="189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48.50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48.50</w:t>
            </w:r>
          </w:p>
        </w:tc>
      </w:tr>
      <w:tr>
        <w:trPr>
          <w:trHeight w:val="43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78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七星村农村公益</w:t>
            </w:r>
            <w:r>
              <w:rPr>
                <w:rFonts w:hint="eastAsia"/>
                <w:color w:val="000000"/>
                <w:kern w:val="0"/>
                <w:szCs w:val="21"/>
              </w:rPr>
              <w:t>项目建设，建设内容为：道路护栏、村容村貌改造、地平硬化、新建围墙、人行道压</w:t>
            </w:r>
            <w:r>
              <w:rPr>
                <w:color w:val="000000"/>
                <w:kern w:val="0"/>
                <w:szCs w:val="21"/>
              </w:rPr>
              <w:t>印混凝土硬化(含人工破碎、余方遗弃等) 。</w:t>
            </w:r>
          </w:p>
          <w:p>
            <w:pPr>
              <w:spacing w:line="300" w:lineRule="exac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产出指标</w:t>
            </w:r>
          </w:p>
          <w:p>
            <w:pPr>
              <w:widowControl/>
              <w:ind w:firstLineChars="100" w:firstLine="210"/>
              <w:jc w:val="left"/>
              <w:textAlignment w:val="center"/>
              <w:rPr>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Cs w:val="21"/>
              </w:rPr>
            </w:pPr>
            <w:r>
              <w:rPr>
                <w:color w:val="000000"/>
                <w:kern w:val="0"/>
                <w:szCs w:val="21"/>
              </w:rPr>
              <w:t>数量指标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金额</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48.50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元</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48.50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质量指标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完成质量合格率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时效指标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完成项目年度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年</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效益指标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社会效益指标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受益人满意度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85</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840"/>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帮扶对象满意度指标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定性</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高中低</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其他</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1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47"/>
        <w:gridCol w:w="1246"/>
        <w:gridCol w:w="1230"/>
        <w:gridCol w:w="1141"/>
        <w:gridCol w:w="794"/>
        <w:gridCol w:w="1288"/>
        <w:gridCol w:w="1053"/>
        <w:gridCol w:w="931"/>
        <w:gridCol w:w="1830"/>
      </w:tblGrid>
      <w:tr>
        <w:trPr>
          <w:trHeight w:val="797"/>
        </w:trPr>
        <w:tc>
          <w:tcPr>
            <w:tcW w:w="101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51322325T000012593707-茂县南新镇七星村配套设施堡坎建设项目质保金</w:t>
            </w:r>
          </w:p>
        </w:tc>
      </w:tr>
      <w:tr>
        <w:trPr>
          <w:trHeight w:val="6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34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30"/>
        </w:trPr>
        <w:tc>
          <w:tcPr>
            <w:tcW w:w="189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1.43</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1.43</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完成2023年七星标杆村建设项目质量质保金支付。</w:t>
            </w:r>
          </w:p>
        </w:tc>
      </w:tr>
      <w:tr>
        <w:trPr>
          <w:trHeight w:val="430"/>
        </w:trPr>
        <w:tc>
          <w:tcPr>
            <w:tcW w:w="647"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产出指标</w:t>
            </w:r>
          </w:p>
          <w:p>
            <w:pPr>
              <w:widowControl/>
              <w:ind w:firstLineChars="100" w:firstLine="210"/>
              <w:jc w:val="left"/>
              <w:textAlignment w:val="center"/>
              <w:rPr>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Cs w:val="21"/>
              </w:rPr>
            </w:pPr>
            <w:r>
              <w:rPr>
                <w:color w:val="000000"/>
                <w:kern w:val="0"/>
                <w:szCs w:val="21"/>
              </w:rPr>
              <w:t>数量指标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金额</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1.43</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万</w:t>
            </w:r>
            <w:r>
              <w:rPr>
                <w:color w:val="000000"/>
                <w:kern w:val="0"/>
                <w:szCs w:val="21"/>
              </w:rPr>
              <w:t>元</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1.43</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质量指标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完成质量合格率</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时效指标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完成项目年度</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年</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效益指标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社会效益指标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受益人满意度</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85</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840"/>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帮扶对象满意度指标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w:t>
            </w:r>
          </w:p>
        </w:tc>
        <w:tc>
          <w:tcPr>
            <w:tcW w:w="79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定性</w:t>
            </w:r>
          </w:p>
        </w:tc>
        <w:tc>
          <w:tcPr>
            <w:tcW w:w="128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高中低</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其他</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1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47"/>
        <w:gridCol w:w="1246"/>
        <w:gridCol w:w="1230"/>
        <w:gridCol w:w="1141"/>
        <w:gridCol w:w="1118"/>
        <w:gridCol w:w="964"/>
        <w:gridCol w:w="1053"/>
        <w:gridCol w:w="931"/>
        <w:gridCol w:w="1830"/>
      </w:tblGrid>
      <w:tr>
        <w:trPr>
          <w:trHeight w:val="797"/>
        </w:trPr>
        <w:tc>
          <w:tcPr>
            <w:tcW w:w="101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51322325T000012416409-2024年南新镇网格员工资</w:t>
            </w:r>
          </w:p>
        </w:tc>
      </w:tr>
      <w:tr>
        <w:trPr>
          <w:trHeight w:val="6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1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30"/>
        </w:trPr>
        <w:tc>
          <w:tcPr>
            <w:tcW w:w="189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6.40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6.40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产出指标</w:t>
            </w:r>
          </w:p>
          <w:p>
            <w:pPr>
              <w:widowControl/>
              <w:ind w:firstLineChars="100" w:firstLine="210"/>
              <w:jc w:val="left"/>
              <w:textAlignment w:val="center"/>
              <w:rPr>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Cs w:val="21"/>
              </w:rPr>
            </w:pPr>
            <w:r>
              <w:rPr>
                <w:color w:val="000000"/>
                <w:kern w:val="0"/>
                <w:szCs w:val="21"/>
              </w:rPr>
              <w:t>数量指标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金额</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6.40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万</w:t>
            </w:r>
            <w:r>
              <w:rPr>
                <w:color w:val="000000"/>
                <w:kern w:val="0"/>
                <w:szCs w:val="21"/>
              </w:rPr>
              <w:t>元</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6.40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质量指标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完成质量合格率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时效指标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完成项目年度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年</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效益指标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社会效益指标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受益人满意度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85</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840"/>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帮扶对象满意度指标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定性</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高中低</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其他</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1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47"/>
        <w:gridCol w:w="1246"/>
        <w:gridCol w:w="1230"/>
        <w:gridCol w:w="1141"/>
        <w:gridCol w:w="1118"/>
        <w:gridCol w:w="964"/>
        <w:gridCol w:w="1053"/>
        <w:gridCol w:w="931"/>
        <w:gridCol w:w="1830"/>
      </w:tblGrid>
      <w:tr>
        <w:trPr>
          <w:trHeight w:val="797"/>
        </w:trPr>
        <w:tc>
          <w:tcPr>
            <w:tcW w:w="101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51322325T000012120445-2024年强降雨应急抢险资金</w:t>
            </w:r>
          </w:p>
        </w:tc>
      </w:tr>
      <w:tr>
        <w:trPr>
          <w:trHeight w:val="6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1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30"/>
        </w:trPr>
        <w:tc>
          <w:tcPr>
            <w:tcW w:w="189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产出指标</w:t>
            </w:r>
          </w:p>
          <w:p>
            <w:pPr>
              <w:widowControl/>
              <w:ind w:firstLineChars="100" w:firstLine="210"/>
              <w:jc w:val="left"/>
              <w:textAlignment w:val="center"/>
              <w:rPr>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Cs w:val="21"/>
              </w:rPr>
            </w:pPr>
            <w:r>
              <w:rPr>
                <w:color w:val="000000"/>
                <w:kern w:val="0"/>
                <w:szCs w:val="21"/>
              </w:rPr>
              <w:t>数量指标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金额</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万</w:t>
            </w:r>
            <w:r>
              <w:rPr>
                <w:color w:val="000000"/>
                <w:kern w:val="0"/>
                <w:szCs w:val="21"/>
              </w:rPr>
              <w:t>元</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质量指标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完成质量合格率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时效指标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完成项目年度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年</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效益指标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社会效益指标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受益人满意度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85</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840"/>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帮扶对象满意度指标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定性</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高中低</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其他</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1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47"/>
        <w:gridCol w:w="1246"/>
        <w:gridCol w:w="1230"/>
        <w:gridCol w:w="1141"/>
        <w:gridCol w:w="1118"/>
        <w:gridCol w:w="964"/>
        <w:gridCol w:w="1053"/>
        <w:gridCol w:w="931"/>
        <w:gridCol w:w="1830"/>
      </w:tblGrid>
      <w:tr>
        <w:trPr>
          <w:trHeight w:val="797"/>
        </w:trPr>
        <w:tc>
          <w:tcPr>
            <w:tcW w:w="101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51322325T000013240453-2024年度驻村工作通讯补贴</w:t>
            </w:r>
          </w:p>
        </w:tc>
      </w:tr>
      <w:tr>
        <w:trPr>
          <w:trHeight w:val="6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1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30"/>
        </w:trPr>
        <w:tc>
          <w:tcPr>
            <w:tcW w:w="189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0.18</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0.18</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 w:val="24"/>
              </w:rPr>
            </w:pPr>
            <w:r>
              <w:rPr>
                <w:rFonts w:hint="eastAsia"/>
                <w:color w:val="000000"/>
                <w:kern w:val="0"/>
                <w:szCs w:val="21"/>
                <w:lang w:val="zh-CN"/>
              </w:rPr>
              <w:t>确保驻村</w:t>
            </w:r>
            <w:r>
              <w:rPr>
                <w:rFonts w:hint="eastAsia"/>
                <w:color w:val="000000"/>
                <w:kern w:val="0"/>
                <w:szCs w:val="21"/>
              </w:rPr>
              <w:t>通讯补贴</w:t>
            </w:r>
            <w:r>
              <w:rPr>
                <w:rFonts w:hint="eastAsia"/>
                <w:color w:val="000000"/>
                <w:kern w:val="0"/>
                <w:szCs w:val="21"/>
                <w:lang w:val="zh-CN"/>
              </w:rPr>
              <w:t>的科学配置与高效利用并提升驻村工作队员的综合能力。</w:t>
            </w:r>
          </w:p>
        </w:tc>
      </w:tr>
      <w:tr>
        <w:trPr>
          <w:trHeight w:val="430"/>
        </w:trPr>
        <w:tc>
          <w:tcPr>
            <w:tcW w:w="647"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产出指标</w:t>
            </w:r>
          </w:p>
          <w:p>
            <w:pPr>
              <w:widowControl/>
              <w:ind w:firstLineChars="100" w:firstLine="210"/>
              <w:jc w:val="left"/>
              <w:textAlignment w:val="center"/>
              <w:rPr>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Cs w:val="21"/>
              </w:rPr>
            </w:pPr>
            <w:r>
              <w:rPr>
                <w:color w:val="000000"/>
                <w:kern w:val="0"/>
                <w:szCs w:val="21"/>
              </w:rPr>
              <w:t>数量指标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金额</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0.18</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万</w:t>
            </w:r>
            <w:r>
              <w:rPr>
                <w:color w:val="000000"/>
                <w:kern w:val="0"/>
                <w:szCs w:val="21"/>
              </w:rPr>
              <w:t>元</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0.18</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质量指标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完成质量合格率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时效指标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完成项目年度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年</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效益指标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社会效益指标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受益人满意度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85</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840"/>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帮扶对象满意度指标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定性</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高中低</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其他</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bl>
    <w:p>
      <w:pPr>
        <w:pStyle w:val="22"/>
        <w:tabs>
          <w:tab w:val="center" w:pos="4153"/>
          <w:tab w:val="right" w:pos="8306"/>
        </w:tabs>
        <w:rPr>
          <w:rFonts w:hint="eastAsia"/>
        </w:rPr>
      </w:pPr>
    </w:p>
    <w:p>
      <w:pPr>
        <w:pStyle w:val="22"/>
        <w:tabs>
          <w:tab w:val="center" w:pos="4153"/>
          <w:tab w:val="right" w:pos="8306"/>
        </w:tabs>
        <w:rPr>
          <w:rFonts w:hint="eastAsia"/>
        </w:rPr>
      </w:pPr>
    </w:p>
    <w:tbl>
      <w:tblPr>
        <w:jc w:val="center"/>
        <w:tblW w:w="101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47"/>
        <w:gridCol w:w="1246"/>
        <w:gridCol w:w="1230"/>
        <w:gridCol w:w="1141"/>
        <w:gridCol w:w="1118"/>
        <w:gridCol w:w="964"/>
        <w:gridCol w:w="1053"/>
        <w:gridCol w:w="931"/>
        <w:gridCol w:w="1830"/>
      </w:tblGrid>
      <w:tr>
        <w:trPr>
          <w:trHeight w:val="797"/>
        </w:trPr>
        <w:tc>
          <w:tcPr>
            <w:tcW w:w="101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项目名称</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51322325T000013035868-2024年驻村工作队经费</w:t>
            </w:r>
          </w:p>
        </w:tc>
      </w:tr>
      <w:tr>
        <w:trPr>
          <w:trHeight w:val="6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预算单位</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茂县南新镇人民政府（行政）</w:t>
            </w:r>
          </w:p>
        </w:tc>
      </w:tr>
      <w:tr>
        <w:trPr>
          <w:trHeight w:val="430"/>
        </w:trPr>
        <w:tc>
          <w:tcPr>
            <w:tcW w:w="4264"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项目类型</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项目 概况</w:t>
            </w: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809"/>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17"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立项依据</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使用范围</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left"/>
              <w:rPr>
                <w:color w:val="000000"/>
                <w:sz w:val="24"/>
              </w:rPr>
            </w:pP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3617"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r>
              <w:rPr>
                <w:rFonts w:hint="eastAsia"/>
                <w:color w:val="000000"/>
                <w:sz w:val="24"/>
              </w:rPr>
              <w:t>2024.01-2024.12</w:t>
            </w:r>
          </w:p>
        </w:tc>
      </w:tr>
      <w:tr>
        <w:trPr>
          <w:trHeight w:val="430"/>
        </w:trPr>
        <w:tc>
          <w:tcPr>
            <w:tcW w:w="1893"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1.50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1.50</w:t>
            </w:r>
          </w:p>
        </w:tc>
      </w:tr>
      <w:tr>
        <w:trPr>
          <w:trHeight w:val="430"/>
        </w:trPr>
        <w:tc>
          <w:tcPr>
            <w:tcW w:w="1893" w:type="dxa"/>
            <w:gridSpan w:val="2"/>
            <w:vMerge/>
            <w:tcBorders>
              <w:top w:val="single" w:sz="4" w:space="0" w:color="000000"/>
              <w:left w:val="single" w:sz="4" w:space="0" w:color="000000"/>
              <w:bottom w:val="single" w:sz="4" w:space="0" w:color="000000"/>
              <w:right w:val="single" w:sz="4" w:space="0" w:color="000000"/>
            </w:tcBorders>
            <w:vAlign w:val="center"/>
          </w:tcPr>
          <w:p/>
        </w:tc>
        <w:tc>
          <w:tcPr>
            <w:tcW w:w="2371"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896" w:type="dxa"/>
            <w:gridSpan w:val="5"/>
            <w:tcBorders>
              <w:top w:val="single" w:sz="4" w:space="0" w:color="000000"/>
              <w:left w:val="single" w:sz="4" w:space="0" w:color="000000"/>
              <w:bottom w:val="single" w:sz="4" w:space="0" w:color="000000"/>
              <w:right w:val="single" w:sz="4" w:space="0" w:color="000000"/>
            </w:tcBorders>
            <w:vAlign w:val="center"/>
          </w:tcPr>
          <w:p>
            <w:pPr>
              <w:spacing w:line="300" w:lineRule="exact"/>
              <w:jc w:val="righ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总体 目标</w:t>
            </w: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年度目标</w:t>
            </w:r>
          </w:p>
        </w:tc>
      </w:tr>
      <w:tr>
        <w:trPr>
          <w:trHeight w:val="430"/>
        </w:trPr>
        <w:tc>
          <w:tcPr>
            <w:tcW w:w="647" w:type="dxa"/>
            <w:vMerge/>
            <w:tcBorders>
              <w:top w:val="single" w:sz="4" w:space="0" w:color="000000"/>
              <w:left w:val="single" w:sz="4" w:space="0" w:color="000000"/>
              <w:bottom w:val="single" w:sz="4" w:space="0" w:color="000000"/>
              <w:right w:val="single" w:sz="4" w:space="0" w:color="000000"/>
            </w:tcBorders>
            <w:vAlign w:val="center"/>
          </w:tcPr>
          <w:p/>
        </w:tc>
        <w:tc>
          <w:tcPr>
            <w:tcW w:w="9513" w:type="dxa"/>
            <w:gridSpan w:val="8"/>
            <w:tcBorders>
              <w:top w:val="single" w:sz="4" w:space="0" w:color="000000"/>
              <w:left w:val="single" w:sz="4" w:space="0" w:color="000000"/>
              <w:bottom w:val="single" w:sz="4" w:space="0" w:color="000000"/>
              <w:right w:val="single" w:sz="4" w:space="0" w:color="000000"/>
            </w:tcBorders>
            <w:vAlign w:val="center"/>
          </w:tcPr>
          <w:p>
            <w:pPr>
              <w:spacing w:line="300" w:lineRule="exact"/>
              <w:rPr>
                <w:color w:val="000000"/>
                <w:sz w:val="24"/>
              </w:rPr>
            </w:pPr>
          </w:p>
        </w:tc>
      </w:tr>
      <w:tr>
        <w:trPr>
          <w:trHeight w:val="430"/>
        </w:trPr>
        <w:tc>
          <w:tcPr>
            <w:tcW w:w="647" w:type="dxa"/>
            <w:vMerge w:val="restart"/>
            <w:tcBorders>
              <w:top w:val="single" w:sz="4" w:space="0" w:color="000000"/>
              <w:left w:val="single" w:sz="4" w:space="0" w:color="000000"/>
              <w:bottom w:val="single" w:sz="4" w:space="0" w:color="000000"/>
            </w:tcBorders>
            <w:vAlign w:val="center"/>
          </w:tcPr>
          <w:p>
            <w:pPr>
              <w:widowControl/>
              <w:spacing w:line="300" w:lineRule="exact"/>
              <w:jc w:val="center"/>
              <w:textAlignment w:val="center"/>
              <w:rPr>
                <w:color w:val="000000"/>
                <w:sz w:val="24"/>
              </w:rPr>
            </w:pPr>
            <w:r>
              <w:rPr>
                <w:color w:val="000000"/>
                <w:kern w:val="0"/>
                <w:sz w:val="24"/>
              </w:rPr>
              <w:t>绩效 指标</w:t>
            </w: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一级指标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二级指标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三级指标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指标性质</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指标值</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度量单位</w:t>
            </w:r>
          </w:p>
        </w:tc>
        <w:tc>
          <w:tcPr>
            <w:tcW w:w="931"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权重</w:t>
            </w:r>
          </w:p>
        </w:tc>
        <w:tc>
          <w:tcPr>
            <w:tcW w:w="1830" w:type="dxa"/>
            <w:tcBorders>
              <w:top w:val="single" w:sz="4" w:space="0" w:color="000000"/>
              <w:left w:val="single" w:sz="4" w:space="0" w:color="000000"/>
              <w:bottom w:val="single" w:sz="4" w:space="0" w:color="000000"/>
              <w:right w:val="single" w:sz="4" w:space="0" w:color="000000"/>
            </w:tcBorders>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产出指标</w:t>
            </w:r>
          </w:p>
          <w:p>
            <w:pPr>
              <w:widowControl/>
              <w:ind w:firstLineChars="100" w:firstLine="210"/>
              <w:jc w:val="left"/>
              <w:textAlignment w:val="center"/>
              <w:rPr>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szCs w:val="21"/>
              </w:rPr>
            </w:pPr>
            <w:r>
              <w:rPr>
                <w:color w:val="000000"/>
                <w:kern w:val="0"/>
                <w:szCs w:val="21"/>
              </w:rPr>
              <w:t>数量指标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金额</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1.50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元</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1.50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质量指标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完成质量合格率</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100</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vMerge/>
            <w:tcBorders>
              <w:top w:val="single" w:sz="4" w:space="0" w:color="000000"/>
              <w:left w:val="single" w:sz="4" w:space="0" w:color="000000"/>
              <w:bottom w:val="single" w:sz="4" w:space="0" w:color="000000"/>
              <w:right w:val="single" w:sz="4" w:space="0" w:color="000000"/>
            </w:tcBorders>
            <w:vAlign w:val="center"/>
          </w:tcP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时效指标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完成项目年度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年</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w:t>
            </w:r>
          </w:p>
        </w:tc>
      </w:tr>
      <w:tr>
        <w:trPr>
          <w:trHeight w:val="445"/>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效益指标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社会效益指标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受益人满意度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rFonts w:hint="eastAsia"/>
                <w:color w:val="000000"/>
                <w:kern w:val="0"/>
                <w:szCs w:val="21"/>
              </w:rPr>
              <w:t>85</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20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85</w:t>
            </w:r>
          </w:p>
        </w:tc>
      </w:tr>
      <w:tr>
        <w:trPr>
          <w:trHeight w:val="840"/>
        </w:trPr>
        <w:tc>
          <w:tcPr>
            <w:tcW w:w="647" w:type="dxa"/>
            <w:vMerge/>
            <w:tcBorders>
              <w:top w:val="single" w:sz="4" w:space="0" w:color="000000"/>
              <w:left w:val="single" w:sz="4" w:space="0" w:color="000000"/>
              <w:bottom w:val="single" w:sz="4" w:space="0" w:color="000000"/>
            </w:tcBorders>
            <w:vAlign w:val="center"/>
          </w:tcPr>
          <w:p/>
        </w:tc>
        <w:tc>
          <w:tcPr>
            <w:tcW w:w="1246"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帮扶对象满意度指标</w:t>
            </w:r>
          </w:p>
        </w:tc>
        <w:tc>
          <w:tcPr>
            <w:tcW w:w="1141"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满意度</w:t>
            </w:r>
          </w:p>
        </w:tc>
        <w:tc>
          <w:tcPr>
            <w:tcW w:w="1118"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定性</w:t>
            </w:r>
          </w:p>
        </w:tc>
        <w:tc>
          <w:tcPr>
            <w:tcW w:w="964"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高中低</w:t>
            </w:r>
          </w:p>
        </w:tc>
        <w:tc>
          <w:tcPr>
            <w:tcW w:w="1053" w:type="dxa"/>
            <w:tcBorders>
              <w:top w:val="single" w:sz="4" w:space="0" w:color="000000"/>
              <w:left w:val="single" w:sz="4" w:space="0" w:color="000000"/>
              <w:bottom w:val="single" w:sz="4" w:space="0" w:color="000000"/>
              <w:right w:val="single" w:sz="4" w:space="0" w:color="000000"/>
            </w:tcBorders>
            <w:vAlign w:val="center"/>
          </w:tcPr>
          <w:p>
            <w:pPr>
              <w:widowControl/>
              <w:ind w:firstLineChars="100" w:firstLine="210"/>
              <w:jc w:val="left"/>
              <w:textAlignment w:val="center"/>
              <w:rPr>
                <w:color w:val="000000"/>
                <w:kern w:val="0"/>
                <w:szCs w:val="21"/>
              </w:rPr>
            </w:pPr>
            <w:r>
              <w:rPr>
                <w:color w:val="000000"/>
                <w:kern w:val="0"/>
                <w:szCs w:val="21"/>
              </w:rPr>
              <w:t>其他</w:t>
            </w:r>
          </w:p>
        </w:tc>
        <w:tc>
          <w:tcPr>
            <w:tcW w:w="931"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10</w:t>
            </w:r>
          </w:p>
        </w:tc>
        <w:tc>
          <w:tcPr>
            <w:tcW w:w="1830" w:type="dxa"/>
            <w:tcBorders>
              <w:top w:val="single" w:sz="4" w:space="0" w:color="000000"/>
              <w:left w:val="single" w:sz="4" w:space="0" w:color="000000"/>
              <w:bottom w:val="single" w:sz="4" w:space="0" w:color="000000"/>
              <w:right w:val="single" w:sz="4" w:space="0" w:color="000000"/>
            </w:tcBorders>
            <w:vAlign w:val="center"/>
          </w:tcPr>
          <w:p>
            <w:pPr>
              <w:spacing w:line="300" w:lineRule="exact"/>
              <w:jc w:val="center"/>
              <w:rPr>
                <w:color w:val="000000"/>
                <w:sz w:val="24"/>
              </w:rPr>
            </w:pPr>
            <w:r>
              <w:rPr>
                <w:rFonts w:hint="eastAsia"/>
                <w:color w:val="000000"/>
                <w:sz w:val="24"/>
              </w:rPr>
              <w:t>高</w:t>
            </w:r>
          </w:p>
        </w:tc>
      </w:tr>
    </w:tbl>
    <w:p>
      <w:pPr>
        <w:pStyle w:val="22"/>
        <w:tabs>
          <w:tab w:val="center" w:pos="4153"/>
          <w:tab w:val="right" w:pos="8306"/>
        </w:tabs>
      </w:pPr>
    </w:p>
    <w:p>
      <w:pPr>
        <w:pStyle w:val="15"/>
        <w:rPr>
          <w:lang w:val="zh-CN"/>
        </w:rPr>
      </w:pPr>
    </w:p>
    <w:p>
      <w:pPr>
        <w:pStyle w:val="15"/>
        <w:rPr>
          <w:lang w:val="zh-CN"/>
        </w:rPr>
      </w:pPr>
    </w:p>
    <w:p>
      <w:pPr>
        <w:pStyle w:val="1"/>
        <w:jc w:val="center"/>
        <w:rPr>
          <w:rFonts w:ascii="黑体" w:eastAsia="黑体" w:cs="黑体"/>
          <w:b w:val="0"/>
          <w:bCs w:val="0"/>
        </w:rPr>
      </w:pPr>
      <w:bookmarkStart w:id="68" w:name="_Toc9681"/>
      <w:bookmarkStart w:id="69" w:name="_Toc111208512"/>
      <w:bookmarkStart w:id="70" w:name="_Toc79163885"/>
      <w:bookmarkStart w:id="71" w:name="_Toc79163635"/>
      <w:r>
        <w:rPr>
          <w:rFonts w:ascii="黑体" w:eastAsia="黑体" w:cs="黑体" w:hint="eastAsia"/>
          <w:b w:val="0"/>
          <w:bCs w:val="0"/>
        </w:rPr>
        <w:t>第五部分 附表</w:t>
      </w:r>
      <w:bookmarkEnd w:id="68"/>
      <w:bookmarkEnd w:id="69"/>
      <w:bookmarkEnd w:id="70"/>
      <w:bookmarkEnd w:id="71"/>
    </w:p>
    <w:p>
      <w:pPr>
        <w:pStyle w:val="2"/>
        <w:ind w:firstLineChars="200" w:firstLine="640"/>
        <w:rPr>
          <w:rFonts w:ascii="黑体" w:eastAsia="黑体"/>
          <w:b w:val="0"/>
          <w:bCs w:val="0"/>
          <w:color w:val="000000"/>
        </w:rPr>
      </w:pPr>
      <w:bookmarkStart w:id="72" w:name="_Toc9322"/>
      <w:r>
        <w:rPr>
          <w:rFonts w:ascii="黑体" w:eastAsia="黑体" w:hint="eastAsia"/>
          <w:b w:val="0"/>
          <w:bCs w:val="0"/>
          <w:color w:val="000000"/>
        </w:rPr>
        <w:t>一、收入支出决算总表</w:t>
      </w:r>
      <w:bookmarkEnd w:id="72"/>
    </w:p>
    <w:p>
      <w:pPr>
        <w:pStyle w:val="2"/>
        <w:ind w:firstLineChars="200" w:firstLine="640"/>
        <w:rPr>
          <w:rFonts w:ascii="黑体" w:eastAsia="黑体"/>
          <w:b w:val="0"/>
          <w:bCs w:val="0"/>
          <w:color w:val="000000"/>
        </w:rPr>
      </w:pPr>
      <w:bookmarkStart w:id="73" w:name="_Toc28564"/>
      <w:r>
        <w:rPr>
          <w:rFonts w:ascii="黑体" w:eastAsia="黑体" w:hint="eastAsia"/>
          <w:b w:val="0"/>
          <w:bCs w:val="0"/>
          <w:color w:val="000000"/>
        </w:rPr>
        <w:t>二、收入决算表</w:t>
      </w:r>
      <w:bookmarkEnd w:id="73"/>
    </w:p>
    <w:p>
      <w:pPr>
        <w:pStyle w:val="2"/>
        <w:ind w:firstLineChars="200" w:firstLine="640"/>
        <w:rPr>
          <w:rFonts w:ascii="黑体" w:eastAsia="黑体"/>
          <w:b w:val="0"/>
          <w:bCs w:val="0"/>
          <w:color w:val="000000"/>
        </w:rPr>
      </w:pPr>
      <w:bookmarkStart w:id="74" w:name="_Toc9707"/>
      <w:r>
        <w:rPr>
          <w:rFonts w:ascii="黑体" w:eastAsia="黑体" w:hint="eastAsia"/>
          <w:b w:val="0"/>
          <w:bCs w:val="0"/>
          <w:color w:val="000000"/>
        </w:rPr>
        <w:t>三、支出决算表</w:t>
      </w:r>
      <w:bookmarkEnd w:id="74"/>
    </w:p>
    <w:p>
      <w:pPr>
        <w:pStyle w:val="2"/>
        <w:ind w:firstLineChars="200" w:firstLine="640"/>
        <w:rPr>
          <w:rFonts w:ascii="黑体" w:eastAsia="黑体"/>
          <w:b w:val="0"/>
          <w:bCs w:val="0"/>
          <w:color w:val="000000"/>
        </w:rPr>
      </w:pPr>
      <w:bookmarkStart w:id="75" w:name="_Toc13652"/>
      <w:r>
        <w:rPr>
          <w:rFonts w:ascii="黑体" w:eastAsia="黑体" w:hint="eastAsia"/>
          <w:b w:val="0"/>
          <w:bCs w:val="0"/>
          <w:color w:val="000000"/>
        </w:rPr>
        <w:t>四、财政拨款收入支出决算总表</w:t>
      </w:r>
      <w:bookmarkEnd w:id="75"/>
    </w:p>
    <w:p>
      <w:pPr>
        <w:pStyle w:val="2"/>
        <w:ind w:firstLineChars="200" w:firstLine="640"/>
        <w:rPr>
          <w:rFonts w:ascii="黑体" w:eastAsia="黑体"/>
          <w:b w:val="0"/>
          <w:bCs w:val="0"/>
          <w:color w:val="000000"/>
        </w:rPr>
      </w:pPr>
      <w:bookmarkStart w:id="76" w:name="_Toc16893"/>
      <w:r>
        <w:rPr>
          <w:rFonts w:ascii="黑体" w:eastAsia="黑体" w:hint="eastAsia"/>
          <w:b w:val="0"/>
          <w:bCs w:val="0"/>
          <w:color w:val="000000"/>
        </w:rPr>
        <w:t>五、财政拨款支出决算明细表</w:t>
      </w:r>
      <w:bookmarkEnd w:id="76"/>
    </w:p>
    <w:p>
      <w:pPr>
        <w:pStyle w:val="2"/>
        <w:ind w:firstLineChars="200" w:firstLine="640"/>
        <w:rPr>
          <w:rFonts w:ascii="黑体" w:eastAsia="黑体"/>
          <w:b w:val="0"/>
          <w:bCs w:val="0"/>
          <w:color w:val="000000"/>
        </w:rPr>
      </w:pPr>
      <w:bookmarkStart w:id="77" w:name="_Toc13511"/>
      <w:r>
        <w:rPr>
          <w:rFonts w:ascii="黑体" w:eastAsia="黑体" w:hint="eastAsia"/>
          <w:b w:val="0"/>
          <w:bCs w:val="0"/>
          <w:color w:val="000000"/>
        </w:rPr>
        <w:t>六、一般公共预算财政拨款支出决算表</w:t>
      </w:r>
      <w:bookmarkEnd w:id="77"/>
    </w:p>
    <w:p>
      <w:pPr>
        <w:pStyle w:val="2"/>
        <w:ind w:firstLineChars="200" w:firstLine="640"/>
        <w:rPr>
          <w:rFonts w:ascii="黑体" w:eastAsia="黑体"/>
          <w:b w:val="0"/>
          <w:bCs w:val="0"/>
          <w:color w:val="000000"/>
        </w:rPr>
      </w:pPr>
      <w:bookmarkStart w:id="78" w:name="_Toc30154"/>
      <w:r>
        <w:rPr>
          <w:rFonts w:ascii="黑体" w:eastAsia="黑体" w:hint="eastAsia"/>
          <w:b w:val="0"/>
          <w:bCs w:val="0"/>
          <w:color w:val="000000"/>
        </w:rPr>
        <w:t>七、一般公共预算财政拨款支出决算明细表</w:t>
      </w:r>
      <w:bookmarkEnd w:id="78"/>
    </w:p>
    <w:p>
      <w:pPr>
        <w:pStyle w:val="2"/>
        <w:ind w:firstLineChars="200" w:firstLine="640"/>
        <w:rPr>
          <w:rFonts w:ascii="黑体" w:eastAsia="黑体"/>
          <w:b w:val="0"/>
          <w:bCs w:val="0"/>
          <w:color w:val="000000"/>
        </w:rPr>
      </w:pPr>
      <w:bookmarkStart w:id="79" w:name="_Toc31629"/>
      <w:r>
        <w:rPr>
          <w:rFonts w:ascii="黑体" w:eastAsia="黑体" w:hint="eastAsia"/>
          <w:b w:val="0"/>
          <w:bCs w:val="0"/>
          <w:color w:val="000000"/>
        </w:rPr>
        <w:t>八、一般公共预算财政拨款基本支出决算表</w:t>
      </w:r>
      <w:bookmarkEnd w:id="79"/>
    </w:p>
    <w:p>
      <w:pPr>
        <w:pStyle w:val="2"/>
        <w:ind w:firstLineChars="200" w:firstLine="640"/>
        <w:rPr>
          <w:rFonts w:ascii="黑体" w:eastAsia="黑体"/>
          <w:b w:val="0"/>
          <w:bCs w:val="0"/>
          <w:color w:val="000000"/>
        </w:rPr>
      </w:pPr>
      <w:bookmarkStart w:id="80" w:name="_Toc4361"/>
      <w:r>
        <w:rPr>
          <w:rFonts w:ascii="黑体" w:eastAsia="黑体" w:hint="eastAsia"/>
          <w:b w:val="0"/>
          <w:bCs w:val="0"/>
          <w:color w:val="000000"/>
        </w:rPr>
        <w:t>九、一般公共预算财政拨款项目支出决算表</w:t>
      </w:r>
      <w:bookmarkEnd w:id="80"/>
    </w:p>
    <w:p>
      <w:pPr>
        <w:pStyle w:val="2"/>
        <w:ind w:firstLineChars="200" w:firstLine="640"/>
        <w:rPr>
          <w:rFonts w:ascii="黑体" w:eastAsia="黑体"/>
          <w:b w:val="0"/>
          <w:bCs w:val="0"/>
          <w:color w:val="000000"/>
        </w:rPr>
      </w:pPr>
      <w:bookmarkStart w:id="81" w:name="_Toc6328"/>
      <w:r>
        <w:rPr>
          <w:rFonts w:ascii="黑体" w:eastAsia="黑体" w:hint="eastAsia"/>
          <w:b w:val="0"/>
          <w:bCs w:val="0"/>
          <w:color w:val="000000"/>
        </w:rPr>
        <w:t>十、政府性基金预算财政拨款收入支出决算表</w:t>
      </w:r>
      <w:bookmarkEnd w:id="81"/>
    </w:p>
    <w:p>
      <w:pPr>
        <w:pStyle w:val="2"/>
        <w:ind w:firstLineChars="200" w:firstLine="640"/>
        <w:rPr>
          <w:rFonts w:ascii="黑体" w:eastAsia="黑体"/>
          <w:b w:val="0"/>
          <w:bCs w:val="0"/>
          <w:color w:val="000000"/>
        </w:rPr>
      </w:pPr>
      <w:bookmarkStart w:id="82" w:name="_Toc13298"/>
      <w:r>
        <w:rPr>
          <w:rFonts w:ascii="黑体" w:eastAsia="黑体" w:hint="eastAsia"/>
          <w:b w:val="0"/>
          <w:bCs w:val="0"/>
          <w:color w:val="000000"/>
        </w:rPr>
        <w:t>十一、国有资本经营预算财政拨款收入支出决算表</w:t>
      </w:r>
      <w:bookmarkEnd w:id="82"/>
    </w:p>
    <w:p>
      <w:pPr>
        <w:pStyle w:val="2"/>
        <w:ind w:firstLineChars="200" w:firstLine="640"/>
        <w:rPr>
          <w:rFonts w:ascii="黑体" w:eastAsia="黑体"/>
          <w:b w:val="0"/>
          <w:bCs w:val="0"/>
          <w:color w:val="000000"/>
        </w:rPr>
      </w:pPr>
      <w:bookmarkStart w:id="83" w:name="_Toc27487"/>
      <w:r>
        <w:rPr>
          <w:rFonts w:ascii="黑体" w:eastAsia="黑体" w:hint="eastAsia"/>
          <w:b w:val="0"/>
          <w:bCs w:val="0"/>
          <w:color w:val="000000"/>
        </w:rPr>
        <w:t>十二、国有资本经营预算财政拨款支出决算表</w:t>
      </w:r>
      <w:bookmarkEnd w:id="83"/>
    </w:p>
    <w:p>
      <w:pPr>
        <w:pStyle w:val="2"/>
        <w:ind w:firstLineChars="200" w:firstLine="640"/>
        <w:rPr>
          <w:rFonts w:ascii="黑体" w:eastAsia="黑体"/>
          <w:b w:val="0"/>
          <w:bCs w:val="0"/>
          <w:color w:val="000000"/>
        </w:rPr>
      </w:pPr>
      <w:bookmarkStart w:id="84" w:name="_Toc2555"/>
      <w:r>
        <w:rPr>
          <w:rFonts w:ascii="黑体" w:eastAsia="黑体" w:hint="eastAsia"/>
          <w:b w:val="0"/>
          <w:bCs w:val="0"/>
          <w:color w:val="000000"/>
        </w:rPr>
        <w:t>十三、财政拨款“三公”经费支出决算表</w:t>
      </w:r>
      <w:bookmarkEnd w:id="84"/>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altName w:val="黑体"/>
    <w:panose1 w:val="02010601030101010101"/>
    <w:charset w:val="86"/>
    <w:family w:val="auto"/>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1"/>
    <w:family w:val="auto"/>
    <w:pitch w:val="variable"/>
    <w:sig w:usb0="E0002AFF" w:usb1="C0007841" w:usb2="00000009" w:usb3="00000000" w:csb0="400001FF" w:csb1="FFFF0000"/>
  </w:font>
  <w:font w:name="Wingdings 2">
    <w:panose1 w:val="05020102010507070707"/>
    <w:charset w:val="02"/>
    <w:family w:val="roman"/>
    <w:pitch w:val="variable"/>
    <w:sig w:usb0="00000000" w:usb1="00000000" w:usb2="00000000" w:usb3="00000000" w:csb0="80000000" w:csb1="00000000"/>
  </w:font>
  <w:font w:name="Cambria">
    <w:altName w:val="DejaVu Sans"/>
    <w:panose1 w:val="02040503050406030204"/>
    <w:charset w:val="00"/>
    <w:family w:val="roman"/>
    <w:pitch w:val="variable"/>
    <w:sig w:usb0="E00002FF" w:usb1="400004FF" w:usb2="00000000"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Calibri">
    <w:altName w:val="Times New Roman"/>
    <w:panose1 w:val="020F0502020204030204"/>
    <w:charset w:val="00"/>
    <w:family w:val="swiss"/>
    <w:pitch w:val="variable"/>
    <w:sig w:usb0="E00002FF" w:usb1="4000ACFF" w:usb2="00000001" w:usb3="00000000" w:csb0="2000019F" w:csb1="00000000"/>
  </w:font>
  <w:font w:name="??">
    <w:altName w:val="DejaVu Sans"/>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325288327"/>
    </w:sdtPr>
    <w:sdtContent>
      <w:p>
        <w:pPr>
          <w:pStyle w:val="22"/>
          <w:tabs>
            <w:tab w:val="center" w:pos="4153"/>
            <w:tab w:val="right" w:pos="8306"/>
          </w:tabs>
          <w:jc w:val="center"/>
        </w:pPr>
        <w:r>
          <w:fldChar w:fldCharType="begin"/>
        </w:r>
        <w:r>
          <w:instrText>PAGE   \* MERGEFORMAT</w:instrText>
        </w:r>
        <w:r>
          <w:fldChar w:fldCharType="separate"/>
        </w:r>
        <w:r>
          <w:rPr>
            <w:lang w:val="zh-CN"/>
          </w:rPr>
          <w:t>2</w:t>
        </w:r>
        <w:r>
          <w:rPr>
            <w:lang w:val="zh-CN"/>
          </w:rPr>
          <w:fldChar w:fldCharType="end"/>
        </w:r>
      </w:p>
    </w:sdtContent>
  </w:sdt>
  <w:p>
    <w:pPr>
      <w:pStyle w:val="22"/>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2FA047D"/>
    <w:multiLevelType w:val="singleLevel"/>
    <w:tmpl w:val="E2FA047D"/>
    <w:lvl w:ilvl="0">
      <w:start w:val="3"/>
      <w:numFmt w:val="chineseCounting"/>
      <w:lvlRestart w:val="0"/>
      <w:suff w:val="space"/>
      <w:lvlText w:val="第%1部分"/>
      <w:lvlJc w:val="left"/>
      <w:pPr>
        <w:ind w:left="0" w:hanging="0"/>
      </w:pPr>
      <w:rPr>
        <w:rFonts w:ascii="黑体" w:hAnsi="黑体" w:eastAsia="黑体" w:cs="黑体" w:hint="eastAsia"/>
        <w:sz w:val="44"/>
        <w:szCs w:val="44"/>
      </w:rPr>
    </w:lvl>
  </w:abstractNum>
  <w:abstractNum w:abstractNumId="1">
    <w:nsid w:val="A6D0B401"/>
    <w:multiLevelType w:val="singleLevel"/>
    <w:tmpl w:val="A6D0B401"/>
    <w:lvl w:ilvl="0">
      <w:start w:val="2"/>
      <w:numFmt w:val="chineseCounting"/>
      <w:lvlRestart w:val="0"/>
      <w:suff w:val="nothing"/>
      <w:lvlText w:val="（%1）"/>
      <w:lvlJc w:val="left"/>
      <w:pPr>
        <w:ind w:left="0" w:hanging="0"/>
      </w:pPr>
      <w:rPr>
        <w:rFonts w:hint="eastAsia"/>
      </w:rPr>
    </w:lvl>
  </w:abstractNum>
  <w:abstractNum w:abstractNumId="2">
    <w:nsid w:val="A1D6A780"/>
    <w:multiLevelType w:val="singleLevel"/>
    <w:tmpl w:val="A1D6A780"/>
    <w:lvl w:ilvl="0">
      <w:start w:val="2"/>
      <w:numFmt w:val="chineseCounting"/>
      <w:lvlRestart w:val="0"/>
      <w:suff w:val="nothing"/>
      <w:lvlText w:val="（%1）"/>
      <w:lvlJc w:val="left"/>
      <w:pPr>
        <w:ind w:left="0" w:hanging="0"/>
      </w:pPr>
      <w:rPr>
        <w:rFonts w:hint="eastAsia"/>
      </w:rPr>
    </w:lvl>
  </w:abstractNum>
  <w:abstractNum w:abstractNumId="3">
    <w:nsid w:val="4B0E6370"/>
    <w:multiLevelType w:val="singleLevel"/>
    <w:tmpl w:val="4B0E6370"/>
    <w:lvl w:ilvl="0">
      <w:start w:val="3"/>
      <w:numFmt w:val="chineseCounting"/>
      <w:lvlRestart w:val="0"/>
      <w:suff w:val="nothing"/>
      <w:lvlText w:val="（%1）"/>
      <w:lvlJc w:val="left"/>
      <w:pPr>
        <w:ind w:left="0" w:hanging="0"/>
      </w:pPr>
      <w:rPr>
        <w:rFonts w:hint="eastAsia"/>
      </w:rPr>
    </w:lvl>
  </w:abstractNum>
  <w:abstractNum w:abstractNumId="4">
    <w:nsid w:val="C87255A0"/>
    <w:multiLevelType w:val="singleLevel"/>
    <w:tmpl w:val="C87255A0"/>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docVars>
    <w:docVar w:name="commondata" w:val="eyJoZGlkIjoiNTNkMGQ3MDkyOTg0ZDZiNWRhOGE4ZTg3NzZmZDIzZD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pPr>
      <w:keepNext/>
      <w:keepLines/>
      <w:widowControl w:val="0"/>
      <w:spacing w:before="260" w:after="260" w:line="415" w:lineRule="auto"/>
      <w:outlineLvl w:val="1"/>
    </w:pPr>
    <w:rPr>
      <w:rFonts w:ascii="Cambria" w:hAnsi="Cambria"/>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 w:type="paragraph" w:styleId="16">
    <w:name w:val="Normal Indent"/>
    <w:basedOn w:val="0"/>
    <w:pPr>
      <w:ind w:firstLine="680"/>
    </w:pPr>
  </w:style>
  <w:style w:type="paragraph" w:styleId="17">
    <w:name w:val="annotation text"/>
    <w:basedOn w:val="0"/>
    <w:pPr>
      <w:jc w:val="left"/>
    </w:pPr>
  </w:style>
  <w:style w:type="paragraph" w:styleId="18">
    <w:name w:val="Body Text"/>
    <w:basedOn w:val="0"/>
    <w:pPr>
      <w:spacing w:beforeLines="30" w:before="30"/>
    </w:pPr>
    <w:rPr>
      <w:rFonts w:ascii="仿宋_GB2312" w:eastAsia="仿宋_GB2312"/>
      <w:kern w:val="0"/>
      <w:sz w:val="30"/>
    </w:rPr>
  </w:style>
  <w:style w:type="paragraph" w:styleId="19">
    <w:name w:val="Body Text Indent"/>
    <w:basedOn w:val="0"/>
    <w:pPr>
      <w:spacing w:after="120"/>
      <w:ind w:leftChars="200" w:left="200"/>
    </w:pPr>
    <w:rPr>
      <w:rFonts w:ascii="仿宋_GB2312" w:hAnsi="仿宋_GB2312"/>
      <w:szCs w:val="32"/>
    </w:rPr>
  </w:style>
  <w:style w:type="paragraph" w:styleId="20">
    <w:name w:val="toc 3"/>
    <w:basedOn w:val="0"/>
    <w:next w:val="0"/>
    <w:pPr>
      <w:tabs>
        <w:tab w:val="right" w:leader="dot" w:pos="8296"/>
      </w:tabs>
      <w:ind w:leftChars="400" w:left="400"/>
    </w:pPr>
  </w:style>
  <w:style w:type="paragraph" w:styleId="21">
    <w:name w:val="Balloon Text"/>
    <w:basedOn w:val="0"/>
    <w:rPr>
      <w:sz w:val="18"/>
      <w:szCs w:val="18"/>
    </w:rPr>
  </w:style>
  <w:style w:type="paragraph" w:styleId="22">
    <w:name w:val="footer"/>
    <w:basedOn w:val="0"/>
    <w:pPr>
      <w:tabs>
        <w:tab w:val="center" w:pos="4153"/>
        <w:tab w:val="right" w:pos="8306"/>
      </w:tabs>
      <w:snapToGrid w:val="0"/>
      <w:jc w:val="left"/>
    </w:pPr>
    <w:rPr>
      <w:rFonts w:ascii="Calibri" w:hAnsi="Calibri"/>
      <w:kern w:val="0"/>
      <w:sz w:val="18"/>
      <w:szCs w:val="18"/>
    </w:rPr>
  </w:style>
  <w:style w:type="paragraph" w:styleId="23">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4">
    <w:name w:val="toc 1"/>
    <w:basedOn w:val="0"/>
    <w:next w:val="0"/>
    <w:pPr>
      <w:tabs>
        <w:tab w:val="right" w:leader="dot" w:pos="8296"/>
      </w:tabs>
      <w:spacing w:before="93"/>
      <w:jc w:val="center"/>
    </w:pPr>
    <w:rPr>
      <w:rFonts w:ascii="仿宋" w:eastAsia="仿宋"/>
      <w:sz w:val="28"/>
      <w:szCs w:val="28"/>
    </w:rPr>
  </w:style>
  <w:style w:type="paragraph" w:styleId="25">
    <w:name w:val="footnote text"/>
    <w:basedOn w:val="0"/>
    <w:next w:val="26"/>
    <w:pPr>
      <w:snapToGrid w:val="0"/>
      <w:jc w:val="left"/>
    </w:pPr>
    <w:rPr>
      <w:sz w:val="18"/>
      <w:szCs w:val="18"/>
    </w:rPr>
  </w:style>
  <w:style w:type="paragraph" w:styleId="26">
    <w:name w:val="Body Text First Indent 2"/>
    <w:basedOn w:val="19"/>
    <w:pPr>
      <w:ind w:firstLineChars="200" w:firstLine="200"/>
    </w:pPr>
  </w:style>
  <w:style w:type="paragraph" w:styleId="27">
    <w:name w:val="table of figures"/>
    <w:basedOn w:val="0"/>
    <w:next w:val="0"/>
    <w:pPr>
      <w:ind w:leftChars="200" w:left="400" w:hangingChars="200" w:hanging="200"/>
    </w:pPr>
  </w:style>
  <w:style w:type="paragraph" w:styleId="28">
    <w:name w:val="toc 2"/>
    <w:basedOn w:val="0"/>
    <w:next w:val="0"/>
    <w:pPr>
      <w:tabs>
        <w:tab w:val="right" w:leader="dot" w:pos="8296"/>
      </w:tabs>
      <w:ind w:leftChars="200" w:left="200"/>
    </w:pPr>
  </w:style>
  <w:style w:type="paragraph" w:styleId="29">
    <w:name w:val="Normal (Web)"/>
    <w:basedOn w:val="0"/>
    <w:pPr>
      <w:widowControl/>
      <w:spacing w:before="100" w:beforeAutospacing="1" w:after="100" w:afterAutospacing="1"/>
      <w:jc w:val="left"/>
    </w:pPr>
    <w:rPr>
      <w:rFonts w:ascii="宋体" w:cs="宋体"/>
      <w:kern w:val="0"/>
      <w:sz w:val="24"/>
    </w:rPr>
  </w:style>
  <w:style w:type="character" w:styleId="30">
    <w:name w:val="Strong"/>
    <w:basedOn w:val="10"/>
    <w:rPr>
      <w:b/>
    </w:rPr>
  </w:style>
  <w:style w:type="character" w:styleId="31">
    <w:name w:val="Hyperlink"/>
    <w:basedOn w:val="10"/>
    <w:rPr>
      <w:color w:val="0000FF"/>
      <w:u w:val="single"/>
    </w:rPr>
  </w:style>
  <w:style w:type="character" w:styleId="32">
    <w:name w:val="annotation reference"/>
    <w:basedOn w:val="10"/>
    <w:rPr>
      <w:sz w:val="21"/>
      <w:szCs w:val="21"/>
    </w:rPr>
  </w:style>
  <w:style w:type="paragraph" w:customStyle="1" w:styleId="33">
    <w:name w:val="Default"/>
    <w:pPr>
      <w:widowControl w:val="0"/>
      <w:autoSpaceDE w:val="0"/>
      <w:autoSpaceDN w:val="0"/>
      <w:adjustRightInd w:val="0"/>
    </w:pPr>
    <w:rPr>
      <w:rFonts w:ascii="仿宋" w:eastAsia="仿宋" w:cs="仿宋"/>
      <w:color w:val="000000"/>
      <w:sz w:val="24"/>
      <w:szCs w:val="24"/>
      <w:lang w:val="en-US" w:eastAsia="zh-CN" w:bidi="ar-SA"/>
    </w:rPr>
  </w:style>
  <w:style w:type="character" w:customStyle="1" w:styleId="34">
    <w:name w:val="Header Char"/>
    <w:basedOn w:val="10"/>
    <w:rPr>
      <w:rFonts w:ascii="Times New Roman" w:hAnsi="Times New Roman"/>
      <w:sz w:val="18"/>
      <w:szCs w:val="18"/>
    </w:rPr>
  </w:style>
  <w:style w:type="character" w:customStyle="1" w:styleId="35">
    <w:name w:val="Footer Char"/>
    <w:basedOn w:val="10"/>
    <w:rPr>
      <w:rFonts w:ascii="Times New Roman" w:hAnsi="Times New Roman"/>
      <w:sz w:val="18"/>
      <w:szCs w:val="18"/>
    </w:rPr>
  </w:style>
  <w:style w:type="character" w:customStyle="1" w:styleId="36">
    <w:name w:val="Body Text Char"/>
    <w:basedOn w:val="10"/>
    <w:rPr>
      <w:rFonts w:ascii="Times New Roman" w:hAnsi="Times New Roman"/>
      <w:szCs w:val="24"/>
    </w:rPr>
  </w:style>
  <w:style w:type="paragraph" w:styleId="37">
    <w:name w:val="List Paragraph"/>
    <w:basedOn w:val="0"/>
    <w:pPr>
      <w:ind w:firstLineChars="200" w:firstLine="200"/>
    </w:pPr>
  </w:style>
  <w:style w:type="paragraph" w:customStyle="1" w:styleId="38">
    <w:name w:val="TOC 标题1"/>
    <w:basedOn w:val="1"/>
    <w:next w:val="0"/>
    <w:pPr>
      <w:keepNext/>
      <w:keepLines/>
      <w:widowControl/>
      <w:spacing w:before="480" w:after="0" w:line="276" w:lineRule="auto"/>
      <w:jc w:val="left"/>
      <w:outlineLvl w:val="9"/>
    </w:pPr>
    <w:rPr>
      <w:rFonts w:ascii="Cambria" w:hAnsi="Cambria"/>
      <w:color w:val="376092"/>
      <w:kern w:val="0"/>
      <w:sz w:val="28"/>
      <w:szCs w:val="28"/>
    </w:rPr>
  </w:style>
  <w:style w:type="paragraph" w:customStyle="1" w:styleId="39">
    <w:name w:val="四号正文"/>
    <w:basedOn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收、支决算总计变动情况表
</a:t>
            </a:r>
          </a:p>
        </c:rich>
      </c:tx>
      <c:layout/>
      <c:overlay val="0"/>
      <c:spPr>
        <a:noFill/>
        <a:ln>
          <a:noFill/>
        </a:ln>
      </c:spPr>
    </c:title>
    <c:autoTitleDeleted val="1"/>
    <c:plotArea>
      <c:layout/>
      <c:barChart>
        <c:barDir val="col"/>
        <c:grouping val="stacked"/>
        <c:varyColors val="0"/>
        <c:ser>
          <c:idx val="0"/>
          <c:order val="0"/>
          <c:tx>
            <c:strRef>
              <c:f>'Sheet1'!$B$1</c:f>
              <c:strCache>
                <c:ptCount val="1"/>
                <c:pt idx="0">
                  <c:v>收、支决算总计变动情况图</c:v>
                </c:pt>
              </c:strCache>
            </c:strRef>
          </c:tx>
          <c:spPr>
            <a:gradFill rotWithShape="1">
              <a:gsLst>
                <a:gs pos="100000">
                  <a:srgbClr val="C0504D">
                    <a:alpha val="100000"/>
                  </a:srgbClr>
                </a:gs>
                <a:gs pos="0">
                  <a:srgbClr val="C04D7F">
                    <a:alpha val="100000"/>
                  </a:srgbClr>
                </a:gs>
              </a:gsLst>
              <a:lin ang="5400000" scaled="1"/>
            </a:gradFill>
            <a:ln w="6350">
              <a:solidFill>
                <a:srgbClr val="000000"/>
              </a:solidFill>
              <a:prstDash val="solid"/>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
              <c:idx val="0"/>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LblPos val="ctr"/>
              <c:tx>
                <c:rich>
                  <a:bodyPr vert="horz"/>
                  <a:lstStyle/>
                  <a:p>
                    <a:pPr>
                      <a:defRPr sz="1000" b="0" i="0" u="none" strike="noStrike" baseline="0">
                        <a:solidFill>
                          <a:srgbClr val="000000"/>
                        </a:solidFill>
                        <a:latin typeface="Times New Roman"/>
                        <a:ea typeface="宋体"/>
                        <a:cs typeface="Lucida Sans"/>
                      </a:defRPr>
                    </a:pPr>
                    <a:r>
                      <a:rPr lang="zh-CN"/>
                      <a:t>1482.59</a:t>
                    </a:r>
                  </a:p>
                </c:rich>
              </c:tx>
              <c:showLegendKey val="0"/>
              <c:showVal val="1"/>
              <c:showCatName val="0"/>
              <c:showSerName val="0"/>
              <c:showPercent val="0"/>
              <c:showBubbleSize val="0"/>
            </c:dLbl>
            <c:dLbl>
              <c:idx val="1"/>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LblPos val="ctr"/>
              <c:tx>
                <c:rich>
                  <a:bodyPr vert="horz"/>
                  <a:lstStyle/>
                  <a:p>
                    <a:pPr>
                      <a:defRPr sz="1000" b="0" i="0" u="none" strike="noStrike" baseline="0">
                        <a:solidFill>
                          <a:srgbClr val="000000"/>
                        </a:solidFill>
                        <a:latin typeface="Times New Roman"/>
                        <a:ea typeface="宋体"/>
                        <a:cs typeface="Lucida Sans"/>
                      </a:defRPr>
                    </a:pPr>
                    <a:r>
                      <a:rPr lang="zh-CN"/>
                      <a:t>1557.05</a:t>
                    </a:r>
                  </a:p>
                </c:rich>
              </c:tx>
              <c:showLegendKey val="0"/>
              <c:showVal val="1"/>
              <c:showCatName val="0"/>
              <c:showSerName val="0"/>
              <c:showPercent val="0"/>
              <c:showBubbleSize val="0"/>
            </c:dLbl>
            <c:dLblPos val="ctr"/>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'Sheet1'!$B$2:$B$3</c:f>
              <c:numCache>
                <c:formatCode>General</c:formatCode>
                <c:ptCount val="2"/>
                <c:pt idx="0">
                  <c:v>895.08</c:v>
                </c:pt>
                <c:pt idx="1">
                  <c:v>988.67</c:v>
                </c:pt>
              </c:numCache>
            </c:numRef>
          </c:val>
        </c:ser>
        <c:overlap val="100"/>
        <c:gapWidth val="500"/>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5F5F5"/>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收入决算结构图</a:t>
            </a:r>
          </a:p>
        </c:rich>
      </c:tx>
      <c:layout/>
      <c:overlay val="0"/>
      <c:spPr>
        <a:ln>
          <a:noFill/>
        </a:ln>
      </c:spPr>
    </c:title>
    <c:autoTitleDeleted val="1"/>
    <c:plotArea>
      <c:layout/>
      <c:pieChart>
        <c:varyColors val="1"/>
        <c:ser>
          <c:idx val="1"/>
          <c:order val="0"/>
          <c:spPr>
            <a:solidFill>
              <a:srgbClr val="C0504D"/>
            </a:solidFill>
            <a:ln>
              <a:noFill/>
            </a:ln>
          </c:spPr>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0"/>
            <c:showVal val="0"/>
            <c:showCatName val="0"/>
            <c:showSerName val="0"/>
            <c:showPercent val="1"/>
            <c:showBubbleSize val="0"/>
            <c:showLeaderLines val="1"/>
          </c:dLbls>
          <c:cat>
            <c:strLit>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Lit>
          </c:cat>
          <c:val>
            <c:numRef>
              <c:f/>
              <c:numCache>
                <c:formatCode>General</c:formatCode>
                <c:ptCount val="8"/>
                <c:pt idx="0">
                  <c:v>6107287.36</c:v>
                </c:pt>
                <c:pt idx="1">
                  <c:v>0.0</c:v>
                </c:pt>
                <c:pt idx="2">
                  <c:v>0.0</c:v>
                </c:pt>
                <c:pt idx="3">
                  <c:v>0.0</c:v>
                </c:pt>
                <c:pt idx="4">
                  <c:v>0.0</c:v>
                </c:pt>
                <c:pt idx="5">
                  <c:v>0.0</c:v>
                </c:pt>
                <c:pt idx="6">
                  <c:v>0.0</c:v>
                </c:pt>
                <c:pt idx="7">
                  <c:v>0.0</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Times New Roman"/>
              <a:ea typeface="宋体"/>
              <a:cs typeface="Lucida Sans"/>
            </a:defRPr>
          </a:pPr>
          <a:endParaRPr lang="zh-CN"/>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支出决算结构图</a:t>
            </a:r>
          </a:p>
        </c:rich>
      </c:tx>
      <c:layout/>
      <c:overlay val="0"/>
      <c:spPr>
        <a:noFill/>
        <a:ln>
          <a:noFill/>
        </a:ln>
      </c:spPr>
    </c:title>
    <c:autoTitleDeleted val="1"/>
    <c:plotArea>
      <c:layout/>
      <c:pieChart>
        <c:varyColors val="1"/>
        <c:ser>
          <c:idx val="0"/>
          <c:order val="0"/>
          <c:tx>
            <c:strRef>
              <c:f>'Sheet1 (3)'!$B$1</c:f>
              <c:strCache>
                <c:ptCount val="1"/>
                <c:pt idx="0">
                  <c:v>支出决算结构图</c:v>
                </c:pt>
              </c:strCache>
            </c:strRef>
          </c:tx>
          <c:spPr>
            <a:solidFill>
              <a:srgbClr val="4F81BD"/>
            </a:solidFill>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numFmt formatCode="General" sourceLinked="1"/>
            <c:dLbl>
              <c:idx val="0"/>
              <c:numFmt formatCode="General" sourceLinked="0"/>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dLblPos val="outEnd"/>
              <c:tx>
                <c:rich>
                  <a:bodyPr vert="horz"/>
                  <a:lstStyle/>
                  <a:p>
                    <a:pPr>
                      <a:defRPr sz="1000" b="1" i="0" u="none" strike="noStrike" baseline="0">
                        <a:solidFill>
                          <a:srgbClr val="4F81BD"/>
                        </a:solidFill>
                        <a:latin typeface="Times New Roman"/>
                        <a:ea typeface="宋体"/>
                        <a:cs typeface="Lucida Sans"/>
                      </a:defRPr>
                    </a:pPr>
                    <a:r>
                      <a:rPr lang="zh-CN"/>
                      <a:t>基本支出, 1003.34</a:t>
                    </a:r>
                  </a:p>
                </c:rich>
              </c:tx>
              <c:showLegendKey val="0"/>
              <c:showVal val="1"/>
              <c:showCatName val="1"/>
              <c:showSerName val="0"/>
              <c:showPercent val="0"/>
              <c:showBubbleSize val="0"/>
            </c:dLbl>
            <c:dLbl>
              <c:idx val="1"/>
              <c:numFmt formatCode="General" sourceLinked="0"/>
              <c:spPr>
                <a:noFill/>
                <a:ln>
                  <a:noFill/>
                </a:ln>
              </c:spPr>
              <c:txPr>
                <a:bodyPr vert="horz"/>
                <a:lstStyle/>
                <a:p>
                  <a:pPr>
                    <a:defRPr sz="1000" b="1" i="0" u="none" strike="noStrike" baseline="0">
                      <a:solidFill>
                        <a:srgbClr val="C0504D"/>
                      </a:solidFill>
                      <a:latin typeface="Times New Roman"/>
                      <a:ea typeface="宋体"/>
                      <a:cs typeface="Lucida Sans"/>
                    </a:defRPr>
                  </a:pPr>
                  <a:endParaRPr lang="zh-CN"/>
                </a:p>
              </c:txPr>
              <c:dLblPos val="outEnd"/>
              <c:tx>
                <c:rich>
                  <a:bodyPr vert="horz"/>
                  <a:lstStyle/>
                  <a:p>
                    <a:pPr>
                      <a:defRPr sz="1000" b="1" i="0" u="none" strike="noStrike" baseline="0">
                        <a:solidFill>
                          <a:srgbClr val="C0504D"/>
                        </a:solidFill>
                        <a:latin typeface="Times New Roman"/>
                        <a:ea typeface="宋体"/>
                        <a:cs typeface="Lucida Sans"/>
                      </a:defRPr>
                    </a:pPr>
                    <a:r>
                      <a:rPr lang="zh-CN"/>
                      <a:t>项目支出, 553.71</a:t>
                    </a:r>
                  </a:p>
                </c:rich>
              </c:tx>
              <c:showLegendKey val="0"/>
              <c:showVal val="1"/>
              <c:showCatName val="1"/>
              <c:showSerName val="0"/>
              <c:showPercent val="0"/>
              <c:showBubbleSize val="0"/>
            </c:dLbl>
            <c:dLblPos val="outEnd"/>
            <c:showLegendKey val="0"/>
            <c:showVal val="1"/>
            <c:showCatName val="1"/>
            <c:showSerName val="0"/>
            <c:showPercent val="0"/>
            <c:showBubbleSize val="0"/>
            <c:showLeaderLines val="1"/>
          </c:dLbls>
          <c:cat>
            <c:strRef>
              <c:f>'Sheet1 (3)'!$A$2:$A$3</c:f>
              <c:strCache>
                <c:ptCount val="2"/>
                <c:pt idx="0">
                  <c:v>基本支出</c:v>
                </c:pt>
                <c:pt idx="1">
                  <c:v>项目支出</c:v>
                </c:pt>
              </c:strCache>
            </c:strRef>
          </c:cat>
          <c:val>
            <c:numRef>
              <c:f>'Sheet1 (3)'!$B$2:$B$3</c:f>
              <c:numCache>
                <c:formatCode>General</c:formatCode>
                <c:ptCount val="2"/>
                <c:pt idx="0">
                  <c:v>744.47</c:v>
                </c:pt>
                <c:pt idx="1">
                  <c:v>244.19</c:v>
                </c:pt>
              </c:numCache>
            </c:numRef>
          </c:val>
        </c:ser>
        <c:firstSliceAng val="0"/>
      </c:pieChart>
      <c:spPr>
        <a:noFill/>
        <a:ln>
          <a:noFill/>
        </a:ln>
      </c:spPr>
    </c:plotArea>
    <c:plotVisOnly val="1"/>
    <c:dispBlanksAs val="zero"/>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收、支决算总计变动情况表
</a:t>
            </a:r>
          </a:p>
        </c:rich>
      </c:tx>
      <c:layout/>
      <c:overlay val="0"/>
      <c:spPr>
        <a:noFill/>
        <a:ln>
          <a:noFill/>
        </a:ln>
      </c:spPr>
    </c:title>
    <c:autoTitleDeleted val="1"/>
    <c:plotArea>
      <c:layout/>
      <c:barChart>
        <c:barDir val="col"/>
        <c:grouping val="stacked"/>
        <c:varyColors val="0"/>
        <c:ser>
          <c:idx val="0"/>
          <c:order val="0"/>
          <c:tx>
            <c:strRef>
              <c:f>'Sheet1 (4)'!$B$1</c:f>
              <c:strCache>
                <c:ptCount val="1"/>
                <c:pt idx="0">
                  <c:v>收、支决算总计变动情况图</c:v>
                </c:pt>
              </c:strCache>
            </c:strRef>
          </c:tx>
          <c:spPr>
            <a:gradFill rotWithShape="1">
              <a:gsLst>
                <a:gs pos="100000">
                  <a:srgbClr val="C0504D">
                    <a:alpha val="100000"/>
                  </a:srgbClr>
                </a:gs>
                <a:gs pos="0">
                  <a:srgbClr val="C04D7F">
                    <a:alpha val="100000"/>
                  </a:srgbClr>
                </a:gs>
              </a:gsLst>
              <a:lin ang="5400000" scaled="1"/>
            </a:gradFill>
            <a:ln w="6350">
              <a:solidFill>
                <a:srgbClr val="000000"/>
              </a:solidFill>
              <a:prstDash val="solid"/>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
              <c:idx val="0"/>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LblPos val="ctr"/>
              <c:tx>
                <c:rich>
                  <a:bodyPr vert="horz"/>
                  <a:lstStyle/>
                  <a:p>
                    <a:pPr>
                      <a:defRPr sz="1000" b="0" i="0" u="none" strike="noStrike" baseline="0">
                        <a:solidFill>
                          <a:srgbClr val="000000"/>
                        </a:solidFill>
                        <a:latin typeface="Times New Roman"/>
                        <a:ea typeface="宋体"/>
                        <a:cs typeface="Lucida Sans"/>
                      </a:defRPr>
                    </a:pPr>
                    <a:r>
                      <a:rPr lang="zh-CN"/>
                      <a:t>1482.59</a:t>
                    </a:r>
                  </a:p>
                </c:rich>
              </c:tx>
              <c:showLegendKey val="0"/>
              <c:showVal val="1"/>
              <c:showCatName val="0"/>
              <c:showSerName val="0"/>
              <c:showPercent val="0"/>
              <c:showBubbleSize val="0"/>
            </c:dLbl>
            <c:dLbl>
              <c:idx val="1"/>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LblPos val="ctr"/>
              <c:tx>
                <c:rich>
                  <a:bodyPr vert="horz"/>
                  <a:lstStyle/>
                  <a:p>
                    <a:pPr>
                      <a:defRPr sz="1000" b="0" i="0" u="none" strike="noStrike" baseline="0">
                        <a:solidFill>
                          <a:srgbClr val="000000"/>
                        </a:solidFill>
                        <a:latin typeface="Times New Roman"/>
                        <a:ea typeface="宋体"/>
                        <a:cs typeface="Lucida Sans"/>
                      </a:defRPr>
                    </a:pPr>
                    <a:r>
                      <a:rPr lang="zh-CN"/>
                      <a:t>1557.05</a:t>
                    </a:r>
                  </a:p>
                </c:rich>
              </c:tx>
              <c:showLegendKey val="0"/>
              <c:showVal val="1"/>
              <c:showCatName val="0"/>
              <c:showSerName val="0"/>
              <c:showPercent val="0"/>
              <c:showBubbleSize val="0"/>
            </c:dLbl>
            <c:dLblPos val="ctr"/>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2023年</c:v>
                </c:pt>
                <c:pt idx="1">
                  <c:v>2024年</c:v>
                </c:pt>
              </c:strCache>
            </c:strRef>
          </c:cat>
          <c:val>
            <c:numRef>
              <c:f>'Sheet1 (4)'!$B$2:$B$3</c:f>
              <c:numCache>
                <c:formatCode>General</c:formatCode>
                <c:ptCount val="2"/>
                <c:pt idx="0">
                  <c:v>895.08</c:v>
                </c:pt>
                <c:pt idx="1">
                  <c:v>988.67</c:v>
                </c:pt>
              </c:numCache>
            </c:numRef>
          </c:val>
        </c:ser>
        <c:overlap val="100"/>
        <c:gapWidth val="500"/>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5F5F5"/>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一般公共预算财政拨款支出决算变动情况</a:t>
            </a:r>
          </a:p>
        </c:rich>
      </c:tx>
      <c:layout>
        <c:manualLayout>
          <c:xMode val="edge"/>
          <c:yMode val="edge"/>
          <c:x val="0.2100749"/>
          <c:y val="0.02124947"/>
        </c:manualLayout>
      </c:layout>
      <c:overlay val="0"/>
      <c:spPr>
        <a:noFill/>
        <a:ln>
          <a:noFill/>
        </a:ln>
      </c:spPr>
    </c:title>
    <c:autoTitleDeleted val="1"/>
    <c:plotArea>
      <c:layout/>
      <c:barChart>
        <c:barDir val="col"/>
        <c:grouping val="clustered"/>
        <c:varyColors val="0"/>
        <c:ser>
          <c:idx val="2"/>
          <c:order val="0"/>
          <c:tx>
            <c:strRef>
              <c:f>'Sheet1 (5)'!$B$1</c:f>
              <c:strCache>
                <c:ptCount val="1"/>
                <c:pt idx="0">
                  <c:v>一般公共预算财政拨款支出决算变动情况图</c:v>
                </c:pt>
              </c:strCache>
            </c:strRef>
          </c:tx>
          <c:spPr>
            <a:solidFill>
              <a:srgbClr val="9BBB59"/>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
              <c:idx val="0"/>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LblPos val="outEnd"/>
              <c:tx>
                <c:rich>
                  <a:bodyPr vert="horz"/>
                  <a:lstStyle/>
                  <a:p>
                    <a:pPr>
                      <a:defRPr sz="1000" b="0" i="0" u="none" strike="noStrike" baseline="0">
                        <a:solidFill>
                          <a:srgbClr val="000000"/>
                        </a:solidFill>
                        <a:latin typeface="Times New Roman"/>
                        <a:ea typeface="宋体"/>
                        <a:cs typeface="Lucida Sans"/>
                      </a:defRPr>
                    </a:pPr>
                    <a:r>
                      <a:rPr lang="zh-CN"/>
                      <a:t>1445.84</a:t>
                    </a:r>
                  </a:p>
                </c:rich>
              </c:tx>
              <c:showLegendKey val="0"/>
              <c:showVal val="1"/>
              <c:showCatName val="0"/>
              <c:showSerName val="0"/>
              <c:showPercent val="0"/>
              <c:showBubbleSize val="0"/>
            </c:dLbl>
            <c:dLbl>
              <c:idx val="1"/>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LblPos val="outEnd"/>
              <c:tx>
                <c:rich>
                  <a:bodyPr vert="horz"/>
                  <a:lstStyle/>
                  <a:p>
                    <a:pPr>
                      <a:defRPr sz="1000" b="0" i="0" u="none" strike="noStrike" baseline="0">
                        <a:solidFill>
                          <a:srgbClr val="000000"/>
                        </a:solidFill>
                        <a:latin typeface="Times New Roman"/>
                        <a:ea typeface="宋体"/>
                        <a:cs typeface="Lucida Sans"/>
                      </a:defRPr>
                    </a:pPr>
                    <a:r>
                      <a:rPr lang="zh-CN"/>
                      <a:t>1557.04</a:t>
                    </a:r>
                  </a:p>
                </c:rich>
              </c:tx>
              <c:showLegendKey val="0"/>
              <c:showVal val="1"/>
              <c:showCatName val="0"/>
              <c:showSerName val="0"/>
              <c:showPercent val="0"/>
              <c:showBubbleSize val="0"/>
            </c:dLbl>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(5)'!$A$2:$A$3</c:f>
              <c:strCache>
                <c:ptCount val="2"/>
                <c:pt idx="0">
                  <c:v>2023年</c:v>
                </c:pt>
                <c:pt idx="1">
                  <c:v>2024年</c:v>
                </c:pt>
              </c:strCache>
            </c:strRef>
          </c:cat>
          <c:val>
            <c:numRef>
              <c:f>'Sheet1 (5)'!$B$2:$B$3</c:f>
              <c:numCache>
                <c:formatCode>General</c:formatCode>
                <c:ptCount val="2"/>
                <c:pt idx="0">
                  <c:v>895.87</c:v>
                </c:pt>
                <c:pt idx="1">
                  <c:v>988.67</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一般公共预算财政拨款支出决算结构</a:t>
            </a:r>
          </a:p>
        </c:rich>
      </c:tx>
      <c:layout/>
      <c:overlay val="0"/>
      <c:spPr>
        <a:noFill/>
        <a:ln>
          <a:noFill/>
        </a:ln>
      </c:spPr>
    </c:title>
    <c:autoTitleDeleted val="1"/>
    <c:plotArea>
      <c:layout/>
      <c:pieChart>
        <c:varyColors val="1"/>
        <c:ser>
          <c:idx val="0"/>
          <c:order val="0"/>
          <c:tx>
            <c:strRef>
              <c:f>'Sheet1 (6)'!$B$1</c:f>
              <c:strCache>
                <c:ptCount val="1"/>
                <c:pt idx="0">
                  <c:v>一般公共预算财政拨款支出决算结构</c:v>
                </c:pt>
              </c:strCache>
            </c:strRef>
          </c:tx>
          <c:spPr>
            <a:solidFill>
              <a:srgbClr val="4F81BD"/>
            </a:solidFill>
            <a:ln>
              <a:noFill/>
            </a:ln>
          </c:spPr>
          <c:dPt>
            <c:idx val="0"/>
            <c:bubble3D val="0"/>
            <c:spPr>
              <a:gradFill rotWithShape="1">
                <a:gsLst>
                  <a:gs pos="0">
                    <a:srgbClr val="4FB4BD">
                      <a:alpha val="100000"/>
                    </a:srgbClr>
                  </a:gs>
                  <a:gs pos="100000">
                    <a:srgbClr val="4F81BD">
                      <a:alpha val="100000"/>
                    </a:srgbClr>
                  </a:gs>
                </a:gsLst>
                <a:lin ang="5400000" scaled="1"/>
              </a:gradFill>
              <a:ln w="6350">
                <a:solidFill>
                  <a:srgbClr val="868686"/>
                </a:solidFill>
                <a:prstDash val="solid"/>
              </a:ln>
            </c:spPr>
          </c:dPt>
          <c:dPt>
            <c:idx val="1"/>
            <c:bubble3D val="0"/>
            <c:spPr>
              <a:gradFill rotWithShape="1">
                <a:gsLst>
                  <a:gs pos="0">
                    <a:srgbClr val="C04D7F">
                      <a:alpha val="100000"/>
                    </a:srgbClr>
                  </a:gs>
                  <a:gs pos="100000">
                    <a:srgbClr val="C0504D">
                      <a:alpha val="100000"/>
                    </a:srgbClr>
                  </a:gs>
                </a:gsLst>
                <a:lin ang="5400000" scaled="1"/>
              </a:gradFill>
              <a:ln w="6350">
                <a:solidFill>
                  <a:srgbClr val="868686"/>
                </a:solidFill>
                <a:prstDash val="solid"/>
              </a:ln>
            </c:spPr>
          </c:dPt>
          <c:dPt>
            <c:idx val="2"/>
            <c:bubble3D val="0"/>
            <c:spPr>
              <a:gradFill rotWithShape="1">
                <a:gsLst>
                  <a:gs pos="0">
                    <a:srgbClr val="BBAE59">
                      <a:alpha val="100000"/>
                    </a:srgbClr>
                  </a:gs>
                  <a:gs pos="100000">
                    <a:srgbClr val="9BBB59">
                      <a:alpha val="100000"/>
                    </a:srgbClr>
                  </a:gs>
                </a:gsLst>
                <a:lin ang="5400000" scaled="1"/>
              </a:gradFill>
              <a:ln w="6350">
                <a:solidFill>
                  <a:srgbClr val="868686"/>
                </a:solidFill>
                <a:prstDash val="solid"/>
              </a:ln>
            </c:spPr>
          </c:dPt>
          <c:dPt>
            <c:idx val="3"/>
            <c:bubble3D val="0"/>
            <c:spPr>
              <a:gradFill rotWithShape="1">
                <a:gsLst>
                  <a:gs pos="0">
                    <a:srgbClr val="6465A2">
                      <a:alpha val="100000"/>
                    </a:srgbClr>
                  </a:gs>
                  <a:gs pos="100000">
                    <a:srgbClr val="8064A2">
                      <a:alpha val="100000"/>
                    </a:srgbClr>
                  </a:gs>
                </a:gsLst>
                <a:lin ang="5400000" scaled="1"/>
              </a:gradFill>
              <a:ln w="6350">
                <a:solidFill>
                  <a:srgbClr val="868686"/>
                </a:solidFill>
                <a:prstDash val="solid"/>
              </a:ln>
            </c:spPr>
          </c:dPt>
          <c:dPt>
            <c:idx val="4"/>
            <c:bubble3D val="0"/>
            <c:spPr>
              <a:gradFill rotWithShape="1">
                <a:gsLst>
                  <a:gs pos="0">
                    <a:srgbClr val="4BC6A7">
                      <a:alpha val="100000"/>
                    </a:srgbClr>
                  </a:gs>
                  <a:gs pos="100000">
                    <a:srgbClr val="4BACC6">
                      <a:alpha val="100000"/>
                    </a:srgbClr>
                  </a:gs>
                </a:gsLst>
                <a:lin ang="5400000" scaled="1"/>
              </a:gradFill>
              <a:ln w="6350">
                <a:solidFill>
                  <a:srgbClr val="868686"/>
                </a:solidFill>
                <a:prstDash val="solid"/>
              </a:ln>
            </c:spPr>
          </c:dPt>
          <c:dPt>
            <c:idx val="5"/>
            <c:bubble3D val="0"/>
            <c:spPr>
              <a:gradFill rotWithShape="1">
                <a:gsLst>
                  <a:gs pos="0">
                    <a:srgbClr val="F74648">
                      <a:alpha val="100000"/>
                    </a:srgbClr>
                  </a:gs>
                  <a:gs pos="100000">
                    <a:srgbClr val="F79646">
                      <a:alpha val="100000"/>
                    </a:srgbClr>
                  </a:gs>
                </a:gsLst>
                <a:lin ang="5400000" scaled="1"/>
              </a:gradFill>
              <a:ln w="6350">
                <a:solidFill>
                  <a:srgbClr val="868686"/>
                </a:solidFill>
                <a:prstDash val="solid"/>
              </a:ln>
            </c:spPr>
          </c:dPt>
          <c:dPt>
            <c:idx val="6"/>
            <c:bubble3D val="0"/>
            <c:spPr>
              <a:gradFill rotWithShape="1">
                <a:gsLst>
                  <a:gs pos="0">
                    <a:srgbClr val="2C6F75">
                      <a:alpha val="100000"/>
                    </a:srgbClr>
                  </a:gs>
                  <a:gs pos="100000">
                    <a:srgbClr val="2C4D75">
                      <a:alpha val="100000"/>
                    </a:srgbClr>
                  </a:gs>
                </a:gsLst>
                <a:lin ang="5400000" scaled="1"/>
              </a:gradFill>
              <a:ln w="6350">
                <a:solidFill>
                  <a:srgbClr val="868686"/>
                </a:solidFill>
                <a:prstDash val="solid"/>
              </a:ln>
            </c:spPr>
          </c:dPt>
          <c:dLbls>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numFmt formatCode="0%" sourceLinked="0"/>
            <c:dLbl>
              <c:idx val="0"/>
              <c:numFmt formatCode="0%" sourceLinked="0"/>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dLblPos val="outEnd"/>
              <c:showLegendKey val="0"/>
              <c:showVal val="0"/>
              <c:showCatName val="1"/>
              <c:showSerName val="0"/>
              <c:showPercent val="1"/>
              <c:showBubbleSize val="0"/>
              <c:separator>
</c:separator>
            </c:dLbl>
            <c:dLbl>
              <c:idx val="1"/>
              <c:layout>
                <c:manualLayout>
                  <c:x val="0.091809615"/>
                  <c:y val="-0.0042498936"/>
                </c:manualLayout>
              </c:layout>
              <c:numFmt formatCode="0%" sourceLinked="0"/>
              <c:spPr>
                <a:noFill/>
                <a:ln>
                  <a:noFill/>
                </a:ln>
              </c:spPr>
              <c:txPr>
                <a:bodyPr vert="horz"/>
                <a:lstStyle/>
                <a:p>
                  <a:pPr>
                    <a:defRPr sz="1000" b="1" i="0" u="none" strike="noStrike" baseline="0">
                      <a:solidFill>
                        <a:srgbClr val="C0504D"/>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
              <c:idx val="2"/>
              <c:numFmt formatCode="0%" sourceLinked="0"/>
              <c:spPr>
                <a:noFill/>
                <a:ln>
                  <a:noFill/>
                </a:ln>
              </c:spPr>
              <c:txPr>
                <a:bodyPr vert="horz"/>
                <a:lstStyle/>
                <a:p>
                  <a:pPr>
                    <a:defRPr sz="1000" b="1" i="0" u="none" strike="noStrike" baseline="0">
                      <a:solidFill>
                        <a:srgbClr val="9BBB59"/>
                      </a:solidFill>
                      <a:latin typeface="Times New Roman"/>
                      <a:ea typeface="宋体"/>
                      <a:cs typeface="Lucida Sans"/>
                    </a:defRPr>
                  </a:pPr>
                  <a:endParaRPr lang="zh-CN"/>
                </a:p>
              </c:txPr>
              <c:dLblPos val="outEnd"/>
              <c:showLegendKey val="0"/>
              <c:showVal val="0"/>
              <c:showCatName val="1"/>
              <c:showSerName val="0"/>
              <c:showPercent val="1"/>
              <c:showBubbleSize val="0"/>
              <c:separator>
</c:separator>
            </c:dLbl>
            <c:dLbl>
              <c:idx val="3"/>
              <c:layout>
                <c:manualLayout>
                  <c:x val="-0.1304663"/>
                  <c:y val="-0.12749681"/>
                </c:manualLayout>
              </c:layout>
              <c:numFmt formatCode="0%" sourceLinked="0"/>
              <c:spPr>
                <a:noFill/>
                <a:ln>
                  <a:noFill/>
                </a:ln>
              </c:spPr>
              <c:txPr>
                <a:bodyPr vert="horz"/>
                <a:lstStyle/>
                <a:p>
                  <a:pPr>
                    <a:defRPr sz="1000" b="1" i="0" u="none" strike="noStrike" baseline="0">
                      <a:solidFill>
                        <a:srgbClr val="8064A2"/>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
              <c:idx val="4"/>
              <c:numFmt formatCode="0%" sourceLinked="0"/>
              <c:spPr>
                <a:noFill/>
                <a:ln>
                  <a:noFill/>
                </a:ln>
              </c:spPr>
              <c:txPr>
                <a:bodyPr vert="horz"/>
                <a:lstStyle/>
                <a:p>
                  <a:pPr>
                    <a:defRPr sz="1000" b="1" i="0" u="none" strike="noStrike" baseline="0">
                      <a:solidFill>
                        <a:srgbClr val="4BACC6"/>
                      </a:solidFill>
                      <a:latin typeface="Times New Roman"/>
                      <a:ea typeface="宋体"/>
                      <a:cs typeface="Lucida Sans"/>
                    </a:defRPr>
                  </a:pPr>
                  <a:endParaRPr lang="zh-CN"/>
                </a:p>
              </c:txPr>
              <c:dLblPos val="outEnd"/>
              <c:showLegendKey val="0"/>
              <c:showVal val="0"/>
              <c:showCatName val="1"/>
              <c:showSerName val="0"/>
              <c:showPercent val="1"/>
              <c:showBubbleSize val="0"/>
              <c:separator>
</c:separator>
            </c:dLbl>
            <c:dLbl>
              <c:idx val="5"/>
              <c:layout>
                <c:manualLayout>
                  <c:x val="0.0024160426"/>
                  <c:y val="0.07224819"/>
                </c:manualLayout>
              </c:layout>
              <c:numFmt formatCode="0%" sourceLinked="0"/>
              <c:spPr>
                <a:noFill/>
                <a:ln>
                  <a:noFill/>
                </a:ln>
              </c:spPr>
              <c:txPr>
                <a:bodyPr vert="horz"/>
                <a:lstStyle/>
                <a:p>
                  <a:pPr>
                    <a:defRPr sz="1000" b="1" i="0" u="none" strike="noStrike" baseline="0">
                      <a:solidFill>
                        <a:srgbClr val="F79646"/>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
              <c:idx val="6"/>
              <c:numFmt formatCode="0%" sourceLinked="0"/>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dLblPos val="outEnd"/>
              <c:showLegendKey val="0"/>
              <c:showVal val="0"/>
              <c:showCatName val="1"/>
              <c:showSerName val="0"/>
              <c:showPercent val="1"/>
              <c:showBubbleSize val="0"/>
              <c:separator>
</c:separator>
            </c:dLbl>
            <c:dLblPos val="outEnd"/>
            <c:showLegendKey val="0"/>
            <c:showVal val="0"/>
            <c:showCatName val="1"/>
            <c:showSerName val="0"/>
            <c:showPercent val="1"/>
            <c:showBubbleSize val="0"/>
            <c:showLeaderLines val="1"/>
          </c:dLbls>
          <c:cat>
            <c:strRef>
              <c:f>'Sheet1 (6)'!$A$2:$A$8</c:f>
              <c:strCache>
                <c:ptCount val="7"/>
                <c:pt idx="0">
                  <c:v>一般公共服务（类）支出</c:v>
                </c:pt>
                <c:pt idx="1">
                  <c:v>文化旅游体育与传媒支出</c:v>
                </c:pt>
                <c:pt idx="2">
                  <c:v>社会保障和就业（类）支出</c:v>
                </c:pt>
                <c:pt idx="3">
                  <c:v>卫生健康（类）支出</c:v>
                </c:pt>
                <c:pt idx="4">
                  <c:v>灾害防治及应急管理（类）支出</c:v>
                </c:pt>
                <c:pt idx="5">
                  <c:v>农林水（类）支出</c:v>
                </c:pt>
                <c:pt idx="6">
                  <c:v>住房保障（类）支出</c:v>
                </c:pt>
              </c:strCache>
            </c:strRef>
          </c:cat>
          <c:val>
            <c:numRef>
              <c:f>'Sheet1 (6)'!$B$2:$B$8</c:f>
              <c:numCache>
                <c:formatCode>General</c:formatCode>
                <c:ptCount val="7"/>
                <c:pt idx="0">
                  <c:v>541.36</c:v>
                </c:pt>
                <c:pt idx="1">
                  <c:v>1.0</c:v>
                </c:pt>
                <c:pt idx="2">
                  <c:v>139.1</c:v>
                </c:pt>
                <c:pt idx="3">
                  <c:v>56.46</c:v>
                </c:pt>
                <c:pt idx="4">
                  <c:v>10.0</c:v>
                </c:pt>
                <c:pt idx="5">
                  <c:v>734.08</c:v>
                </c:pt>
                <c:pt idx="6">
                  <c:v>75.05</c:v>
                </c:pt>
              </c:numCache>
            </c:numRef>
          </c:val>
        </c:ser>
        <c:firstSliceAng val="0"/>
      </c:pieChart>
      <c:spPr>
        <a:noFill/>
        <a:ln>
          <a:noFill/>
        </a:ln>
      </c:spPr>
    </c:plotArea>
    <c:plotVisOnly val="1"/>
    <c:dispBlanksAs val="zero"/>
    <c:showDLblsOverMax val="0"/>
  </c:chart>
  <c:spPr>
    <a:solidFill>
      <a:srgbClr val="F5F5F5"/>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FFFFFF"/>
                </a:solidFill>
                <a:latin typeface="Times New Roman"/>
                <a:ea typeface="宋体"/>
                <a:cs typeface="Lucida Sans"/>
              </a:defRPr>
            </a:pPr>
            <a:r>
              <a:rPr lang="zh-CN"/>
              <a:t>“三公”经费财政拨款支出结构图</a:t>
            </a:r>
          </a:p>
        </c:rich>
      </c:tx>
      <c:layout/>
      <c:overlay val="0"/>
      <c:spPr>
        <a:noFill/>
        <a:ln>
          <a:noFill/>
        </a:ln>
      </c:spPr>
    </c:title>
    <c:autoTitleDeleted val="1"/>
    <c:plotArea>
      <c:layout/>
      <c:pieChart>
        <c:varyColors val="1"/>
        <c:ser>
          <c:idx val="0"/>
          <c:order val="0"/>
          <c:tx>
            <c:strRef>
              <c:f>'Sheet1 (7)'!$B$1</c:f>
              <c:strCache>
                <c:ptCount val="1"/>
                <c:pt idx="0">
                  <c:v>“三公”经费财政拨款支出结构</c:v>
                </c:pt>
              </c:strCache>
            </c:strRef>
          </c:tx>
          <c:spPr>
            <a:solidFill>
              <a:srgbClr val="4F81BD"/>
            </a:solidFill>
            <a:ln w="19050">
              <a:solidFill>
                <a:srgbClr val="FFFFFF"/>
              </a:solidFill>
              <a:prstDash val="solid"/>
            </a:ln>
            <a:effectLst>
              <a:outerShdw dist="35921" dir="2700000" algn="br">
                <a:srgbClr val="000000"/>
              </a:outerShdw>
            </a:effectLst>
          </c:spPr>
          <c:dPt>
            <c:idx val="0"/>
            <c:bubble3D val="0"/>
            <c:explosion val="5"/>
            <c:spPr>
              <a:gradFill rotWithShape="1">
                <a:gsLst>
                  <a:gs pos="0">
                    <a:srgbClr val="95B3D7">
                      <a:alpha val="100000"/>
                    </a:srgbClr>
                  </a:gs>
                  <a:gs pos="50000">
                    <a:srgbClr val="4F81BD">
                      <a:alpha val="100000"/>
                    </a:srgbClr>
                  </a:gs>
                </a:gsLst>
                <a:lin ang="2700000" scaled="1"/>
              </a:gradFill>
              <a:ln w="19050">
                <a:solidFill>
                  <a:srgbClr val="FFFFFF"/>
                </a:solidFill>
                <a:prstDash val="solid"/>
              </a:ln>
              <a:effectLst>
                <a:outerShdw dist="35921" dir="2700000" algn="br">
                  <a:srgbClr val="000000"/>
                </a:outerShdw>
              </a:effectLst>
            </c:spPr>
          </c:dPt>
          <c:dPt>
            <c:idx val="1"/>
            <c:bubble3D val="0"/>
            <c:explosion val="5"/>
            <c:spPr>
              <a:gradFill rotWithShape="1">
                <a:gsLst>
                  <a:gs pos="0">
                    <a:srgbClr val="D99694">
                      <a:alpha val="100000"/>
                    </a:srgbClr>
                  </a:gs>
                  <a:gs pos="60000">
                    <a:srgbClr val="C0504D">
                      <a:alpha val="100000"/>
                    </a:srgbClr>
                  </a:gs>
                </a:gsLst>
                <a:lin ang="2700000" scaled="1"/>
              </a:gradFill>
              <a:ln w="19050">
                <a:solidFill>
                  <a:srgbClr val="FFFFFF"/>
                </a:solidFill>
                <a:prstDash val="solid"/>
              </a:ln>
              <a:effectLst>
                <a:outerShdw dist="35921" dir="2700000" algn="br">
                  <a:srgbClr val="000000"/>
                </a:outerShdw>
              </a:effectLst>
            </c:spPr>
          </c:dPt>
          <c:dPt>
            <c:idx val="2"/>
            <c:bubble3D val="0"/>
            <c:explosion val="5"/>
            <c:spPr>
              <a:gradFill rotWithShape="1">
                <a:gsLst>
                  <a:gs pos="0">
                    <a:srgbClr val="FAC090">
                      <a:alpha val="100000"/>
                    </a:srgbClr>
                  </a:gs>
                  <a:gs pos="60000">
                    <a:srgbClr val="F79646">
                      <a:alpha val="100000"/>
                    </a:srgbClr>
                  </a:gs>
                </a:gsLst>
                <a:lin ang="2700000" scaled="1"/>
              </a:gradFill>
              <a:ln w="19050">
                <a:solidFill>
                  <a:srgbClr val="FFFFFF"/>
                </a:solidFill>
                <a:prstDash val="solid"/>
              </a:ln>
              <a:effectLst>
                <a:outerShdw dist="35921" dir="2700000" algn="br">
                  <a:srgbClr val="000000"/>
                </a:outerShdw>
              </a:effectLst>
            </c:spPr>
          </c:dPt>
          <c:dLbls>
            <c:spPr>
              <a:noFill/>
              <a:ln>
                <a:noFill/>
              </a:ln>
            </c:spPr>
            <c:txPr>
              <a:bodyPr vert="horz"/>
              <a:lstStyle/>
              <a:p>
                <a:pPr>
                  <a:defRPr sz="900" b="0" i="0" u="none" strike="noStrike" baseline="0">
                    <a:solidFill>
                      <a:srgbClr val="FFFFFF"/>
                    </a:solidFill>
                    <a:latin typeface="Times New Roman"/>
                    <a:ea typeface="宋体"/>
                    <a:cs typeface="Lucida Sans"/>
                  </a:defRPr>
                </a:pPr>
                <a:endParaRPr lang="zh-CN"/>
              </a:p>
            </c:txPr>
            <c:numFmt formatCode="0%" sourceLinked="0"/>
            <c:dLblPos val="inEnd"/>
            <c:showLegendKey val="0"/>
            <c:showVal val="0"/>
            <c:showCatName val="0"/>
            <c:showSerName val="0"/>
            <c:showPercent val="1"/>
            <c:showBubbleSize val="0"/>
            <c:showLeaderLines val="1"/>
          </c:dLbls>
          <c:cat>
            <c:strRef>
              <c:f>'Sheet1 (7)'!$A$2:$A$4</c:f>
              <c:strCache>
                <c:ptCount val="3"/>
                <c:pt idx="0">
                  <c:v>公务用车购置及运行维护费支出</c:v>
                </c:pt>
                <c:pt idx="1">
                  <c:v>因公出国（境）费支出</c:v>
                </c:pt>
                <c:pt idx="2">
                  <c:v>公务接待费支出</c:v>
                </c:pt>
              </c:strCache>
            </c:strRef>
          </c:cat>
          <c:val>
            <c:numRef>
              <c:f>'Sheet1 (7)'!$B$2:$B$4</c:f>
              <c:numCache>
                <c:formatCode>General</c:formatCode>
                <c:ptCount val="3"/>
                <c:pt idx="0">
                  <c:v>7.0</c:v>
                </c:pt>
                <c:pt idx="1">
                  <c:v>0.0</c:v>
                </c:pt>
                <c:pt idx="2">
                  <c:v>0.0</c:v>
                </c:pt>
              </c:numCache>
            </c:numRef>
          </c:val>
        </c:ser>
        <c:firstSliceAng val="285"/>
      </c:pieChart>
      <c:spPr>
        <a:noFill/>
        <a:ln>
          <a:noFill/>
        </a:ln>
      </c:spPr>
    </c:plotArea>
    <c:legend>
      <c:legendPos val="r"/>
      <c:layout/>
      <c:overlay val="0"/>
      <c:spPr>
        <a:noFill/>
        <a:ln>
          <a:noFill/>
        </a:ln>
      </c:spPr>
      <c:txPr>
        <a:bodyPr/>
        <a:lstStyle/>
        <a:p>
          <a:pPr>
            <a:defRPr sz="900" b="0" i="0" u="none" strike="noStrike" baseline="0">
              <a:solidFill>
                <a:srgbClr val="BFBFBF"/>
              </a:solidFill>
              <a:latin typeface="Times New Roman"/>
              <a:ea typeface="宋体"/>
              <a:cs typeface="Lucida Sans"/>
            </a:defRPr>
          </a:pPr>
          <a:endParaRPr lang="zh-CN"/>
        </a:p>
      </c:txPr>
    </c:legend>
    <c:plotVisOnly val="1"/>
    <c:dispBlanksAs val="zero"/>
    <c:showDLblsOverMax val="0"/>
  </c:chart>
  <c:spPr>
    <a:gradFill rotWithShape="1">
      <a:gsLst>
        <a:gs pos="0">
          <a:srgbClr val="595959">
            <a:alpha val="100000"/>
          </a:srgbClr>
        </a:gs>
        <a:gs pos="100000">
          <a:srgbClr val="262626">
            <a:alpha val="100000"/>
          </a:srgbClr>
        </a:gs>
      </a:gsLst>
      <a:path path="circle">
        <a:fillToRect l="50000" t="50000" r="50000" b="50000"/>
      </a:path>
      <a:tileRect/>
    </a:gra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9</TotalTime>
  <Application>Yozo_Office27021597764231179</Application>
  <Pages>1</Pages>
  <Words>3</Words>
  <Characters>3</Characters>
  <Lines>1</Lines>
  <Paragraphs>0</Paragraphs>
  <CharactersWithSpaces>3</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四川省决算编制说明</dc:title>
  <dc:creator>pjf</dc:creator>
  <cp:lastModifiedBy>user</cp:lastModifiedBy>
  <cp:revision>27</cp:revision>
  <cp:lastPrinted>2025-09-23T04:22:00Z</cp:lastPrinted>
  <dcterms:created xsi:type="dcterms:W3CDTF">2023-08-19T15:28:00Z</dcterms:created>
  <dcterms:modified xsi:type="dcterms:W3CDTF">2026-04-21T08:12:28Z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B93CA6F4BEAD4F359769D1203595D585</vt:lpwstr>
  </property>
  <property fmtid="{D5CDD505-2E9C-101B-9397-08002B2CF9AE}" pid="4" name="KSOTemplateDocerSaveRecord">
    <vt:lpwstr>eyJoZGlkIjoiMTA4ZjU3ODhmMWNiOTFlNzcxZjk0MDg1NThjZDc3ZGIiLCJ1c2VySWQiOiI1MDA1ODE1MjMifQ==</vt:lpwstr>
  </property>
</Properties>
</file>