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2022年度</w:t>
      </w:r>
    </w:p>
    <w:p>
      <w:pPr>
        <w:spacing w:line="576"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四川省阿坝州茂县叠溪镇人民政府</w:t>
      </w:r>
    </w:p>
    <w:p>
      <w:pPr>
        <w:spacing w:line="576"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汇总部门决算</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spacing w:line="576" w:lineRule="exact"/>
        <w:jc w:val="center"/>
        <w:rPr>
          <w:rFonts w:ascii="黑体" w:hAnsi="Times New Roman" w:eastAsia="黑体"/>
          <w:sz w:val="72"/>
          <w:szCs w:val="72"/>
        </w:rPr>
      </w:pPr>
      <w:r>
        <w:rPr>
          <w:rFonts w:ascii="黑体" w:hAnsi="Times New Roman" w:eastAsia="黑体"/>
          <w:sz w:val="72"/>
          <w:szCs w:val="72"/>
        </w:rPr>
        <w:t> </w:t>
      </w:r>
    </w:p>
    <w:p>
      <w:pPr>
        <w:pStyle w:val="13"/>
        <w:widowControl/>
        <w:spacing w:line="576" w:lineRule="exact"/>
      </w:pPr>
      <w:r>
        <w:t> </w:t>
      </w:r>
    </w:p>
    <w:p>
      <w:pPr>
        <w:pStyle w:val="13"/>
        <w:widowControl/>
        <w:spacing w:line="576" w:lineRule="exact"/>
      </w:pPr>
      <w:r>
        <w:t> </w:t>
      </w: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rPr>
          <w:rFonts w:ascii="黑体" w:hAnsi="Times New Roman" w:eastAsia="黑体"/>
          <w:color w:val="000000"/>
          <w:sz w:val="48"/>
          <w:szCs w:val="48"/>
        </w:rPr>
      </w:pPr>
    </w:p>
    <w:p>
      <w:pPr>
        <w:pStyle w:val="13"/>
        <w:widowControl/>
        <w:spacing w:line="576" w:lineRule="exact"/>
        <w:jc w:val="center"/>
        <w:rPr>
          <w:rFonts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sz w:val="48"/>
          <w:szCs w:val="48"/>
        </w:rPr>
        <w:t>目  录</w:t>
      </w:r>
    </w:p>
    <w:p>
      <w:pPr>
        <w:pStyle w:val="11"/>
        <w:spacing w:line="576" w:lineRule="exact"/>
        <w:jc w:val="center"/>
      </w:pPr>
      <w:r>
        <w:rPr>
          <w:rFonts w:hint="eastAsia" w:hAnsi="Times New Roman"/>
          <w:b w:val="0"/>
          <w:bCs w:val="0"/>
          <w:sz w:val="24"/>
          <w:szCs w:val="24"/>
        </w:rPr>
        <w:t>公开时间：2023年9月12日</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_Toc24757 </w:instrText>
      </w:r>
      <w:r>
        <w:fldChar w:fldCharType="separate"/>
      </w:r>
      <w:r>
        <w:rPr>
          <w:rFonts w:ascii="方正小标宋简体" w:hAnsi="方正小标宋简体" w:eastAsia="方正小标宋简体" w:cs="方正小标宋简体"/>
          <w:szCs w:val="44"/>
        </w:rPr>
        <w:t>第一部分 部门概况</w:t>
      </w:r>
      <w:r>
        <w:tab/>
      </w:r>
      <w:r>
        <w:fldChar w:fldCharType="begin"/>
      </w:r>
      <w:r>
        <w:instrText xml:space="preserve"> PAGEREF _Toc24757 \h </w:instrText>
      </w:r>
      <w:r>
        <w:fldChar w:fldCharType="separate"/>
      </w:r>
      <w:r>
        <w:t>4</w:t>
      </w:r>
      <w:r>
        <w:fldChar w:fldCharType="end"/>
      </w:r>
      <w:r>
        <w:fldChar w:fldCharType="end"/>
      </w:r>
    </w:p>
    <w:p>
      <w:pPr>
        <w:pStyle w:val="12"/>
        <w:tabs>
          <w:tab w:val="right" w:leader="dot" w:pos="8306"/>
        </w:tabs>
      </w:pPr>
      <w:r>
        <w:fldChar w:fldCharType="begin"/>
      </w:r>
      <w:r>
        <w:instrText xml:space="preserve"> HYPERLINK \l _Toc7460 </w:instrText>
      </w:r>
      <w:r>
        <w:fldChar w:fldCharType="separate"/>
      </w:r>
      <w:r>
        <w:rPr>
          <w:rFonts w:ascii="黑体" w:hAnsi="Cambria" w:eastAsia="黑体"/>
          <w:kern w:val="2"/>
          <w:szCs w:val="32"/>
        </w:rPr>
        <w:t>一、基本职能及主要工作</w:t>
      </w:r>
      <w:r>
        <w:tab/>
      </w:r>
      <w:r>
        <w:fldChar w:fldCharType="begin"/>
      </w:r>
      <w:r>
        <w:instrText xml:space="preserve"> PAGEREF _Toc7460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_Toc9197 </w:instrText>
      </w:r>
      <w:r>
        <w:fldChar w:fldCharType="separate"/>
      </w:r>
      <w:r>
        <w:rPr>
          <w:rFonts w:hint="eastAsia" w:ascii="楷体_GB2312" w:hAnsi="楷体_GB2312" w:eastAsia="楷体_GB2312" w:cs="楷体_GB2312"/>
          <w:szCs w:val="32"/>
        </w:rPr>
        <w:t>（一）主要职能</w:t>
      </w:r>
      <w:r>
        <w:tab/>
      </w:r>
      <w:r>
        <w:fldChar w:fldCharType="begin"/>
      </w:r>
      <w:r>
        <w:instrText xml:space="preserve"> PAGEREF _Toc9197 \h </w:instrText>
      </w:r>
      <w:r>
        <w:fldChar w:fldCharType="separate"/>
      </w:r>
      <w:r>
        <w:t>4</w:t>
      </w:r>
      <w:r>
        <w:fldChar w:fldCharType="end"/>
      </w:r>
      <w:r>
        <w:fldChar w:fldCharType="end"/>
      </w:r>
    </w:p>
    <w:p>
      <w:pPr>
        <w:pStyle w:val="7"/>
        <w:tabs>
          <w:tab w:val="right" w:leader="dot" w:pos="8306"/>
        </w:tabs>
      </w:pPr>
      <w:r>
        <w:fldChar w:fldCharType="begin"/>
      </w:r>
      <w:r>
        <w:instrText xml:space="preserve"> HYPERLINK \l _Toc23814 </w:instrText>
      </w:r>
      <w:r>
        <w:fldChar w:fldCharType="separate"/>
      </w:r>
      <w:r>
        <w:rPr>
          <w:rFonts w:hint="eastAsia" w:ascii="楷体_GB2312" w:hAnsi="楷体_GB2312" w:eastAsia="楷体_GB2312" w:cs="楷体_GB2312"/>
          <w:szCs w:val="32"/>
        </w:rPr>
        <w:t>（二）2022年重点工作完成情况</w:t>
      </w:r>
      <w:r>
        <w:tab/>
      </w:r>
      <w:r>
        <w:fldChar w:fldCharType="begin"/>
      </w:r>
      <w:r>
        <w:instrText xml:space="preserve"> PAGEREF _Toc23814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_Toc1109 </w:instrText>
      </w:r>
      <w:r>
        <w:fldChar w:fldCharType="separate"/>
      </w:r>
      <w:r>
        <w:rPr>
          <w:rFonts w:ascii="黑体" w:hAnsi="Cambria" w:eastAsia="黑体"/>
          <w:kern w:val="2"/>
          <w:szCs w:val="32"/>
        </w:rPr>
        <w:t>二、机构设置</w:t>
      </w:r>
      <w:r>
        <w:tab/>
      </w:r>
      <w:r>
        <w:fldChar w:fldCharType="begin"/>
      </w:r>
      <w:r>
        <w:instrText xml:space="preserve"> PAGEREF _Toc1109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_Toc9673 </w:instrText>
      </w:r>
      <w:r>
        <w:fldChar w:fldCharType="separate"/>
      </w:r>
      <w:r>
        <w:rPr>
          <w:rFonts w:ascii="方正小标宋简体" w:hAnsi="方正小标宋简体" w:eastAsia="方正小标宋简体" w:cs="方正小标宋简体"/>
          <w:bCs w:val="0"/>
          <w:szCs w:val="44"/>
        </w:rPr>
        <w:t>第二部分2022年度部门决算情况说</w:t>
      </w:r>
      <w:r>
        <w:tab/>
      </w:r>
      <w:r>
        <w:fldChar w:fldCharType="begin"/>
      </w:r>
      <w:r>
        <w:instrText xml:space="preserve"> PAGEREF _Toc9673 \h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_Toc3512 </w:instrText>
      </w:r>
      <w:r>
        <w:fldChar w:fldCharType="separate"/>
      </w:r>
      <w:r>
        <w:rPr>
          <w:rFonts w:hint="eastAsia" w:ascii="黑体" w:hAnsi="Times New Roman" w:eastAsia="黑体"/>
          <w:szCs w:val="32"/>
        </w:rPr>
        <w:t>一、收入支出决算总体情况说明</w:t>
      </w:r>
      <w:r>
        <w:tab/>
      </w:r>
      <w:r>
        <w:fldChar w:fldCharType="begin"/>
      </w:r>
      <w:r>
        <w:instrText xml:space="preserve"> PAGEREF _Toc3512 \h </w:instrText>
      </w:r>
      <w:r>
        <w:fldChar w:fldCharType="separate"/>
      </w:r>
      <w:r>
        <w:t>7</w:t>
      </w:r>
      <w:r>
        <w:fldChar w:fldCharType="end"/>
      </w:r>
      <w:r>
        <w:fldChar w:fldCharType="end"/>
      </w:r>
    </w:p>
    <w:p>
      <w:pPr>
        <w:pStyle w:val="12"/>
        <w:tabs>
          <w:tab w:val="right" w:leader="dot" w:pos="8306"/>
        </w:tabs>
      </w:pPr>
      <w:r>
        <w:fldChar w:fldCharType="begin"/>
      </w:r>
      <w:r>
        <w:instrText xml:space="preserve"> HYPERLINK \l _Toc31164 </w:instrText>
      </w:r>
      <w:r>
        <w:fldChar w:fldCharType="separate"/>
      </w:r>
      <w:r>
        <w:rPr>
          <w:rFonts w:hint="eastAsia" w:ascii="黑体" w:hAnsi="Times New Roman" w:eastAsia="黑体"/>
          <w:szCs w:val="32"/>
        </w:rPr>
        <w:t>二、收入决算情况说明</w:t>
      </w:r>
      <w:r>
        <w:tab/>
      </w:r>
      <w:r>
        <w:fldChar w:fldCharType="begin"/>
      </w:r>
      <w:r>
        <w:instrText xml:space="preserve"> PAGEREF _Toc31164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_Toc28717 </w:instrText>
      </w:r>
      <w:r>
        <w:fldChar w:fldCharType="separate"/>
      </w:r>
      <w:r>
        <w:rPr>
          <w:rFonts w:hint="eastAsia" w:ascii="黑体" w:hAnsi="Times New Roman" w:eastAsia="黑体"/>
          <w:szCs w:val="32"/>
        </w:rPr>
        <w:t>三、支出决算情况说明</w:t>
      </w:r>
      <w:r>
        <w:tab/>
      </w:r>
      <w:r>
        <w:fldChar w:fldCharType="begin"/>
      </w:r>
      <w:r>
        <w:instrText xml:space="preserve"> PAGEREF _Toc28717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_Toc11151 </w:instrText>
      </w:r>
      <w:r>
        <w:fldChar w:fldCharType="separate"/>
      </w:r>
      <w:r>
        <w:rPr>
          <w:rFonts w:hint="eastAsia" w:ascii="黑体" w:hAnsi="Times New Roman" w:eastAsia="黑体"/>
          <w:bCs/>
          <w:kern w:val="2"/>
          <w:szCs w:val="32"/>
        </w:rPr>
        <w:t>四、财政拨款收入支出决算总体情况说明</w:t>
      </w:r>
      <w:r>
        <w:tab/>
      </w:r>
      <w:r>
        <w:fldChar w:fldCharType="begin"/>
      </w:r>
      <w:r>
        <w:instrText xml:space="preserve"> PAGEREF _Toc11151 \h </w:instrText>
      </w:r>
      <w:r>
        <w:fldChar w:fldCharType="separate"/>
      </w:r>
      <w:r>
        <w:t>10</w:t>
      </w:r>
      <w:r>
        <w:fldChar w:fldCharType="end"/>
      </w:r>
      <w:r>
        <w:fldChar w:fldCharType="end"/>
      </w:r>
    </w:p>
    <w:p>
      <w:pPr>
        <w:pStyle w:val="12"/>
        <w:tabs>
          <w:tab w:val="right" w:leader="dot" w:pos="8306"/>
        </w:tabs>
      </w:pPr>
      <w:r>
        <w:fldChar w:fldCharType="begin"/>
      </w:r>
      <w:r>
        <w:instrText xml:space="preserve"> HYPERLINK \l _Toc29366 </w:instrText>
      </w:r>
      <w:r>
        <w:fldChar w:fldCharType="separate"/>
      </w:r>
      <w:r>
        <w:rPr>
          <w:rFonts w:hint="eastAsia" w:ascii="黑体" w:hAnsi="Times New Roman" w:eastAsia="黑体"/>
          <w:bCs/>
          <w:kern w:val="2"/>
          <w:szCs w:val="32"/>
        </w:rPr>
        <w:t>五、一般公共预算财政拨款支出决算情况说明</w:t>
      </w:r>
      <w:r>
        <w:tab/>
      </w:r>
      <w:r>
        <w:fldChar w:fldCharType="begin"/>
      </w:r>
      <w:r>
        <w:instrText xml:space="preserve"> PAGEREF _Toc29366 \h </w:instrText>
      </w:r>
      <w:r>
        <w:fldChar w:fldCharType="separate"/>
      </w:r>
      <w:r>
        <w:t>10</w:t>
      </w:r>
      <w:r>
        <w:fldChar w:fldCharType="end"/>
      </w:r>
      <w:r>
        <w:fldChar w:fldCharType="end"/>
      </w:r>
    </w:p>
    <w:p>
      <w:pPr>
        <w:pStyle w:val="7"/>
        <w:tabs>
          <w:tab w:val="right" w:leader="dot" w:pos="8306"/>
        </w:tabs>
      </w:pPr>
      <w:r>
        <w:fldChar w:fldCharType="begin"/>
      </w:r>
      <w:r>
        <w:instrText xml:space="preserve"> HYPERLINK \l _Toc28940 </w:instrText>
      </w:r>
      <w:r>
        <w:fldChar w:fldCharType="separate"/>
      </w:r>
      <w:r>
        <w:rPr>
          <w:rFonts w:hint="eastAsia" w:ascii="楷体_GB2312" w:hAnsi="楷体_GB2312" w:eastAsia="楷体_GB2312" w:cs="楷体_GB2312"/>
          <w:szCs w:val="32"/>
        </w:rPr>
        <w:t>（一）一般公共预算财政拨款支出决算总体情况</w:t>
      </w:r>
      <w:r>
        <w:tab/>
      </w:r>
      <w:r>
        <w:fldChar w:fldCharType="begin"/>
      </w:r>
      <w:r>
        <w:instrText xml:space="preserve"> PAGEREF _Toc28940 \h </w:instrText>
      </w:r>
      <w:r>
        <w:fldChar w:fldCharType="separate"/>
      </w:r>
      <w:r>
        <w:t>10</w:t>
      </w:r>
      <w:r>
        <w:fldChar w:fldCharType="end"/>
      </w:r>
      <w:r>
        <w:fldChar w:fldCharType="end"/>
      </w:r>
    </w:p>
    <w:p>
      <w:pPr>
        <w:pStyle w:val="7"/>
        <w:tabs>
          <w:tab w:val="right" w:leader="dot" w:pos="8306"/>
        </w:tabs>
      </w:pPr>
      <w:r>
        <w:fldChar w:fldCharType="begin"/>
      </w:r>
      <w:r>
        <w:instrText xml:space="preserve"> HYPERLINK \l _Toc31640 </w:instrText>
      </w:r>
      <w:r>
        <w:fldChar w:fldCharType="separate"/>
      </w:r>
      <w:r>
        <w:rPr>
          <w:rFonts w:hint="eastAsia" w:ascii="楷体_GB2312" w:hAnsi="楷体_GB2312" w:eastAsia="楷体_GB2312" w:cs="楷体_GB2312"/>
          <w:szCs w:val="32"/>
        </w:rPr>
        <w:t>（二）一般公共预算财政拨款支出决算结构情况</w:t>
      </w:r>
      <w:r>
        <w:tab/>
      </w:r>
      <w:r>
        <w:fldChar w:fldCharType="begin"/>
      </w:r>
      <w:r>
        <w:instrText xml:space="preserve"> PAGEREF _Toc31640 \h </w:instrText>
      </w:r>
      <w:r>
        <w:fldChar w:fldCharType="separate"/>
      </w:r>
      <w:r>
        <w:t>11</w:t>
      </w:r>
      <w:r>
        <w:fldChar w:fldCharType="end"/>
      </w:r>
      <w:r>
        <w:fldChar w:fldCharType="end"/>
      </w:r>
    </w:p>
    <w:p>
      <w:pPr>
        <w:pStyle w:val="7"/>
        <w:tabs>
          <w:tab w:val="right" w:leader="dot" w:pos="8306"/>
        </w:tabs>
      </w:pPr>
      <w:r>
        <w:fldChar w:fldCharType="begin"/>
      </w:r>
      <w:r>
        <w:instrText xml:space="preserve"> HYPERLINK \l _Toc2173 </w:instrText>
      </w:r>
      <w:r>
        <w:fldChar w:fldCharType="separate"/>
      </w:r>
      <w:r>
        <w:rPr>
          <w:rFonts w:hint="eastAsia" w:ascii="楷体_GB2312" w:hAnsi="楷体_GB2312" w:eastAsia="楷体_GB2312" w:cs="楷体_GB2312"/>
        </w:rPr>
        <w:t>（</w:t>
      </w:r>
      <w:r>
        <w:rPr>
          <w:rFonts w:hint="eastAsia" w:ascii="楷体_GB2312" w:hAnsi="楷体_GB2312" w:eastAsia="楷体_GB2312" w:cs="楷体_GB2312"/>
          <w:kern w:val="2"/>
          <w:szCs w:val="32"/>
        </w:rPr>
        <w:t>三）一般公共预算财政拨款支出决算具体情况</w:t>
      </w:r>
      <w:r>
        <w:tab/>
      </w:r>
      <w:r>
        <w:fldChar w:fldCharType="begin"/>
      </w:r>
      <w:r>
        <w:instrText xml:space="preserve"> PAGEREF _Toc2173 \h </w:instrText>
      </w:r>
      <w:r>
        <w:fldChar w:fldCharType="separate"/>
      </w:r>
      <w:r>
        <w:t>12</w:t>
      </w:r>
      <w:r>
        <w:fldChar w:fldCharType="end"/>
      </w:r>
      <w:r>
        <w:fldChar w:fldCharType="end"/>
      </w:r>
    </w:p>
    <w:p>
      <w:pPr>
        <w:pStyle w:val="12"/>
        <w:tabs>
          <w:tab w:val="right" w:leader="dot" w:pos="8306"/>
        </w:tabs>
      </w:pPr>
      <w:r>
        <w:fldChar w:fldCharType="begin"/>
      </w:r>
      <w:r>
        <w:instrText xml:space="preserve"> HYPERLINK \l _Toc25767 </w:instrText>
      </w:r>
      <w:r>
        <w:fldChar w:fldCharType="separate"/>
      </w:r>
      <w:r>
        <w:rPr>
          <w:rFonts w:hint="eastAsia" w:ascii="黑体" w:hAnsi="Times New Roman" w:eastAsia="黑体"/>
          <w:szCs w:val="32"/>
        </w:rPr>
        <w:t>六、一般公共预算财政拨款基本支出决算情况说明   </w:t>
      </w:r>
      <w:r>
        <w:tab/>
      </w:r>
      <w:r>
        <w:fldChar w:fldCharType="begin"/>
      </w:r>
      <w:r>
        <w:instrText xml:space="preserve"> PAGEREF _Toc25767 \h </w:instrText>
      </w:r>
      <w:r>
        <w:fldChar w:fldCharType="separate"/>
      </w:r>
      <w:r>
        <w:t>14</w:t>
      </w:r>
      <w:r>
        <w:fldChar w:fldCharType="end"/>
      </w:r>
      <w:r>
        <w:fldChar w:fldCharType="end"/>
      </w:r>
    </w:p>
    <w:p>
      <w:pPr>
        <w:pStyle w:val="12"/>
        <w:tabs>
          <w:tab w:val="right" w:leader="dot" w:pos="8306"/>
        </w:tabs>
      </w:pPr>
      <w:r>
        <w:fldChar w:fldCharType="begin"/>
      </w:r>
      <w:r>
        <w:instrText xml:space="preserve"> HYPERLINK \l _Toc28234 </w:instrText>
      </w:r>
      <w:r>
        <w:fldChar w:fldCharType="separate"/>
      </w:r>
      <w:r>
        <w:rPr>
          <w:rFonts w:hint="eastAsia" w:ascii="黑体" w:hAnsi="Times New Roman" w:eastAsia="黑体"/>
          <w:szCs w:val="32"/>
        </w:rPr>
        <w:t>七、“三公”经费财政拨款支出决算情况说明</w:t>
      </w:r>
      <w:r>
        <w:tab/>
      </w:r>
      <w:r>
        <w:fldChar w:fldCharType="begin"/>
      </w:r>
      <w:r>
        <w:instrText xml:space="preserve"> PAGEREF _Toc28234 \h </w:instrText>
      </w:r>
      <w:r>
        <w:fldChar w:fldCharType="separate"/>
      </w:r>
      <w:r>
        <w:t>14</w:t>
      </w:r>
      <w:r>
        <w:fldChar w:fldCharType="end"/>
      </w:r>
      <w:r>
        <w:fldChar w:fldCharType="end"/>
      </w:r>
    </w:p>
    <w:p>
      <w:pPr>
        <w:pStyle w:val="7"/>
        <w:tabs>
          <w:tab w:val="right" w:leader="dot" w:pos="8306"/>
        </w:tabs>
      </w:pPr>
      <w:r>
        <w:fldChar w:fldCharType="begin"/>
      </w:r>
      <w:r>
        <w:instrText xml:space="preserve"> HYPERLINK \l _Toc17130 </w:instrText>
      </w:r>
      <w:r>
        <w:fldChar w:fldCharType="separate"/>
      </w:r>
      <w:r>
        <w:rPr>
          <w:rFonts w:hint="eastAsia" w:ascii="楷体_GB2312" w:hAnsi="楷体_GB2312" w:eastAsia="楷体_GB2312" w:cs="楷体_GB2312"/>
          <w:szCs w:val="32"/>
        </w:rPr>
        <w:t>（一）“三公”经费财政拨款支出决算总体情况说明</w:t>
      </w:r>
      <w:r>
        <w:tab/>
      </w:r>
      <w:r>
        <w:fldChar w:fldCharType="begin"/>
      </w:r>
      <w:r>
        <w:instrText xml:space="preserve"> PAGEREF _Toc17130 \h </w:instrText>
      </w:r>
      <w:r>
        <w:fldChar w:fldCharType="separate"/>
      </w:r>
      <w:r>
        <w:t>14</w:t>
      </w:r>
      <w:r>
        <w:fldChar w:fldCharType="end"/>
      </w:r>
      <w:r>
        <w:fldChar w:fldCharType="end"/>
      </w:r>
    </w:p>
    <w:p>
      <w:pPr>
        <w:pStyle w:val="7"/>
        <w:tabs>
          <w:tab w:val="right" w:leader="dot" w:pos="8306"/>
        </w:tabs>
      </w:pPr>
      <w:r>
        <w:fldChar w:fldCharType="begin"/>
      </w:r>
      <w:r>
        <w:instrText xml:space="preserve"> HYPERLINK \l _Toc19616 </w:instrText>
      </w:r>
      <w:r>
        <w:fldChar w:fldCharType="separate"/>
      </w:r>
      <w:r>
        <w:rPr>
          <w:rFonts w:hint="eastAsia" w:ascii="楷体_GB2312" w:hAnsi="楷体_GB2312" w:eastAsia="楷体_GB2312" w:cs="楷体_GB2312"/>
          <w:szCs w:val="32"/>
        </w:rPr>
        <w:t>（二）“三公”经费财政拨款支出决算具体情况说明</w:t>
      </w:r>
      <w:r>
        <w:tab/>
      </w:r>
      <w:r>
        <w:fldChar w:fldCharType="begin"/>
      </w:r>
      <w:r>
        <w:instrText xml:space="preserve"> PAGEREF _Toc19616 \h </w:instrText>
      </w:r>
      <w:r>
        <w:fldChar w:fldCharType="separate"/>
      </w:r>
      <w:r>
        <w:t>14</w:t>
      </w:r>
      <w:r>
        <w:fldChar w:fldCharType="end"/>
      </w:r>
      <w:r>
        <w:fldChar w:fldCharType="end"/>
      </w:r>
    </w:p>
    <w:p>
      <w:pPr>
        <w:pStyle w:val="12"/>
        <w:tabs>
          <w:tab w:val="right" w:leader="dot" w:pos="8306"/>
        </w:tabs>
      </w:pPr>
      <w:r>
        <w:fldChar w:fldCharType="begin"/>
      </w:r>
      <w:r>
        <w:instrText xml:space="preserve"> HYPERLINK \l _Toc17457 </w:instrText>
      </w:r>
      <w:r>
        <w:fldChar w:fldCharType="separate"/>
      </w:r>
      <w:r>
        <w:rPr>
          <w:rFonts w:hint="eastAsia" w:ascii="黑体" w:hAnsi="Times New Roman" w:eastAsia="黑体"/>
          <w:szCs w:val="32"/>
        </w:rPr>
        <w:t>八、政府性基金预算支出决算情况说明</w:t>
      </w:r>
      <w:r>
        <w:tab/>
      </w:r>
      <w:r>
        <w:fldChar w:fldCharType="begin"/>
      </w:r>
      <w:r>
        <w:instrText xml:space="preserve"> PAGEREF _Toc17457 \h </w:instrText>
      </w:r>
      <w:r>
        <w:fldChar w:fldCharType="separate"/>
      </w:r>
      <w:r>
        <w:t>16</w:t>
      </w:r>
      <w:r>
        <w:fldChar w:fldCharType="end"/>
      </w:r>
      <w:r>
        <w:fldChar w:fldCharType="end"/>
      </w:r>
    </w:p>
    <w:p>
      <w:pPr>
        <w:pStyle w:val="12"/>
        <w:tabs>
          <w:tab w:val="right" w:leader="dot" w:pos="8306"/>
        </w:tabs>
      </w:pPr>
      <w:r>
        <w:fldChar w:fldCharType="begin"/>
      </w:r>
      <w:r>
        <w:instrText xml:space="preserve"> HYPERLINK \l _Toc23828 </w:instrText>
      </w:r>
      <w:r>
        <w:fldChar w:fldCharType="separate"/>
      </w:r>
      <w:r>
        <w:rPr>
          <w:rFonts w:hint="eastAsia" w:ascii="黑体" w:hAnsi="Times New Roman" w:eastAsia="黑体"/>
          <w:szCs w:val="32"/>
        </w:rPr>
        <w:t>九、国有资本经营预算支出决算情况说明</w:t>
      </w:r>
      <w:r>
        <w:tab/>
      </w:r>
      <w:r>
        <w:fldChar w:fldCharType="begin"/>
      </w:r>
      <w:r>
        <w:instrText xml:space="preserve"> PAGEREF _Toc23828 \h </w:instrText>
      </w:r>
      <w:r>
        <w:fldChar w:fldCharType="separate"/>
      </w:r>
      <w:r>
        <w:t>16</w:t>
      </w:r>
      <w:r>
        <w:fldChar w:fldCharType="end"/>
      </w:r>
      <w:r>
        <w:fldChar w:fldCharType="end"/>
      </w:r>
    </w:p>
    <w:p>
      <w:pPr>
        <w:pStyle w:val="12"/>
        <w:tabs>
          <w:tab w:val="right" w:leader="dot" w:pos="8306"/>
        </w:tabs>
      </w:pPr>
      <w:r>
        <w:fldChar w:fldCharType="begin"/>
      </w:r>
      <w:r>
        <w:instrText xml:space="preserve"> HYPERLINK \l _Toc6811 </w:instrText>
      </w:r>
      <w:r>
        <w:fldChar w:fldCharType="separate"/>
      </w:r>
      <w:r>
        <w:rPr>
          <w:rFonts w:hint="eastAsia" w:ascii="黑体" w:hAnsi="Times New Roman" w:eastAsia="黑体"/>
          <w:szCs w:val="32"/>
        </w:rPr>
        <w:t>十、其他重要事项的情况说明</w:t>
      </w:r>
      <w:r>
        <w:tab/>
      </w:r>
      <w:r>
        <w:fldChar w:fldCharType="begin"/>
      </w:r>
      <w:r>
        <w:instrText xml:space="preserve"> PAGEREF _Toc6811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_Toc29859 </w:instrText>
      </w:r>
      <w:r>
        <w:fldChar w:fldCharType="separate"/>
      </w:r>
      <w:r>
        <w:rPr>
          <w:rFonts w:hint="eastAsia" w:ascii="楷体_GB2312" w:hAnsi="楷体_GB2312" w:eastAsia="楷体_GB2312" w:cs="楷体_GB2312"/>
          <w:szCs w:val="32"/>
        </w:rPr>
        <w:t>（一）机关运行经费支出情况</w:t>
      </w:r>
      <w:r>
        <w:tab/>
      </w:r>
      <w:r>
        <w:fldChar w:fldCharType="begin"/>
      </w:r>
      <w:r>
        <w:instrText xml:space="preserve"> PAGEREF _Toc29859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_Toc27940 </w:instrText>
      </w:r>
      <w:r>
        <w:fldChar w:fldCharType="separate"/>
      </w:r>
      <w:r>
        <w:rPr>
          <w:rFonts w:hint="eastAsia" w:ascii="楷体_GB2312" w:hAnsi="楷体_GB2312" w:eastAsia="楷体_GB2312" w:cs="楷体_GB2312"/>
          <w:szCs w:val="32"/>
        </w:rPr>
        <w:t>（二）政府采购支出情况</w:t>
      </w:r>
      <w:r>
        <w:tab/>
      </w:r>
      <w:r>
        <w:fldChar w:fldCharType="begin"/>
      </w:r>
      <w:r>
        <w:instrText xml:space="preserve"> PAGEREF _Toc27940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_Toc29829 </w:instrText>
      </w:r>
      <w:r>
        <w:fldChar w:fldCharType="separate"/>
      </w:r>
      <w:r>
        <w:rPr>
          <w:rFonts w:hint="eastAsia" w:ascii="楷体_GB2312" w:hAnsi="楷体_GB2312" w:eastAsia="楷体_GB2312" w:cs="楷体_GB2312"/>
          <w:szCs w:val="32"/>
        </w:rPr>
        <w:t>（三）国有资产占有使用情况</w:t>
      </w:r>
      <w:r>
        <w:tab/>
      </w:r>
      <w:r>
        <w:fldChar w:fldCharType="begin"/>
      </w:r>
      <w:r>
        <w:instrText xml:space="preserve"> PAGEREF _Toc29829 \h </w:instrText>
      </w:r>
      <w:r>
        <w:fldChar w:fldCharType="separate"/>
      </w:r>
      <w:r>
        <w:t>16</w:t>
      </w:r>
      <w:r>
        <w:fldChar w:fldCharType="end"/>
      </w:r>
      <w:r>
        <w:fldChar w:fldCharType="end"/>
      </w:r>
    </w:p>
    <w:p>
      <w:pPr>
        <w:pStyle w:val="7"/>
        <w:tabs>
          <w:tab w:val="right" w:leader="dot" w:pos="8306"/>
        </w:tabs>
      </w:pPr>
      <w:r>
        <w:fldChar w:fldCharType="begin"/>
      </w:r>
      <w:r>
        <w:instrText xml:space="preserve"> HYPERLINK \l _Toc15784 </w:instrText>
      </w:r>
      <w:r>
        <w:fldChar w:fldCharType="separate"/>
      </w:r>
      <w:r>
        <w:rPr>
          <w:rFonts w:hint="eastAsia" w:ascii="楷体_GB2312" w:hAnsi="楷体_GB2312" w:eastAsia="楷体_GB2312" w:cs="楷体_GB2312"/>
          <w:szCs w:val="32"/>
        </w:rPr>
        <w:t>（四）预算绩效管理情况</w:t>
      </w:r>
      <w:r>
        <w:tab/>
      </w:r>
      <w:r>
        <w:fldChar w:fldCharType="begin"/>
      </w:r>
      <w:r>
        <w:instrText xml:space="preserve"> PAGEREF _Toc15784 \h </w:instrText>
      </w:r>
      <w:r>
        <w:fldChar w:fldCharType="separate"/>
      </w:r>
      <w:r>
        <w:t>16</w:t>
      </w:r>
      <w:r>
        <w:fldChar w:fldCharType="end"/>
      </w:r>
      <w:r>
        <w:fldChar w:fldCharType="end"/>
      </w:r>
    </w:p>
    <w:p>
      <w:pPr>
        <w:pStyle w:val="11"/>
        <w:tabs>
          <w:tab w:val="right" w:leader="dot" w:pos="8306"/>
        </w:tabs>
      </w:pPr>
      <w:r>
        <w:fldChar w:fldCharType="begin"/>
      </w:r>
      <w:r>
        <w:instrText xml:space="preserve"> HYPERLINK \l _Toc28320 </w:instrText>
      </w:r>
      <w:r>
        <w:fldChar w:fldCharType="separate"/>
      </w:r>
      <w:r>
        <w:rPr>
          <w:rFonts w:hint="eastAsia" w:ascii="方正小标宋简体" w:hAnsi="方正小标宋简体" w:eastAsia="方正小标宋简体" w:cs="方正小标宋简体"/>
          <w:szCs w:val="44"/>
        </w:rPr>
        <w:t>第三部分 名词解释</w:t>
      </w:r>
      <w:r>
        <w:tab/>
      </w:r>
      <w:r>
        <w:fldChar w:fldCharType="begin"/>
      </w:r>
      <w:r>
        <w:instrText xml:space="preserve"> PAGEREF _Toc28320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_Toc30722 </w:instrText>
      </w:r>
      <w:r>
        <w:fldChar w:fldCharType="separate"/>
      </w:r>
      <w:r>
        <w:rPr>
          <w:rFonts w:hint="eastAsia" w:ascii="方正小标宋简体" w:hAnsi="方正小标宋简体" w:eastAsia="方正小标宋简体" w:cs="方正小标宋简体"/>
          <w:kern w:val="2"/>
          <w:szCs w:val="44"/>
        </w:rPr>
        <w:t>第四部分 附件</w:t>
      </w:r>
      <w:r>
        <w:tab/>
      </w:r>
      <w:r>
        <w:fldChar w:fldCharType="begin"/>
      </w:r>
      <w:r>
        <w:instrText xml:space="preserve"> PAGEREF _Toc30722 \h </w:instrText>
      </w:r>
      <w:r>
        <w:fldChar w:fldCharType="separate"/>
      </w:r>
      <w:r>
        <w:t>22</w:t>
      </w:r>
      <w:r>
        <w:fldChar w:fldCharType="end"/>
      </w:r>
      <w:r>
        <w:fldChar w:fldCharType="end"/>
      </w:r>
    </w:p>
    <w:p>
      <w:pPr>
        <w:pStyle w:val="11"/>
        <w:tabs>
          <w:tab w:val="right" w:leader="dot" w:pos="8306"/>
        </w:tabs>
      </w:pPr>
      <w:r>
        <w:fldChar w:fldCharType="begin"/>
      </w:r>
      <w:r>
        <w:instrText xml:space="preserve"> HYPERLINK \l _Toc682 </w:instrText>
      </w:r>
      <w:r>
        <w:fldChar w:fldCharType="separate"/>
      </w:r>
      <w:r>
        <w:rPr>
          <w:rFonts w:hint="eastAsia" w:ascii="黑体" w:hAnsi="Times New Roman" w:eastAsia="黑体" w:cs="黑体"/>
          <w:szCs w:val="32"/>
        </w:rPr>
        <w:t>附件1</w:t>
      </w:r>
      <w:r>
        <w:tab/>
      </w:r>
      <w:r>
        <w:fldChar w:fldCharType="begin"/>
      </w:r>
      <w:r>
        <w:instrText xml:space="preserve"> PAGEREF _Toc682 \h </w:instrText>
      </w:r>
      <w:r>
        <w:fldChar w:fldCharType="separate"/>
      </w:r>
      <w:r>
        <w:t>22</w:t>
      </w:r>
      <w:r>
        <w:fldChar w:fldCharType="end"/>
      </w:r>
      <w:r>
        <w:fldChar w:fldCharType="end"/>
      </w:r>
    </w:p>
    <w:p>
      <w:pPr>
        <w:pStyle w:val="11"/>
        <w:tabs>
          <w:tab w:val="right" w:leader="dot" w:pos="8306"/>
        </w:tabs>
      </w:pPr>
      <w:r>
        <w:fldChar w:fldCharType="begin"/>
      </w:r>
      <w:r>
        <w:instrText xml:space="preserve"> HYPERLINK \l _Toc15158 </w:instrText>
      </w:r>
      <w:r>
        <w:fldChar w:fldCharType="separate"/>
      </w:r>
      <w:r>
        <w:rPr>
          <w:rFonts w:hint="eastAsia" w:ascii="黑体" w:hAnsi="Times New Roman" w:eastAsia="黑体" w:cs="黑体"/>
          <w:szCs w:val="32"/>
        </w:rPr>
        <w:t>附件2</w:t>
      </w:r>
      <w:r>
        <w:tab/>
      </w:r>
      <w:r>
        <w:fldChar w:fldCharType="begin"/>
      </w:r>
      <w:r>
        <w:instrText xml:space="preserve"> PAGEREF _Toc15158 \h </w:instrText>
      </w:r>
      <w:r>
        <w:fldChar w:fldCharType="separate"/>
      </w:r>
      <w:r>
        <w:t>32</w:t>
      </w:r>
      <w:r>
        <w:fldChar w:fldCharType="end"/>
      </w:r>
      <w:r>
        <w:fldChar w:fldCharType="end"/>
      </w:r>
    </w:p>
    <w:p>
      <w:pPr>
        <w:pStyle w:val="11"/>
        <w:tabs>
          <w:tab w:val="right" w:leader="dot" w:pos="8306"/>
        </w:tabs>
      </w:pPr>
      <w:r>
        <w:fldChar w:fldCharType="begin"/>
      </w:r>
      <w:r>
        <w:instrText xml:space="preserve"> HYPERLINK \l _Toc8606 </w:instrText>
      </w:r>
      <w:r>
        <w:fldChar w:fldCharType="separate"/>
      </w:r>
      <w:r>
        <w:rPr>
          <w:rFonts w:hint="eastAsia" w:ascii="方正小标宋简体" w:hAnsi="方正小标宋简体" w:eastAsia="方正小标宋简体" w:cs="方正小标宋简体"/>
          <w:szCs w:val="44"/>
        </w:rPr>
        <w:t>第五部分 附表</w:t>
      </w:r>
      <w:r>
        <w:tab/>
      </w:r>
      <w:r>
        <w:fldChar w:fldCharType="begin"/>
      </w:r>
      <w:r>
        <w:instrText xml:space="preserve"> PAGEREF _Toc8606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_Toc4673 </w:instrText>
      </w:r>
      <w:r>
        <w:fldChar w:fldCharType="separate"/>
      </w:r>
      <w:r>
        <w:rPr>
          <w:rFonts w:hint="eastAsia" w:ascii="仿宋_GB2312" w:hAnsi="仿宋_GB2312" w:eastAsia="仿宋_GB2312" w:cs="仿宋_GB2312"/>
          <w:bCs/>
          <w:szCs w:val="32"/>
        </w:rPr>
        <w:t>一、 收入支出决算总表</w:t>
      </w:r>
      <w:r>
        <w:tab/>
      </w:r>
      <w:r>
        <w:fldChar w:fldCharType="begin"/>
      </w:r>
      <w:r>
        <w:instrText xml:space="preserve"> PAGEREF _Toc4673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_Toc548 </w:instrText>
      </w:r>
      <w:r>
        <w:fldChar w:fldCharType="separate"/>
      </w:r>
      <w:r>
        <w:rPr>
          <w:rFonts w:hint="eastAsia" w:ascii="仿宋_GB2312" w:hAnsi="仿宋_GB2312" w:eastAsia="仿宋_GB2312" w:cs="仿宋_GB2312"/>
          <w:bCs/>
          <w:szCs w:val="32"/>
        </w:rPr>
        <w:t>二、 收入决算表</w:t>
      </w:r>
      <w:r>
        <w:tab/>
      </w:r>
      <w:r>
        <w:fldChar w:fldCharType="begin"/>
      </w:r>
      <w:r>
        <w:instrText xml:space="preserve"> PAGEREF _Toc548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_Toc6791 </w:instrText>
      </w:r>
      <w:r>
        <w:fldChar w:fldCharType="separate"/>
      </w:r>
      <w:r>
        <w:rPr>
          <w:rFonts w:hint="eastAsia" w:ascii="仿宋_GB2312" w:hAnsi="仿宋_GB2312" w:eastAsia="仿宋_GB2312" w:cs="仿宋_GB2312"/>
          <w:bCs/>
          <w:szCs w:val="32"/>
        </w:rPr>
        <w:t>三、 支出决算表</w:t>
      </w:r>
      <w:r>
        <w:tab/>
      </w:r>
      <w:r>
        <w:fldChar w:fldCharType="begin"/>
      </w:r>
      <w:r>
        <w:instrText xml:space="preserve"> PAGEREF _Toc6791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_Toc20718 </w:instrText>
      </w:r>
      <w:r>
        <w:fldChar w:fldCharType="separate"/>
      </w:r>
      <w:r>
        <w:rPr>
          <w:rFonts w:hint="eastAsia" w:ascii="仿宋_GB2312" w:hAnsi="仿宋_GB2312" w:eastAsia="仿宋_GB2312" w:cs="仿宋_GB2312"/>
          <w:bCs/>
          <w:szCs w:val="32"/>
        </w:rPr>
        <w:t>四、 财政拨款收入支出决算总表</w:t>
      </w:r>
      <w:r>
        <w:tab/>
      </w:r>
      <w:r>
        <w:fldChar w:fldCharType="begin"/>
      </w:r>
      <w:r>
        <w:instrText xml:space="preserve"> PAGEREF _Toc20718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_Toc18420 </w:instrText>
      </w:r>
      <w:r>
        <w:fldChar w:fldCharType="separate"/>
      </w:r>
      <w:r>
        <w:rPr>
          <w:rFonts w:hint="eastAsia" w:ascii="仿宋_GB2312" w:hAnsi="仿宋_GB2312" w:eastAsia="仿宋_GB2312" w:cs="仿宋_GB2312"/>
          <w:bCs/>
          <w:szCs w:val="32"/>
        </w:rPr>
        <w:t>五、 财政拨款支出决算明细表</w:t>
      </w:r>
      <w:r>
        <w:tab/>
      </w:r>
      <w:r>
        <w:fldChar w:fldCharType="begin"/>
      </w:r>
      <w:r>
        <w:instrText xml:space="preserve"> PAGEREF _Toc18420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_Toc2401 </w:instrText>
      </w:r>
      <w:r>
        <w:fldChar w:fldCharType="separate"/>
      </w:r>
      <w:r>
        <w:rPr>
          <w:rFonts w:hint="eastAsia" w:ascii="仿宋_GB2312" w:hAnsi="仿宋_GB2312" w:eastAsia="仿宋_GB2312" w:cs="仿宋_GB2312"/>
          <w:bCs/>
          <w:szCs w:val="32"/>
        </w:rPr>
        <w:t>六、 一般公共预算财政拨款支出决算表</w:t>
      </w:r>
      <w:r>
        <w:tab/>
      </w:r>
      <w:r>
        <w:fldChar w:fldCharType="begin"/>
      </w:r>
      <w:r>
        <w:instrText xml:space="preserve"> PAGEREF _Toc2401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_Toc12817 </w:instrText>
      </w:r>
      <w:r>
        <w:fldChar w:fldCharType="separate"/>
      </w:r>
      <w:r>
        <w:rPr>
          <w:rFonts w:hint="eastAsia" w:ascii="仿宋_GB2312" w:hAnsi="仿宋_GB2312" w:eastAsia="仿宋_GB2312" w:cs="仿宋_GB2312"/>
          <w:bCs/>
          <w:szCs w:val="32"/>
        </w:rPr>
        <w:t>七、 一般公共预算财政拨款支出决算明细表</w:t>
      </w:r>
      <w:r>
        <w:tab/>
      </w:r>
      <w:r>
        <w:fldChar w:fldCharType="begin"/>
      </w:r>
      <w:r>
        <w:instrText xml:space="preserve"> PAGEREF _Toc12817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_Toc4040 </w:instrText>
      </w:r>
      <w:r>
        <w:fldChar w:fldCharType="separate"/>
      </w:r>
      <w:r>
        <w:rPr>
          <w:rFonts w:hint="eastAsia" w:ascii="仿宋_GB2312" w:hAnsi="仿宋_GB2312" w:eastAsia="仿宋_GB2312" w:cs="仿宋_GB2312"/>
          <w:bCs/>
          <w:szCs w:val="32"/>
        </w:rPr>
        <w:t>八、一般公共预算财政拨款基本支出决算表</w:t>
      </w:r>
      <w:r>
        <w:tab/>
      </w:r>
      <w:r>
        <w:fldChar w:fldCharType="begin"/>
      </w:r>
      <w:r>
        <w:instrText xml:space="preserve"> PAGEREF _Toc4040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_Toc21307 </w:instrText>
      </w:r>
      <w:r>
        <w:fldChar w:fldCharType="separate"/>
      </w:r>
      <w:r>
        <w:rPr>
          <w:rFonts w:hint="eastAsia" w:ascii="仿宋_GB2312" w:hAnsi="仿宋_GB2312" w:eastAsia="仿宋_GB2312" w:cs="仿宋_GB2312"/>
          <w:bCs/>
          <w:szCs w:val="32"/>
        </w:rPr>
        <w:t>九、一般公共预算财政拨款项目支出决算表</w:t>
      </w:r>
      <w:r>
        <w:tab/>
      </w:r>
      <w:r>
        <w:fldChar w:fldCharType="begin"/>
      </w:r>
      <w:r>
        <w:instrText xml:space="preserve"> PAGEREF _Toc21307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_Toc1868 </w:instrText>
      </w:r>
      <w:r>
        <w:fldChar w:fldCharType="separate"/>
      </w:r>
      <w:r>
        <w:rPr>
          <w:rFonts w:hint="eastAsia" w:ascii="仿宋_GB2312" w:hAnsi="仿宋_GB2312" w:eastAsia="仿宋_GB2312" w:cs="仿宋_GB2312"/>
          <w:bCs/>
          <w:szCs w:val="32"/>
        </w:rPr>
        <w:t>十、政府性基金预算财政拨款收入支出决算表</w:t>
      </w:r>
      <w:r>
        <w:tab/>
      </w:r>
      <w:r>
        <w:fldChar w:fldCharType="begin"/>
      </w:r>
      <w:r>
        <w:instrText xml:space="preserve"> PAGEREF _Toc1868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_Toc29514 </w:instrText>
      </w:r>
      <w:r>
        <w:fldChar w:fldCharType="separate"/>
      </w:r>
      <w:r>
        <w:rPr>
          <w:rFonts w:hint="eastAsia" w:ascii="仿宋_GB2312" w:hAnsi="仿宋_GB2312" w:eastAsia="仿宋_GB2312" w:cs="仿宋_GB2312"/>
          <w:bCs/>
          <w:szCs w:val="32"/>
        </w:rPr>
        <w:t>十一、国有资本经营预算财政拨款收入支出决算表</w:t>
      </w:r>
      <w:r>
        <w:tab/>
      </w:r>
      <w:r>
        <w:fldChar w:fldCharType="begin"/>
      </w:r>
      <w:r>
        <w:instrText xml:space="preserve"> PAGEREF _Toc29514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_Toc19563 </w:instrText>
      </w:r>
      <w:r>
        <w:fldChar w:fldCharType="separate"/>
      </w:r>
      <w:r>
        <w:rPr>
          <w:rFonts w:hint="eastAsia" w:ascii="仿宋_GB2312" w:hAnsi="仿宋_GB2312" w:eastAsia="仿宋_GB2312" w:cs="仿宋_GB2312"/>
          <w:bCs/>
          <w:szCs w:val="32"/>
        </w:rPr>
        <w:t>十二、国有资本经营预算财政拨款支出决算表</w:t>
      </w:r>
      <w:r>
        <w:tab/>
      </w:r>
      <w:r>
        <w:fldChar w:fldCharType="begin"/>
      </w:r>
      <w:r>
        <w:instrText xml:space="preserve"> PAGEREF _Toc19563 \h </w:instrText>
      </w:r>
      <w:r>
        <w:fldChar w:fldCharType="separate"/>
      </w:r>
      <w:r>
        <w:t>46</w:t>
      </w:r>
      <w:r>
        <w:fldChar w:fldCharType="end"/>
      </w:r>
      <w:r>
        <w:fldChar w:fldCharType="end"/>
      </w:r>
    </w:p>
    <w:p>
      <w:pPr>
        <w:pStyle w:val="11"/>
        <w:tabs>
          <w:tab w:val="right" w:leader="dot" w:pos="8306"/>
        </w:tabs>
      </w:pPr>
      <w:r>
        <w:fldChar w:fldCharType="begin"/>
      </w:r>
      <w:r>
        <w:instrText xml:space="preserve"> HYPERLINK \l _Toc2217 </w:instrText>
      </w:r>
      <w:r>
        <w:fldChar w:fldCharType="separate"/>
      </w:r>
      <w:r>
        <w:rPr>
          <w:rFonts w:hint="eastAsia" w:ascii="仿宋_GB2312" w:hAnsi="仿宋_GB2312" w:eastAsia="仿宋_GB2312" w:cs="仿宋_GB2312"/>
          <w:bCs/>
          <w:szCs w:val="32"/>
        </w:rPr>
        <w:t>十三、财政拨款“三公”经费支出决算表</w:t>
      </w:r>
      <w:r>
        <w:tab/>
      </w:r>
      <w:r>
        <w:fldChar w:fldCharType="begin"/>
      </w:r>
      <w:r>
        <w:instrText xml:space="preserve"> PAGEREF _Toc2217 \h </w:instrText>
      </w:r>
      <w:r>
        <w:fldChar w:fldCharType="separate"/>
      </w:r>
      <w:r>
        <w:t>46</w:t>
      </w:r>
      <w:r>
        <w:fldChar w:fldCharType="end"/>
      </w:r>
      <w:r>
        <w:fldChar w:fldCharType="end"/>
      </w:r>
    </w:p>
    <w:p>
      <w:pPr>
        <w:spacing w:line="576" w:lineRule="exact"/>
      </w:pPr>
      <w:r>
        <w:fldChar w:fldCharType="end"/>
      </w: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13"/>
        <w:widowControl/>
        <w:spacing w:line="576" w:lineRule="exact"/>
      </w:pPr>
    </w:p>
    <w:p>
      <w:pPr>
        <w:pStyle w:val="2"/>
        <w:keepNext/>
        <w:keepLines/>
        <w:spacing w:before="0" w:beforeAutospacing="0" w:after="0" w:afterAutospacing="0" w:line="576" w:lineRule="exact"/>
        <w:jc w:val="center"/>
        <w:rPr>
          <w:rFonts w:hint="default" w:ascii="方正小标宋简体" w:hAnsi="方正小标宋简体" w:eastAsia="方正小标宋简体" w:cs="方正小标宋简体"/>
          <w:b w:val="0"/>
          <w:sz w:val="44"/>
          <w:szCs w:val="44"/>
        </w:rPr>
      </w:pPr>
      <w:bookmarkStart w:id="0" w:name="_Toc24757"/>
      <w:r>
        <w:rPr>
          <w:rFonts w:ascii="方正小标宋简体" w:hAnsi="方正小标宋简体" w:eastAsia="方正小标宋简体" w:cs="方正小标宋简体"/>
          <w:b w:val="0"/>
          <w:sz w:val="44"/>
          <w:szCs w:val="44"/>
        </w:rPr>
        <w:t>第一部分 部门概况</w:t>
      </w:r>
      <w:bookmarkEnd w:id="0"/>
    </w:p>
    <w:p>
      <w:pPr>
        <w:pStyle w:val="3"/>
        <w:keepNext/>
        <w:keepLines/>
        <w:spacing w:before="0" w:beforeAutospacing="0" w:after="0" w:afterAutospacing="0" w:line="576" w:lineRule="exact"/>
        <w:jc w:val="both"/>
        <w:rPr>
          <w:rFonts w:hint="default" w:ascii="黑体" w:hAnsi="Cambria" w:eastAsia="黑体"/>
          <w:b w:val="0"/>
          <w:color w:val="000000"/>
          <w:kern w:val="2"/>
          <w:sz w:val="32"/>
          <w:szCs w:val="32"/>
        </w:rPr>
      </w:pPr>
      <w:bookmarkStart w:id="1" w:name="_Toc7460"/>
      <w:r>
        <w:rPr>
          <w:rFonts w:ascii="黑体" w:hAnsi="Cambria" w:eastAsia="黑体"/>
          <w:b w:val="0"/>
          <w:color w:val="000000"/>
          <w:kern w:val="2"/>
          <w:sz w:val="32"/>
          <w:szCs w:val="32"/>
        </w:rPr>
        <w:t>一、基本职能及主要工作</w:t>
      </w:r>
      <w:bookmarkEnd w:id="1"/>
    </w:p>
    <w:p>
      <w:pPr>
        <w:pStyle w:val="5"/>
        <w:adjustRightInd w:val="0"/>
        <w:snapToGrid w:val="0"/>
        <w:spacing w:beforeLines="0" w:line="576" w:lineRule="exact"/>
        <w:ind w:firstLine="668" w:firstLineChars="208"/>
        <w:outlineLvl w:val="2"/>
        <w:rPr>
          <w:rFonts w:ascii="楷体_GB2312" w:hAnsi="楷体_GB2312" w:eastAsia="楷体_GB2312" w:cs="楷体_GB2312"/>
          <w:b/>
          <w:color w:val="000000"/>
          <w:sz w:val="32"/>
          <w:szCs w:val="32"/>
        </w:rPr>
      </w:pPr>
      <w:bookmarkStart w:id="2" w:name="_Toc79163853"/>
      <w:bookmarkStart w:id="3" w:name="_Toc9197"/>
      <w:bookmarkStart w:id="4" w:name="_Toc79163603"/>
      <w:bookmarkStart w:id="5" w:name="_Toc15377198"/>
      <w:bookmarkStart w:id="6" w:name="_Toc15378445"/>
      <w:r>
        <w:rPr>
          <w:rFonts w:hint="eastAsia" w:ascii="楷体_GB2312" w:hAnsi="楷体_GB2312" w:eastAsia="楷体_GB2312" w:cs="楷体_GB2312"/>
          <w:b/>
          <w:color w:val="000000"/>
          <w:sz w:val="32"/>
          <w:szCs w:val="32"/>
        </w:rPr>
        <w:t>（一）主要职能</w:t>
      </w:r>
      <w:bookmarkEnd w:id="2"/>
      <w:bookmarkEnd w:id="3"/>
      <w:bookmarkEnd w:id="4"/>
    </w:p>
    <w:bookmarkEnd w:id="5"/>
    <w:bookmarkEnd w:id="6"/>
    <w:p>
      <w:pPr>
        <w:spacing w:line="576" w:lineRule="exact"/>
        <w:ind w:firstLine="640" w:firstLineChars="200"/>
        <w:jc w:val="left"/>
        <w:rPr>
          <w:rFonts w:ascii="仿宋_GB2312" w:hAnsi="仿宋_GB2312" w:eastAsia="仿宋_GB2312" w:cs="仿宋_GB2312"/>
          <w:sz w:val="32"/>
          <w:szCs w:val="32"/>
        </w:rPr>
      </w:pPr>
      <w:bookmarkStart w:id="7" w:name="_Toc15378446"/>
      <w:bookmarkStart w:id="8" w:name="_Toc79163854"/>
      <w:bookmarkStart w:id="9" w:name="_Toc79163604"/>
      <w:bookmarkStart w:id="10" w:name="_Toc15377199"/>
      <w:r>
        <w:rPr>
          <w:rFonts w:hint="eastAsia" w:ascii="仿宋_GB2312" w:hAnsi="仿宋_GB2312" w:eastAsia="仿宋_GB2312" w:cs="仿宋_GB2312"/>
          <w:sz w:val="32"/>
          <w:szCs w:val="32"/>
        </w:rPr>
        <w:t>1.贯彻执行党和国家的路线方</w:t>
      </w:r>
      <w:bookmarkStart w:id="64" w:name="_GoBack"/>
      <w:bookmarkEnd w:id="64"/>
      <w:r>
        <w:rPr>
          <w:rFonts w:hint="eastAsia" w:ascii="仿宋_GB2312" w:hAnsi="仿宋_GB2312" w:eastAsia="仿宋_GB2312" w:cs="仿宋_GB2312"/>
          <w:sz w:val="32"/>
          <w:szCs w:val="32"/>
        </w:rPr>
        <w:t>针政策和上级党委、政府各项决策部署，以及本级党员代表大会(党员大会)人民代表大会的决议决定。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协助管理县级有关部门驻镇单位的干部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做好人才服务和引进工作。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制定辖区经济和社会发展规划、公共服务设施布局;负责乡村振兴工作，做好民生保障、扶贫开发、民族宗教等工作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推动辖区经济社会健康、有序、可持续发展。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rPr>
        <w:t>，组织群众和单位参与村委会建设和管理。负责统筹协调辖区内依法授权或委托授权的行政执法工作。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11.完成县委、县人民政府交办的其他任务。</w:t>
      </w:r>
    </w:p>
    <w:p>
      <w:pPr>
        <w:pStyle w:val="5"/>
        <w:adjustRightInd w:val="0"/>
        <w:snapToGrid w:val="0"/>
        <w:spacing w:beforeLines="0" w:line="576" w:lineRule="exact"/>
        <w:ind w:firstLine="668" w:firstLineChars="208"/>
        <w:outlineLvl w:val="2"/>
        <w:rPr>
          <w:rFonts w:ascii="楷体_GB2312" w:hAnsi="楷体_GB2312" w:eastAsia="楷体_GB2312" w:cs="楷体_GB2312"/>
          <w:b/>
          <w:color w:val="000000"/>
          <w:sz w:val="32"/>
          <w:szCs w:val="32"/>
        </w:rPr>
      </w:pPr>
      <w:bookmarkStart w:id="11" w:name="_Toc23814"/>
      <w:r>
        <w:rPr>
          <w:rFonts w:hint="eastAsia" w:ascii="楷体_GB2312" w:hAnsi="楷体_GB2312" w:eastAsia="楷体_GB2312" w:cs="楷体_GB2312"/>
          <w:b/>
          <w:color w:val="000000"/>
          <w:sz w:val="32"/>
          <w:szCs w:val="32"/>
        </w:rPr>
        <w:t>（二）2022年重点工作完成情况</w:t>
      </w:r>
      <w:bookmarkEnd w:id="7"/>
      <w:bookmarkEnd w:id="8"/>
      <w:bookmarkEnd w:id="9"/>
      <w:bookmarkEnd w:id="10"/>
      <w:bookmarkEnd w:id="11"/>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1.疫情防控成效显著。</w:t>
      </w:r>
      <w:r>
        <w:rPr>
          <w:rFonts w:hint="eastAsia" w:ascii="仿宋_GB2312" w:hAnsi="仿宋_GB2312" w:eastAsia="仿宋_GB2312" w:cs="仿宋_GB2312"/>
          <w:sz w:val="32"/>
          <w:szCs w:val="32"/>
        </w:rPr>
        <w:t>扎实筑牢疫情防控的防护墙。设立县级防疫卡点1处，组建由乡镇干部职工、公安、交警、卫生院、村干部及普通党员、志愿者组成的24小时工作专班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截至今年10月，全镇应接种人数6345人，已接种人数6126余人，未接种（因病暂缓或禁忌症）219人，全镇接种率达到96%，自开展全员核酸以来，共组织全员核酸检测14次，累计采样达61204人次。</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2.经济发展提质增效。</w:t>
      </w:r>
      <w:r>
        <w:rPr>
          <w:rFonts w:hint="eastAsia" w:ascii="仿宋_GB2312" w:hAnsi="Times New Roman" w:eastAsia="仿宋_GB2312"/>
          <w:b/>
          <w:bCs/>
          <w:sz w:val="32"/>
          <w:szCs w:val="32"/>
        </w:rPr>
        <w:t>一是</w:t>
      </w:r>
      <w:r>
        <w:rPr>
          <w:rFonts w:hint="eastAsia" w:ascii="仿宋_GB2312" w:hAnsi="仿宋_GB2312" w:eastAsia="仿宋_GB2312" w:cs="仿宋_GB2312"/>
          <w:sz w:val="32"/>
          <w:szCs w:val="32"/>
        </w:rPr>
        <w:t>以乡村振兴为抓手，夯基固本，争取项目支持。2022年实施乡村振兴项目共计20个，涉及9村，投入资金2375.34万元</w:t>
      </w:r>
      <w:r>
        <w:rPr>
          <w:rFonts w:hint="eastAsia" w:ascii="仿宋_GB2312" w:hAnsi="Times New Roman" w:eastAsia="仿宋_GB2312"/>
          <w:sz w:val="32"/>
          <w:szCs w:val="32"/>
        </w:rPr>
        <w:t>。</w:t>
      </w:r>
      <w:r>
        <w:rPr>
          <w:rFonts w:hint="eastAsia" w:ascii="仿宋_GB2312" w:hAnsi="Times New Roman" w:eastAsia="仿宋_GB2312"/>
          <w:b/>
          <w:bCs/>
          <w:sz w:val="32"/>
          <w:szCs w:val="32"/>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以发展特色产业为抓手，赓续造血，推动农民增收。培育农村新型经营主体，成立专业合作社，着力打造产业园、示范园、</w:t>
      </w:r>
      <w:r>
        <w:rPr>
          <w:rFonts w:hint="eastAsia" w:ascii="仿宋_GB2312" w:hAnsi="Times New Roman" w:eastAsia="仿宋_GB2312"/>
          <w:sz w:val="32"/>
          <w:szCs w:val="32"/>
        </w:rPr>
        <w:t>生态绿色蔬菜、水果基地等，并培育更多诸如羌脆李、大红袍花的地理标志产品。</w:t>
      </w:r>
    </w:p>
    <w:p>
      <w:pPr>
        <w:spacing w:line="576" w:lineRule="exact"/>
        <w:ind w:firstLine="643" w:firstLineChars="200"/>
        <w:rPr>
          <w:rFonts w:hint="eastAsia" w:ascii="仿宋_GB2312" w:hAnsi="Times New Roman" w:eastAsia="仿宋_GB2312"/>
          <w:sz w:val="32"/>
          <w:szCs w:val="32"/>
          <w:lang w:eastAsia="zh-CN"/>
        </w:rPr>
      </w:pPr>
      <w:r>
        <w:rPr>
          <w:rFonts w:hint="eastAsia" w:ascii="仿宋_GB2312" w:hAnsi="仿宋_GB2312" w:eastAsia="仿宋_GB2312" w:cs="仿宋_GB2312"/>
          <w:b/>
          <w:bCs/>
          <w:sz w:val="32"/>
          <w:szCs w:val="32"/>
        </w:rPr>
        <w:t>3.护林防火卓有成效。</w:t>
      </w:r>
      <w:r>
        <w:rPr>
          <w:rFonts w:hint="eastAsia" w:ascii="仿宋_GB2312" w:hAnsi="Times New Roman" w:eastAsia="仿宋_GB2312"/>
          <w:sz w:val="32"/>
          <w:szCs w:val="32"/>
        </w:rPr>
        <w:t>认真贯彻落实各级森防指办有关文件要求，坚持“预防为主，防治结合”的方针；坚持高度戒备，警钟长鸣，抢前抓早，常抓不懈。成立地方半专业扑火队伍1支，成立地方早起火情紧急处置应急队伍14支；重新修订《茂县叠溪镇森林草原防灭火应急处置方案》</w:t>
      </w:r>
      <w:r>
        <w:rPr>
          <w:rFonts w:hint="eastAsia" w:ascii="仿宋_GB2312" w:hAnsi="Times New Roman" w:eastAsia="仿宋_GB2312"/>
          <w:sz w:val="32"/>
          <w:szCs w:val="32"/>
          <w:lang w:eastAsia="zh-CN"/>
        </w:rPr>
        <w:t>。</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4.全面守牢安全防线。</w:t>
      </w:r>
      <w:r>
        <w:rPr>
          <w:rFonts w:hint="eastAsia" w:ascii="仿宋_GB2312" w:hAnsi="Times New Roman" w:eastAsia="仿宋_GB2312"/>
          <w:b/>
          <w:bCs/>
          <w:sz w:val="32"/>
          <w:szCs w:val="32"/>
        </w:rPr>
        <w:t>一是</w:t>
      </w:r>
      <w:r>
        <w:rPr>
          <w:rFonts w:hint="eastAsia" w:ascii="仿宋_GB2312" w:hAnsi="Times New Roman" w:eastAsia="仿宋_GB2312"/>
          <w:sz w:val="32"/>
          <w:szCs w:val="32"/>
        </w:rPr>
        <w:t>专题研究安全生产及防汛工作会议14次，组织学习</w:t>
      </w:r>
      <w:r>
        <w:rPr>
          <w:rFonts w:hint="eastAsia" w:ascii="仿宋_GB2312" w:hAnsi="仿宋_GB2312" w:eastAsia="仿宋_GB2312" w:cs="仿宋_GB2312"/>
          <w:sz w:val="32"/>
          <w:szCs w:val="32"/>
        </w:rPr>
        <w:t>贯彻省州县关于安全生产工作的会议精神20余次，全面贯彻落实新《中华人民共和国安全生产法》。</w:t>
      </w:r>
      <w:r>
        <w:rPr>
          <w:rFonts w:hint="eastAsia" w:ascii="仿宋_GB2312" w:hAnsi="Times New Roman" w:eastAsia="仿宋_GB2312"/>
          <w:b/>
          <w:bCs/>
          <w:sz w:val="32"/>
          <w:szCs w:val="32"/>
        </w:rPr>
        <w:t>二是</w:t>
      </w:r>
      <w:r>
        <w:rPr>
          <w:rFonts w:hint="eastAsia" w:ascii="仿宋_GB2312" w:hAnsi="Times New Roman" w:eastAsia="仿宋_GB2312"/>
          <w:sz w:val="32"/>
          <w:szCs w:val="32"/>
        </w:rPr>
        <w:t>加强各行业重点领域安全大检查。协同县安办、综合执法等部门对全镇企业、学校、景区等重点单位场所开展安全大检查10余次，排查和整改各类隐患70余个。</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5.社会事业协调发展，民生更有保障。</w:t>
      </w:r>
      <w:r>
        <w:rPr>
          <w:rFonts w:hint="eastAsia" w:ascii="仿宋_GB2312" w:hAnsi="Times New Roman" w:eastAsia="仿宋_GB2312"/>
          <w:b/>
          <w:bCs/>
          <w:sz w:val="32"/>
          <w:szCs w:val="32"/>
        </w:rPr>
        <w:t>一是</w:t>
      </w:r>
      <w:r>
        <w:rPr>
          <w:rFonts w:hint="eastAsia" w:ascii="仿宋_GB2312" w:hAnsi="Times New Roman" w:eastAsia="仿宋_GB2312"/>
          <w:sz w:val="32"/>
          <w:szCs w:val="32"/>
        </w:rPr>
        <w:t>顺利完成2022年度城乡居民医疗保险的征缴任务，2022年参保人数8160人。</w:t>
      </w:r>
      <w:r>
        <w:rPr>
          <w:rFonts w:hint="eastAsia" w:ascii="仿宋_GB2312" w:hAnsi="Times New Roman" w:eastAsia="仿宋_GB2312"/>
          <w:b/>
          <w:bCs/>
          <w:sz w:val="32"/>
          <w:szCs w:val="32"/>
        </w:rPr>
        <w:t>二是</w:t>
      </w:r>
      <w:r>
        <w:rPr>
          <w:rFonts w:hint="eastAsia" w:ascii="仿宋_GB2312" w:hAnsi="Times New Roman" w:eastAsia="仿宋_GB2312"/>
          <w:sz w:val="32"/>
          <w:szCs w:val="32"/>
        </w:rPr>
        <w:t>完成13个村代办点建设，规章制度上墙，窗口服务质量明显改善。</w:t>
      </w:r>
      <w:r>
        <w:rPr>
          <w:rFonts w:hint="eastAsia" w:ascii="仿宋_GB2312" w:hAnsi="Times New Roman" w:eastAsia="仿宋_GB2312"/>
          <w:b/>
          <w:bCs/>
          <w:sz w:val="32"/>
          <w:szCs w:val="32"/>
        </w:rPr>
        <w:t>三是</w:t>
      </w:r>
      <w:r>
        <w:rPr>
          <w:rFonts w:hint="eastAsia" w:ascii="仿宋_GB2312" w:hAnsi="Times New Roman" w:eastAsia="仿宋_GB2312"/>
          <w:sz w:val="32"/>
          <w:szCs w:val="32"/>
        </w:rPr>
        <w:t>2022年我镇安置公益性岗位52人，包含脱贫户49人，一般人员3人。</w:t>
      </w:r>
      <w:r>
        <w:rPr>
          <w:rFonts w:hint="eastAsia" w:ascii="仿宋_GB2312" w:hAnsi="Times New Roman" w:eastAsia="仿宋_GB2312"/>
          <w:b/>
          <w:bCs/>
          <w:sz w:val="32"/>
          <w:szCs w:val="32"/>
        </w:rPr>
        <w:t>四是</w:t>
      </w:r>
      <w:r>
        <w:rPr>
          <w:rFonts w:hint="eastAsia" w:ascii="仿宋_GB2312" w:hAnsi="Times New Roman" w:eastAsia="仿宋_GB2312"/>
          <w:sz w:val="32"/>
          <w:szCs w:val="32"/>
        </w:rPr>
        <w:t>通过网络调查问卷、东西部对口帮扶“平茂互助”等渠道输送4名劳务工作者到浙江平湖市务工，解决就业问题。</w:t>
      </w:r>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6.廉政更加透明，平安建设不断深化。一是</w:t>
      </w:r>
      <w:r>
        <w:rPr>
          <w:rFonts w:hint="eastAsia" w:ascii="仿宋_GB2312" w:hAnsi="仿宋_GB2312" w:eastAsia="仿宋_GB2312" w:cs="仿宋_GB2312"/>
          <w:sz w:val="32"/>
          <w:szCs w:val="32"/>
        </w:rPr>
        <w:t>建立健全廉政责任机制，旗帜鲜明反腐败斗争。2022年全镇召开党风廉政专题会议4次，专题研究纪委工作3次。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持续深化平安建设。</w:t>
      </w:r>
      <w:r>
        <w:rPr>
          <w:rFonts w:hint="eastAsia" w:ascii="仿宋_GB2312" w:hAnsi="仿宋_GB2312" w:eastAsia="仿宋_GB2312" w:cs="仿宋_GB2312"/>
          <w:kern w:val="0"/>
          <w:sz w:val="32"/>
          <w:szCs w:val="32"/>
        </w:rPr>
        <w:t>11名镇科级领导全覆盖包联开放性寺庙和民间信仰场所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开展禁毒、反电信诈骗、反养老诈骗、森林草原防灭火、疫情防控等法律讲堂65次。</w:t>
      </w:r>
    </w:p>
    <w:p>
      <w:pPr>
        <w:pStyle w:val="3"/>
        <w:keepNext/>
        <w:keepLines/>
        <w:spacing w:before="0" w:beforeAutospacing="0" w:after="0" w:afterAutospacing="0" w:line="576" w:lineRule="exact"/>
        <w:ind w:firstLine="640" w:firstLineChars="200"/>
        <w:jc w:val="both"/>
        <w:rPr>
          <w:rFonts w:hint="default" w:ascii="黑体" w:hAnsi="Cambria" w:eastAsia="黑体"/>
          <w:b w:val="0"/>
          <w:color w:val="000000"/>
          <w:kern w:val="2"/>
          <w:sz w:val="32"/>
          <w:szCs w:val="32"/>
        </w:rPr>
      </w:pPr>
      <w:bookmarkStart w:id="12" w:name="_Toc1109"/>
      <w:r>
        <w:rPr>
          <w:rFonts w:ascii="黑体" w:hAnsi="Cambria" w:eastAsia="黑体"/>
          <w:b w:val="0"/>
          <w:color w:val="000000"/>
          <w:kern w:val="2"/>
          <w:sz w:val="32"/>
          <w:szCs w:val="32"/>
        </w:rPr>
        <w:t>二、机构设置</w:t>
      </w:r>
      <w:bookmarkEnd w:id="12"/>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茂县叠溪镇人民政府下属二级单位2个，其中行政单位1个，参照公务员法管理的事业单位0个，其他事业单位1个。其中内设机构11个,(1)叠溪镇党政办公室,(2)叠溪镇党建工作办公室,(3)叠溪镇维护稳定和综合行政执法办公室,(4)叠溪镇经济发展和乡村振兴办公室,(5)叠溪镇社会事务办公室,(6)叠溪镇生态环境和应急管理办公室,(7)叠溪镇财经审查工作办公室,(8)叠溪镇便民服务中心,(9)叠溪镇经济发展服务中心,(10)叠溪镇农业农村服务中心,(11)叠溪镇综合文化服务中心。</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纳入四川省阿坝州茂县叠溪镇人民政府2022年度部门决算汇总编制范围的二级预算单位包括：</w:t>
      </w:r>
    </w:p>
    <w:p>
      <w:pPr>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四川省阿坝州茂县叠溪镇人民政府（本级）</w:t>
      </w:r>
    </w:p>
    <w:p>
      <w:pPr>
        <w:spacing w:line="576"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四川省阿坝州茂县叠溪镇人民政府（事业）</w:t>
      </w:r>
    </w:p>
    <w:p>
      <w:pPr>
        <w:spacing w:line="576" w:lineRule="exact"/>
        <w:rPr>
          <w:rFonts w:ascii="仿宋" w:hAnsi="Times New Roman" w:eastAsia="仿宋"/>
          <w:sz w:val="32"/>
          <w:szCs w:val="32"/>
        </w:rPr>
      </w:pPr>
    </w:p>
    <w:p>
      <w:pPr>
        <w:pStyle w:val="2"/>
        <w:widowControl/>
        <w:spacing w:before="0" w:beforeAutospacing="0" w:after="0" w:afterAutospacing="0" w:line="576" w:lineRule="exact"/>
        <w:jc w:val="center"/>
        <w:rPr>
          <w:rFonts w:hint="default" w:ascii="方正小标宋简体" w:hAnsi="方正小标宋简体" w:eastAsia="方正小标宋简体" w:cs="方正小标宋简体"/>
          <w:b w:val="0"/>
          <w:bCs w:val="0"/>
          <w:sz w:val="44"/>
          <w:szCs w:val="44"/>
        </w:rPr>
      </w:pPr>
      <w:bookmarkStart w:id="13" w:name="_Toc9673"/>
      <w:r>
        <w:rPr>
          <w:rFonts w:ascii="方正小标宋简体" w:hAnsi="方正小标宋简体" w:eastAsia="方正小标宋简体" w:cs="方正小标宋简体"/>
          <w:b w:val="0"/>
          <w:bCs w:val="0"/>
          <w:sz w:val="44"/>
          <w:szCs w:val="44"/>
        </w:rPr>
        <w:t>第二部分2022年度部门决算情况说</w:t>
      </w:r>
      <w:bookmarkEnd w:id="13"/>
    </w:p>
    <w:p>
      <w:pPr>
        <w:pStyle w:val="23"/>
        <w:spacing w:line="576" w:lineRule="exact"/>
        <w:ind w:left="640" w:firstLine="0" w:firstLineChars="0"/>
        <w:outlineLvl w:val="1"/>
        <w:rPr>
          <w:rFonts w:ascii="黑体" w:hAnsi="Times New Roman" w:eastAsia="黑体"/>
          <w:color w:val="000000"/>
          <w:sz w:val="32"/>
          <w:szCs w:val="32"/>
        </w:rPr>
      </w:pPr>
      <w:bookmarkStart w:id="14" w:name="_Toc3512"/>
      <w:r>
        <w:rPr>
          <w:rFonts w:hint="eastAsia" w:ascii="黑体" w:hAnsi="Times New Roman" w:eastAsia="黑体"/>
          <w:color w:val="000000"/>
          <w:sz w:val="32"/>
          <w:szCs w:val="32"/>
        </w:rPr>
        <w:t>一、收入支出决算总体情况说明</w:t>
      </w:r>
      <w:bookmarkEnd w:id="14"/>
    </w:p>
    <w:p>
      <w:pPr>
        <w:pStyle w:val="13"/>
        <w:ind w:firstLine="640" w:firstLineChars="200"/>
        <w:rPr>
          <w:rFonts w:ascii="仿宋_GB2312" w:eastAsia="仿宋_GB2312"/>
          <w:sz w:val="32"/>
          <w:szCs w:val="32"/>
        </w:rPr>
      </w:pPr>
      <w:r>
        <w:rPr>
          <w:rFonts w:hint="eastAsia" w:ascii="仿宋_GB2312" w:eastAsia="仿宋_GB2312"/>
          <w:sz w:val="32"/>
          <w:szCs w:val="32"/>
        </w:rPr>
        <w:t>2022年度收、支总计1,782.38万元。与2021年相比，收、支总计各减少722.54万元，减少28.84%。主要变动原因是项目减少，支出减少。</w:t>
      </w:r>
    </w:p>
    <w:p>
      <w:pPr>
        <w:pStyle w:val="13"/>
        <w:ind w:firstLine="640" w:firstLineChars="200"/>
        <w:rPr>
          <w:rFonts w:ascii="仿宋_GB2312" w:eastAsia="仿宋_GB2312"/>
          <w:sz w:val="32"/>
          <w:szCs w:val="32"/>
        </w:rPr>
      </w:pPr>
      <w:r>
        <w:rPr>
          <w:rFonts w:hint="eastAsia" w:ascii="仿宋_GB2312" w:eastAsia="仿宋_GB2312"/>
          <w:sz w:val="32"/>
          <w:szCs w:val="32"/>
        </w:rPr>
        <w:object>
          <v:shape id="_x0000_i1025" o:spt="75" type="#_x0000_t75" style="height:191.25pt;width:372.75pt;" o:ole="t" filled="f" o:preferrelative="t" stroked="f" coordsize="21600,21600">
            <v:path/>
            <v:fill on="f" focussize="0,0"/>
            <v:stroke on="f" joinstyle="miter"/>
            <v:imagedata r:id="rId7" o:title=""/>
            <o:lock v:ext="edit" aspectratio="t"/>
            <w10:wrap type="none"/>
            <w10:anchorlock/>
          </v:shape>
          <o:OLEObject Type="Embed" ProgID="Excel.Chart.8" ShapeID="_x0000_i1025" DrawAspect="Content" ObjectID="_1468075725" r:id="rId6">
            <o:LockedField>false</o:LockedField>
          </o:OLEObject>
        </w:object>
      </w:r>
      <w:r>
        <w:rPr>
          <w:rFonts w:hint="eastAsia" w:ascii="仿宋_GB2312" w:hAnsi="仿宋_GB2312" w:eastAsia="仿宋_GB2312" w:cs="仿宋_GB2312"/>
          <w:color w:val="000000"/>
          <w:sz w:val="32"/>
          <w:szCs w:val="32"/>
        </w:rPr>
        <w:t>（图1：收、支决算总计变动情况图）（柱状图）</w:t>
      </w:r>
    </w:p>
    <w:p>
      <w:pPr>
        <w:pStyle w:val="23"/>
        <w:spacing w:line="576" w:lineRule="exact"/>
        <w:ind w:left="640" w:firstLine="0" w:firstLineChars="0"/>
        <w:outlineLvl w:val="1"/>
        <w:rPr>
          <w:rFonts w:ascii="黑体" w:hAnsi="Times New Roman" w:eastAsia="黑体"/>
          <w:color w:val="000000"/>
          <w:sz w:val="32"/>
          <w:szCs w:val="32"/>
        </w:rPr>
      </w:pPr>
      <w:bookmarkStart w:id="15" w:name="_Toc31164"/>
      <w:r>
        <w:rPr>
          <w:rFonts w:hint="eastAsia" w:ascii="黑体" w:hAnsi="Times New Roman" w:eastAsia="黑体"/>
          <w:color w:val="000000"/>
          <w:sz w:val="32"/>
          <w:szCs w:val="32"/>
        </w:rPr>
        <w:t>二、收入决算情况说明</w:t>
      </w:r>
      <w:bookmarkEnd w:id="15"/>
    </w:p>
    <w:p>
      <w:pPr>
        <w:pStyle w:val="13"/>
        <w:shd w:val="clear" w:color="auto" w:fill="FFFFFF"/>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2022年本年收入合计1,782.38万元，其中：一般公共预算财政拨款收入1,758.85万元，占98.68%；政府性基金预算财政拨款收入23.53万元，占1.32%。</w:t>
      </w:r>
    </w:p>
    <w:p>
      <w:pPr>
        <w:pStyle w:val="13"/>
        <w:shd w:val="clear" w:color="auto" w:fill="FFFFFF"/>
        <w:spacing w:before="0" w:beforeAutospacing="0" w:after="0" w:afterAutospacing="0" w:line="576" w:lineRule="exact"/>
        <w:rPr>
          <w:rFonts w:ascii="仿宋" w:hAnsi="Times New Roman" w:eastAsia="仿宋"/>
          <w:color w:val="000000"/>
          <w:sz w:val="32"/>
          <w:szCs w:val="32"/>
        </w:rPr>
      </w:pPr>
      <w:r>
        <w:rPr>
          <w:rFonts w:ascii="仿宋" w:hAnsi="Times New Roman" w:eastAsia="仿宋"/>
          <w:color w:val="000000"/>
          <w:sz w:val="32"/>
          <w:szCs w:val="32"/>
        </w:rPr>
        <w:drawing>
          <wp:anchor distT="0" distB="0" distL="114300" distR="114300" simplePos="0" relativeHeight="251660288" behindDoc="1" locked="0" layoutInCell="1" allowOverlap="1">
            <wp:simplePos x="0" y="0"/>
            <wp:positionH relativeFrom="column">
              <wp:posOffset>171450</wp:posOffset>
            </wp:positionH>
            <wp:positionV relativeFrom="paragraph">
              <wp:posOffset>193675</wp:posOffset>
            </wp:positionV>
            <wp:extent cx="5274310" cy="3076575"/>
            <wp:effectExtent l="19050" t="0" r="21590" b="0"/>
            <wp:wrapTight wrapText="bothSides">
              <wp:wrapPolygon>
                <wp:start x="-78" y="0"/>
                <wp:lineTo x="-78" y="21533"/>
                <wp:lineTo x="21688" y="21533"/>
                <wp:lineTo x="21688" y="0"/>
                <wp:lineTo x="-78"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（图2：收入决算结构图）（饼状图）</w:t>
      </w:r>
    </w:p>
    <w:p>
      <w:pPr>
        <w:pStyle w:val="23"/>
        <w:spacing w:line="576" w:lineRule="exact"/>
        <w:ind w:left="640" w:firstLine="0" w:firstLineChars="0"/>
        <w:outlineLvl w:val="1"/>
        <w:rPr>
          <w:rFonts w:ascii="黑体" w:hAnsi="Times New Roman" w:eastAsia="黑体"/>
          <w:color w:val="000000"/>
          <w:sz w:val="32"/>
          <w:szCs w:val="32"/>
        </w:rPr>
      </w:pPr>
      <w:bookmarkStart w:id="16" w:name="_Toc28717"/>
      <w:r>
        <w:rPr>
          <w:rFonts w:hint="eastAsia" w:ascii="黑体" w:hAnsi="Times New Roman" w:eastAsia="黑体"/>
          <w:color w:val="000000"/>
          <w:sz w:val="32"/>
          <w:szCs w:val="32"/>
        </w:rPr>
        <w:t>三、支出决算情况说明</w:t>
      </w:r>
      <w:bookmarkEnd w:id="16"/>
    </w:p>
    <w:p>
      <w:pPr>
        <w:pStyle w:val="13"/>
        <w:shd w:val="clear" w:color="auto" w:fill="FFFFFF"/>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drawing>
          <wp:anchor distT="0" distB="0" distL="114300" distR="114300" simplePos="0" relativeHeight="251661312" behindDoc="1" locked="0" layoutInCell="1" allowOverlap="1">
            <wp:simplePos x="0" y="0"/>
            <wp:positionH relativeFrom="column">
              <wp:posOffset>9525</wp:posOffset>
            </wp:positionH>
            <wp:positionV relativeFrom="paragraph">
              <wp:posOffset>1224915</wp:posOffset>
            </wp:positionV>
            <wp:extent cx="5274310" cy="3076575"/>
            <wp:effectExtent l="19050" t="0" r="21590" b="0"/>
            <wp:wrapTight wrapText="bothSides">
              <wp:wrapPolygon>
                <wp:start x="-78" y="0"/>
                <wp:lineTo x="-78" y="21533"/>
                <wp:lineTo x="21688" y="21533"/>
                <wp:lineTo x="21688" y="0"/>
                <wp:lineTo x="-78"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sz w:val="32"/>
          <w:szCs w:val="32"/>
        </w:rPr>
        <w:t>2022年本年支出合计1,782.38万元，其中：基本支出1,080.52万元，占60.62%；项目支出701.86万元，占39.38%。</w:t>
      </w:r>
    </w:p>
    <w:p>
      <w:pPr>
        <w:spacing w:line="576" w:lineRule="exact"/>
        <w:ind w:firstLine="480" w:firstLineChars="150"/>
        <w:rPr>
          <w:rFonts w:ascii="仿宋" w:hAnsi="Times New Roman" w:eastAsia="仿宋"/>
          <w:color w:val="FF0000"/>
          <w:sz w:val="32"/>
          <w:szCs w:val="32"/>
        </w:rPr>
      </w:pPr>
      <w:r>
        <w:rPr>
          <w:rFonts w:ascii="仿宋_GB2312" w:hAnsi="Times New Roman" w:eastAsia="仿宋_GB2312"/>
          <w:sz w:val="32"/>
          <w:szCs w:val="32"/>
        </w:rPr>
        <w:t>（图3：支出决算结构图）（饼状图）</w:t>
      </w:r>
    </w:p>
    <w:p>
      <w:pPr>
        <w:pStyle w:val="13"/>
        <w:widowControl/>
        <w:spacing w:before="0" w:beforeAutospacing="0" w:after="0" w:afterAutospacing="0" w:line="576" w:lineRule="exact"/>
        <w:ind w:firstLine="640" w:firstLineChars="200"/>
        <w:outlineLvl w:val="1"/>
        <w:rPr>
          <w:rFonts w:ascii="黑体" w:hAnsi="Times New Roman" w:eastAsia="黑体"/>
          <w:bCs/>
          <w:color w:val="000000"/>
          <w:kern w:val="2"/>
          <w:sz w:val="32"/>
          <w:szCs w:val="32"/>
        </w:rPr>
      </w:pPr>
      <w:bookmarkStart w:id="17" w:name="_Toc11151"/>
      <w:r>
        <w:rPr>
          <w:rFonts w:hint="eastAsia" w:ascii="黑体" w:hAnsi="Times New Roman" w:eastAsia="黑体"/>
          <w:bCs/>
          <w:color w:val="000000"/>
          <w:kern w:val="2"/>
          <w:sz w:val="32"/>
          <w:szCs w:val="32"/>
        </w:rPr>
        <w:t>四、财政拨款收入支出决算总体情况说明</w:t>
      </w:r>
      <w:bookmarkEnd w:id="17"/>
    </w:p>
    <w:p>
      <w:pPr>
        <w:pStyle w:val="13"/>
        <w:shd w:val="clear" w:color="auto" w:fill="FFFFFF"/>
        <w:spacing w:before="0" w:beforeAutospacing="0" w:after="0" w:afterAutospacing="0" w:line="576" w:lineRule="exact"/>
        <w:ind w:firstLine="640" w:firstLineChars="200"/>
        <w:rPr>
          <w:rFonts w:eastAsia="仿宋_GB2312"/>
          <w:color w:val="000000"/>
          <w:sz w:val="32"/>
          <w:szCs w:val="32"/>
        </w:rPr>
      </w:pPr>
      <w:r>
        <w:rPr>
          <w:rFonts w:hint="eastAsia" w:ascii="仿宋_GB2312" w:eastAsia="仿宋_GB2312"/>
          <w:sz w:val="32"/>
          <w:szCs w:val="32"/>
        </w:rPr>
        <w:t>2022年财政拨款收、支总计1,782.38万元。与2021年相比，财政拨款收、支总计各减少722.54万元，减少28.84%。主要变动原因是</w:t>
      </w:r>
      <w:r>
        <w:rPr>
          <w:rFonts w:hint="eastAsia" w:ascii="仿宋_GB2312" w:eastAsia="仿宋_GB2312"/>
          <w:color w:val="000000"/>
          <w:sz w:val="32"/>
          <w:szCs w:val="32"/>
        </w:rPr>
        <w:t>项目减少，支出减少</w:t>
      </w:r>
      <w:r>
        <w:rPr>
          <w:rFonts w:hint="eastAsia" w:eastAsia="仿宋_GB2312"/>
          <w:color w:val="000000"/>
          <w:sz w:val="32"/>
          <w:szCs w:val="32"/>
        </w:rPr>
        <w:t>。</w:t>
      </w:r>
    </w:p>
    <w:p>
      <w:pPr>
        <w:pStyle w:val="13"/>
        <w:shd w:val="clear" w:color="auto" w:fill="FFFFFF"/>
        <w:spacing w:before="0" w:beforeAutospacing="0" w:after="0" w:afterAutospacing="0" w:line="576" w:lineRule="exact"/>
        <w:ind w:firstLine="640" w:firstLineChars="200"/>
        <w:rPr>
          <w:rFonts w:eastAsia="仿宋_GB2312"/>
          <w:color w:val="000000"/>
          <w:sz w:val="32"/>
          <w:szCs w:val="32"/>
        </w:rPr>
      </w:pPr>
    </w:p>
    <w:p>
      <w:pPr>
        <w:pStyle w:val="13"/>
        <w:shd w:val="clear" w:color="auto" w:fill="FFFFFF"/>
        <w:ind w:firstLine="640" w:firstLineChars="200"/>
        <w:rPr>
          <w:rFonts w:ascii="仿宋_GB2312" w:hAnsi="仿宋_GB2312" w:eastAsia="仿宋_GB2312" w:cs="仿宋_GB2312"/>
          <w:color w:val="000000"/>
          <w:sz w:val="32"/>
          <w:szCs w:val="32"/>
        </w:rPr>
      </w:pPr>
    </w:p>
    <w:p>
      <w:pPr>
        <w:pStyle w:val="13"/>
        <w:shd w:val="clear" w:color="auto" w:fill="FFFFFF"/>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2336" behindDoc="1" locked="0" layoutInCell="1" allowOverlap="1">
            <wp:simplePos x="0" y="0"/>
            <wp:positionH relativeFrom="column">
              <wp:posOffset>9525</wp:posOffset>
            </wp:positionH>
            <wp:positionV relativeFrom="paragraph">
              <wp:posOffset>57150</wp:posOffset>
            </wp:positionV>
            <wp:extent cx="5274310" cy="2886075"/>
            <wp:effectExtent l="19050" t="0" r="21590" b="0"/>
            <wp:wrapTight wrapText="bothSides">
              <wp:wrapPolygon>
                <wp:start x="-78" y="0"/>
                <wp:lineTo x="-78" y="21529"/>
                <wp:lineTo x="21688" y="21529"/>
                <wp:lineTo x="21688" y="0"/>
                <wp:lineTo x="-78" y="0"/>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color w:val="000000"/>
          <w:sz w:val="32"/>
          <w:szCs w:val="32"/>
        </w:rPr>
        <w:t>（图4：财政拨款收、支决算总计变动情况）（柱状图）</w:t>
      </w:r>
    </w:p>
    <w:p>
      <w:pPr>
        <w:pStyle w:val="13"/>
        <w:widowControl/>
        <w:spacing w:before="0" w:beforeAutospacing="0" w:after="0" w:afterAutospacing="0" w:line="576" w:lineRule="exact"/>
        <w:ind w:firstLine="640" w:firstLineChars="200"/>
        <w:outlineLvl w:val="1"/>
        <w:rPr>
          <w:rFonts w:ascii="黑体" w:hAnsi="Times New Roman" w:eastAsia="黑体"/>
          <w:bCs/>
          <w:color w:val="000000"/>
          <w:kern w:val="2"/>
          <w:sz w:val="32"/>
          <w:szCs w:val="32"/>
        </w:rPr>
      </w:pPr>
      <w:bookmarkStart w:id="18" w:name="_Toc29366"/>
      <w:r>
        <w:rPr>
          <w:rFonts w:hint="eastAsia" w:ascii="黑体" w:hAnsi="Times New Roman" w:eastAsia="黑体"/>
          <w:bCs/>
          <w:color w:val="000000"/>
          <w:kern w:val="2"/>
          <w:sz w:val="32"/>
          <w:szCs w:val="32"/>
        </w:rPr>
        <w:t>五、一般公共预算财政拨款支出决算情况说明</w:t>
      </w:r>
      <w:bookmarkEnd w:id="18"/>
    </w:p>
    <w:p>
      <w:pPr>
        <w:spacing w:line="576" w:lineRule="exact"/>
        <w:ind w:firstLine="643" w:firstLineChars="200"/>
        <w:outlineLvl w:val="2"/>
        <w:rPr>
          <w:rFonts w:ascii="楷体_GB2312" w:hAnsi="楷体_GB2312" w:eastAsia="楷体_GB2312" w:cs="楷体_GB2312"/>
          <w:b/>
          <w:color w:val="000000"/>
          <w:sz w:val="32"/>
          <w:szCs w:val="32"/>
        </w:rPr>
      </w:pPr>
      <w:bookmarkStart w:id="19" w:name="_Toc28940"/>
      <w:r>
        <w:rPr>
          <w:rFonts w:hint="eastAsia" w:ascii="楷体_GB2312" w:hAnsi="楷体_GB2312" w:eastAsia="楷体_GB2312" w:cs="楷体_GB2312"/>
          <w:b/>
          <w:color w:val="000000"/>
          <w:sz w:val="32"/>
          <w:szCs w:val="32"/>
        </w:rPr>
        <w:t>（一）一般公共预算财政拨款支出决算总体情况</w:t>
      </w:r>
      <w:bookmarkEnd w:id="19"/>
    </w:p>
    <w:p>
      <w:pPr>
        <w:pStyle w:val="13"/>
        <w:shd w:val="clear" w:color="auto" w:fill="FFFFFF"/>
        <w:spacing w:before="0" w:beforeAutospacing="0" w:after="0" w:afterAutospacing="0" w:line="576"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drawing>
          <wp:anchor distT="0" distB="0" distL="114300" distR="114300" simplePos="0" relativeHeight="251663360" behindDoc="1" locked="0" layoutInCell="1" allowOverlap="1">
            <wp:simplePos x="0" y="0"/>
            <wp:positionH relativeFrom="column">
              <wp:posOffset>-142875</wp:posOffset>
            </wp:positionH>
            <wp:positionV relativeFrom="paragraph">
              <wp:posOffset>1601470</wp:posOffset>
            </wp:positionV>
            <wp:extent cx="5274310" cy="2657475"/>
            <wp:effectExtent l="19050" t="0" r="21590" b="0"/>
            <wp:wrapTight wrapText="bothSides">
              <wp:wrapPolygon>
                <wp:start x="-78" y="0"/>
                <wp:lineTo x="-78" y="21523"/>
                <wp:lineTo x="21688" y="21523"/>
                <wp:lineTo x="21688" y="0"/>
                <wp:lineTo x="-78" y="0"/>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color w:val="000000"/>
          <w:kern w:val="2"/>
          <w:sz w:val="32"/>
          <w:szCs w:val="32"/>
        </w:rPr>
        <w:t>2022年一般公共预算财政拨款支出1,758.85万元，占本年支出合计的98.68%。与2021年相比，一般公共预算财政拨款支出减少746.07万元，减少29.78%。主要变动原因是项目减少，支出减少。</w:t>
      </w:r>
    </w:p>
    <w:p>
      <w:pPr>
        <w:pStyle w:val="13"/>
        <w:shd w:val="clear" w:color="auto" w:fill="FFFFFF"/>
        <w:spacing w:before="0" w:beforeAutospacing="0" w:after="0" w:afterAutospacing="0" w:line="576" w:lineRule="exact"/>
        <w:ind w:firstLine="640" w:firstLineChars="200"/>
        <w:rPr>
          <w:rFonts w:ascii="仿宋_GB2312" w:hAnsi="仿宋_GB2312" w:eastAsia="仿宋_GB2312" w:cs="仿宋_GB2312"/>
          <w:color w:val="000000"/>
          <w:kern w:val="2"/>
          <w:sz w:val="32"/>
          <w:szCs w:val="32"/>
        </w:rPr>
      </w:pPr>
    </w:p>
    <w:p>
      <w:pPr>
        <w:spacing w:line="576" w:lineRule="exact"/>
        <w:rPr>
          <w:rFonts w:ascii="仿宋_GB2312" w:hAnsi="仿宋_GB2312" w:eastAsia="仿宋_GB2312" w:cs="仿宋_GB2312"/>
        </w:rPr>
      </w:pPr>
      <w:r>
        <w:rPr>
          <w:rFonts w:hint="eastAsia" w:ascii="仿宋_GB2312" w:hAnsi="仿宋_GB2312" w:eastAsia="仿宋_GB2312" w:cs="仿宋_GB2312"/>
          <w:color w:val="000000"/>
          <w:sz w:val="32"/>
          <w:szCs w:val="32"/>
        </w:rPr>
        <w:t>（图5：一般公共预算财政拨款支出决算变动情况）（柱状图）</w:t>
      </w:r>
    </w:p>
    <w:p>
      <w:pPr>
        <w:spacing w:line="576" w:lineRule="exact"/>
        <w:ind w:firstLine="643" w:firstLineChars="200"/>
        <w:outlineLvl w:val="2"/>
        <w:rPr>
          <w:rFonts w:ascii="楷体_GB2312" w:hAnsi="楷体_GB2312" w:eastAsia="楷体_GB2312" w:cs="楷体_GB2312"/>
          <w:b/>
          <w:color w:val="000000"/>
          <w:sz w:val="32"/>
          <w:szCs w:val="32"/>
        </w:rPr>
      </w:pPr>
      <w:bookmarkStart w:id="20" w:name="_Toc31640"/>
      <w:r>
        <w:rPr>
          <w:rFonts w:hint="eastAsia" w:ascii="楷体_GB2312" w:hAnsi="楷体_GB2312" w:eastAsia="楷体_GB2312" w:cs="楷体_GB2312"/>
          <w:b/>
          <w:color w:val="000000"/>
          <w:sz w:val="32"/>
          <w:szCs w:val="32"/>
        </w:rPr>
        <w:t>（二）一般公共预算财政拨款支出决算结构情况</w:t>
      </w:r>
      <w:bookmarkEnd w:id="20"/>
    </w:p>
    <w:p>
      <w:pPr>
        <w:pStyle w:val="13"/>
        <w:shd w:val="clear" w:color="auto" w:fill="FFFFFF"/>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2022年一般公共预算财政拨款支出1,758.85万元，主要用于以下方面:</w:t>
      </w:r>
      <w:r>
        <w:rPr>
          <w:rStyle w:val="17"/>
          <w:rFonts w:hint="eastAsia" w:ascii="仿宋_GB2312" w:eastAsia="仿宋_GB2312"/>
          <w:sz w:val="32"/>
          <w:szCs w:val="32"/>
        </w:rPr>
        <w:t>一般公共服务</w:t>
      </w:r>
      <w:r>
        <w:rPr>
          <w:rFonts w:hint="eastAsia" w:ascii="仿宋_GB2312" w:eastAsia="仿宋_GB2312"/>
          <w:sz w:val="32"/>
          <w:szCs w:val="32"/>
        </w:rPr>
        <w:t>支出500.94万元，占28.48%；</w:t>
      </w:r>
      <w:r>
        <w:rPr>
          <w:rFonts w:hint="eastAsia" w:ascii="仿宋_GB2312" w:eastAsia="仿宋_GB2312"/>
          <w:b/>
          <w:sz w:val="32"/>
          <w:szCs w:val="32"/>
        </w:rPr>
        <w:t>社</w:t>
      </w:r>
      <w:r>
        <w:rPr>
          <w:rStyle w:val="17"/>
          <w:rFonts w:hint="eastAsia" w:ascii="仿宋_GB2312" w:eastAsia="仿宋_GB2312"/>
          <w:sz w:val="32"/>
          <w:szCs w:val="32"/>
        </w:rPr>
        <w:t>会保障和就业</w:t>
      </w:r>
      <w:r>
        <w:rPr>
          <w:rFonts w:hint="eastAsia" w:ascii="仿宋_GB2312" w:eastAsia="仿宋_GB2312"/>
          <w:sz w:val="32"/>
          <w:szCs w:val="32"/>
        </w:rPr>
        <w:t>支出119.59万元，占6.80%；</w:t>
      </w:r>
      <w:r>
        <w:rPr>
          <w:rStyle w:val="17"/>
          <w:rFonts w:hint="eastAsia" w:ascii="仿宋_GB2312" w:eastAsia="仿宋_GB2312"/>
          <w:sz w:val="32"/>
          <w:szCs w:val="32"/>
        </w:rPr>
        <w:t>卫生健康支出</w:t>
      </w:r>
      <w:r>
        <w:rPr>
          <w:rFonts w:hint="eastAsia" w:ascii="仿宋_GB2312" w:eastAsia="仿宋_GB2312"/>
          <w:sz w:val="32"/>
          <w:szCs w:val="32"/>
        </w:rPr>
        <w:t>61.47万元，占3.49%；</w:t>
      </w:r>
      <w:r>
        <w:rPr>
          <w:rFonts w:hint="eastAsia" w:ascii="仿宋_GB2312" w:eastAsia="仿宋_GB2312"/>
          <w:b/>
          <w:sz w:val="32"/>
          <w:szCs w:val="32"/>
        </w:rPr>
        <w:t>住房保障支出</w:t>
      </w:r>
      <w:r>
        <w:rPr>
          <w:rFonts w:hint="eastAsia" w:ascii="仿宋_GB2312" w:eastAsia="仿宋_GB2312"/>
          <w:sz w:val="32"/>
          <w:szCs w:val="32"/>
        </w:rPr>
        <w:t>75.61万元，占4.30%；</w:t>
      </w:r>
      <w:r>
        <w:rPr>
          <w:rFonts w:hint="eastAsia" w:ascii="仿宋_GB2312" w:eastAsia="仿宋_GB2312"/>
          <w:b/>
          <w:sz w:val="32"/>
          <w:szCs w:val="32"/>
        </w:rPr>
        <w:t>农林水支出</w:t>
      </w:r>
      <w:r>
        <w:rPr>
          <w:rFonts w:hint="eastAsia" w:ascii="仿宋_GB2312" w:eastAsia="仿宋_GB2312"/>
          <w:sz w:val="32"/>
          <w:szCs w:val="32"/>
        </w:rPr>
        <w:t>1001.24万元，占56.93%。</w:t>
      </w:r>
    </w:p>
    <w:p>
      <w:pPr>
        <w:pStyle w:val="13"/>
        <w:shd w:val="clear" w:color="auto" w:fill="FFFFFF"/>
        <w:spacing w:before="0" w:beforeAutospacing="0" w:after="0" w:afterAutospacing="0" w:line="576" w:lineRule="exact"/>
        <w:rPr>
          <w:rFonts w:ascii="仿宋_GB2312" w:eastAsia="仿宋_GB2312"/>
          <w:sz w:val="32"/>
          <w:szCs w:val="32"/>
        </w:rPr>
      </w:pPr>
      <w:r>
        <w:rPr>
          <w:rFonts w:ascii="仿宋_GB2312" w:eastAsia="仿宋_GB2312"/>
          <w:sz w:val="32"/>
          <w:szCs w:val="32"/>
        </w:rPr>
        <w:drawing>
          <wp:anchor distT="0" distB="0" distL="114300" distR="114300" simplePos="0" relativeHeight="251664384" behindDoc="1" locked="0" layoutInCell="1" allowOverlap="1">
            <wp:simplePos x="0" y="0"/>
            <wp:positionH relativeFrom="column">
              <wp:posOffset>76200</wp:posOffset>
            </wp:positionH>
            <wp:positionV relativeFrom="paragraph">
              <wp:posOffset>251460</wp:posOffset>
            </wp:positionV>
            <wp:extent cx="5274310" cy="3076575"/>
            <wp:effectExtent l="19050" t="0" r="21590" b="0"/>
            <wp:wrapTight wrapText="bothSides">
              <wp:wrapPolygon>
                <wp:start x="-78" y="0"/>
                <wp:lineTo x="-78" y="21533"/>
                <wp:lineTo x="21688" y="21533"/>
                <wp:lineTo x="21688" y="0"/>
                <wp:lineTo x="-78"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s="仿宋_GB2312"/>
          <w:color w:val="000000"/>
          <w:sz w:val="32"/>
          <w:szCs w:val="32"/>
        </w:rPr>
        <w:t>（图6：一般公共预算财政拨款支出决算结构）（饼状图）</w:t>
      </w:r>
    </w:p>
    <w:p>
      <w:pPr>
        <w:pStyle w:val="13"/>
        <w:widowControl/>
        <w:spacing w:before="0" w:beforeAutospacing="0" w:after="0" w:afterAutospacing="0" w:line="576" w:lineRule="exact"/>
        <w:ind w:firstLine="482" w:firstLineChars="200"/>
        <w:outlineLvl w:val="2"/>
        <w:rPr>
          <w:rFonts w:ascii="楷体_GB2312" w:hAnsi="楷体_GB2312" w:eastAsia="楷体_GB2312" w:cs="楷体_GB2312"/>
          <w:b/>
          <w:color w:val="000000"/>
          <w:kern w:val="2"/>
          <w:sz w:val="32"/>
          <w:szCs w:val="32"/>
        </w:rPr>
      </w:pPr>
      <w:bookmarkStart w:id="21" w:name="_Toc2173"/>
      <w:r>
        <w:rPr>
          <w:rStyle w:val="17"/>
          <w:rFonts w:hint="eastAsia" w:ascii="楷体_GB2312" w:hAnsi="楷体_GB2312" w:eastAsia="楷体_GB2312" w:cs="楷体_GB2312"/>
        </w:rPr>
        <w:t>（</w:t>
      </w:r>
      <w:r>
        <w:rPr>
          <w:rFonts w:hint="eastAsia" w:ascii="楷体_GB2312" w:hAnsi="楷体_GB2312" w:eastAsia="楷体_GB2312" w:cs="楷体_GB2312"/>
          <w:b/>
          <w:color w:val="000000"/>
          <w:kern w:val="2"/>
          <w:sz w:val="32"/>
          <w:szCs w:val="32"/>
        </w:rPr>
        <w:t>三）一般公共预算财政拨款支出决算具体情况</w:t>
      </w:r>
      <w:bookmarkEnd w:id="21"/>
    </w:p>
    <w:p>
      <w:pPr>
        <w:spacing w:line="576" w:lineRule="exact"/>
        <w:ind w:firstLine="640" w:firstLineChars="200"/>
        <w:rPr>
          <w:rFonts w:ascii="仿宋_GB2312" w:eastAsia="仿宋_GB2312"/>
          <w:bCs/>
          <w:sz w:val="32"/>
          <w:szCs w:val="32"/>
        </w:rPr>
      </w:pPr>
      <w:bookmarkStart w:id="22" w:name="_Toc15378460"/>
      <w:bookmarkStart w:id="23" w:name="_Toc15377444"/>
      <w:bookmarkStart w:id="24" w:name="_Toc15377213"/>
      <w:r>
        <w:rPr>
          <w:rFonts w:ascii="仿宋_GB2312" w:eastAsia="仿宋_GB2312"/>
          <w:bCs/>
          <w:sz w:val="32"/>
          <w:szCs w:val="32"/>
        </w:rPr>
        <w:t>202</w:t>
      </w:r>
      <w:r>
        <w:rPr>
          <w:rFonts w:hint="eastAsia" w:ascii="仿宋_GB2312" w:eastAsia="仿宋_GB2312"/>
          <w:bCs/>
          <w:sz w:val="32"/>
          <w:szCs w:val="32"/>
        </w:rPr>
        <w:t>2年一般公共预算支出决算数为1758.85万元，完成预算100</w:t>
      </w:r>
      <w:r>
        <w:rPr>
          <w:rFonts w:ascii="仿宋_GB2312" w:eastAsia="仿宋_GB2312"/>
          <w:bCs/>
          <w:sz w:val="32"/>
          <w:szCs w:val="32"/>
        </w:rPr>
        <w:t>%</w:t>
      </w:r>
      <w:r>
        <w:rPr>
          <w:rFonts w:hint="eastAsia" w:ascii="仿宋_GB2312" w:eastAsia="仿宋_GB2312"/>
          <w:bCs/>
          <w:sz w:val="32"/>
          <w:szCs w:val="32"/>
        </w:rPr>
        <w:t>。其中：</w:t>
      </w:r>
      <w:bookmarkEnd w:id="22"/>
      <w:bookmarkEnd w:id="23"/>
      <w:bookmarkEnd w:id="24"/>
    </w:p>
    <w:p>
      <w:pPr>
        <w:spacing w:line="576" w:lineRule="exact"/>
        <w:ind w:firstLine="643" w:firstLineChars="200"/>
        <w:rPr>
          <w:rFonts w:ascii="仿宋_GB2312" w:eastAsia="仿宋_GB2312"/>
          <w:b/>
          <w:color w:val="000000"/>
          <w:sz w:val="32"/>
          <w:szCs w:val="32"/>
        </w:rPr>
      </w:pPr>
      <w:r>
        <w:rPr>
          <w:rStyle w:val="17"/>
          <w:rFonts w:hint="eastAsia" w:ascii="仿宋_GB2312" w:eastAsia="仿宋_GB2312"/>
          <w:bCs/>
          <w:color w:val="000000"/>
          <w:sz w:val="32"/>
          <w:szCs w:val="32"/>
        </w:rPr>
        <w:t>1. 一般公共服务（201）政府办公厅（室）及相关机构事务（20103）行政运行（2010301）支出决算为500.94万元，完成预算100%。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2. 社会保障和就业支出（208）行政事业单位养老支出（20805）机关事业单位基本养老保险缴费支出（2080505）</w:t>
      </w:r>
      <w:r>
        <w:rPr>
          <w:rFonts w:hint="eastAsia" w:ascii="仿宋_GB2312" w:eastAsia="仿宋_GB2312"/>
          <w:color w:val="000000"/>
          <w:sz w:val="32"/>
          <w:szCs w:val="32"/>
        </w:rPr>
        <w:t>支出决算74.4万元，完成预算100%。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3. 社会保障和就业支出（208）行政事业单位养老支出（20805）机关事业单位职业年金缴费支出（2080506）</w:t>
      </w:r>
      <w:r>
        <w:rPr>
          <w:rFonts w:hint="eastAsia" w:ascii="仿宋_GB2312" w:eastAsia="仿宋_GB2312"/>
          <w:color w:val="000000"/>
          <w:sz w:val="32"/>
          <w:szCs w:val="32"/>
        </w:rPr>
        <w:t>支出决算37.2万元，完成预算100%。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4. 社会保障和就业支出（208）社会福利（20810）老年福利（2081002）</w:t>
      </w:r>
      <w:r>
        <w:rPr>
          <w:rFonts w:hint="eastAsia" w:ascii="仿宋_GB2312" w:eastAsia="仿宋_GB2312"/>
          <w:color w:val="000000"/>
          <w:sz w:val="32"/>
          <w:szCs w:val="32"/>
        </w:rPr>
        <w:t>支出决算2.55万元，完成预算100%。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5. 社会保障和就业支出（208）社会福利（20810）养老服务（2081006）</w:t>
      </w:r>
      <w:r>
        <w:rPr>
          <w:rFonts w:hint="eastAsia" w:ascii="仿宋_GB2312" w:eastAsia="仿宋_GB2312"/>
          <w:color w:val="000000"/>
          <w:sz w:val="32"/>
          <w:szCs w:val="32"/>
        </w:rPr>
        <w:t>支出决算4.92万元，完成预算100%。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6. 社会保障和就业支出（208）残疾人事业（20811）其他残疾人事业支出（2081199）</w:t>
      </w:r>
      <w:r>
        <w:rPr>
          <w:rFonts w:hint="eastAsia" w:ascii="仿宋_GB2312" w:eastAsia="仿宋_GB2312"/>
          <w:color w:val="000000"/>
          <w:sz w:val="32"/>
          <w:szCs w:val="32"/>
        </w:rPr>
        <w:t>支出决算0.52万元，完成预算100%。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7. 卫生健康支出（210）公共卫生（21004）重大公共卫生服务（2100409）</w:t>
      </w:r>
      <w:r>
        <w:rPr>
          <w:rFonts w:hint="eastAsia" w:ascii="仿宋_GB2312" w:eastAsia="仿宋_GB2312"/>
          <w:color w:val="000000"/>
          <w:sz w:val="32"/>
          <w:szCs w:val="32"/>
        </w:rPr>
        <w:t>支出决算10万元，完成预算100%。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8. 卫生健康支出（210）行政事业单位医疗（21011）行政单位医疗（2101101）</w:t>
      </w:r>
      <w:r>
        <w:rPr>
          <w:rFonts w:hint="eastAsia" w:ascii="仿宋_GB2312" w:eastAsia="仿宋_GB2312"/>
          <w:color w:val="000000"/>
          <w:sz w:val="32"/>
          <w:szCs w:val="32"/>
        </w:rPr>
        <w:t>支出决算29.22万元，完成预算100%。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9. 卫生健康支出（210）行政事业单位医疗（21011）事业单位医疗（2101102）</w:t>
      </w:r>
      <w:r>
        <w:rPr>
          <w:rFonts w:hint="eastAsia" w:ascii="仿宋_GB2312" w:eastAsia="仿宋_GB2312"/>
          <w:color w:val="000000"/>
          <w:sz w:val="32"/>
          <w:szCs w:val="32"/>
        </w:rPr>
        <w:t>支出决算22.25万元，完成预算100%。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10. 农林水支出（213）农业农村（21301）事业运行（2130104）</w:t>
      </w:r>
      <w:r>
        <w:rPr>
          <w:rFonts w:hint="eastAsia" w:ascii="仿宋_GB2312" w:eastAsia="仿宋_GB2312"/>
          <w:color w:val="000000"/>
          <w:sz w:val="32"/>
          <w:szCs w:val="32"/>
        </w:rPr>
        <w:t>支出决算340.91万元，完成预算100%。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11. 农林水支出（213）扶贫（21305）农村基础设施建设（2130504）</w:t>
      </w:r>
      <w:r>
        <w:rPr>
          <w:rFonts w:hint="eastAsia" w:ascii="仿宋_GB2312" w:eastAsia="仿宋_GB2312"/>
          <w:color w:val="000000"/>
          <w:sz w:val="32"/>
          <w:szCs w:val="32"/>
        </w:rPr>
        <w:t>支出决算15万元，完成预算100%。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12. 农林水支出（213）扶贫（21305）其他扶贫支出（2130599）</w:t>
      </w:r>
      <w:r>
        <w:rPr>
          <w:rFonts w:hint="eastAsia" w:ascii="仿宋_GB2312" w:eastAsia="仿宋_GB2312"/>
          <w:color w:val="000000"/>
          <w:sz w:val="32"/>
          <w:szCs w:val="32"/>
        </w:rPr>
        <w:t>支出决算145.03万元，完成预算100%。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13. 农林水支出（213）农村综合改革（21307）对村民委员会和村党支部的补助（2130705）</w:t>
      </w:r>
      <w:r>
        <w:rPr>
          <w:rFonts w:hint="eastAsia" w:ascii="仿宋_GB2312" w:eastAsia="仿宋_GB2312"/>
          <w:color w:val="000000"/>
          <w:sz w:val="32"/>
          <w:szCs w:val="32"/>
        </w:rPr>
        <w:t>支出决算500.30万元，完成预算100%。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14.住房保障支出（221）住房改革支出（22102）住房公积金（2210201）</w:t>
      </w:r>
      <w:r>
        <w:rPr>
          <w:rFonts w:hint="eastAsia" w:ascii="仿宋_GB2312" w:eastAsia="仿宋_GB2312"/>
          <w:color w:val="000000"/>
          <w:sz w:val="32"/>
          <w:szCs w:val="32"/>
        </w:rPr>
        <w:t>支出决算71.97万元，完成预算100%。</w:t>
      </w:r>
    </w:p>
    <w:p>
      <w:pPr>
        <w:spacing w:line="576"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15.住房保障支出（221）住房改革支出（22102）购房补贴（2210203）</w:t>
      </w:r>
      <w:r>
        <w:rPr>
          <w:rFonts w:hint="eastAsia" w:ascii="仿宋_GB2312" w:eastAsia="仿宋_GB2312"/>
          <w:color w:val="000000"/>
          <w:sz w:val="32"/>
          <w:szCs w:val="32"/>
        </w:rPr>
        <w:t>支出决算3.65万元，完成预算100%。</w:t>
      </w:r>
    </w:p>
    <w:p>
      <w:pPr>
        <w:spacing w:line="576" w:lineRule="exact"/>
        <w:ind w:firstLine="640"/>
        <w:outlineLvl w:val="1"/>
        <w:rPr>
          <w:rFonts w:ascii="黑体" w:hAnsi="Times New Roman" w:eastAsia="黑体"/>
          <w:color w:val="000000"/>
          <w:sz w:val="32"/>
          <w:szCs w:val="32"/>
        </w:rPr>
      </w:pPr>
      <w:bookmarkStart w:id="25" w:name="_Toc25767"/>
      <w:r>
        <w:rPr>
          <w:rFonts w:hint="eastAsia" w:ascii="黑体" w:hAnsi="Times New Roman" w:eastAsia="黑体"/>
          <w:color w:val="000000"/>
          <w:sz w:val="32"/>
          <w:szCs w:val="32"/>
        </w:rPr>
        <w:t>六、一般公共预算财政拨款基本支出决算情况说明   </w:t>
      </w:r>
      <w:bookmarkEnd w:id="25"/>
    </w:p>
    <w:p>
      <w:pPr>
        <w:spacing w:line="576"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2022年一般公共预算财政拨款基本支出1,080.53万元，其中：</w:t>
      </w:r>
    </w:p>
    <w:p>
      <w:pPr>
        <w:spacing w:line="576"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人员经费1,030.57万元，主要包括：基本工资、津贴补贴、奖金、绩效工资、机关事业单位基本养老保险缴费、职业年金缴费、其他社会保障缴费、生活补助、医疗费补助、奖励金、住房公积金、其他对个人和家庭的补助支出等。</w:t>
      </w:r>
    </w:p>
    <w:p>
      <w:pPr>
        <w:spacing w:line="576"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公用经费49.96万元，主要包括：办公费、水费、电费、邮电费、差旅费、培训费、公务用车运行维护费。</w:t>
      </w:r>
    </w:p>
    <w:p>
      <w:pPr>
        <w:spacing w:line="576" w:lineRule="exact"/>
        <w:ind w:firstLine="640"/>
        <w:outlineLvl w:val="1"/>
        <w:rPr>
          <w:rFonts w:ascii="黑体" w:hAnsi="Times New Roman" w:eastAsia="黑体"/>
          <w:color w:val="000000"/>
          <w:sz w:val="32"/>
          <w:szCs w:val="32"/>
        </w:rPr>
      </w:pPr>
      <w:bookmarkStart w:id="26" w:name="_Toc28234"/>
      <w:r>
        <w:rPr>
          <w:rFonts w:hint="eastAsia" w:ascii="黑体" w:hAnsi="Times New Roman" w:eastAsia="黑体"/>
          <w:color w:val="000000"/>
          <w:sz w:val="32"/>
          <w:szCs w:val="32"/>
        </w:rPr>
        <w:t>七、“三公”经费财政拨款支出决算情况说明</w:t>
      </w:r>
      <w:bookmarkEnd w:id="26"/>
    </w:p>
    <w:p>
      <w:pPr>
        <w:spacing w:line="576" w:lineRule="exact"/>
        <w:ind w:firstLine="640"/>
        <w:outlineLvl w:val="2"/>
        <w:rPr>
          <w:rFonts w:ascii="楷体_GB2312" w:hAnsi="楷体_GB2312" w:eastAsia="楷体_GB2312" w:cs="楷体_GB2312"/>
          <w:b/>
          <w:color w:val="000000"/>
          <w:sz w:val="32"/>
          <w:szCs w:val="32"/>
        </w:rPr>
      </w:pPr>
      <w:bookmarkStart w:id="27" w:name="_Toc17130"/>
      <w:r>
        <w:rPr>
          <w:rFonts w:hint="eastAsia" w:ascii="楷体_GB2312" w:hAnsi="楷体_GB2312" w:eastAsia="楷体_GB2312" w:cs="楷体_GB2312"/>
          <w:b/>
          <w:color w:val="000000"/>
          <w:sz w:val="32"/>
          <w:szCs w:val="32"/>
        </w:rPr>
        <w:t>（一）“三公”经费财政拨款支出决算总体情况说明</w:t>
      </w:r>
      <w:bookmarkEnd w:id="27"/>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2022年“三公”经费财政拨款支出决算为5.26万元，完成预算100%。</w:t>
      </w:r>
    </w:p>
    <w:p>
      <w:pPr>
        <w:spacing w:line="576" w:lineRule="exact"/>
        <w:ind w:firstLine="640"/>
        <w:outlineLvl w:val="2"/>
        <w:rPr>
          <w:rFonts w:ascii="楷体_GB2312" w:hAnsi="楷体_GB2312" w:eastAsia="楷体_GB2312" w:cs="楷体_GB2312"/>
          <w:b/>
          <w:color w:val="000000"/>
          <w:sz w:val="32"/>
          <w:szCs w:val="32"/>
        </w:rPr>
      </w:pPr>
      <w:bookmarkStart w:id="28" w:name="_Toc19616"/>
      <w:r>
        <w:rPr>
          <w:rFonts w:hint="eastAsia" w:ascii="楷体_GB2312" w:hAnsi="楷体_GB2312" w:eastAsia="楷体_GB2312" w:cs="楷体_GB2312"/>
          <w:b/>
          <w:color w:val="000000"/>
          <w:sz w:val="32"/>
          <w:szCs w:val="32"/>
        </w:rPr>
        <w:t>（二）“三公”经费财政拨款支出决算具体情况说明</w:t>
      </w:r>
      <w:bookmarkEnd w:id="28"/>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2022年“三公”经费财政拨款支出决算中，因公出国（境）费支出决算0万元；公务用车购置及运行维护费支出决算5.26万元，占100%；公务接待费支出决算0万元。具体情况如下：</w:t>
      </w:r>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drawing>
          <wp:anchor distT="0" distB="0" distL="114300" distR="114300" simplePos="0" relativeHeight="251665408" behindDoc="1" locked="0" layoutInCell="1" allowOverlap="1">
            <wp:simplePos x="0" y="0"/>
            <wp:positionH relativeFrom="column">
              <wp:posOffset>47625</wp:posOffset>
            </wp:positionH>
            <wp:positionV relativeFrom="paragraph">
              <wp:posOffset>-8428990</wp:posOffset>
            </wp:positionV>
            <wp:extent cx="5274310" cy="3076575"/>
            <wp:effectExtent l="5080" t="4445" r="16510" b="5080"/>
            <wp:wrapTight wrapText="bothSides">
              <wp:wrapPolygon>
                <wp:start x="-21" y="-31"/>
                <wp:lineTo x="-21" y="21502"/>
                <wp:lineTo x="21512" y="21502"/>
                <wp:lineTo x="21512" y="-31"/>
                <wp:lineTo x="-21" y="-31"/>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（图7：“三公”经费财政拨款支出结构）（饼状图）</w:t>
      </w:r>
    </w:p>
    <w:p>
      <w:pPr>
        <w:pStyle w:val="13"/>
        <w:widowControl/>
        <w:spacing w:before="0" w:beforeAutospacing="0" w:after="0" w:afterAutospacing="0" w:line="576" w:lineRule="exact"/>
        <w:ind w:firstLine="643" w:firstLineChars="200"/>
        <w:rPr>
          <w:rFonts w:ascii="仿宋_GB2312" w:hAnsi="Times New Roman" w:eastAsia="仿宋_GB2312"/>
          <w:color w:val="000000"/>
          <w:kern w:val="2"/>
          <w:sz w:val="32"/>
          <w:szCs w:val="32"/>
        </w:rPr>
      </w:pPr>
      <w:r>
        <w:rPr>
          <w:rFonts w:hint="eastAsia" w:ascii="仿宋_GB2312" w:hAnsi="Times New Roman" w:eastAsia="仿宋_GB2312"/>
          <w:b/>
          <w:color w:val="000000"/>
          <w:kern w:val="2"/>
          <w:sz w:val="32"/>
          <w:szCs w:val="32"/>
        </w:rPr>
        <w:t>1.</w:t>
      </w:r>
      <w:r>
        <w:rPr>
          <w:rFonts w:ascii="仿宋_GB2312" w:hAnsi="Times New Roman" w:eastAsia="仿宋_GB2312"/>
          <w:b/>
          <w:color w:val="000000"/>
          <w:kern w:val="2"/>
          <w:sz w:val="32"/>
          <w:szCs w:val="32"/>
        </w:rPr>
        <w:t>因公出国（境）经费支出</w:t>
      </w:r>
      <w:r>
        <w:rPr>
          <w:rFonts w:hint="eastAsia" w:ascii="仿宋_GB2312" w:hAnsi="Times New Roman" w:eastAsia="仿宋_GB2312"/>
          <w:color w:val="000000"/>
          <w:kern w:val="2"/>
          <w:sz w:val="32"/>
          <w:szCs w:val="32"/>
        </w:rPr>
        <w:t>0万元。全年安排因公出国（境）团组</w:t>
      </w:r>
      <w:r>
        <w:rPr>
          <w:rFonts w:hint="eastAsia" w:ascii="仿宋" w:hAnsi="Times New Roman" w:eastAsia="仿宋"/>
          <w:sz w:val="32"/>
          <w:szCs w:val="32"/>
        </w:rPr>
        <w:t>0</w:t>
      </w:r>
      <w:r>
        <w:rPr>
          <w:rFonts w:hint="eastAsia" w:ascii="仿宋_GB2312" w:hAnsi="Times New Roman" w:eastAsia="仿宋_GB2312"/>
          <w:color w:val="000000"/>
          <w:kern w:val="2"/>
          <w:sz w:val="32"/>
          <w:szCs w:val="32"/>
        </w:rPr>
        <w:t>次，出国（境）</w:t>
      </w:r>
      <w:r>
        <w:rPr>
          <w:rFonts w:hint="eastAsia" w:ascii="仿宋" w:hAnsi="Times New Roman" w:eastAsia="仿宋"/>
          <w:sz w:val="32"/>
          <w:szCs w:val="32"/>
        </w:rPr>
        <w:t>0</w:t>
      </w:r>
      <w:r>
        <w:rPr>
          <w:rFonts w:hint="eastAsia" w:ascii="仿宋_GB2312" w:hAnsi="Times New Roman" w:eastAsia="仿宋_GB2312"/>
          <w:color w:val="000000"/>
          <w:kern w:val="2"/>
          <w:sz w:val="32"/>
          <w:szCs w:val="32"/>
        </w:rPr>
        <w:t>人。</w:t>
      </w:r>
    </w:p>
    <w:p>
      <w:pPr>
        <w:pStyle w:val="13"/>
        <w:widowControl/>
        <w:spacing w:before="0" w:beforeAutospacing="0" w:after="0" w:afterAutospacing="0" w:line="576" w:lineRule="exact"/>
        <w:ind w:firstLine="643" w:firstLineChars="200"/>
        <w:rPr>
          <w:rFonts w:ascii="仿宋_GB2312" w:hAnsi="Times New Roman" w:eastAsia="仿宋_GB2312"/>
          <w:color w:val="000000"/>
          <w:kern w:val="2"/>
          <w:sz w:val="32"/>
          <w:szCs w:val="32"/>
        </w:rPr>
      </w:pPr>
      <w:r>
        <w:rPr>
          <w:rFonts w:hint="eastAsia" w:ascii="仿宋_GB2312" w:hAnsi="Times New Roman" w:eastAsia="仿宋_GB2312"/>
          <w:b/>
          <w:color w:val="000000"/>
          <w:kern w:val="2"/>
          <w:sz w:val="32"/>
          <w:szCs w:val="32"/>
        </w:rPr>
        <w:t>2.</w:t>
      </w:r>
      <w:r>
        <w:rPr>
          <w:rFonts w:ascii="仿宋_GB2312" w:hAnsi="Times New Roman" w:eastAsia="仿宋_GB2312"/>
          <w:b/>
          <w:color w:val="000000"/>
          <w:kern w:val="2"/>
          <w:sz w:val="32"/>
          <w:szCs w:val="32"/>
        </w:rPr>
        <w:t>公务用车购置及运行维护费支出</w:t>
      </w:r>
      <w:r>
        <w:rPr>
          <w:rFonts w:hint="eastAsia" w:ascii="仿宋_GB2312" w:hAnsi="Times New Roman" w:eastAsia="仿宋_GB2312"/>
          <w:color w:val="000000"/>
          <w:kern w:val="2"/>
          <w:sz w:val="32"/>
          <w:szCs w:val="32"/>
        </w:rPr>
        <w:t>5.26万元,完成预算100%。公务用车购置及运行维护费支出决算比2021年减少5.68万元，减少51.92%。主要原因是2022年公务用车购置及运行维护费有一部分是从代管资金中支付的。其中：公务用车购置支出0万元。全年按规定更新购置公务用车0辆，其中：轿车0辆、金额0万元，越野车0辆、金额0万元，载客汽车0辆、金额0万元。</w:t>
      </w:r>
    </w:p>
    <w:p>
      <w:pPr>
        <w:spacing w:line="576" w:lineRule="exact"/>
        <w:ind w:firstLine="640" w:firstLineChars="200"/>
        <w:rPr>
          <w:rFonts w:ascii="仿宋_GB2312" w:eastAsia="仿宋_GB2312"/>
          <w:color w:val="000000"/>
          <w:sz w:val="32"/>
          <w:szCs w:val="32"/>
        </w:rPr>
      </w:pPr>
      <w:r>
        <w:rPr>
          <w:rFonts w:hint="eastAsia" w:ascii="仿宋_GB2312" w:hAnsi="Times New Roman" w:eastAsia="仿宋_GB2312"/>
          <w:color w:val="000000"/>
          <w:sz w:val="32"/>
          <w:szCs w:val="32"/>
        </w:rPr>
        <w:t>截至2022年12月底，</w:t>
      </w:r>
      <w:r>
        <w:rPr>
          <w:rFonts w:hint="eastAsia" w:ascii="仿宋_GB2312" w:eastAsia="仿宋_GB2312"/>
          <w:color w:val="000000"/>
          <w:sz w:val="32"/>
          <w:szCs w:val="32"/>
        </w:rPr>
        <w:t>单位共有公务用车2辆，其中：轿车1辆、越野车0辆、载客汽车1辆。</w:t>
      </w:r>
      <w:r>
        <w:rPr>
          <w:rFonts w:hint="eastAsia" w:ascii="仿宋_GB2312" w:hAnsi="Times New Roman" w:eastAsia="仿宋_GB2312"/>
          <w:color w:val="000000"/>
          <w:sz w:val="32"/>
          <w:szCs w:val="32"/>
        </w:rPr>
        <w:t>主要用于</w:t>
      </w:r>
      <w:r>
        <w:rPr>
          <w:rFonts w:hint="eastAsia" w:ascii="仿宋_GB2312" w:eastAsia="仿宋_GB2312"/>
          <w:color w:val="000000"/>
          <w:sz w:val="32"/>
          <w:szCs w:val="32"/>
        </w:rPr>
        <w:t>党委政府人大开展工作等所需的公务用车燃料费、维修费、过路过桥费、保险费等支出。</w:t>
      </w:r>
    </w:p>
    <w:p>
      <w:pPr>
        <w:pStyle w:val="13"/>
        <w:widowControl/>
        <w:spacing w:before="0" w:beforeAutospacing="0" w:after="0" w:afterAutospacing="0" w:line="576" w:lineRule="exact"/>
        <w:ind w:firstLine="643" w:firstLineChars="200"/>
        <w:rPr>
          <w:rFonts w:ascii="仿宋_GB2312" w:hAnsi="仿宋_GB2312" w:eastAsia="仿宋_GB2312" w:cs="仿宋_GB2312"/>
          <w:color w:val="000000"/>
          <w:sz w:val="32"/>
          <w:szCs w:val="32"/>
        </w:rPr>
      </w:pPr>
      <w:r>
        <w:rPr>
          <w:rFonts w:hint="eastAsia" w:ascii="仿宋_GB2312" w:hAnsi="Times New Roman" w:eastAsia="仿宋_GB2312"/>
          <w:b/>
          <w:color w:val="000000"/>
          <w:kern w:val="2"/>
          <w:sz w:val="32"/>
          <w:szCs w:val="32"/>
        </w:rPr>
        <w:t>3.</w:t>
      </w:r>
      <w:r>
        <w:rPr>
          <w:rFonts w:ascii="仿宋_GB2312" w:hAnsi="Times New Roman" w:eastAsia="仿宋_GB2312"/>
          <w:b/>
          <w:color w:val="000000"/>
          <w:kern w:val="2"/>
          <w:sz w:val="32"/>
          <w:szCs w:val="32"/>
        </w:rPr>
        <w:t>公务接待费支出</w:t>
      </w:r>
      <w:r>
        <w:rPr>
          <w:rFonts w:hint="eastAsia" w:ascii="仿宋_GB2312" w:hAnsi="仿宋_GB2312" w:eastAsia="仿宋_GB2312" w:cs="仿宋_GB2312"/>
          <w:color w:val="000000"/>
          <w:kern w:val="2"/>
          <w:sz w:val="32"/>
          <w:szCs w:val="32"/>
        </w:rPr>
        <w:t>0万元。公务接待费支出决算比2021年增加</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万元。其中：国内公务接待支出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万元。国内公务接待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人次（不包括陪同人员），共计支出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万元。外事接待支出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kern w:val="2"/>
          <w:sz w:val="32"/>
          <w:szCs w:val="32"/>
        </w:rPr>
        <w:t>人，共计支出0万元。</w:t>
      </w:r>
    </w:p>
    <w:p>
      <w:pPr>
        <w:spacing w:line="576" w:lineRule="exact"/>
        <w:ind w:firstLine="640"/>
        <w:outlineLvl w:val="1"/>
        <w:rPr>
          <w:rFonts w:ascii="黑体" w:hAnsi="Times New Roman" w:eastAsia="黑体"/>
          <w:color w:val="000000"/>
          <w:sz w:val="32"/>
          <w:szCs w:val="32"/>
        </w:rPr>
      </w:pPr>
      <w:bookmarkStart w:id="29" w:name="_Toc17457"/>
      <w:r>
        <w:rPr>
          <w:rFonts w:hint="eastAsia" w:ascii="黑体" w:hAnsi="Times New Roman" w:eastAsia="黑体"/>
          <w:color w:val="000000"/>
          <w:sz w:val="32"/>
          <w:szCs w:val="32"/>
        </w:rPr>
        <w:t>八、政府性基金预算支出决算情况说明</w:t>
      </w:r>
      <w:bookmarkEnd w:id="29"/>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2022年政府性基金预算财政拨款支出</w:t>
      </w:r>
      <w:r>
        <w:rPr>
          <w:rFonts w:hint="eastAsia" w:ascii="仿宋_GB2312" w:hAnsi="仿宋_GB2312" w:eastAsia="仿宋_GB2312" w:cs="仿宋_GB2312"/>
          <w:sz w:val="32"/>
          <w:szCs w:val="32"/>
        </w:rPr>
        <w:t>2.53</w:t>
      </w:r>
      <w:r>
        <w:rPr>
          <w:rFonts w:hint="eastAsia" w:ascii="仿宋_GB2312" w:hAnsi="仿宋_GB2312" w:eastAsia="仿宋_GB2312" w:cs="仿宋_GB2312"/>
          <w:color w:val="000000"/>
          <w:sz w:val="32"/>
          <w:szCs w:val="32"/>
        </w:rPr>
        <w:t>万元。</w:t>
      </w:r>
    </w:p>
    <w:p>
      <w:pPr>
        <w:spacing w:line="576" w:lineRule="exact"/>
        <w:ind w:firstLine="640" w:firstLineChars="200"/>
        <w:outlineLvl w:val="1"/>
        <w:rPr>
          <w:rFonts w:ascii="黑体" w:hAnsi="Times New Roman" w:eastAsia="黑体"/>
          <w:color w:val="000000"/>
          <w:sz w:val="32"/>
          <w:szCs w:val="32"/>
        </w:rPr>
      </w:pPr>
      <w:bookmarkStart w:id="30" w:name="_Toc23828"/>
      <w:r>
        <w:rPr>
          <w:rFonts w:hint="eastAsia" w:ascii="黑体" w:hAnsi="Times New Roman" w:eastAsia="黑体"/>
          <w:color w:val="000000"/>
          <w:sz w:val="32"/>
          <w:szCs w:val="32"/>
        </w:rPr>
        <w:t>九、国有资本经营预算支出决算情况说明</w:t>
      </w:r>
      <w:bookmarkEnd w:id="30"/>
    </w:p>
    <w:p>
      <w:pPr>
        <w:spacing w:line="576"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2022年国有资本经营预算财政拨款支出0万元。 </w:t>
      </w:r>
    </w:p>
    <w:p>
      <w:pPr>
        <w:spacing w:line="576" w:lineRule="exact"/>
        <w:ind w:firstLine="640" w:firstLineChars="200"/>
        <w:outlineLvl w:val="1"/>
        <w:rPr>
          <w:rFonts w:ascii="黑体" w:hAnsi="Times New Roman" w:eastAsia="黑体"/>
          <w:color w:val="000000"/>
          <w:sz w:val="32"/>
          <w:szCs w:val="32"/>
        </w:rPr>
      </w:pPr>
      <w:bookmarkStart w:id="31" w:name="_Toc6811"/>
      <w:r>
        <w:rPr>
          <w:rFonts w:hint="eastAsia" w:ascii="黑体" w:hAnsi="Times New Roman" w:eastAsia="黑体"/>
          <w:color w:val="000000"/>
          <w:sz w:val="32"/>
          <w:szCs w:val="32"/>
        </w:rPr>
        <w:t>十、其他重要事项的情况说明</w:t>
      </w:r>
      <w:bookmarkEnd w:id="31"/>
    </w:p>
    <w:p>
      <w:pPr>
        <w:spacing w:line="576" w:lineRule="exact"/>
        <w:ind w:firstLine="643" w:firstLineChars="200"/>
        <w:outlineLvl w:val="2"/>
        <w:rPr>
          <w:rFonts w:ascii="楷体_GB2312" w:hAnsi="楷体_GB2312" w:eastAsia="楷体_GB2312" w:cs="楷体_GB2312"/>
          <w:b/>
          <w:color w:val="000000"/>
          <w:sz w:val="32"/>
          <w:szCs w:val="32"/>
        </w:rPr>
      </w:pPr>
      <w:bookmarkStart w:id="32" w:name="_Toc29859"/>
      <w:r>
        <w:rPr>
          <w:rFonts w:hint="eastAsia" w:ascii="楷体_GB2312" w:hAnsi="楷体_GB2312" w:eastAsia="楷体_GB2312" w:cs="楷体_GB2312"/>
          <w:b/>
          <w:color w:val="000000"/>
          <w:sz w:val="32"/>
          <w:szCs w:val="32"/>
        </w:rPr>
        <w:t>（一）机关运行经费支出情况</w:t>
      </w:r>
      <w:bookmarkEnd w:id="32"/>
    </w:p>
    <w:p>
      <w:pPr>
        <w:spacing w:line="576" w:lineRule="exact"/>
        <w:ind w:firstLine="640" w:firstLineChars="200"/>
        <w:rPr>
          <w:rFonts w:ascii="仿宋_GB2312" w:hAnsi="Times New Roman" w:eastAsia="仿宋_GB2312"/>
          <w:color w:val="000000"/>
          <w:sz w:val="32"/>
          <w:szCs w:val="32"/>
        </w:rPr>
      </w:pPr>
      <w:r>
        <w:rPr>
          <w:rFonts w:hint="eastAsia" w:ascii="仿宋_GB2312" w:hAnsi="仿宋_GB2312" w:eastAsia="仿宋_GB2312" w:cs="仿宋_GB2312"/>
          <w:color w:val="000000"/>
          <w:sz w:val="32"/>
          <w:szCs w:val="32"/>
        </w:rPr>
        <w:t>2022年，四川省阿坝州茂县2022年度部门决算汇总机关运行经费支出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万元，比2021年增加</w:t>
      </w:r>
      <w:r>
        <w:rPr>
          <w:rFonts w:hint="eastAsia" w:ascii="仿宋_GB2312" w:hAnsi="仿宋_GB2312" w:eastAsia="仿宋_GB2312" w:cs="仿宋_GB2312"/>
          <w:sz w:val="32"/>
          <w:szCs w:val="32"/>
        </w:rPr>
        <w:t>0</w:t>
      </w:r>
      <w:r>
        <w:rPr>
          <w:rFonts w:hint="eastAsia" w:ascii="仿宋_GB2312" w:hAnsi="仿宋_GB2312" w:eastAsia="仿宋_GB2312" w:cs="仿宋_GB2312"/>
          <w:color w:val="000000"/>
          <w:sz w:val="32"/>
          <w:szCs w:val="32"/>
        </w:rPr>
        <w:t>万元。</w:t>
      </w:r>
    </w:p>
    <w:p>
      <w:pPr>
        <w:spacing w:line="576" w:lineRule="exact"/>
        <w:ind w:firstLine="643" w:firstLineChars="200"/>
        <w:outlineLvl w:val="2"/>
        <w:rPr>
          <w:rFonts w:ascii="楷体_GB2312" w:hAnsi="楷体_GB2312" w:eastAsia="楷体_GB2312" w:cs="楷体_GB2312"/>
          <w:b/>
          <w:color w:val="000000"/>
          <w:sz w:val="32"/>
          <w:szCs w:val="32"/>
        </w:rPr>
      </w:pPr>
      <w:bookmarkStart w:id="33" w:name="_Toc27940"/>
      <w:r>
        <w:rPr>
          <w:rFonts w:hint="eastAsia" w:ascii="楷体_GB2312" w:hAnsi="楷体_GB2312" w:eastAsia="楷体_GB2312" w:cs="楷体_GB2312"/>
          <w:b/>
          <w:color w:val="000000"/>
          <w:sz w:val="32"/>
          <w:szCs w:val="32"/>
        </w:rPr>
        <w:t>（二）政府采购支出情况</w:t>
      </w:r>
      <w:bookmarkEnd w:id="33"/>
    </w:p>
    <w:p>
      <w:pPr>
        <w:spacing w:line="576" w:lineRule="exact"/>
        <w:ind w:firstLine="640" w:firstLineChars="200"/>
        <w:rPr>
          <w:sz w:val="32"/>
          <w:szCs w:val="32"/>
        </w:rPr>
      </w:pPr>
      <w:r>
        <w:rPr>
          <w:rFonts w:ascii="仿宋_GB2312" w:hAnsi="Times New Roman" w:eastAsia="仿宋_GB2312"/>
          <w:color w:val="000000"/>
          <w:sz w:val="32"/>
          <w:szCs w:val="32"/>
        </w:rPr>
        <w:t>2022年，四川省阿坝州茂县2022年度部门决算汇总政府采购支出总额</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万元，其中：政府采购货物支出</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万元、政府采购工程支出</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万元、政府采购服务支出</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万元。授予中小企业合同金额</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万元，其中：授予小微企业合同金额</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万元。</w:t>
      </w:r>
    </w:p>
    <w:p>
      <w:pPr>
        <w:spacing w:line="576" w:lineRule="exact"/>
        <w:ind w:firstLine="643" w:firstLineChars="200"/>
        <w:outlineLvl w:val="2"/>
        <w:rPr>
          <w:rFonts w:ascii="楷体_GB2312" w:hAnsi="楷体_GB2312" w:eastAsia="楷体_GB2312" w:cs="楷体_GB2312"/>
          <w:b/>
          <w:color w:val="000000"/>
          <w:sz w:val="32"/>
          <w:szCs w:val="32"/>
        </w:rPr>
      </w:pPr>
      <w:bookmarkStart w:id="34" w:name="_Toc29829"/>
      <w:r>
        <w:rPr>
          <w:rFonts w:hint="eastAsia" w:ascii="楷体_GB2312" w:hAnsi="楷体_GB2312" w:eastAsia="楷体_GB2312" w:cs="楷体_GB2312"/>
          <w:b/>
          <w:color w:val="000000"/>
          <w:sz w:val="32"/>
          <w:szCs w:val="32"/>
        </w:rPr>
        <w:t>（三）国有资产占有使用情况</w:t>
      </w:r>
      <w:bookmarkEnd w:id="34"/>
    </w:p>
    <w:p>
      <w:pPr>
        <w:autoSpaceDE w:val="0"/>
        <w:autoSpaceDN w:val="0"/>
        <w:adjustRightInd w:val="0"/>
        <w:spacing w:line="576" w:lineRule="exact"/>
        <w:ind w:firstLine="640" w:firstLineChars="200"/>
        <w:jc w:val="left"/>
        <w:rPr>
          <w:rFonts w:ascii="仿宋" w:eastAsia="仿宋"/>
          <w:b/>
          <w:color w:val="FF0000"/>
          <w:sz w:val="32"/>
          <w:szCs w:val="32"/>
        </w:rPr>
      </w:pPr>
      <w:r>
        <w:rPr>
          <w:rFonts w:ascii="仿宋_GB2312" w:hAnsi="Times New Roman" w:eastAsia="仿宋_GB2312"/>
          <w:color w:val="000000"/>
          <w:sz w:val="32"/>
          <w:szCs w:val="32"/>
        </w:rPr>
        <w:t>截至2022年12月31日，四川省阿坝州茂县2022年度部门决算汇总共有车辆</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辆，其中：主要领导干部用车0辆、机要通信用车</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辆、应急保障用车</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辆、其他用车</w:t>
      </w:r>
      <w:r>
        <w:rPr>
          <w:rFonts w:hint="eastAsia" w:ascii="仿宋_GB2312" w:hAnsi="Times New Roman" w:eastAsia="仿宋_GB2312"/>
          <w:color w:val="000000"/>
          <w:sz w:val="32"/>
          <w:szCs w:val="32"/>
        </w:rPr>
        <w:t>0</w:t>
      </w:r>
      <w:r>
        <w:rPr>
          <w:rFonts w:ascii="仿宋_GB2312" w:hAnsi="Times New Roman" w:eastAsia="仿宋_GB2312"/>
          <w:color w:val="000000"/>
          <w:sz w:val="32"/>
          <w:szCs w:val="32"/>
        </w:rPr>
        <w:t>辆</w:t>
      </w:r>
      <w:r>
        <w:rPr>
          <w:rFonts w:hint="eastAsia" w:ascii="仿宋_GB2312" w:hAnsi="Times New Roman" w:eastAsia="仿宋_GB2312"/>
          <w:color w:val="000000"/>
          <w:sz w:val="32"/>
          <w:szCs w:val="32"/>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pPr>
        <w:spacing w:line="576" w:lineRule="exact"/>
        <w:ind w:firstLine="643" w:firstLineChars="200"/>
        <w:outlineLvl w:val="2"/>
        <w:rPr>
          <w:rFonts w:ascii="楷体_GB2312" w:hAnsi="楷体_GB2312" w:eastAsia="楷体_GB2312" w:cs="楷体_GB2312"/>
          <w:b/>
          <w:color w:val="000000"/>
          <w:sz w:val="32"/>
          <w:szCs w:val="32"/>
        </w:rPr>
      </w:pPr>
      <w:bookmarkStart w:id="35" w:name="_Toc15784"/>
      <w:r>
        <w:rPr>
          <w:rFonts w:hint="eastAsia" w:ascii="楷体_GB2312" w:hAnsi="楷体_GB2312" w:eastAsia="楷体_GB2312" w:cs="楷体_GB2312"/>
          <w:b/>
          <w:color w:val="000000"/>
          <w:sz w:val="32"/>
          <w:szCs w:val="32"/>
        </w:rPr>
        <w:t>（四）预算绩效管理情况</w:t>
      </w:r>
      <w:bookmarkEnd w:id="35"/>
    </w:p>
    <w:p>
      <w:pPr>
        <w:spacing w:line="576" w:lineRule="exact"/>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根据预算绩效管理要求，本部门在2022年度预算编制阶段，组织对</w:t>
      </w:r>
      <w:r>
        <w:rPr>
          <w:rFonts w:hint="eastAsia" w:ascii="仿宋_GB2312" w:hAnsi="Times New Roman" w:eastAsia="仿宋_GB2312"/>
          <w:color w:val="000000"/>
          <w:sz w:val="32"/>
          <w:szCs w:val="32"/>
        </w:rPr>
        <w:t>蚕丛村集体经济</w:t>
      </w:r>
      <w:r>
        <w:rPr>
          <w:rFonts w:hint="eastAsia" w:eastAsia="仿宋_GB2312"/>
          <w:color w:val="000000"/>
          <w:sz w:val="32"/>
          <w:szCs w:val="32"/>
        </w:rPr>
        <w:t>、村级运行维护费</w:t>
      </w:r>
      <w:r>
        <w:rPr>
          <w:rFonts w:ascii="仿宋_GB2312" w:hAnsi="Times New Roman" w:eastAsia="仿宋_GB2312"/>
          <w:color w:val="000000"/>
          <w:sz w:val="32"/>
          <w:szCs w:val="32"/>
        </w:rPr>
        <w:t>项目等</w:t>
      </w:r>
      <w:r>
        <w:rPr>
          <w:rFonts w:hint="eastAsia" w:ascii="仿宋_GB2312" w:hAnsi="Times New Roman" w:eastAsia="仿宋_GB2312"/>
          <w:color w:val="000000"/>
          <w:sz w:val="32"/>
          <w:szCs w:val="32"/>
        </w:rPr>
        <w:t>7</w:t>
      </w:r>
      <w:r>
        <w:rPr>
          <w:rFonts w:ascii="仿宋_GB2312" w:hAnsi="Times New Roman" w:eastAsia="仿宋_GB2312"/>
          <w:color w:val="000000"/>
          <w:sz w:val="32"/>
          <w:szCs w:val="32"/>
        </w:rPr>
        <w:t>个项目开展了预算事前绩效评估，对</w:t>
      </w:r>
      <w:r>
        <w:rPr>
          <w:rFonts w:hint="eastAsia" w:ascii="仿宋_GB2312" w:hAnsi="Times New Roman" w:eastAsia="仿宋_GB2312"/>
          <w:color w:val="000000"/>
          <w:sz w:val="32"/>
          <w:szCs w:val="32"/>
        </w:rPr>
        <w:t>7</w:t>
      </w:r>
      <w:r>
        <w:rPr>
          <w:rFonts w:ascii="仿宋_GB2312" w:hAnsi="Times New Roman" w:eastAsia="仿宋_GB2312"/>
          <w:color w:val="000000"/>
          <w:sz w:val="32"/>
          <w:szCs w:val="32"/>
        </w:rPr>
        <w:t>个项目编制了绩效目标，预算执行过程中，选取</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个项目开展绩效监控。</w:t>
      </w:r>
    </w:p>
    <w:p>
      <w:pPr>
        <w:spacing w:line="576" w:lineRule="exact"/>
        <w:ind w:firstLine="640" w:firstLineChars="200"/>
        <w:rPr>
          <w:rFonts w:ascii="仿宋_GB2312" w:hAnsi="Times New Roman" w:eastAsia="仿宋_GB2312"/>
          <w:color w:val="000000"/>
          <w:sz w:val="32"/>
          <w:szCs w:val="32"/>
        </w:rPr>
      </w:pPr>
      <w:r>
        <w:rPr>
          <w:rFonts w:ascii="仿宋_GB2312" w:hAnsi="Times New Roman" w:eastAsia="仿宋_GB2312"/>
          <w:color w:val="000000"/>
          <w:sz w:val="32"/>
          <w:szCs w:val="32"/>
        </w:rPr>
        <w:t>组织对2022年度一般公共预算、政府性基金预算等全面开展绩效自评，形成</w:t>
      </w:r>
      <w:r>
        <w:rPr>
          <w:rFonts w:hint="eastAsia" w:ascii="仿宋_GB2312" w:hAnsi="Times New Roman" w:eastAsia="仿宋_GB2312"/>
          <w:color w:val="000000"/>
          <w:sz w:val="32"/>
          <w:szCs w:val="32"/>
        </w:rPr>
        <w:t>茂县叠溪镇人民政府</w:t>
      </w:r>
      <w:r>
        <w:rPr>
          <w:rFonts w:ascii="仿宋_GB2312" w:hAnsi="Times New Roman" w:eastAsia="仿宋_GB2312"/>
          <w:color w:val="000000"/>
          <w:sz w:val="32"/>
          <w:szCs w:val="32"/>
        </w:rPr>
        <w:t>整体绩效自评报告、</w:t>
      </w:r>
      <w:r>
        <w:rPr>
          <w:rFonts w:hint="eastAsia" w:ascii="仿宋_GB2312" w:hAnsi="Times New Roman" w:eastAsia="仿宋_GB2312"/>
          <w:color w:val="000000"/>
          <w:sz w:val="32"/>
          <w:szCs w:val="32"/>
        </w:rPr>
        <w:t>蚕丛村集体经济</w:t>
      </w:r>
      <w:r>
        <w:rPr>
          <w:rFonts w:ascii="仿宋_GB2312" w:hAnsi="Times New Roman" w:eastAsia="仿宋_GB2312"/>
          <w:color w:val="000000"/>
          <w:sz w:val="32"/>
          <w:szCs w:val="32"/>
        </w:rPr>
        <w:t>等专项预算项目绩效自评报告，其中，</w:t>
      </w:r>
      <w:r>
        <w:rPr>
          <w:rFonts w:hint="eastAsia" w:ascii="仿宋_GB2312" w:hAnsi="Times New Roman" w:eastAsia="仿宋_GB2312"/>
          <w:color w:val="000000"/>
          <w:sz w:val="32"/>
          <w:szCs w:val="32"/>
        </w:rPr>
        <w:t>茂县叠溪镇</w:t>
      </w:r>
      <w:r>
        <w:rPr>
          <w:rFonts w:ascii="仿宋_GB2312" w:hAnsi="Times New Roman" w:eastAsia="仿宋_GB2312"/>
          <w:color w:val="000000"/>
          <w:sz w:val="32"/>
          <w:szCs w:val="32"/>
        </w:rPr>
        <w:t>部门整体绩效自评得分为</w:t>
      </w:r>
      <w:r>
        <w:rPr>
          <w:rFonts w:hint="eastAsia" w:ascii="仿宋_GB2312" w:hAnsi="Times New Roman" w:eastAsia="仿宋_GB2312"/>
          <w:color w:val="000000"/>
          <w:sz w:val="32"/>
          <w:szCs w:val="32"/>
        </w:rPr>
        <w:t>91</w:t>
      </w:r>
      <w:r>
        <w:rPr>
          <w:rFonts w:ascii="仿宋_GB2312" w:hAnsi="Times New Roman" w:eastAsia="仿宋_GB2312"/>
          <w:color w:val="000000"/>
          <w:sz w:val="32"/>
          <w:szCs w:val="32"/>
        </w:rPr>
        <w:t>分；</w:t>
      </w:r>
      <w:r>
        <w:rPr>
          <w:rFonts w:hint="eastAsia" w:ascii="仿宋_GB2312" w:hAnsi="Times New Roman" w:eastAsia="仿宋_GB2312"/>
          <w:color w:val="000000"/>
          <w:sz w:val="32"/>
          <w:szCs w:val="32"/>
        </w:rPr>
        <w:t>蚕丛村集体经济</w:t>
      </w:r>
      <w:r>
        <w:rPr>
          <w:rFonts w:ascii="仿宋_GB2312" w:hAnsi="Times New Roman" w:eastAsia="仿宋_GB2312"/>
          <w:color w:val="000000"/>
          <w:sz w:val="32"/>
          <w:szCs w:val="32"/>
        </w:rPr>
        <w:t>专项预算项目绩效自评得分为</w:t>
      </w:r>
      <w:r>
        <w:rPr>
          <w:rFonts w:hint="eastAsia" w:ascii="仿宋_GB2312" w:hAnsi="Times New Roman" w:eastAsia="仿宋_GB2312"/>
          <w:color w:val="000000"/>
          <w:sz w:val="32"/>
          <w:szCs w:val="32"/>
        </w:rPr>
        <w:t>91</w:t>
      </w:r>
      <w:r>
        <w:rPr>
          <w:rFonts w:ascii="仿宋_GB2312" w:hAnsi="Times New Roman" w:eastAsia="仿宋_GB2312"/>
          <w:color w:val="000000"/>
          <w:sz w:val="32"/>
          <w:szCs w:val="32"/>
        </w:rPr>
        <w:t>分</w:t>
      </w:r>
      <w:r>
        <w:rPr>
          <w:rFonts w:hint="eastAsia" w:ascii="仿宋_GB2312" w:hAnsi="Times New Roman" w:eastAsia="仿宋_GB2312"/>
          <w:color w:val="000000"/>
          <w:sz w:val="32"/>
          <w:szCs w:val="32"/>
        </w:rPr>
        <w:t>；</w:t>
      </w:r>
      <w:r>
        <w:rPr>
          <w:rFonts w:hint="eastAsia" w:eastAsia="仿宋_GB2312"/>
          <w:color w:val="000000"/>
          <w:sz w:val="32"/>
          <w:szCs w:val="32"/>
        </w:rPr>
        <w:t>村级运行维护费</w:t>
      </w:r>
      <w:r>
        <w:rPr>
          <w:rFonts w:ascii="仿宋_GB2312" w:hAnsi="Times New Roman" w:eastAsia="仿宋_GB2312"/>
          <w:color w:val="000000"/>
          <w:sz w:val="32"/>
          <w:szCs w:val="32"/>
        </w:rPr>
        <w:t>项目专项预算项目绩效自评得分为</w:t>
      </w:r>
      <w:r>
        <w:rPr>
          <w:rFonts w:hint="eastAsia" w:ascii="仿宋_GB2312" w:hAnsi="Times New Roman" w:eastAsia="仿宋_GB2312"/>
          <w:color w:val="000000"/>
          <w:sz w:val="32"/>
          <w:szCs w:val="32"/>
        </w:rPr>
        <w:t>91</w:t>
      </w:r>
      <w:r>
        <w:rPr>
          <w:rFonts w:ascii="仿宋_GB2312" w:hAnsi="Times New Roman" w:eastAsia="仿宋_GB2312"/>
          <w:color w:val="000000"/>
          <w:sz w:val="32"/>
          <w:szCs w:val="32"/>
        </w:rPr>
        <w:t>分。绩效自评报告详见附件。</w:t>
      </w:r>
    </w:p>
    <w:p>
      <w:pPr>
        <w:pStyle w:val="13"/>
        <w:widowControl/>
        <w:spacing w:before="0" w:beforeAutospacing="0" w:after="0" w:afterAutospacing="0" w:line="576" w:lineRule="exact"/>
      </w:pPr>
      <w:r>
        <w:t> </w:t>
      </w:r>
    </w:p>
    <w:p>
      <w:pPr>
        <w:spacing w:line="576" w:lineRule="exact"/>
        <w:ind w:left="315" w:leftChars="150"/>
        <w:jc w:val="center"/>
        <w:outlineLvl w:val="0"/>
      </w:pPr>
      <w:bookmarkStart w:id="36" w:name="_Toc28320"/>
      <w:r>
        <w:rPr>
          <w:rFonts w:hint="eastAsia" w:ascii="方正小标宋简体" w:hAnsi="方正小标宋简体" w:eastAsia="方正小标宋简体" w:cs="方正小标宋简体"/>
          <w:color w:val="000000"/>
          <w:sz w:val="44"/>
          <w:szCs w:val="44"/>
        </w:rPr>
        <w:t>第三部分 名词解释</w:t>
      </w:r>
      <w:bookmarkEnd w:id="36"/>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eastAsia="仿宋_GB2312"/>
          <w:sz w:val="32"/>
          <w:szCs w:val="32"/>
        </w:rPr>
        <w:t> </w:t>
      </w:r>
      <w:r>
        <w:rPr>
          <w:rFonts w:hint="eastAsia" w:ascii="仿宋_GB2312" w:eastAsia="仿宋_GB2312"/>
          <w:sz w:val="32"/>
          <w:szCs w:val="32"/>
        </w:rPr>
        <w:t>1.财政拨款收入：指单位从同级财政部门取得的财政预算资金。</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5.使用非财政拨款结余：指事业单位使用以前年度积累的非财政拨款结余弥补当年收支差额的金额。</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6.年初结转和结余：指以前年度尚未完成、结转到本年按有关规定继续使用的资金。</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9.一般公共服务支出（201）人大事务（20101）代表工作（2010108）：反映人大代表开展各类视察等方面的支出。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10.一般公共服务支出（201）政府办公厅（室）及相关机构事务（20103）行政运行（2010301）：反映行政单位（包括实行公务员管理的事业单位）的基本支出。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11.一般公共服务支出（201）政府办公厅（室）及相关机构事务（20103）其他政府办公厅（室）及相关机构事务支出（2010399）：反映除上述项目以外的其他政府办公厅（室）及相关机构事务支出。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12.一般公共服务支出（201）财政事务（20106）事业运行（2010650）：反映事业单位的基本支出，不包括行政单位（包括实行公务员管理的事业单位）后勤服务中心、医务室等附属事业单位。</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13.一般公共服务支出（201）党委办公厅（室）及相关机构事务（20131）行政运行（2013101）：反映行政单位（包括实行公务员管理的事业单位）的基本支出。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14.国防支出（203）国防动员（20306）民兵（2030607）:反映用于民兵建设与管理等方面的支出。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15.文化旅游体育与传媒支出（207）其他文化旅游体育与传媒支出（20799）其他文化旅游体育与传媒支出（2079999）:反映除上述项目以外其他用于文化旅游体育与传媒方面的支出。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16.社会保障和就业支出（208）行政事业单位养老支出（20805）机关事业单位基本养老保险缴费支出（2080505）：反映机关事业单位实施养老保险制度由单位缴纳的基本养老保险费支出。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17.社会保障和就业支出（208）行政事业单位养老支出（20805）机关事业单位职业年金缴费支出（2080506）:反映机关事业单位实施养老保险制度由单位实际缴纳的职业年金支出。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18.社会保障和就业支出（208）社会福利（20810）老年福利（2081002）：反映对老年人提供福利服务方面的支出，包括为经济困难的高龄、失能等老年人提供基本养老服务保障的资金补助等支出。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19.社会保障和就业支出（208）社会福利（20810）养老服务（2081006）：反映财政在养老服务方面的补助支出，包括支持居家养老服务、社区养老服务和机构养老服务的支出，对养老服务机构的运营、建设补助支出等，不包括对社会福利事业单位的补助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20.卫生健康支出（210）行政事业单位医疗（21011）行政单位医疗（2101101）：反映财政部门安排的行政单位（包括实行公务员管理的事业单位，下同）基本医疗保险缴费经费，未参加医疗保险的行政单位的公费医疗经费，按国家规定享受离休人员、红军老战士待遇人员的医疗经费。</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21.卫生健康支出（210）行政事业单位医疗（21011）事业单位医疗（2101102）：反映财政部门安排的事业单位基本医疗保险缴费经费，未参加医疗保险的事业单位的公费医疗经费，按国家规定享受离休人员待遇的医疗经费。</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22.节能环保支出（211）其他节能环保支出（21199）其他节能环保支出（2119999）：反映除上述项目以外其他用于节能环保方面的支出。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23.农林水支出（213）农业农村（21301）事业运行（2130104）：反映用于农业事业单位基本支出，事业单位设施、系统运行与资产维护等方面的支出。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24.农林水支出（213）扶贫（21305）农村基础设施建设（2130504）:反映用于农村贫困地区乡村道路、住房、基本农田、水利设施、人畜饮水、生态环境保护等生产生活条件改善方面的支出。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25. 农林水支出（213）扶贫（21305）社会发展（2130506）:反映用于农村欠发达地区小学教育、文化、广播、电视、卫生健康等方面的项目支出。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26.农林水支出（213）扶贫（21305）其他扶贫支出（2130599）:反映除上述项目以外其他用于扶贫方面的支出。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27.农林水支出（213）农村综合改革（21307）对村民委员会和村党支部的补助（2130705）：反映各级财政对村民委员会和村党支部的补助支出，以及支持建立县级基本财力保障机制安排的村级组织运转奖补资金。</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28.住房保障支出（221）住房改革支出（22102）住房公积金（2210201）：反映行政事业单位按人力资源和社会保障部、财政部规定的基本工资和津贴补贴以及规定比例为职工缴纳的住房公积金。</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29.住房保障支出（221）住房改革支出（22102）购房补贴（2210203）：反映按房改政策规定，行政事业单位向符合条件职工（含离退休人员）、军队（含武警）向转役复员离退休人员发放的用于购买住房的补贴。</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30.其他支出（229）其他支出（22999）其他支出（2299999）:反映单位的其他支出。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31.基本支出：指为保障机构正常运转、完成日常工作任务而发生的人员支出和公用支出。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32.项目支出：指在基本支出之外为完成特定行政任务和事业发展目标所发生的支出。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33.经营支出：指事业单位在专业业务活动及其辅助活动之外开展非独立核算经营活动发生的支出。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3"/>
        <w:widowControl/>
        <w:spacing w:before="0" w:beforeAutospacing="0" w:after="0" w:afterAutospacing="0" w:line="576" w:lineRule="exact"/>
        <w:ind w:firstLine="640" w:firstLineChars="200"/>
        <w:rPr>
          <w:rFonts w:ascii="仿宋_GB2312" w:eastAsia="仿宋_GB2312"/>
          <w:sz w:val="32"/>
          <w:szCs w:val="32"/>
        </w:rPr>
      </w:pPr>
      <w:r>
        <w:rPr>
          <w:rFonts w:hint="eastAsia" w:ascii="仿宋_GB2312" w:eastAsia="仿宋_GB2312"/>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3"/>
        <w:widowControl/>
        <w:spacing w:before="0" w:beforeAutospacing="0" w:after="0" w:afterAutospacing="0" w:line="576" w:lineRule="exact"/>
        <w:ind w:firstLine="640" w:firstLineChars="200"/>
        <w:rPr>
          <w:rFonts w:ascii="仿宋_GB2312" w:eastAsia="仿宋_GB2312"/>
          <w:sz w:val="32"/>
          <w:szCs w:val="32"/>
        </w:rPr>
      </w:pPr>
    </w:p>
    <w:p>
      <w:pPr>
        <w:pStyle w:val="13"/>
        <w:widowControl/>
        <w:spacing w:before="0" w:beforeAutospacing="0" w:after="0" w:afterAutospacing="0" w:line="576" w:lineRule="exact"/>
        <w:jc w:val="center"/>
        <w:outlineLvl w:val="0"/>
        <w:rPr>
          <w:rFonts w:ascii="方正小标宋简体" w:hAnsi="方正小标宋简体" w:eastAsia="方正小标宋简体" w:cs="方正小标宋简体"/>
          <w:color w:val="000000"/>
          <w:kern w:val="2"/>
          <w:sz w:val="44"/>
          <w:szCs w:val="44"/>
        </w:rPr>
      </w:pPr>
      <w:bookmarkStart w:id="37" w:name="_Toc30722"/>
      <w:r>
        <w:rPr>
          <w:rFonts w:hint="eastAsia" w:ascii="方正小标宋简体" w:hAnsi="方正小标宋简体" w:eastAsia="方正小标宋简体" w:cs="方正小标宋简体"/>
          <w:color w:val="000000"/>
          <w:kern w:val="2"/>
          <w:sz w:val="44"/>
          <w:szCs w:val="44"/>
        </w:rPr>
        <w:t>第四部分 附件</w:t>
      </w:r>
      <w:bookmarkEnd w:id="37"/>
    </w:p>
    <w:p>
      <w:pPr>
        <w:spacing w:line="576" w:lineRule="exact"/>
        <w:jc w:val="left"/>
        <w:outlineLvl w:val="0"/>
        <w:rPr>
          <w:rFonts w:ascii="黑体" w:hAnsi="Times New Roman" w:eastAsia="黑体" w:cs="黑体"/>
          <w:sz w:val="32"/>
          <w:szCs w:val="32"/>
        </w:rPr>
      </w:pPr>
      <w:bookmarkStart w:id="38" w:name="_Toc682"/>
      <w:r>
        <w:rPr>
          <w:rFonts w:hint="eastAsia" w:ascii="黑体" w:hAnsi="Times New Roman" w:eastAsia="黑体" w:cs="黑体"/>
          <w:sz w:val="32"/>
          <w:szCs w:val="32"/>
        </w:rPr>
        <w:t>附件1</w:t>
      </w:r>
      <w:bookmarkEnd w:id="38"/>
    </w:p>
    <w:p>
      <w:pPr>
        <w:pStyle w:val="26"/>
        <w:spacing w:line="576" w:lineRule="exact"/>
        <w:jc w:val="center"/>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茂县叠溪镇人民政府</w:t>
      </w:r>
    </w:p>
    <w:p>
      <w:pPr>
        <w:pStyle w:val="26"/>
        <w:spacing w:line="576" w:lineRule="exact"/>
        <w:jc w:val="center"/>
        <w:rPr>
          <w:rFonts w:hint="eastAsia" w:ascii="方正小标宋简体" w:hAnsi="宋体" w:eastAsia="方正小标宋简体"/>
          <w:sz w:val="44"/>
          <w:szCs w:val="44"/>
          <w:lang w:val="en-US"/>
        </w:rPr>
      </w:pPr>
      <w:r>
        <w:rPr>
          <w:rFonts w:hint="eastAsia" w:ascii="方正小标宋简体" w:hAnsi="宋体" w:eastAsia="方正小标宋简体"/>
          <w:sz w:val="44"/>
          <w:szCs w:val="44"/>
          <w:lang w:val="en-US"/>
        </w:rPr>
        <w:t>2022年部门整体绩效评价报告</w:t>
      </w:r>
    </w:p>
    <w:p>
      <w:pPr>
        <w:widowControl/>
        <w:adjustRightInd w:val="0"/>
        <w:snapToGrid w:val="0"/>
        <w:spacing w:line="576"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一、基本情况</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widowControl/>
        <w:adjustRightInd w:val="0"/>
        <w:snapToGrid w:val="0"/>
        <w:spacing w:line="576" w:lineRule="exact"/>
        <w:ind w:firstLine="640" w:firstLineChars="200"/>
        <w:contextualSpacing/>
        <w:jc w:val="both"/>
        <w:rPr>
          <w:rFonts w:hint="eastAsia" w:ascii="仿宋_GB2312" w:hAnsi="仿宋_GB2312" w:eastAsia="仿宋_GB2312" w:cs="仿宋_GB2312"/>
          <w:sz w:val="32"/>
          <w:szCs w:val="32"/>
          <w:lang w:val="zh-CN"/>
        </w:rPr>
      </w:pPr>
      <w:r>
        <w:rPr>
          <w:rFonts w:hint="eastAsia" w:ascii="仿宋_GB2312" w:hAnsi="仿宋" w:eastAsia="仿宋_GB2312" w:cs="仿宋_GB2312"/>
          <w:color w:val="000000"/>
          <w:sz w:val="32"/>
          <w:szCs w:val="32"/>
          <w:shd w:val="clear" w:color="auto" w:fill="FFFFFF"/>
          <w:lang w:val="zh-CN"/>
        </w:rPr>
        <w:t>茂县叠溪镇人民政府内设机构</w:t>
      </w:r>
      <w:r>
        <w:rPr>
          <w:rFonts w:hint="eastAsia" w:ascii="仿宋_GB2312" w:hAnsi="仿宋" w:eastAsia="仿宋_GB2312" w:cs="仿宋_GB2312"/>
          <w:color w:val="000000"/>
          <w:sz w:val="32"/>
          <w:szCs w:val="32"/>
          <w:shd w:val="clear" w:color="auto" w:fill="FFFFFF"/>
        </w:rPr>
        <w:t>7个办公室，</w:t>
      </w:r>
      <w:r>
        <w:rPr>
          <w:rFonts w:hint="eastAsia" w:ascii="仿宋_GB2312" w:hAnsi="仿宋_GB2312" w:eastAsia="仿宋_GB2312" w:cs="仿宋_GB2312"/>
          <w:sz w:val="32"/>
          <w:szCs w:val="32"/>
          <w:lang w:val="zh-CN"/>
        </w:rPr>
        <w:t>事业机构4个</w:t>
      </w:r>
      <w:r>
        <w:rPr>
          <w:rFonts w:hint="eastAsia" w:ascii="仿宋_GB2312" w:hAnsi="仿宋" w:eastAsia="仿宋_GB2312" w:cs="仿宋_GB2312"/>
          <w:color w:val="000000"/>
          <w:sz w:val="32"/>
          <w:szCs w:val="32"/>
          <w:shd w:val="clear" w:color="auto" w:fill="FFFFFF"/>
        </w:rPr>
        <w:t>。分别是</w:t>
      </w:r>
      <w:r>
        <w:rPr>
          <w:rFonts w:hint="eastAsia" w:ascii="仿宋_GB2312" w:hAnsi="仿宋_GB2312" w:eastAsia="仿宋_GB2312" w:cs="仿宋_GB2312"/>
          <w:sz w:val="32"/>
          <w:szCs w:val="32"/>
        </w:rPr>
        <w:t>：(1)叠溪镇党政办公室,(2)叠溪镇党建工作办公室,(3)叠溪镇维护稳定和综合行政执法办公室,(4)叠溪镇经济发展和乡村振兴办公室,(5)叠溪镇社会事务办公室,(6)叠溪镇生态环境和应急管理办公室,(7)叠溪镇财经审查工作办公室,(8)叠溪镇便民服务中心,(9)叠溪镇经济发展服务中心,(10)叠溪镇农业农村服务中心,(11)叠溪镇综合文化服务中心。</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（二）机构职能和人员概况</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5.按照干部管理权限，负责对干部的教育、培训、选拔、考核和监督工作。协助管理县级有关部门驻镇单位的干部。做好人才服务和引进工作。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制定辖区经济和社会发展规划、公共服务设施布局;负责乡村振兴工作，做好民生保障、扶贫开发、民族宗教等工作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推动辖区经济社会健康、有序、可持续发展。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w:t>
      </w:r>
      <w:r>
        <w:rPr>
          <w:rFonts w:hint="eastAsia" w:ascii="仿宋_GB2312" w:hAnsi="仿宋_GB2312" w:eastAsia="仿宋_GB2312" w:cs="仿宋_GB2312"/>
          <w:sz w:val="32"/>
          <w:szCs w:val="32"/>
          <w:lang w:val="en-US" w:eastAsia="zh-CN"/>
        </w:rPr>
        <w:t>台</w:t>
      </w:r>
      <w:r>
        <w:rPr>
          <w:rFonts w:hint="eastAsia" w:ascii="仿宋_GB2312" w:hAnsi="仿宋_GB2312" w:eastAsia="仿宋_GB2312" w:cs="仿宋_GB2312"/>
          <w:sz w:val="32"/>
          <w:szCs w:val="32"/>
        </w:rPr>
        <w:t>，组织群众和单位参与村委会建设和管理。负责统筹协调辖区内依法授权或委托授权的行政执法工作。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11.完成县委、县人民政府交办的其他任务。</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（三）年度主要工作任务</w:t>
      </w:r>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1.疫情防控成效显著。</w:t>
      </w:r>
      <w:r>
        <w:rPr>
          <w:rFonts w:hint="eastAsia" w:ascii="仿宋_GB2312" w:hAnsi="仿宋_GB2312" w:eastAsia="仿宋_GB2312" w:cs="仿宋_GB2312"/>
          <w:sz w:val="32"/>
          <w:szCs w:val="32"/>
        </w:rPr>
        <w:t>扎实筑牢疫情防控的防护墙。设立县级防疫卡点1处，组建由乡镇干部职工、公安、交警、卫生院、村干部及普通党员、志愿者组成的24小时工作专班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截至今年10月，全镇应接种人数6345人，已接种人数6126余人，未接种（因病暂缓或禁忌症）219人，全镇接种率达到96%，自开展全员核酸以来，共组织全员核酸检测14次，累计采样达61204人次。</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2.经济发展提质增效。</w:t>
      </w:r>
      <w:r>
        <w:rPr>
          <w:rFonts w:hint="eastAsia" w:ascii="仿宋_GB2312" w:hAnsi="Times New Roman" w:eastAsia="仿宋_GB2312"/>
          <w:b/>
          <w:bCs/>
          <w:sz w:val="32"/>
          <w:szCs w:val="32"/>
        </w:rPr>
        <w:t>一是</w:t>
      </w:r>
      <w:r>
        <w:rPr>
          <w:rFonts w:hint="eastAsia" w:ascii="仿宋_GB2312" w:hAnsi="仿宋_GB2312" w:eastAsia="仿宋_GB2312" w:cs="仿宋_GB2312"/>
          <w:sz w:val="32"/>
          <w:szCs w:val="32"/>
        </w:rPr>
        <w:t>以乡村振兴为抓手，夯基固本，争取项目支持。2022年实施乡村振兴项目共计20个，涉及9村，投入资金2375.34万元</w:t>
      </w:r>
      <w:r>
        <w:rPr>
          <w:rFonts w:hint="eastAsia" w:ascii="仿宋_GB2312" w:hAnsi="Times New Roman" w:eastAsia="仿宋_GB2312"/>
          <w:sz w:val="32"/>
          <w:szCs w:val="32"/>
        </w:rPr>
        <w:t>。</w:t>
      </w:r>
      <w:r>
        <w:rPr>
          <w:rFonts w:hint="eastAsia" w:ascii="仿宋_GB2312" w:hAnsi="Times New Roman" w:eastAsia="仿宋_GB2312"/>
          <w:b/>
          <w:bCs/>
          <w:sz w:val="32"/>
          <w:szCs w:val="32"/>
        </w:rPr>
        <w:t>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以发展特色产业为抓手，赓续造血，推动农民增收。培育农村新型经营主体，成立专业合作社，着力打造产业园、示范园、</w:t>
      </w:r>
      <w:r>
        <w:rPr>
          <w:rFonts w:hint="eastAsia" w:ascii="仿宋_GB2312" w:hAnsi="Times New Roman" w:eastAsia="仿宋_GB2312"/>
          <w:sz w:val="32"/>
          <w:szCs w:val="32"/>
        </w:rPr>
        <w:t>生态绿色蔬菜、水果基地等，并培育更多诸如羌脆李、大红袍花的地理标志产品。</w:t>
      </w:r>
    </w:p>
    <w:p>
      <w:pPr>
        <w:spacing w:line="576" w:lineRule="exact"/>
        <w:ind w:firstLine="643" w:firstLineChars="200"/>
        <w:rPr>
          <w:rFonts w:hint="eastAsia" w:ascii="仿宋_GB2312" w:hAnsi="Times New Roman" w:eastAsia="仿宋_GB2312"/>
          <w:sz w:val="32"/>
          <w:szCs w:val="32"/>
          <w:lang w:eastAsia="zh-CN"/>
        </w:rPr>
      </w:pPr>
      <w:r>
        <w:rPr>
          <w:rFonts w:hint="eastAsia" w:ascii="仿宋_GB2312" w:hAnsi="仿宋_GB2312" w:eastAsia="仿宋_GB2312" w:cs="仿宋_GB2312"/>
          <w:b/>
          <w:bCs/>
          <w:sz w:val="32"/>
          <w:szCs w:val="32"/>
        </w:rPr>
        <w:t>3.护林防火卓有成效。</w:t>
      </w:r>
      <w:r>
        <w:rPr>
          <w:rFonts w:hint="eastAsia" w:ascii="仿宋_GB2312" w:hAnsi="Times New Roman" w:eastAsia="仿宋_GB2312"/>
          <w:sz w:val="32"/>
          <w:szCs w:val="32"/>
        </w:rPr>
        <w:t>认真贯彻落实各级森防指办有关文件要求，坚持“预防为主，防治结合”的方针；坚持高度戒备，警钟长鸣，抢前抓早，常抓不懈。成立地方半专业扑火队伍1支，成立地方早起火情紧急处置应急队伍14支；重新修订《茂县叠溪镇森林草原防灭火应急处置方案》</w:t>
      </w:r>
      <w:r>
        <w:rPr>
          <w:rFonts w:hint="eastAsia" w:ascii="仿宋_GB2312" w:hAnsi="Times New Roman" w:eastAsia="仿宋_GB2312"/>
          <w:sz w:val="32"/>
          <w:szCs w:val="32"/>
          <w:lang w:eastAsia="zh-CN"/>
        </w:rPr>
        <w:t>。</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4.全面守牢安全防线。</w:t>
      </w:r>
      <w:r>
        <w:rPr>
          <w:rFonts w:hint="eastAsia" w:ascii="仿宋_GB2312" w:hAnsi="Times New Roman" w:eastAsia="仿宋_GB2312"/>
          <w:b/>
          <w:bCs/>
          <w:sz w:val="32"/>
          <w:szCs w:val="32"/>
        </w:rPr>
        <w:t>一是</w:t>
      </w:r>
      <w:r>
        <w:rPr>
          <w:rFonts w:hint="eastAsia" w:ascii="仿宋_GB2312" w:hAnsi="Times New Roman" w:eastAsia="仿宋_GB2312"/>
          <w:sz w:val="32"/>
          <w:szCs w:val="32"/>
        </w:rPr>
        <w:t>专题研究安全生产及防汛工作会议14次，组织学习</w:t>
      </w:r>
      <w:r>
        <w:rPr>
          <w:rFonts w:hint="eastAsia" w:ascii="仿宋_GB2312" w:hAnsi="仿宋_GB2312" w:eastAsia="仿宋_GB2312" w:cs="仿宋_GB2312"/>
          <w:sz w:val="32"/>
          <w:szCs w:val="32"/>
        </w:rPr>
        <w:t>贯彻省州县关于安全生产工作的会议精神20余次，全面贯彻落实新《中华人民共和国安全生产法》。</w:t>
      </w:r>
      <w:r>
        <w:rPr>
          <w:rFonts w:hint="eastAsia" w:ascii="仿宋_GB2312" w:hAnsi="Times New Roman" w:eastAsia="仿宋_GB2312"/>
          <w:b/>
          <w:bCs/>
          <w:sz w:val="32"/>
          <w:szCs w:val="32"/>
        </w:rPr>
        <w:t>二是</w:t>
      </w:r>
      <w:r>
        <w:rPr>
          <w:rFonts w:hint="eastAsia" w:ascii="仿宋_GB2312" w:hAnsi="Times New Roman" w:eastAsia="仿宋_GB2312"/>
          <w:sz w:val="32"/>
          <w:szCs w:val="32"/>
        </w:rPr>
        <w:t>加强各行业重点领域安全大检查。协同县安办、综合执法等部门对全镇企业、学校、景区等重点单位场所开展安全大检查10余次，排查和整改各类隐患70余个。</w:t>
      </w:r>
    </w:p>
    <w:p>
      <w:pPr>
        <w:spacing w:line="576" w:lineRule="exact"/>
        <w:ind w:firstLine="643" w:firstLineChars="200"/>
        <w:rPr>
          <w:rFonts w:hint="eastAsia" w:ascii="仿宋_GB2312" w:hAnsi="Times New Roman" w:eastAsia="仿宋_GB2312"/>
          <w:sz w:val="32"/>
          <w:szCs w:val="32"/>
        </w:rPr>
      </w:pPr>
      <w:r>
        <w:rPr>
          <w:rFonts w:hint="eastAsia" w:ascii="仿宋_GB2312" w:hAnsi="仿宋_GB2312" w:eastAsia="仿宋_GB2312" w:cs="仿宋_GB2312"/>
          <w:b/>
          <w:bCs/>
          <w:sz w:val="32"/>
          <w:szCs w:val="32"/>
        </w:rPr>
        <w:t>5.社会事业协调发展，民生更有保障。</w:t>
      </w:r>
      <w:r>
        <w:rPr>
          <w:rFonts w:hint="eastAsia" w:ascii="仿宋_GB2312" w:hAnsi="Times New Roman" w:eastAsia="仿宋_GB2312"/>
          <w:b/>
          <w:bCs/>
          <w:sz w:val="32"/>
          <w:szCs w:val="32"/>
        </w:rPr>
        <w:t>一是</w:t>
      </w:r>
      <w:r>
        <w:rPr>
          <w:rFonts w:hint="eastAsia" w:ascii="仿宋_GB2312" w:hAnsi="Times New Roman" w:eastAsia="仿宋_GB2312"/>
          <w:sz w:val="32"/>
          <w:szCs w:val="32"/>
        </w:rPr>
        <w:t>顺利完成2022年度城乡居民医疗保险的征缴任务，2022年参保人数8160人。</w:t>
      </w:r>
      <w:r>
        <w:rPr>
          <w:rFonts w:hint="eastAsia" w:ascii="仿宋_GB2312" w:hAnsi="Times New Roman" w:eastAsia="仿宋_GB2312"/>
          <w:b/>
          <w:bCs/>
          <w:sz w:val="32"/>
          <w:szCs w:val="32"/>
        </w:rPr>
        <w:t>二是</w:t>
      </w:r>
      <w:r>
        <w:rPr>
          <w:rFonts w:hint="eastAsia" w:ascii="仿宋_GB2312" w:hAnsi="Times New Roman" w:eastAsia="仿宋_GB2312"/>
          <w:sz w:val="32"/>
          <w:szCs w:val="32"/>
        </w:rPr>
        <w:t>完成13个村代办点建设，规章制度上墙，窗口服务质量明显改善。</w:t>
      </w:r>
      <w:r>
        <w:rPr>
          <w:rFonts w:hint="eastAsia" w:ascii="仿宋_GB2312" w:hAnsi="Times New Roman" w:eastAsia="仿宋_GB2312"/>
          <w:b/>
          <w:bCs/>
          <w:sz w:val="32"/>
          <w:szCs w:val="32"/>
        </w:rPr>
        <w:t>三是</w:t>
      </w:r>
      <w:r>
        <w:rPr>
          <w:rFonts w:hint="eastAsia" w:ascii="仿宋_GB2312" w:hAnsi="Times New Roman" w:eastAsia="仿宋_GB2312"/>
          <w:sz w:val="32"/>
          <w:szCs w:val="32"/>
        </w:rPr>
        <w:t>2022年我镇安置公益性岗位52人，包含脱贫户49人，一般人员3人。</w:t>
      </w:r>
      <w:r>
        <w:rPr>
          <w:rFonts w:hint="eastAsia" w:ascii="仿宋_GB2312" w:hAnsi="Times New Roman" w:eastAsia="仿宋_GB2312"/>
          <w:b/>
          <w:bCs/>
          <w:sz w:val="32"/>
          <w:szCs w:val="32"/>
        </w:rPr>
        <w:t>四是</w:t>
      </w:r>
      <w:r>
        <w:rPr>
          <w:rFonts w:hint="eastAsia" w:ascii="仿宋_GB2312" w:hAnsi="Times New Roman" w:eastAsia="仿宋_GB2312"/>
          <w:sz w:val="32"/>
          <w:szCs w:val="32"/>
        </w:rPr>
        <w:t>通过网络调查问卷、东西部对口帮扶“平茂互助”等渠道输送4名劳务工作者到浙江平湖市务工，解决就业问题。</w:t>
      </w:r>
    </w:p>
    <w:p>
      <w:pPr>
        <w:spacing w:line="576" w:lineRule="exact"/>
        <w:ind w:firstLine="643" w:firstLineChars="200"/>
        <w:rPr>
          <w:rFonts w:ascii="楷体_GB2312" w:hAnsi="楷体_GB2312" w:eastAsia="楷体_GB2312" w:cs="楷体_GB2312"/>
          <w:b/>
          <w:bCs/>
          <w:sz w:val="32"/>
          <w:szCs w:val="32"/>
        </w:rPr>
      </w:pPr>
      <w:r>
        <w:rPr>
          <w:rFonts w:hint="eastAsia" w:ascii="仿宋_GB2312" w:hAnsi="仿宋_GB2312" w:eastAsia="仿宋_GB2312" w:cs="仿宋_GB2312"/>
          <w:b/>
          <w:bCs/>
          <w:sz w:val="32"/>
          <w:szCs w:val="32"/>
        </w:rPr>
        <w:t>6.廉政更加透明，平安建设不断深化。一是</w:t>
      </w:r>
      <w:r>
        <w:rPr>
          <w:rFonts w:hint="eastAsia" w:ascii="仿宋_GB2312" w:hAnsi="仿宋_GB2312" w:eastAsia="仿宋_GB2312" w:cs="仿宋_GB2312"/>
          <w:sz w:val="32"/>
          <w:szCs w:val="32"/>
        </w:rPr>
        <w:t>建立健全廉政责任机制，旗帜鲜明反腐败斗争。2022年全镇召开党风廉政专题会议4次，专题研究纪委工作3次。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持续深化平安建设。</w:t>
      </w:r>
      <w:r>
        <w:rPr>
          <w:rFonts w:hint="eastAsia" w:ascii="仿宋_GB2312" w:hAnsi="仿宋_GB2312" w:eastAsia="仿宋_GB2312" w:cs="仿宋_GB2312"/>
          <w:kern w:val="0"/>
          <w:sz w:val="32"/>
          <w:szCs w:val="32"/>
        </w:rPr>
        <w:t>11名镇科级领导全覆盖包联开放性寺庙和民间信仰场所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开展禁毒、反电信诈骗、反养老诈骗、森林草原防灭火、疫情防控等法律讲堂65次。</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（四）部门整体支出绩效目标</w:t>
      </w:r>
    </w:p>
    <w:p>
      <w:pPr>
        <w:widowControl/>
        <w:adjustRightInd w:val="0"/>
        <w:snapToGrid w:val="0"/>
        <w:spacing w:line="576" w:lineRule="exact"/>
        <w:ind w:firstLine="640" w:firstLineChars="200"/>
        <w:contextualSpacing/>
        <w:jc w:val="left"/>
        <w:rPr>
          <w:rFonts w:ascii="仿宋_GB2312" w:hAnsi="Times New Roman" w:eastAsia="仿宋_GB2312" w:cs="宋体"/>
          <w:color w:val="000000"/>
          <w:kern w:val="0"/>
          <w:sz w:val="32"/>
          <w:szCs w:val="32"/>
          <w:shd w:val="clear" w:color="auto" w:fill="FFFFFF"/>
          <w:lang w:val="zh-CN"/>
        </w:rPr>
      </w:pPr>
      <w:r>
        <w:rPr>
          <w:rFonts w:hint="eastAsia" w:ascii="仿宋_GB2312" w:eastAsia="仿宋_GB2312" w:cs="仿宋"/>
          <w:color w:val="000000"/>
          <w:kern w:val="0"/>
          <w:sz w:val="32"/>
          <w:szCs w:val="32"/>
        </w:rPr>
        <w:t>通过上级部门及本级财政部门的评估检</w:t>
      </w:r>
      <w:r>
        <w:rPr>
          <w:rFonts w:hint="eastAsia" w:ascii="宋体" w:hAnsi="宋体" w:cs="宋体"/>
          <w:color w:val="000000"/>
          <w:kern w:val="0"/>
          <w:sz w:val="32"/>
          <w:szCs w:val="32"/>
        </w:rPr>
        <w:t>査</w:t>
      </w:r>
      <w:r>
        <w:rPr>
          <w:rFonts w:hint="eastAsia" w:ascii="仿宋_GB2312" w:hAnsi="仿宋_GB2312" w:eastAsia="仿宋_GB2312" w:cs="仿宋_GB2312"/>
          <w:color w:val="000000"/>
          <w:kern w:val="0"/>
          <w:sz w:val="32"/>
          <w:szCs w:val="32"/>
        </w:rPr>
        <w:t>，本单位财务职责履行结果良好，重点项目绩效评</w:t>
      </w:r>
      <w:r>
        <w:rPr>
          <w:rFonts w:hint="eastAsia" w:ascii="宋体" w:hAnsi="宋体" w:cs="宋体"/>
          <w:color w:val="000000"/>
          <w:kern w:val="0"/>
          <w:sz w:val="32"/>
          <w:szCs w:val="32"/>
        </w:rPr>
        <w:t>佔</w:t>
      </w:r>
      <w:r>
        <w:rPr>
          <w:rFonts w:hint="eastAsia" w:ascii="仿宋_GB2312" w:hAnsi="仿宋_GB2312" w:eastAsia="仿宋_GB2312" w:cs="仿宋_GB2312"/>
          <w:color w:val="000000"/>
          <w:kern w:val="0"/>
          <w:sz w:val="32"/>
          <w:szCs w:val="32"/>
        </w:rPr>
        <w:t>良好，服务对象及满意度得到上级部门及本</w:t>
      </w:r>
      <w:r>
        <w:rPr>
          <w:rFonts w:hint="eastAsia" w:ascii="宋体" w:hAnsi="宋体" w:cs="宋体"/>
          <w:color w:val="000000"/>
          <w:kern w:val="0"/>
          <w:sz w:val="32"/>
          <w:szCs w:val="32"/>
        </w:rPr>
        <w:t>級</w:t>
      </w:r>
      <w:r>
        <w:rPr>
          <w:rFonts w:hint="eastAsia" w:ascii="仿宋_GB2312" w:hAnsi="仿宋_GB2312" w:eastAsia="仿宋_GB2312" w:cs="仿宋_GB2312"/>
          <w:color w:val="000000"/>
          <w:kern w:val="0"/>
          <w:sz w:val="32"/>
          <w:szCs w:val="32"/>
        </w:rPr>
        <w:t>部门的肯</w:t>
      </w:r>
      <w:r>
        <w:rPr>
          <w:rFonts w:hint="eastAsia" w:ascii="仿宋_GB2312" w:eastAsia="仿宋_GB2312" w:cs="仿宋"/>
          <w:color w:val="000000"/>
          <w:kern w:val="0"/>
          <w:sz w:val="32"/>
          <w:szCs w:val="32"/>
        </w:rPr>
        <w:t>定，整体结果良好。2022年全年，我单位共计支出项目资金701.85万元。</w:t>
      </w:r>
    </w:p>
    <w:p>
      <w:pPr>
        <w:widowControl/>
        <w:adjustRightInd w:val="0"/>
        <w:snapToGrid w:val="0"/>
        <w:spacing w:line="576"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二、部门财政资金收支情况</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2022年收入1782.38万元，其中：一般公共预算财政拨款收入1758.85万元，政府性基金预算财政拨款收入23.53万元。</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（二）部门财政资金支出情况</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2022年叠溪镇人民政府支出总额为1782.38万元，其中：当年财政基本支出1080.53万元，项目支出701.85万元。按功能分：一般公共服务支出500.94万元，社会保障和就业支119.59万元，卫生健康支出61.47万元，城乡社区支出23.53万元，农林水事务支出1001.24万元，住房保障支出75.61万元。</w:t>
      </w:r>
    </w:p>
    <w:p>
      <w:pPr>
        <w:widowControl/>
        <w:adjustRightInd w:val="0"/>
        <w:snapToGrid w:val="0"/>
        <w:spacing w:line="576" w:lineRule="exact"/>
        <w:ind w:firstLine="640" w:firstLineChars="200"/>
        <w:contextualSpacing/>
        <w:jc w:val="left"/>
        <w:rPr>
          <w:rFonts w:ascii="黑体" w:hAnsi="Times New Roman" w:eastAsia="黑体" w:cs="宋体"/>
          <w:color w:val="000000"/>
          <w:kern w:val="0"/>
          <w:sz w:val="32"/>
          <w:szCs w:val="32"/>
          <w:shd w:val="clear" w:color="auto" w:fill="FFFFFF"/>
        </w:rPr>
      </w:pPr>
      <w:r>
        <w:rPr>
          <w:rFonts w:hint="eastAsia" w:ascii="黑体" w:hAnsi="Times New Roman" w:eastAsia="黑体" w:cs="宋体"/>
          <w:color w:val="000000"/>
          <w:kern w:val="0"/>
          <w:sz w:val="32"/>
          <w:szCs w:val="32"/>
          <w:shd w:val="clear" w:color="auto" w:fill="FFFFFF"/>
        </w:rPr>
        <w:t>三、部门整体预算绩效管理情况</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（一）部门预算项目绩效管理</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严格按照县级部门预算编制通知和有关要求，按时完成基础库、项目库报送工作，按时完成2022年预算编制工作，并按时提交部门预算草案。按规定编制政府采购预算，预算编制全面、科学。2022年部门决算、绩效目标填报及年末结余结转都是严格按照县财政局的要求认真完成。 </w:t>
      </w:r>
    </w:p>
    <w:p>
      <w:pPr>
        <w:widowControl/>
        <w:adjustRightInd w:val="0"/>
        <w:snapToGrid w:val="0"/>
        <w:spacing w:line="576" w:lineRule="exact"/>
        <w:ind w:firstLine="640" w:firstLineChars="200"/>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决算编制：2022年12月对全年收支进行决算：2022年收入1782.38万元，其中：一般公共预算财政拨款收入1758.85万元，政府性基金预算财政拨款收入23.53万元。</w:t>
      </w:r>
    </w:p>
    <w:p>
      <w:pPr>
        <w:widowControl/>
        <w:adjustRightInd w:val="0"/>
        <w:snapToGrid w:val="0"/>
        <w:spacing w:line="576" w:lineRule="exact"/>
        <w:ind w:firstLine="640" w:firstLineChars="200"/>
        <w:jc w:val="both"/>
        <w:rPr>
          <w:rFonts w:ascii="仿宋_GB2312" w:eastAsia="仿宋_GB2312" w:cs="仿宋"/>
          <w:color w:val="000000"/>
          <w:kern w:val="0"/>
          <w:sz w:val="32"/>
          <w:szCs w:val="32"/>
        </w:rPr>
      </w:pPr>
      <w:r>
        <w:rPr>
          <w:rFonts w:hint="eastAsia" w:ascii="仿宋_GB2312" w:eastAsia="仿宋_GB2312" w:cs="仿宋"/>
          <w:color w:val="000000"/>
          <w:kern w:val="0"/>
          <w:sz w:val="32"/>
          <w:szCs w:val="32"/>
        </w:rPr>
        <w:t>支出总额为1782.38万元，其中：当年财政基本支出1080.53万元，项目支出701.85万元。按功能分：一般公共服务支出500.94万元，社会保障和就业支119.59万元，卫生健康支出61.47万元，城乡社区支出23.53万元，农林水事务支出1001.24万元，住房保障支出75.61万元。</w:t>
      </w:r>
    </w:p>
    <w:p>
      <w:pPr>
        <w:widowControl/>
        <w:adjustRightInd w:val="0"/>
        <w:snapToGrid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我镇按照县财政的要求，及时分月、分季度上报相应计划，待财政审核通过后，严格按计划执行，各季度执行情况良好。</w:t>
      </w:r>
    </w:p>
    <w:p>
      <w:pPr>
        <w:spacing w:line="576" w:lineRule="exact"/>
        <w:ind w:firstLine="640" w:firstLineChars="200"/>
      </w:pPr>
      <w:r>
        <w:rPr>
          <w:rFonts w:hint="eastAsia" w:ascii="仿宋_GB2312" w:hAnsi="仿宋_GB2312" w:eastAsia="仿宋_GB2312" w:cs="仿宋_GB2312"/>
          <w:sz w:val="32"/>
          <w:szCs w:val="32"/>
        </w:rPr>
        <w:t>基本支出2022年按月或季度进行申报，其中人员工资按月申报并直接支付，日常公用经费按季度进行申报并支付， 12月执行进度100%。项目支出按月申报并直接支付，1-12月执行进度97%。</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（二）结果应用情况</w:t>
      </w:r>
    </w:p>
    <w:p>
      <w:pPr>
        <w:widowControl/>
        <w:adjustRightInd w:val="0"/>
        <w:snapToGrid w:val="0"/>
        <w:spacing w:line="576" w:lineRule="exact"/>
        <w:ind w:firstLine="640" w:firstLineChars="200"/>
        <w:jc w:val="both"/>
        <w:rPr>
          <w:rFonts w:ascii="仿宋_GB2312" w:eastAsia="仿宋_GB2312" w:cs="仿宋"/>
          <w:color w:val="000000"/>
          <w:kern w:val="0"/>
          <w:sz w:val="32"/>
          <w:szCs w:val="32"/>
        </w:rPr>
      </w:pPr>
      <w:r>
        <w:rPr>
          <w:rFonts w:hint="eastAsia" w:ascii="仿宋_GB2312" w:hAnsi="仿宋_GB2312" w:eastAsia="仿宋_GB2312" w:cs="仿宋_GB2312"/>
          <w:sz w:val="32"/>
          <w:szCs w:val="32"/>
        </w:rPr>
        <w:t>叠溪镇人民政府财政拨款支出主要用于保障我镇机构正常运转、完成日常工作任务以及承担本镇事业发展相关工作。 基本支出是用于保障政府机关、事业单位等机构正常运转的日常支出，包括基本工资、津贴补贴等人员经费以及办公费、印刷费、水电费、办公设</w:t>
      </w:r>
      <w:r>
        <w:rPr>
          <w:rFonts w:hint="eastAsia" w:ascii="仿宋_GB2312" w:eastAsia="仿宋_GB2312" w:cs="仿宋"/>
          <w:color w:val="000000"/>
          <w:kern w:val="0"/>
          <w:sz w:val="32"/>
          <w:szCs w:val="32"/>
        </w:rPr>
        <w:t>备购置等日常公用经费。项目支出，是用于保障政府机关、事业单位等机构为完成特定的行政工作任务或事业发展目标，用于专项业务工作的经费支出。</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按支出功能分类主要用于以下方面：一般公共服务，文化体育与传媒，社会保障和就业，医疗卫生与计划生育支出，农林水事务，住房保障、其他支出等支出。</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我镇认真执行中央八项规定，严格控制三公经费支出。2022年三公经费费用支出5</w:t>
      </w:r>
      <w:r>
        <w:rPr>
          <w:rFonts w:hint="eastAsia" w:ascii="仿宋_GB2312" w:eastAsia="仿宋_GB2312" w:cs="仿宋"/>
          <w:color w:val="000000"/>
          <w:kern w:val="0"/>
          <w:sz w:val="32"/>
          <w:szCs w:val="32"/>
          <w:lang w:val="en-US" w:eastAsia="zh-CN"/>
        </w:rPr>
        <w:t>.</w:t>
      </w:r>
      <w:r>
        <w:rPr>
          <w:rFonts w:hint="eastAsia" w:ascii="仿宋_GB2312" w:eastAsia="仿宋_GB2312" w:cs="仿宋"/>
          <w:color w:val="000000"/>
          <w:kern w:val="0"/>
          <w:sz w:val="32"/>
          <w:szCs w:val="32"/>
        </w:rPr>
        <w:t>26万元，其中:公务用车购置及运行维护费5.26万元。我镇严格执行《茂县县级财政专项资金绩效分配管理暂行办法》进行绩效分配制度。严格按照用款计划，分月、季度执行，按照项目资金管理办法实行专款专用。</w:t>
      </w:r>
    </w:p>
    <w:p>
      <w:pPr>
        <w:widowControl/>
        <w:adjustRightInd w:val="0"/>
        <w:snapToGrid w:val="0"/>
        <w:spacing w:line="576" w:lineRule="exact"/>
        <w:ind w:firstLine="640" w:firstLineChars="200"/>
        <w:contextualSpacing/>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绩效目标完成情况。按照年初预算项目，实施完成后使全镇环境更优美、经济更稳定、社会更和谐，达到预期经济、社会目标。我镇按照岗位职责，严格执行机关财务管理制度，及时进行会计核算，对项目资金、政府采购进行公开公示，接受群众监督。我镇绩效管理严格按照上级部门要求，开展自评工作，对评价结果及时总结上报。部门财政支出管理情况</w:t>
      </w:r>
    </w:p>
    <w:p>
      <w:pPr>
        <w:widowControl/>
        <w:adjustRightInd w:val="0"/>
        <w:snapToGrid w:val="0"/>
        <w:spacing w:line="576" w:lineRule="exact"/>
        <w:ind w:firstLine="643" w:firstLineChars="200"/>
        <w:contextualSpacing/>
        <w:jc w:val="left"/>
        <w:rPr>
          <w:rFonts w:ascii="仿宋_GB2312" w:eastAsia="仿宋_GB2312" w:cs="仿宋"/>
          <w:b/>
          <w:bCs/>
          <w:color w:val="000000"/>
          <w:kern w:val="0"/>
          <w:sz w:val="32"/>
          <w:szCs w:val="32"/>
        </w:rPr>
      </w:pPr>
      <w:r>
        <w:rPr>
          <w:rFonts w:hint="eastAsia" w:ascii="仿宋_GB2312" w:eastAsia="仿宋_GB2312" w:cs="仿宋"/>
          <w:b/>
          <w:bCs/>
          <w:color w:val="000000"/>
          <w:kern w:val="0"/>
          <w:sz w:val="32"/>
          <w:szCs w:val="32"/>
        </w:rPr>
        <w:t>1.预算编制情况</w:t>
      </w:r>
    </w:p>
    <w:p>
      <w:pPr>
        <w:widowControl/>
        <w:adjustRightInd w:val="0"/>
        <w:snapToGrid w:val="0"/>
        <w:spacing w:line="576" w:lineRule="exact"/>
        <w:ind w:firstLine="640" w:firstLineChars="200"/>
        <w:contextualSpacing/>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预决算按照县财政局相关要求按时编制，及时审核报送按质量完成，绩效目标按时填报。</w:t>
      </w:r>
    </w:p>
    <w:p>
      <w:pPr>
        <w:widowControl/>
        <w:adjustRightInd w:val="0"/>
        <w:snapToGrid w:val="0"/>
        <w:spacing w:line="576" w:lineRule="exact"/>
        <w:ind w:firstLine="643" w:firstLineChars="200"/>
        <w:contextualSpacing/>
        <w:jc w:val="left"/>
        <w:rPr>
          <w:rFonts w:ascii="仿宋_GB2312" w:eastAsia="仿宋_GB2312" w:cs="仿宋"/>
          <w:b/>
          <w:bCs/>
          <w:color w:val="000000"/>
          <w:kern w:val="0"/>
          <w:sz w:val="32"/>
          <w:szCs w:val="32"/>
        </w:rPr>
      </w:pPr>
      <w:r>
        <w:rPr>
          <w:rFonts w:hint="eastAsia" w:ascii="仿宋_GB2312" w:eastAsia="仿宋_GB2312" w:cs="仿宋"/>
          <w:b/>
          <w:bCs/>
          <w:color w:val="000000"/>
          <w:kern w:val="0"/>
          <w:sz w:val="32"/>
          <w:szCs w:val="32"/>
        </w:rPr>
        <w:t>2.执行管理情况</w:t>
      </w:r>
    </w:p>
    <w:p>
      <w:pPr>
        <w:widowControl/>
        <w:adjustRightInd w:val="0"/>
        <w:snapToGrid w:val="0"/>
        <w:spacing w:line="576" w:lineRule="exact"/>
        <w:ind w:firstLine="640" w:firstLineChars="200"/>
        <w:contextualSpacing/>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部门预算按进度执行，中期绩效评估良好，“三公”经费按照县财政要求及时审核报送，并按照预算要求执行。</w:t>
      </w:r>
    </w:p>
    <w:p>
      <w:pPr>
        <w:widowControl/>
        <w:adjustRightInd w:val="0"/>
        <w:snapToGrid w:val="0"/>
        <w:spacing w:line="576" w:lineRule="exact"/>
        <w:ind w:firstLine="643" w:firstLineChars="200"/>
        <w:contextualSpacing/>
        <w:jc w:val="left"/>
        <w:rPr>
          <w:rFonts w:ascii="仿宋_GB2312" w:eastAsia="仿宋_GB2312" w:cs="仿宋"/>
          <w:b/>
          <w:bCs/>
          <w:color w:val="000000"/>
          <w:kern w:val="0"/>
          <w:sz w:val="32"/>
          <w:szCs w:val="32"/>
        </w:rPr>
      </w:pPr>
      <w:r>
        <w:rPr>
          <w:rFonts w:hint="eastAsia" w:ascii="仿宋_GB2312" w:eastAsia="仿宋_GB2312" w:cs="仿宋"/>
          <w:b/>
          <w:bCs/>
          <w:color w:val="000000"/>
          <w:kern w:val="0"/>
          <w:sz w:val="32"/>
          <w:szCs w:val="32"/>
        </w:rPr>
        <w:t>3.综合管理情况</w:t>
      </w:r>
    </w:p>
    <w:p>
      <w:pPr>
        <w:widowControl/>
        <w:adjustRightInd w:val="0"/>
        <w:snapToGrid w:val="0"/>
        <w:spacing w:line="576" w:lineRule="exact"/>
        <w:ind w:firstLine="640" w:firstLineChars="200"/>
        <w:contextualSpacing/>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严格按照政府采购程序要求，实施本单位各项设备的采购，及时向县财政局固定资产管理股备案申报，资产管理内部控制管理都严格按照财经纪律执行，预决算及时在政府信息公开栏网站上进行了公开公示，绩效评价严格按照县财政制度管理要求执行，依法接受上级部门及本级财政部门的监督检查。</w:t>
      </w:r>
    </w:p>
    <w:p>
      <w:pPr>
        <w:widowControl/>
        <w:numPr>
          <w:ilvl w:val="0"/>
          <w:numId w:val="1"/>
        </w:numPr>
        <w:adjustRightInd w:val="0"/>
        <w:snapToGrid w:val="0"/>
        <w:spacing w:line="576" w:lineRule="exact"/>
        <w:ind w:firstLine="640" w:firstLineChars="200"/>
        <w:contextualSpacing/>
        <w:jc w:val="left"/>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评价结论及建议</w:t>
      </w:r>
    </w:p>
    <w:p>
      <w:pPr>
        <w:widowControl/>
        <w:adjustRightInd w:val="0"/>
        <w:snapToGrid w:val="0"/>
        <w:spacing w:line="576" w:lineRule="exact"/>
        <w:ind w:left="420" w:left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（一）评价结论</w:t>
      </w:r>
    </w:p>
    <w:p>
      <w:pPr>
        <w:widowControl/>
        <w:adjustRightInd w:val="0"/>
        <w:snapToGrid w:val="0"/>
        <w:spacing w:line="576" w:lineRule="exact"/>
        <w:ind w:firstLine="640" w:firstLineChars="200"/>
        <w:jc w:val="left"/>
        <w:rPr>
          <w:rFonts w:ascii="仿宋" w:hAnsi="仿宋" w:eastAsia="仿宋" w:cs="宋体"/>
          <w:color w:val="000000"/>
          <w:kern w:val="0"/>
          <w:sz w:val="32"/>
          <w:szCs w:val="32"/>
          <w:shd w:val="clear" w:color="auto" w:fill="FFFFFF"/>
          <w:lang w:val="zh-CN"/>
        </w:rPr>
      </w:pPr>
      <w:r>
        <w:rPr>
          <w:rFonts w:hint="eastAsia" w:ascii="仿宋_GB2312" w:eastAsia="仿宋_GB2312" w:cs="仿宋"/>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（二）存在问题</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预算</w:t>
      </w:r>
      <w:r>
        <w:rPr>
          <w:rFonts w:hint="eastAsia" w:ascii="仿宋_GB2312" w:eastAsia="仿宋_GB2312" w:cs="仿宋"/>
          <w:color w:val="000000"/>
          <w:kern w:val="0"/>
          <w:sz w:val="32"/>
          <w:szCs w:val="32"/>
          <w:lang w:val="en-US" w:eastAsia="zh-CN"/>
        </w:rPr>
        <w:t>资金安排</w:t>
      </w:r>
      <w:r>
        <w:rPr>
          <w:rFonts w:hint="eastAsia" w:ascii="仿宋_GB2312" w:eastAsia="仿宋_GB2312" w:cs="仿宋"/>
          <w:color w:val="000000"/>
          <w:kern w:val="0"/>
          <w:sz w:val="32"/>
          <w:szCs w:val="32"/>
        </w:rPr>
        <w:t>与支出存在差异。</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（三）改进建议</w:t>
      </w:r>
    </w:p>
    <w:p>
      <w:pPr>
        <w:widowControl/>
        <w:adjustRightInd w:val="0"/>
        <w:snapToGrid w:val="0"/>
        <w:spacing w:line="576" w:lineRule="exact"/>
        <w:ind w:firstLine="640" w:firstLineChars="20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在今后工作中，进一步提高工作效率，在合法、合规的前提下，合理安排和使用本镇资金，为全镇经济和社会事业发展更好地服好务。</w:t>
      </w:r>
    </w:p>
    <w:tbl>
      <w:tblPr>
        <w:tblStyle w:val="15"/>
        <w:tblpPr w:leftFromText="180" w:rightFromText="180" w:vertAnchor="text" w:horzAnchor="margin" w:tblpXSpec="center" w:tblpY="139"/>
        <w:tblW w:w="10229" w:type="dxa"/>
        <w:tblInd w:w="0" w:type="dxa"/>
        <w:tblLayout w:type="autofit"/>
        <w:tblCellMar>
          <w:top w:w="0" w:type="dxa"/>
          <w:left w:w="108" w:type="dxa"/>
          <w:bottom w:w="0" w:type="dxa"/>
          <w:right w:w="108" w:type="dxa"/>
        </w:tblCellMar>
      </w:tblPr>
      <w:tblGrid>
        <w:gridCol w:w="1081"/>
        <w:gridCol w:w="1081"/>
        <w:gridCol w:w="1075"/>
        <w:gridCol w:w="754"/>
        <w:gridCol w:w="1893"/>
        <w:gridCol w:w="3375"/>
        <w:gridCol w:w="970"/>
      </w:tblGrid>
      <w:tr>
        <w:tblPrEx>
          <w:tblCellMar>
            <w:top w:w="0" w:type="dxa"/>
            <w:left w:w="108" w:type="dxa"/>
            <w:bottom w:w="0" w:type="dxa"/>
            <w:right w:w="108" w:type="dxa"/>
          </w:tblCellMar>
        </w:tblPrEx>
        <w:trPr>
          <w:trHeight w:val="63" w:hRule="atLeast"/>
        </w:trPr>
        <w:tc>
          <w:tcPr>
            <w:tcW w:w="10229" w:type="dxa"/>
            <w:gridSpan w:val="7"/>
            <w:tcBorders>
              <w:top w:val="nil"/>
              <w:left w:val="nil"/>
              <w:bottom w:val="single" w:color="auto" w:sz="4" w:space="0"/>
              <w:right w:val="nil"/>
            </w:tcBorders>
            <w:vAlign w:val="center"/>
          </w:tcPr>
          <w:p>
            <w:pPr>
              <w:widowControl/>
              <w:rPr>
                <w:rFonts w:ascii="宋体" w:hAnsi="宋体" w:cs="宋体"/>
                <w:b/>
                <w:bCs/>
                <w:kern w:val="0"/>
                <w:sz w:val="32"/>
                <w:szCs w:val="32"/>
              </w:rPr>
            </w:pPr>
          </w:p>
          <w:p>
            <w:pPr>
              <w:widowControl/>
              <w:jc w:val="center"/>
              <w:rPr>
                <w:rFonts w:ascii="方正小标宋简体" w:hAnsi="宋体" w:eastAsia="方正小标宋简体" w:cs="宋体"/>
                <w:b/>
                <w:bCs/>
                <w:kern w:val="0"/>
                <w:sz w:val="32"/>
                <w:szCs w:val="32"/>
              </w:rPr>
            </w:pPr>
            <w:r>
              <w:rPr>
                <w:rFonts w:hint="eastAsia" w:ascii="方正小标宋简体" w:hAnsi="宋体" w:eastAsia="方正小标宋简体" w:cs="宋体"/>
                <w:b/>
                <w:bCs/>
                <w:kern w:val="0"/>
                <w:sz w:val="32"/>
                <w:szCs w:val="32"/>
              </w:rPr>
              <w:t>茂县叠溪镇人民政府2022年度县级部门整体支出绩效评价指标体系</w:t>
            </w:r>
          </w:p>
        </w:tc>
      </w:tr>
      <w:tr>
        <w:tblPrEx>
          <w:tblCellMar>
            <w:top w:w="0" w:type="dxa"/>
            <w:left w:w="108" w:type="dxa"/>
            <w:bottom w:w="0" w:type="dxa"/>
            <w:right w:w="108" w:type="dxa"/>
          </w:tblCellMar>
        </w:tblPrEx>
        <w:trPr>
          <w:trHeight w:val="63" w:hRule="atLeast"/>
        </w:trPr>
        <w:tc>
          <w:tcPr>
            <w:tcW w:w="323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绩效指标</w:t>
            </w:r>
          </w:p>
        </w:tc>
        <w:tc>
          <w:tcPr>
            <w:tcW w:w="75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指标分值</w:t>
            </w:r>
          </w:p>
        </w:tc>
        <w:tc>
          <w:tcPr>
            <w:tcW w:w="189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指标解释</w:t>
            </w:r>
          </w:p>
        </w:tc>
        <w:tc>
          <w:tcPr>
            <w:tcW w:w="3375" w:type="dxa"/>
            <w:vMerge w:val="restart"/>
            <w:tcBorders>
              <w:top w:val="nil"/>
              <w:left w:val="nil"/>
              <w:bottom w:val="single" w:color="000000"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计分标准</w:t>
            </w:r>
          </w:p>
        </w:tc>
        <w:tc>
          <w:tcPr>
            <w:tcW w:w="970" w:type="dxa"/>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自评得分</w:t>
            </w:r>
          </w:p>
        </w:tc>
      </w:tr>
      <w:tr>
        <w:tblPrEx>
          <w:tblCellMar>
            <w:top w:w="0" w:type="dxa"/>
            <w:left w:w="108" w:type="dxa"/>
            <w:bottom w:w="0" w:type="dxa"/>
            <w:right w:w="108" w:type="dxa"/>
          </w:tblCellMar>
        </w:tblPrEx>
        <w:trPr>
          <w:trHeight w:val="31" w:hRule="atLeast"/>
        </w:trPr>
        <w:tc>
          <w:tcPr>
            <w:tcW w:w="108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一级指标</w:t>
            </w:r>
          </w:p>
        </w:tc>
        <w:tc>
          <w:tcPr>
            <w:tcW w:w="1081"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二级指标</w:t>
            </w:r>
          </w:p>
        </w:tc>
        <w:tc>
          <w:tcPr>
            <w:tcW w:w="1075"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三级指标</w:t>
            </w:r>
          </w:p>
        </w:tc>
        <w:tc>
          <w:tcPr>
            <w:tcW w:w="7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1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3375" w:type="dxa"/>
            <w:vMerge w:val="continue"/>
            <w:tcBorders>
              <w:top w:val="nil"/>
              <w:left w:val="nil"/>
              <w:bottom w:val="single" w:color="000000" w:sz="4" w:space="0"/>
              <w:right w:val="single" w:color="auto" w:sz="4" w:space="0"/>
            </w:tcBorders>
            <w:vAlign w:val="center"/>
          </w:tcPr>
          <w:p>
            <w:pPr>
              <w:widowControl/>
              <w:jc w:val="left"/>
              <w:rPr>
                <w:rFonts w:ascii="宋体" w:hAnsi="宋体" w:cs="宋体"/>
                <w:b/>
                <w:bCs/>
                <w:kern w:val="0"/>
                <w:szCs w:val="21"/>
              </w:rPr>
            </w:pPr>
          </w:p>
        </w:tc>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Cs w:val="21"/>
              </w:rPr>
            </w:pPr>
          </w:p>
        </w:tc>
      </w:tr>
      <w:tr>
        <w:tblPrEx>
          <w:tblCellMar>
            <w:top w:w="0" w:type="dxa"/>
            <w:left w:w="108" w:type="dxa"/>
            <w:bottom w:w="0" w:type="dxa"/>
            <w:right w:w="108" w:type="dxa"/>
          </w:tblCellMar>
        </w:tblPrEx>
        <w:trPr>
          <w:trHeight w:val="140" w:hRule="atLeast"/>
        </w:trPr>
        <w:tc>
          <w:tcPr>
            <w:tcW w:w="108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部门预算管理（60分）</w:t>
            </w:r>
          </w:p>
        </w:tc>
        <w:tc>
          <w:tcPr>
            <w:tcW w:w="108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预算编制（24分）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目标制定</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评价部门绩效目标是否要素完整、细化量化。</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1.绩效目标编制要素完整的，得4分，否则酌情扣分。2.绩效指标细化量化的，得4分，否则酌情扣分。有项目绩效目标的部门（单位），根据项目绩效目标编制质量打分，无项目绩效目标的部门，根据部门整体支出绩效目标打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61"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目标实现</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评价部门绩效目标实际实现程度与预期目标的偏离度。</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24"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编制准确</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评价部门年初预算编制是否科学准确。</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指标得分=（1-（10×部门全年预算调剂金额/年初部门预算数））*指标分值。其中：若部门全年预算调剂金额/年初部门预算数&gt;0.1，此项得0分。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预算执行（20分）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支出控制</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部门公用经费及非定额公用支出控制情况。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计算部门日常公用经费、项目支出中“办公费、印刷费、水费、电费、物业管理费”等科目年初预算数与决算数偏差程度预决算偏差程度在10%以内的，得6分。偏差度在10%-20%之间的，得3分，偏差度超过20%的，不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r>
      <w:tr>
        <w:tblPrEx>
          <w:tblCellMar>
            <w:top w:w="0" w:type="dxa"/>
            <w:left w:w="108" w:type="dxa"/>
            <w:bottom w:w="0" w:type="dxa"/>
            <w:right w:w="108" w:type="dxa"/>
          </w:tblCellMar>
        </w:tblPrEx>
        <w:trPr>
          <w:trHeight w:val="209"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动态调整</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评价部门开展绩效运行监控后，将绩效监控结果应用到预算调整的情况。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1.当部门绩效监控调整取消额和结余注销额均不为零时，指标得分=部门项目支出绩效监控调整取消额÷(部门绩效监控调整取消额+预算结余注销额）*82.当部门绩效监控调整取消额为零，结余注销额不为零时，指标得分=（1-10*结余注销额/年度预算总额）*8，结余注销额超过部门年度预算总额10%的，指标不得分。3.当部门绩效监控调整取消额与结余注销额均为零时，得满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56"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执行进度</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评价部门在6、9、11月的预算执行情况。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预算执行进度在6、9、11月应达到序时进度的80%、90%、90%，即实际支出进度分别达到40%、67.5%、82.5%。6、9、11月部门预算执行进度达到量化指标的各得2分，未达到目标进度的按其实际进度占目标进度的比重计算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完成结果（16分）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预算完成</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评价部门预算项目年终预算执行情况。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部门预算项目12月预算执行进度达到100%的，得8分，未达100%的，按照实际进度量化计算得分。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违规记录</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根据审计监督、财政检查结果反映部门上一年度部门预算管理是否合规。</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依据评价年度审计监督、财政检查结果，出现部门预算管理方面违纪违规问题的，每个问题扣0.5分，直至扣完。</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8</w:t>
            </w:r>
          </w:p>
        </w:tc>
      </w:tr>
      <w:tr>
        <w:tblPrEx>
          <w:tblCellMar>
            <w:top w:w="0" w:type="dxa"/>
            <w:left w:w="108" w:type="dxa"/>
            <w:bottom w:w="0" w:type="dxa"/>
            <w:right w:w="108" w:type="dxa"/>
          </w:tblCellMar>
        </w:tblPrEx>
        <w:trPr>
          <w:trHeight w:val="158" w:hRule="atLeast"/>
        </w:trPr>
        <w:tc>
          <w:tcPr>
            <w:tcW w:w="1081"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专项预算管理（20分）</w:t>
            </w:r>
          </w:p>
        </w:tc>
        <w:tc>
          <w:tcPr>
            <w:tcW w:w="8178"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按照专项项目自评工作要求对本部门管理的专项进行自评并打分，形成自评报告，本次提交部门整体支出绩效评价报告时暂无需提供专项自评报告。评价组将对部门专项自评报告进行质量审核，根据质量审核得分，对专项自评得分进行调整，作为重点评价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18</w:t>
            </w:r>
          </w:p>
        </w:tc>
      </w:tr>
      <w:tr>
        <w:tblPrEx>
          <w:tblCellMar>
            <w:top w:w="0" w:type="dxa"/>
            <w:left w:w="108" w:type="dxa"/>
            <w:bottom w:w="0" w:type="dxa"/>
            <w:right w:w="108" w:type="dxa"/>
          </w:tblCellMar>
        </w:tblPrEx>
        <w:trPr>
          <w:trHeight w:val="114" w:hRule="atLeast"/>
        </w:trPr>
        <w:tc>
          <w:tcPr>
            <w:tcW w:w="1081"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绩效结果应用（10分）</w:t>
            </w:r>
          </w:p>
        </w:tc>
        <w:tc>
          <w:tcPr>
            <w:tcW w:w="108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信息公开（2分）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自评公开</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评价部门是否按要求将部门整体绩效自评情况和自行组织的评价情况向社会公开。</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按要求将相关绩效信息随同决算公开的，得2分，否则不得分。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w:t>
            </w:r>
          </w:p>
        </w:tc>
      </w:tr>
      <w:tr>
        <w:tblPrEx>
          <w:tblCellMar>
            <w:top w:w="0" w:type="dxa"/>
            <w:left w:w="108" w:type="dxa"/>
            <w:bottom w:w="0" w:type="dxa"/>
            <w:right w:w="108" w:type="dxa"/>
          </w:tblCellMar>
        </w:tblPrEx>
        <w:trPr>
          <w:trHeight w:val="122"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整改反馈（8分）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结果整改</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评价部门根据绩效管理结果整改问题、完善政策、改进管理的情况。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针对绩效管理过程中（包括绩效目标核查、绩效监控核查和重点绩效评价）提出的问题进行整改，将绩效管理结果与预算安排进行挂钩的，得4分。否则，酌情扣分。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102"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Cs w:val="21"/>
              </w:rPr>
            </w:pP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应用反馈</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评价部门按要求及时向财政部门反馈结果应用情况。</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部门在规定时间内向财政部门反馈应用绩效结果报告的，得满分，否则不得分。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r>
      <w:tr>
        <w:tblPrEx>
          <w:tblCellMar>
            <w:top w:w="0" w:type="dxa"/>
            <w:left w:w="108" w:type="dxa"/>
            <w:bottom w:w="0" w:type="dxa"/>
            <w:right w:w="108" w:type="dxa"/>
          </w:tblCellMar>
        </w:tblPrEx>
        <w:trPr>
          <w:trHeight w:val="114" w:hRule="atLeast"/>
        </w:trPr>
        <w:tc>
          <w:tcPr>
            <w:tcW w:w="1081"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自评质量（10分）</w:t>
            </w:r>
          </w:p>
        </w:tc>
        <w:tc>
          <w:tcPr>
            <w:tcW w:w="1081"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自评质量（10分）</w:t>
            </w:r>
          </w:p>
        </w:tc>
        <w:tc>
          <w:tcPr>
            <w:tcW w:w="1075"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自评准确</w:t>
            </w:r>
          </w:p>
        </w:tc>
        <w:tc>
          <w:tcPr>
            <w:tcW w:w="754"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8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评价部门整体支出自评准确率。</w:t>
            </w:r>
          </w:p>
        </w:tc>
        <w:tc>
          <w:tcPr>
            <w:tcW w:w="3375"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部门整体支出自评得分与评价组抽查得分差异在5%以内的，不扣分；在5%-10%之间的，扣4分，在10%-20%的，扣8分，在20%以上的，扣10分。（部门在自评时，此项指标无需打分，部门自评满分为90分）</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6</w:t>
            </w:r>
          </w:p>
        </w:tc>
      </w:tr>
      <w:tr>
        <w:tblPrEx>
          <w:tblCellMar>
            <w:top w:w="0" w:type="dxa"/>
            <w:left w:w="108" w:type="dxa"/>
            <w:bottom w:w="0" w:type="dxa"/>
            <w:right w:w="108" w:type="dxa"/>
          </w:tblCellMar>
        </w:tblPrEx>
        <w:trPr>
          <w:trHeight w:val="52" w:hRule="atLeast"/>
        </w:trPr>
        <w:tc>
          <w:tcPr>
            <w:tcW w:w="9259" w:type="dxa"/>
            <w:gridSpan w:val="6"/>
            <w:tcBorders>
              <w:top w:val="single" w:color="auto" w:sz="4" w:space="0"/>
              <w:left w:val="single" w:color="auto" w:sz="4" w:space="0"/>
              <w:bottom w:val="single" w:color="auto" w:sz="4" w:space="0"/>
              <w:right w:val="single" w:color="000000"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合计</w:t>
            </w:r>
          </w:p>
        </w:tc>
        <w:tc>
          <w:tcPr>
            <w:tcW w:w="970"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91</w:t>
            </w:r>
          </w:p>
        </w:tc>
      </w:tr>
    </w:tbl>
    <w:p>
      <w:pPr>
        <w:widowControl/>
        <w:adjustRightInd w:val="0"/>
        <w:snapToGrid w:val="0"/>
        <w:spacing w:line="576" w:lineRule="exact"/>
        <w:contextualSpacing/>
        <w:jc w:val="left"/>
        <w:rPr>
          <w:rFonts w:ascii="仿宋_GB2312" w:hAnsi="Times New Roman" w:eastAsia="仿宋_GB2312" w:cs="宋体"/>
          <w:color w:val="000000"/>
          <w:kern w:val="0"/>
          <w:sz w:val="32"/>
          <w:szCs w:val="32"/>
          <w:shd w:val="clear" w:color="auto" w:fill="FFFFFF"/>
          <w:lang w:val="zh-CN"/>
        </w:rPr>
      </w:pPr>
    </w:p>
    <w:p>
      <w:pPr>
        <w:spacing w:line="576" w:lineRule="exact"/>
        <w:jc w:val="left"/>
        <w:outlineLvl w:val="0"/>
        <w:rPr>
          <w:rFonts w:ascii="黑体" w:hAnsi="Times New Roman" w:eastAsia="黑体" w:cs="黑体"/>
          <w:sz w:val="32"/>
          <w:szCs w:val="32"/>
        </w:rPr>
      </w:pPr>
    </w:p>
    <w:p>
      <w:pPr>
        <w:spacing w:line="576" w:lineRule="exact"/>
        <w:jc w:val="left"/>
        <w:outlineLvl w:val="0"/>
        <w:rPr>
          <w:rFonts w:ascii="黑体" w:hAnsi="Times New Roman" w:eastAsia="黑体" w:cs="黑体"/>
          <w:sz w:val="32"/>
          <w:szCs w:val="32"/>
        </w:rPr>
      </w:pPr>
    </w:p>
    <w:p>
      <w:pPr>
        <w:spacing w:line="576" w:lineRule="exact"/>
        <w:jc w:val="left"/>
        <w:outlineLvl w:val="0"/>
        <w:rPr>
          <w:rFonts w:ascii="黑体" w:hAnsi="Times New Roman" w:eastAsia="黑体" w:cs="黑体"/>
          <w:sz w:val="32"/>
          <w:szCs w:val="32"/>
        </w:rPr>
      </w:pPr>
    </w:p>
    <w:p>
      <w:pPr>
        <w:spacing w:line="576" w:lineRule="exact"/>
        <w:jc w:val="left"/>
        <w:outlineLvl w:val="0"/>
        <w:rPr>
          <w:rFonts w:ascii="黑体" w:hAnsi="Times New Roman" w:eastAsia="黑体" w:cs="黑体"/>
          <w:sz w:val="32"/>
          <w:szCs w:val="32"/>
        </w:rPr>
      </w:pPr>
    </w:p>
    <w:p>
      <w:pPr>
        <w:spacing w:line="576" w:lineRule="exact"/>
        <w:jc w:val="left"/>
        <w:outlineLvl w:val="0"/>
        <w:rPr>
          <w:rFonts w:ascii="黑体" w:hAnsi="Times New Roman" w:eastAsia="黑体" w:cs="黑体"/>
          <w:sz w:val="32"/>
          <w:szCs w:val="32"/>
        </w:rPr>
      </w:pPr>
    </w:p>
    <w:p>
      <w:pPr>
        <w:spacing w:line="576" w:lineRule="exact"/>
        <w:jc w:val="left"/>
        <w:outlineLvl w:val="0"/>
        <w:rPr>
          <w:rFonts w:ascii="黑体" w:hAnsi="Times New Roman" w:eastAsia="黑体" w:cs="黑体"/>
          <w:sz w:val="32"/>
          <w:szCs w:val="32"/>
        </w:rPr>
      </w:pPr>
      <w:bookmarkStart w:id="39" w:name="_Toc15158"/>
      <w:r>
        <w:rPr>
          <w:rFonts w:hint="eastAsia" w:ascii="黑体" w:hAnsi="Times New Roman" w:eastAsia="黑体" w:cs="黑体"/>
          <w:sz w:val="32"/>
          <w:szCs w:val="32"/>
        </w:rPr>
        <w:t>附件2</w:t>
      </w:r>
      <w:bookmarkEnd w:id="39"/>
    </w:p>
    <w:p>
      <w:pPr>
        <w:spacing w:line="576" w:lineRule="exact"/>
        <w:jc w:val="left"/>
        <w:rPr>
          <w:rFonts w:ascii="黑体" w:hAnsi="Times New Roman" w:eastAsia="黑体" w:cs="黑体"/>
          <w:sz w:val="32"/>
          <w:szCs w:val="32"/>
        </w:rPr>
      </w:pPr>
    </w:p>
    <w:p>
      <w:pPr>
        <w:pStyle w:val="26"/>
        <w:spacing w:line="576"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2022年叠溪镇蚕丛</w:t>
      </w:r>
      <w:r>
        <w:rPr>
          <w:rFonts w:hint="eastAsia" w:ascii="方正小标宋简体" w:hAnsi="方正小标宋简体" w:eastAsia="方正小标宋简体" w:cs="方正小标宋简体"/>
          <w:sz w:val="44"/>
          <w:szCs w:val="44"/>
        </w:rPr>
        <w:t>村扶持壮大村集体经济项目</w:t>
      </w:r>
      <w:r>
        <w:rPr>
          <w:rFonts w:hint="eastAsia" w:ascii="方正小标宋简体" w:hAnsi="宋体" w:eastAsia="方正小标宋简体"/>
          <w:sz w:val="44"/>
          <w:szCs w:val="44"/>
          <w:lang w:val="en-US"/>
        </w:rPr>
        <w:t>支出绩效自评报告</w:t>
      </w:r>
    </w:p>
    <w:p>
      <w:pPr>
        <w:widowControl/>
        <w:adjustRightInd w:val="0"/>
        <w:snapToGrid w:val="0"/>
        <w:spacing w:line="576" w:lineRule="exact"/>
        <w:ind w:firstLine="640" w:firstLineChars="200"/>
        <w:contextualSpacing/>
        <w:jc w:val="left"/>
        <w:outlineLvl w:val="1"/>
        <w:rPr>
          <w:rFonts w:ascii="黑体" w:hAnsi="Times New Roman" w:eastAsia="黑体" w:cs="宋体"/>
          <w:color w:val="000000"/>
          <w:kern w:val="0"/>
          <w:sz w:val="32"/>
          <w:szCs w:val="32"/>
          <w:shd w:val="clear" w:color="auto" w:fill="FFFFFF"/>
        </w:rPr>
      </w:pPr>
      <w:bookmarkStart w:id="40" w:name="_Toc24886"/>
      <w:r>
        <w:rPr>
          <w:rFonts w:hint="eastAsia" w:ascii="黑体" w:hAnsi="Times New Roman" w:eastAsia="黑体" w:cs="宋体"/>
          <w:color w:val="000000"/>
          <w:kern w:val="0"/>
          <w:sz w:val="32"/>
          <w:szCs w:val="32"/>
          <w:shd w:val="clear" w:color="auto" w:fill="FFFFFF"/>
        </w:rPr>
        <w:t>一、项目概况</w:t>
      </w:r>
      <w:bookmarkEnd w:id="40"/>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（一）项目基本情况</w:t>
      </w:r>
    </w:p>
    <w:p>
      <w:pPr>
        <w:pStyle w:val="13"/>
        <w:widowControl/>
        <w:spacing w:before="0" w:beforeAutospacing="0" w:after="0" w:afterAutospacing="0" w:line="576" w:lineRule="exact"/>
        <w:ind w:firstLine="640" w:firstLineChars="200"/>
        <w:rPr>
          <w:rFonts w:ascii="仿宋_GB2312" w:hAnsi="Times New Roman" w:eastAsia="仿宋_GB2312"/>
          <w:kern w:val="2"/>
          <w:sz w:val="32"/>
          <w:szCs w:val="32"/>
          <w:lang w:val="zh-CN"/>
        </w:rPr>
      </w:pPr>
      <w:r>
        <w:rPr>
          <w:rFonts w:hint="eastAsia" w:ascii="仿宋_GB2312" w:hAnsi="Times New Roman" w:eastAsia="仿宋_GB2312"/>
          <w:sz w:val="32"/>
          <w:szCs w:val="32"/>
          <w:lang w:val="zh-CN"/>
        </w:rPr>
        <w:t>1</w:t>
      </w:r>
      <w:r>
        <w:rPr>
          <w:rFonts w:hint="eastAsia" w:ascii="仿宋_GB2312" w:hAnsi="Times New Roman" w:eastAsia="仿宋_GB2312"/>
          <w:sz w:val="32"/>
          <w:szCs w:val="32"/>
        </w:rPr>
        <w:t>.</w:t>
      </w:r>
      <w:r>
        <w:rPr>
          <w:rFonts w:hint="eastAsia" w:ascii="仿宋_GB2312" w:hAnsi="Times New Roman" w:eastAsia="仿宋_GB2312"/>
          <w:kern w:val="2"/>
          <w:sz w:val="32"/>
          <w:szCs w:val="32"/>
          <w:lang w:val="zh-CN"/>
        </w:rPr>
        <w:t>为更好的增强村经济发展，改善蚕丛村村民生产生活条件为重点，统一规划，综合开发，通过叠溪镇蚕丛村扶持壮大村集体经济项目的实施解决蚕丛村整体经济发展，按照“逐步放开，严把标准，转型升级，强化监管，确保安全”的总体思路，改革优化屠宰企业设置模式和结构布局，淘汰行业过剩低端产能，促进市场公平有序竞争，培育一批高水平高质量、符合市场需求的标准化屠宰示范点和产加销一体化企业，提升屠宰行业规模化、标准化、现代化水平。通过新建、迁建、扩建等措施，淘汰落后生产方式、推广肉品统一配送模式，逐步建立起与产业发展和民众生活需求相适应、布局科学合理、竞争规范有序、加工设施先进、产品质量安全的机械化、规模化、工厂化牛羊、家禽定点屠宰加工体系。</w:t>
      </w:r>
    </w:p>
    <w:p>
      <w:pPr>
        <w:pStyle w:val="13"/>
        <w:widowControl/>
        <w:spacing w:before="0" w:beforeAutospacing="0" w:after="0" w:afterAutospacing="0" w:line="576" w:lineRule="exact"/>
        <w:ind w:firstLine="640" w:firstLineChars="200"/>
        <w:rPr>
          <w:rFonts w:ascii="仿宋_GB2312" w:hAnsi="Times New Roman" w:eastAsia="仿宋_GB2312"/>
          <w:kern w:val="2"/>
          <w:sz w:val="32"/>
          <w:szCs w:val="32"/>
          <w:lang w:val="zh-CN"/>
        </w:rPr>
      </w:pPr>
      <w:r>
        <w:rPr>
          <w:rFonts w:hint="eastAsia" w:ascii="仿宋_GB2312" w:hAnsi="Times New Roman" w:eastAsia="仿宋_GB2312"/>
          <w:sz w:val="32"/>
          <w:szCs w:val="32"/>
          <w:lang w:val="zh-CN"/>
        </w:rPr>
        <w:t>2</w:t>
      </w:r>
      <w:r>
        <w:rPr>
          <w:rFonts w:hint="eastAsia" w:ascii="仿宋_GB2312" w:hAnsi="Times New Roman" w:eastAsia="仿宋_GB2312"/>
          <w:sz w:val="32"/>
          <w:szCs w:val="32"/>
        </w:rPr>
        <w:t>.</w:t>
      </w:r>
      <w:r>
        <w:rPr>
          <w:rFonts w:hint="eastAsia" w:ascii="仿宋_GB2312" w:hAnsi="Times New Roman" w:eastAsia="仿宋_GB2312"/>
          <w:kern w:val="2"/>
          <w:sz w:val="32"/>
          <w:szCs w:val="32"/>
          <w:lang w:val="zh-CN"/>
        </w:rPr>
        <w:t>根据中共茂县县委办公室 茂县人民政府办公室关于印发《茂县2022年统筹整合使用财政涉农资金项目（第二批）的通知》，《2022年统筹整合使用财政涉农资金项目》（第二批）文件要求，编制项目实施方案。</w:t>
      </w:r>
      <w:r>
        <w:rPr>
          <w:rFonts w:hint="eastAsia" w:ascii="仿宋_GB2312" w:hAnsi="Times New Roman" w:eastAsia="仿宋_GB2312"/>
          <w:kern w:val="2"/>
          <w:sz w:val="32"/>
          <w:szCs w:val="32"/>
          <w:lang w:val="en-US" w:eastAsia="zh-CN"/>
        </w:rPr>
        <w:t>已</w:t>
      </w:r>
      <w:r>
        <w:rPr>
          <w:rFonts w:hint="eastAsia" w:ascii="仿宋_GB2312" w:hAnsi="Times New Roman" w:eastAsia="仿宋_GB2312"/>
          <w:kern w:val="2"/>
          <w:sz w:val="32"/>
          <w:szCs w:val="32"/>
          <w:lang w:val="zh-CN"/>
        </w:rPr>
        <w:t>在茂县购买铺面，收取租金的方式壮大村集体经济。</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（二）项目绩效目标</w:t>
      </w:r>
    </w:p>
    <w:p>
      <w:pPr>
        <w:pStyle w:val="13"/>
        <w:widowControl/>
        <w:spacing w:before="0" w:beforeAutospacing="0" w:after="0" w:afterAutospacing="0" w:line="576" w:lineRule="exact"/>
        <w:ind w:firstLine="640" w:firstLineChars="200"/>
        <w:rPr>
          <w:rFonts w:ascii="仿宋_GB2312" w:hAnsi="Times New Roman" w:eastAsia="仿宋_GB2312"/>
          <w:kern w:val="2"/>
          <w:sz w:val="32"/>
          <w:szCs w:val="32"/>
          <w:lang w:val="zh-CN"/>
        </w:rPr>
      </w:pPr>
      <w:r>
        <w:rPr>
          <w:rFonts w:hint="eastAsia" w:ascii="仿宋_GB2312" w:hAnsi="Times New Roman" w:eastAsia="仿宋_GB2312"/>
          <w:kern w:val="2"/>
          <w:sz w:val="32"/>
          <w:szCs w:val="32"/>
          <w:lang w:val="zh-CN"/>
        </w:rPr>
        <w:t>巩固扶贫成果，助力乡村振兴。本次项目总投入100万元，主要是在茂县购买铺面，收取租金的方式壮大村集体经济。</w:t>
      </w:r>
    </w:p>
    <w:p>
      <w:pPr>
        <w:widowControl/>
        <w:adjustRightInd w:val="0"/>
        <w:snapToGrid w:val="0"/>
        <w:spacing w:line="576" w:lineRule="exact"/>
        <w:ind w:firstLine="643" w:firstLineChars="200"/>
        <w:contextualSpacing/>
        <w:jc w:val="left"/>
        <w:rPr>
          <w:rFonts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（三）项目自评步骤及方法</w:t>
      </w:r>
    </w:p>
    <w:p>
      <w:pPr>
        <w:adjustRightInd w:val="0"/>
        <w:snapToGrid w:val="0"/>
        <w:spacing w:line="576" w:lineRule="exact"/>
        <w:ind w:firstLine="720"/>
        <w:rPr>
          <w:rFonts w:ascii="仿宋_GB2312" w:hAnsi="Times New Roman" w:eastAsia="仿宋_GB2312"/>
          <w:sz w:val="32"/>
          <w:szCs w:val="32"/>
          <w:lang w:val="zh-CN"/>
        </w:rPr>
      </w:pPr>
      <w:r>
        <w:rPr>
          <w:rFonts w:hint="eastAsia" w:ascii="仿宋_GB2312" w:hAnsi="Times New Roman" w:eastAsia="仿宋_GB2312"/>
          <w:sz w:val="32"/>
          <w:szCs w:val="32"/>
          <w:lang w:val="zh-CN"/>
        </w:rPr>
        <w:t>本项目采取自评与他评相结合的方式，结合评价内容，做到有计划，有安排，扎实开展本次自评工作。针对申报内容、实施情况、资金拨付、财务管理、社会效益等做出自我评价。</w:t>
      </w:r>
    </w:p>
    <w:p>
      <w:pPr>
        <w:widowControl/>
        <w:adjustRightInd w:val="0"/>
        <w:snapToGrid w:val="0"/>
        <w:spacing w:line="576" w:lineRule="exact"/>
        <w:ind w:firstLine="640" w:firstLineChars="200"/>
        <w:contextualSpacing/>
        <w:jc w:val="left"/>
        <w:outlineLvl w:val="1"/>
        <w:rPr>
          <w:rFonts w:ascii="黑体" w:hAnsi="Times New Roman" w:eastAsia="黑体" w:cs="宋体"/>
          <w:color w:val="000000"/>
          <w:kern w:val="0"/>
          <w:sz w:val="32"/>
          <w:szCs w:val="32"/>
          <w:shd w:val="clear" w:color="auto" w:fill="FFFFFF"/>
        </w:rPr>
      </w:pPr>
      <w:bookmarkStart w:id="41" w:name="_Toc13503"/>
      <w:r>
        <w:rPr>
          <w:rFonts w:hint="eastAsia" w:ascii="黑体" w:hAnsi="Times New Roman" w:eastAsia="黑体" w:cs="宋体"/>
          <w:color w:val="000000"/>
          <w:kern w:val="0"/>
          <w:sz w:val="32"/>
          <w:szCs w:val="32"/>
          <w:shd w:val="clear" w:color="auto" w:fill="FFFFFF"/>
        </w:rPr>
        <w:t>二、项目资金申报及使用情况</w:t>
      </w:r>
      <w:bookmarkEnd w:id="41"/>
    </w:p>
    <w:p>
      <w:pPr>
        <w:widowControl/>
        <w:adjustRightInd w:val="0"/>
        <w:snapToGrid w:val="0"/>
        <w:spacing w:line="576" w:lineRule="exact"/>
        <w:ind w:firstLine="643" w:firstLineChars="200"/>
        <w:contextualSpacing/>
        <w:jc w:val="left"/>
        <w:rPr>
          <w:rStyle w:val="17"/>
          <w:rFonts w:ascii="楷体_GB2312" w:hAnsi="楷体_GB2312" w:eastAsia="楷体_GB2312" w:cs="楷体_GB2312"/>
          <w:sz w:val="32"/>
          <w:szCs w:val="32"/>
        </w:rPr>
      </w:pPr>
      <w:r>
        <w:rPr>
          <w:rStyle w:val="17"/>
          <w:rFonts w:hint="eastAsia" w:ascii="楷体_GB2312" w:hAnsi="楷体_GB2312" w:eastAsia="楷体_GB2312" w:cs="楷体_GB2312"/>
          <w:sz w:val="32"/>
          <w:szCs w:val="32"/>
        </w:rPr>
        <w:t>（一）项目资金申报及批复情况</w:t>
      </w:r>
    </w:p>
    <w:p>
      <w:pPr>
        <w:adjustRightInd w:val="0"/>
        <w:snapToGrid w:val="0"/>
        <w:spacing w:line="576" w:lineRule="exact"/>
        <w:ind w:firstLine="720"/>
        <w:rPr>
          <w:rFonts w:ascii="仿宋_GB2312" w:hAnsi="Times New Roman" w:eastAsia="仿宋_GB2312"/>
          <w:sz w:val="32"/>
          <w:szCs w:val="32"/>
        </w:rPr>
      </w:pPr>
      <w:r>
        <w:rPr>
          <w:rFonts w:hint="eastAsia" w:ascii="仿宋_GB2312" w:hAnsi="Times New Roman" w:eastAsia="仿宋_GB2312"/>
          <w:sz w:val="32"/>
          <w:szCs w:val="32"/>
          <w:lang w:val="zh-CN"/>
        </w:rPr>
        <w:t>叠溪镇蚕丛村扶持壮大村集体经济项目资金申报100万元，批复</w:t>
      </w:r>
      <w:r>
        <w:rPr>
          <w:rFonts w:hint="eastAsia" w:ascii="仿宋_GB2312" w:hAnsi="Times New Roman" w:eastAsia="仿宋_GB2312"/>
          <w:sz w:val="32"/>
          <w:szCs w:val="32"/>
        </w:rPr>
        <w:t>100万元，申报与批复资金一致。</w:t>
      </w:r>
    </w:p>
    <w:p>
      <w:pPr>
        <w:widowControl/>
        <w:adjustRightInd w:val="0"/>
        <w:snapToGrid w:val="0"/>
        <w:spacing w:line="576" w:lineRule="exact"/>
        <w:ind w:firstLine="643" w:firstLineChars="200"/>
        <w:contextualSpacing/>
        <w:jc w:val="left"/>
        <w:rPr>
          <w:rStyle w:val="17"/>
          <w:rFonts w:ascii="楷体_GB2312" w:hAnsi="楷体_GB2312" w:eastAsia="楷体_GB2312" w:cs="楷体_GB2312"/>
          <w:sz w:val="32"/>
          <w:szCs w:val="32"/>
        </w:rPr>
      </w:pPr>
      <w:r>
        <w:rPr>
          <w:rStyle w:val="17"/>
          <w:rFonts w:hint="eastAsia" w:ascii="楷体_GB2312" w:hAnsi="楷体_GB2312" w:eastAsia="楷体_GB2312" w:cs="楷体_GB2312"/>
          <w:sz w:val="32"/>
          <w:szCs w:val="32"/>
        </w:rPr>
        <w:t>（二）资金计划、到位及使用情况</w:t>
      </w:r>
    </w:p>
    <w:p>
      <w:pPr>
        <w:adjustRightInd w:val="0"/>
        <w:snapToGrid w:val="0"/>
        <w:spacing w:line="576" w:lineRule="exact"/>
        <w:ind w:firstLine="643" w:firstLineChars="200"/>
        <w:rPr>
          <w:rFonts w:ascii="仿宋_GB2312" w:hAnsi="Times New Roman"/>
          <w:sz w:val="32"/>
          <w:szCs w:val="32"/>
          <w:lang w:val="zh-CN"/>
        </w:rPr>
      </w:pPr>
      <w:r>
        <w:rPr>
          <w:rFonts w:hint="eastAsia" w:ascii="仿宋_GB2312" w:hAnsi="仿宋_GB2312" w:eastAsia="仿宋_GB2312" w:cs="仿宋_GB2312"/>
          <w:b/>
          <w:bCs/>
          <w:sz w:val="32"/>
          <w:szCs w:val="32"/>
          <w:lang w:val="zh-CN"/>
        </w:rPr>
        <w:t>1．资金计划。</w:t>
      </w:r>
      <w:r>
        <w:rPr>
          <w:rFonts w:hint="eastAsia" w:ascii="仿宋_GB2312" w:hAnsi="Times New Roman" w:eastAsia="仿宋_GB2312"/>
          <w:sz w:val="32"/>
          <w:szCs w:val="32"/>
          <w:lang w:val="zh-CN"/>
        </w:rPr>
        <w:t>叠溪镇蚕丛村扶持壮大村集体经济项目资金计划100万元。</w:t>
      </w:r>
    </w:p>
    <w:p>
      <w:pPr>
        <w:pStyle w:val="4"/>
        <w:spacing w:line="576" w:lineRule="exact"/>
        <w:ind w:firstLine="640"/>
        <w:rPr>
          <w:rFonts w:ascii="仿宋_GB2312" w:hAnsi="Times New Roman" w:eastAsia="仿宋_GB2312" w:cs="Times New Roman"/>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Times New Roman" w:eastAsia="仿宋_GB2312" w:cs="Times New Roman"/>
          <w:sz w:val="32"/>
          <w:szCs w:val="32"/>
          <w:lang w:val="zh-CN"/>
        </w:rPr>
        <w:t>叠溪镇蚕丛村扶持壮大村集体经济项目资金到位100万元，资金到账及时，资金到位与资金计划持平，到位率100%。</w:t>
      </w:r>
    </w:p>
    <w:p>
      <w:pPr>
        <w:pStyle w:val="13"/>
        <w:widowControl/>
        <w:spacing w:before="0" w:beforeAutospacing="0" w:after="0" w:afterAutospacing="0" w:line="576" w:lineRule="exact"/>
        <w:ind w:firstLine="643" w:firstLineChars="200"/>
        <w:rPr>
          <w:rFonts w:ascii="仿宋_GB2312" w:hAnsi="Times New Roman" w:eastAsia="仿宋_GB2312"/>
          <w:sz w:val="32"/>
          <w:szCs w:val="32"/>
          <w:lang w:val="zh-CN"/>
        </w:rPr>
      </w:pPr>
      <w:r>
        <w:rPr>
          <w:rFonts w:hint="eastAsia" w:ascii="仿宋_GB2312" w:hAnsi="仿宋_GB2312" w:eastAsia="仿宋_GB2312" w:cs="仿宋_GB2312"/>
          <w:b/>
          <w:bCs/>
          <w:kern w:val="2"/>
          <w:sz w:val="32"/>
          <w:szCs w:val="32"/>
          <w:lang w:val="zh-CN"/>
        </w:rPr>
        <w:t>3．资金使用。</w:t>
      </w:r>
      <w:r>
        <w:rPr>
          <w:rFonts w:hint="eastAsia" w:ascii="仿宋_GB2312" w:hAnsi="Times New Roman" w:eastAsia="仿宋_GB2312"/>
          <w:sz w:val="32"/>
          <w:szCs w:val="32"/>
          <w:lang w:val="zh-CN"/>
        </w:rPr>
        <w:t>主要用于</w:t>
      </w:r>
      <w:r>
        <w:rPr>
          <w:rFonts w:hint="eastAsia" w:ascii="仿宋_GB2312" w:hAnsi="Times New Roman" w:eastAsia="仿宋_GB2312"/>
          <w:kern w:val="2"/>
          <w:sz w:val="32"/>
          <w:szCs w:val="32"/>
          <w:lang w:val="zh-CN"/>
        </w:rPr>
        <w:t>在茂县购买铺面，收取租金的方式壮大村集体经济</w:t>
      </w:r>
      <w:r>
        <w:rPr>
          <w:rFonts w:hint="eastAsia" w:ascii="仿宋_GB2312" w:hAnsi="Times New Roman" w:eastAsia="仿宋_GB2312"/>
          <w:sz w:val="32"/>
          <w:szCs w:val="32"/>
          <w:lang w:val="zh-CN"/>
        </w:rPr>
        <w:t>。项目支付依据合规合法，资金支付与预算相符。</w:t>
      </w:r>
    </w:p>
    <w:p>
      <w:pPr>
        <w:pStyle w:val="13"/>
        <w:widowControl/>
        <w:spacing w:before="0" w:beforeAutospacing="0" w:after="0" w:afterAutospacing="0" w:line="576" w:lineRule="exact"/>
        <w:ind w:firstLine="643" w:firstLineChars="200"/>
        <w:rPr>
          <w:rFonts w:ascii="楷体_GB2312" w:hAnsi="楷体_GB2312" w:eastAsia="楷体_GB2312" w:cs="楷体_GB2312"/>
          <w:b/>
          <w:bCs/>
          <w:color w:val="000000"/>
          <w:sz w:val="32"/>
          <w:szCs w:val="32"/>
          <w:shd w:val="clear" w:color="auto" w:fill="FFFFFF"/>
          <w:lang w:val="zh-CN"/>
        </w:rPr>
      </w:pPr>
      <w:r>
        <w:rPr>
          <w:rFonts w:hint="eastAsia" w:ascii="楷体_GB2312" w:hAnsi="楷体_GB2312" w:eastAsia="楷体_GB2312" w:cs="楷体_GB2312"/>
          <w:b/>
          <w:bCs/>
          <w:color w:val="000000"/>
          <w:sz w:val="32"/>
          <w:szCs w:val="32"/>
          <w:shd w:val="clear" w:color="auto" w:fill="FFFFFF"/>
          <w:lang w:val="zh-CN"/>
        </w:rPr>
        <w:t>（三）项目财务管理情况</w:t>
      </w:r>
    </w:p>
    <w:p>
      <w:pPr>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我镇从机构、人员、设备、制度等方面进一步规范叠溪镇蚕丛村扶持壮大村集体经济项目管理工作，坚持和落实项目规范管理制度。项目严格执行财务管理制度、财务处理及时、会计核算规范。</w:t>
      </w:r>
    </w:p>
    <w:p>
      <w:pPr>
        <w:pStyle w:val="13"/>
        <w:widowControl/>
        <w:spacing w:before="0" w:beforeAutospacing="0" w:after="0" w:afterAutospacing="0" w:line="576" w:lineRule="exact"/>
        <w:ind w:firstLine="640" w:firstLineChars="200"/>
        <w:outlineLvl w:val="1"/>
        <w:rPr>
          <w:rFonts w:ascii="黑体" w:hAnsi="黑体" w:eastAsia="黑体" w:cs="黑体"/>
          <w:color w:val="000000"/>
          <w:sz w:val="32"/>
          <w:szCs w:val="32"/>
          <w:shd w:val="clear" w:color="auto" w:fill="FFFFFF"/>
          <w:lang w:val="zh-CN"/>
        </w:rPr>
      </w:pPr>
      <w:bookmarkStart w:id="42" w:name="_Toc3130"/>
      <w:r>
        <w:rPr>
          <w:rFonts w:hint="eastAsia" w:ascii="黑体" w:hAnsi="黑体" w:eastAsia="黑体" w:cs="黑体"/>
          <w:color w:val="000000"/>
          <w:sz w:val="32"/>
          <w:szCs w:val="32"/>
          <w:shd w:val="clear" w:color="auto" w:fill="FFFFFF"/>
          <w:lang w:val="zh-CN"/>
        </w:rPr>
        <w:t>三、项目实施及管理情况</w:t>
      </w:r>
      <w:bookmarkEnd w:id="42"/>
    </w:p>
    <w:p>
      <w:pPr>
        <w:spacing w:line="576" w:lineRule="exact"/>
        <w:ind w:firstLine="643" w:firstLineChars="200"/>
        <w:rPr>
          <w:rFonts w:ascii="仿宋_GB2312" w:hAnsi="Times New Roman" w:eastAsia="仿宋_GB2312"/>
          <w:sz w:val="32"/>
          <w:szCs w:val="32"/>
          <w:lang w:val="zh-CN"/>
        </w:rPr>
      </w:pPr>
      <w:r>
        <w:rPr>
          <w:rFonts w:hint="eastAsia" w:ascii="楷体_GB2312" w:hAnsi="Times New Roman" w:eastAsia="楷体_GB2312"/>
          <w:b/>
          <w:sz w:val="32"/>
          <w:szCs w:val="32"/>
          <w:lang w:val="zh-CN"/>
        </w:rPr>
        <w:t>（一）项目组织架构及实施流程。</w:t>
      </w:r>
      <w:r>
        <w:rPr>
          <w:rFonts w:hint="eastAsia" w:ascii="仿宋_GB2312" w:hAnsi="Times New Roman" w:eastAsia="仿宋_GB2312"/>
          <w:sz w:val="32"/>
          <w:szCs w:val="32"/>
          <w:lang w:val="zh-CN"/>
        </w:rPr>
        <w:t>叠溪镇蚕丛村扶持壮大村集体经济项目现已按要求实施完成，项目理事会、村两委、镇政府及主管部门已验收。</w:t>
      </w:r>
    </w:p>
    <w:p>
      <w:pPr>
        <w:adjustRightInd w:val="0"/>
        <w:snapToGrid w:val="0"/>
        <w:spacing w:line="576" w:lineRule="exact"/>
        <w:ind w:firstLine="643" w:firstLineChars="200"/>
        <w:rPr>
          <w:rFonts w:ascii="仿宋_GB2312" w:hAnsi="Times New Roman" w:eastAsia="仿宋_GB2312"/>
          <w:sz w:val="32"/>
          <w:szCs w:val="32"/>
          <w:lang w:val="zh-CN"/>
        </w:rPr>
      </w:pPr>
      <w:r>
        <w:rPr>
          <w:rFonts w:hint="eastAsia" w:ascii="楷体_GB2312" w:hAnsi="Times New Roman" w:eastAsia="楷体_GB2312"/>
          <w:b/>
          <w:sz w:val="32"/>
          <w:szCs w:val="32"/>
          <w:lang w:val="zh-CN"/>
        </w:rPr>
        <w:t>（二）项目管理情况。</w:t>
      </w:r>
      <w:r>
        <w:rPr>
          <w:rFonts w:hint="eastAsia" w:ascii="仿宋_GB2312" w:hAnsi="Times New Roman" w:eastAsia="仿宋_GB2312"/>
          <w:sz w:val="32"/>
          <w:szCs w:val="32"/>
          <w:lang w:val="zh-CN"/>
        </w:rPr>
        <w:t>项目实施过程中，严格按照相关法律法规及项目管理制度进行管理。</w:t>
      </w:r>
    </w:p>
    <w:p>
      <w:pPr>
        <w:adjustRightInd w:val="0"/>
        <w:snapToGrid w:val="0"/>
        <w:spacing w:line="576" w:lineRule="exact"/>
        <w:ind w:firstLine="643" w:firstLineChars="200"/>
        <w:rPr>
          <w:rFonts w:ascii="仿宋_GB2312" w:hAnsi="Times New Roman" w:eastAsia="仿宋_GB2312"/>
          <w:sz w:val="32"/>
          <w:szCs w:val="32"/>
          <w:lang w:val="zh-CN"/>
        </w:rPr>
      </w:pPr>
      <w:r>
        <w:rPr>
          <w:rFonts w:hint="eastAsia" w:ascii="楷体_GB2312" w:hAnsi="Times New Roman" w:eastAsia="楷体_GB2312"/>
          <w:b/>
          <w:sz w:val="32"/>
          <w:szCs w:val="32"/>
          <w:lang w:val="zh-CN"/>
        </w:rPr>
        <w:t>（三）项目监管情况。</w:t>
      </w:r>
      <w:r>
        <w:rPr>
          <w:rFonts w:hint="eastAsia" w:ascii="仿宋_GB2312" w:hAnsi="Times New Roman" w:eastAsia="仿宋_GB2312"/>
          <w:sz w:val="32"/>
          <w:szCs w:val="32"/>
          <w:lang w:val="zh-CN"/>
        </w:rPr>
        <w:t>项目实施实施过程中，坚持制度管人、督促项目实施单位建立健全内部监督各项制度，最大限度地预防项目资金损失浪费和违法违纪行为的发生。</w:t>
      </w:r>
    </w:p>
    <w:p>
      <w:pPr>
        <w:pStyle w:val="13"/>
        <w:widowControl/>
        <w:spacing w:before="0" w:beforeAutospacing="0" w:after="0" w:afterAutospacing="0" w:line="576" w:lineRule="exact"/>
        <w:ind w:firstLine="640" w:firstLineChars="200"/>
        <w:outlineLvl w:val="1"/>
        <w:rPr>
          <w:rFonts w:ascii="黑体" w:hAnsi="黑体" w:eastAsia="黑体" w:cs="黑体"/>
          <w:color w:val="000000"/>
          <w:sz w:val="32"/>
          <w:szCs w:val="32"/>
          <w:shd w:val="clear" w:color="auto" w:fill="FFFFFF"/>
          <w:lang w:val="zh-CN"/>
        </w:rPr>
      </w:pPr>
      <w:bookmarkStart w:id="43" w:name="_Toc26488"/>
      <w:r>
        <w:rPr>
          <w:rFonts w:hint="eastAsia" w:ascii="黑体" w:hAnsi="黑体" w:eastAsia="黑体" w:cs="黑体"/>
          <w:color w:val="000000"/>
          <w:sz w:val="32"/>
          <w:szCs w:val="32"/>
          <w:shd w:val="clear" w:color="auto" w:fill="FFFFFF"/>
          <w:lang w:val="zh-CN"/>
        </w:rPr>
        <w:t>四、项目绩效情况</w:t>
      </w:r>
      <w:bookmarkEnd w:id="43"/>
    </w:p>
    <w:p>
      <w:pPr>
        <w:pStyle w:val="13"/>
        <w:widowControl/>
        <w:spacing w:before="0" w:beforeAutospacing="0" w:after="0" w:afterAutospacing="0" w:line="576" w:lineRule="exact"/>
        <w:ind w:firstLine="643" w:firstLineChars="200"/>
        <w:outlineLvl w:val="2"/>
        <w:rPr>
          <w:rFonts w:ascii="楷体_GB2312" w:hAnsi="楷体_GB2312" w:eastAsia="楷体_GB2312" w:cs="楷体_GB2312"/>
          <w:b/>
          <w:bCs/>
          <w:color w:val="000000"/>
          <w:sz w:val="32"/>
          <w:szCs w:val="32"/>
          <w:shd w:val="clear" w:color="auto" w:fill="FFFFFF"/>
          <w:lang w:val="zh-CN"/>
        </w:rPr>
      </w:pPr>
      <w:bookmarkStart w:id="44" w:name="_Toc26844"/>
      <w:r>
        <w:rPr>
          <w:rFonts w:hint="eastAsia" w:ascii="楷体_GB2312" w:hAnsi="楷体_GB2312" w:eastAsia="楷体_GB2312" w:cs="楷体_GB2312"/>
          <w:b/>
          <w:bCs/>
          <w:color w:val="000000"/>
          <w:sz w:val="32"/>
          <w:szCs w:val="32"/>
          <w:shd w:val="clear" w:color="auto" w:fill="FFFFFF"/>
          <w:lang w:val="zh-CN"/>
        </w:rPr>
        <w:t>（一）项目完成情况</w:t>
      </w:r>
      <w:bookmarkEnd w:id="44"/>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pStyle w:val="13"/>
        <w:widowControl/>
        <w:spacing w:before="0" w:beforeAutospacing="0" w:after="0" w:afterAutospacing="0" w:line="576" w:lineRule="exact"/>
        <w:ind w:firstLine="643" w:firstLineChars="200"/>
        <w:outlineLvl w:val="2"/>
        <w:rPr>
          <w:rFonts w:ascii="楷体_GB2312" w:hAnsi="楷体_GB2312" w:eastAsia="楷体_GB2312" w:cs="楷体_GB2312"/>
          <w:b/>
          <w:bCs/>
          <w:color w:val="000000"/>
          <w:sz w:val="32"/>
          <w:szCs w:val="32"/>
          <w:shd w:val="clear" w:color="auto" w:fill="FFFFFF"/>
          <w:lang w:val="zh-CN"/>
        </w:rPr>
      </w:pPr>
      <w:bookmarkStart w:id="45" w:name="_Toc17093"/>
      <w:r>
        <w:rPr>
          <w:rFonts w:hint="eastAsia" w:ascii="楷体_GB2312" w:hAnsi="楷体_GB2312" w:eastAsia="楷体_GB2312" w:cs="楷体_GB2312"/>
          <w:b/>
          <w:bCs/>
          <w:color w:val="000000"/>
          <w:sz w:val="32"/>
          <w:szCs w:val="32"/>
          <w:shd w:val="clear" w:color="auto" w:fill="FFFFFF"/>
          <w:lang w:val="zh-CN"/>
        </w:rPr>
        <w:t>（二）项目效益情况</w:t>
      </w:r>
      <w:bookmarkEnd w:id="45"/>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叠溪镇蚕丛村扶持壮大村集体经济项目建成运行后可稳固提升村集体经济收入，具有不贬值、抵御风险能力强等优点。</w:t>
      </w:r>
    </w:p>
    <w:p>
      <w:pPr>
        <w:pStyle w:val="13"/>
        <w:widowControl/>
        <w:spacing w:before="0" w:beforeAutospacing="0" w:after="0" w:afterAutospacing="0" w:line="576" w:lineRule="exact"/>
        <w:ind w:firstLine="640" w:firstLineChars="200"/>
        <w:outlineLvl w:val="1"/>
        <w:rPr>
          <w:rFonts w:ascii="黑体" w:hAnsi="黑体" w:eastAsia="黑体" w:cs="黑体"/>
          <w:color w:val="000000"/>
          <w:sz w:val="32"/>
          <w:szCs w:val="32"/>
          <w:shd w:val="clear" w:color="auto" w:fill="FFFFFF"/>
          <w:lang w:val="zh-CN"/>
        </w:rPr>
      </w:pPr>
      <w:bookmarkStart w:id="46" w:name="_Toc5249"/>
      <w:r>
        <w:rPr>
          <w:rFonts w:hint="eastAsia" w:ascii="黑体" w:hAnsi="黑体" w:eastAsia="黑体" w:cs="黑体"/>
          <w:color w:val="000000"/>
          <w:sz w:val="32"/>
          <w:szCs w:val="32"/>
          <w:shd w:val="clear" w:color="auto" w:fill="FFFFFF"/>
          <w:lang w:val="zh-CN"/>
        </w:rPr>
        <w:t>五、评价结论及建议</w:t>
      </w:r>
      <w:bookmarkEnd w:id="46"/>
    </w:p>
    <w:p>
      <w:pPr>
        <w:pStyle w:val="13"/>
        <w:widowControl/>
        <w:spacing w:before="0" w:beforeAutospacing="0" w:after="0" w:afterAutospacing="0" w:line="576" w:lineRule="exact"/>
        <w:ind w:firstLine="643" w:firstLineChars="200"/>
        <w:outlineLvl w:val="2"/>
        <w:rPr>
          <w:rFonts w:ascii="楷体_GB2312" w:hAnsi="楷体_GB2312" w:eastAsia="楷体_GB2312" w:cs="楷体_GB2312"/>
          <w:b/>
          <w:bCs/>
          <w:color w:val="000000"/>
          <w:sz w:val="32"/>
          <w:szCs w:val="32"/>
          <w:shd w:val="clear" w:color="auto" w:fill="FFFFFF"/>
          <w:lang w:val="zh-CN"/>
        </w:rPr>
      </w:pPr>
      <w:bookmarkStart w:id="47" w:name="_Toc21460"/>
      <w:r>
        <w:rPr>
          <w:rFonts w:hint="eastAsia" w:ascii="楷体_GB2312" w:hAnsi="楷体_GB2312" w:eastAsia="楷体_GB2312" w:cs="楷体_GB2312"/>
          <w:b/>
          <w:bCs/>
          <w:color w:val="000000"/>
          <w:sz w:val="32"/>
          <w:szCs w:val="32"/>
          <w:shd w:val="clear" w:color="auto" w:fill="FFFFFF"/>
          <w:lang w:val="zh-CN"/>
        </w:rPr>
        <w:t>（一）评价结论</w:t>
      </w:r>
      <w:bookmarkEnd w:id="47"/>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Style w:val="13"/>
        <w:widowControl/>
        <w:numPr>
          <w:ilvl w:val="0"/>
          <w:numId w:val="2"/>
        </w:numPr>
        <w:spacing w:before="0" w:beforeAutospacing="0" w:after="0" w:afterAutospacing="0" w:line="576" w:lineRule="exact"/>
        <w:ind w:firstLine="643" w:firstLineChars="200"/>
        <w:outlineLvl w:val="2"/>
        <w:rPr>
          <w:rFonts w:ascii="楷体_GB2312" w:hAnsi="楷体_GB2312" w:eastAsia="楷体_GB2312" w:cs="楷体_GB2312"/>
          <w:b/>
          <w:bCs/>
          <w:color w:val="000000"/>
          <w:sz w:val="32"/>
          <w:szCs w:val="32"/>
          <w:shd w:val="clear" w:color="auto" w:fill="FFFFFF"/>
          <w:lang w:val="zh-CN"/>
        </w:rPr>
      </w:pPr>
      <w:bookmarkStart w:id="48" w:name="_Toc16244"/>
      <w:r>
        <w:rPr>
          <w:rFonts w:hint="eastAsia" w:ascii="楷体_GB2312" w:hAnsi="楷体_GB2312" w:eastAsia="楷体_GB2312" w:cs="楷体_GB2312"/>
          <w:b/>
          <w:bCs/>
          <w:color w:val="000000"/>
          <w:sz w:val="32"/>
          <w:szCs w:val="32"/>
          <w:shd w:val="clear" w:color="auto" w:fill="FFFFFF"/>
          <w:lang w:val="zh-CN"/>
        </w:rPr>
        <w:t>存在的问题</w:t>
      </w:r>
      <w:bookmarkEnd w:id="48"/>
    </w:p>
    <w:p>
      <w:pPr>
        <w:adjustRightInd w:val="0"/>
        <w:snapToGrid w:val="0"/>
        <w:spacing w:line="576" w:lineRule="exact"/>
        <w:ind w:firstLine="640" w:firstLineChars="200"/>
        <w:rPr>
          <w:rFonts w:hint="eastAsia" w:ascii="仿宋_GB2312" w:hAnsi="Times New Roman" w:eastAsia="仿宋_GB2312"/>
          <w:sz w:val="32"/>
          <w:szCs w:val="32"/>
          <w:lang w:val="zh-CN" w:eastAsia="zh-CN"/>
        </w:rPr>
      </w:pPr>
      <w:r>
        <w:rPr>
          <w:rFonts w:hint="eastAsia" w:ascii="仿宋_GB2312" w:hAnsi="Times New Roman" w:eastAsia="仿宋_GB2312"/>
          <w:sz w:val="32"/>
          <w:szCs w:val="32"/>
          <w:lang w:val="zh-CN" w:eastAsia="zh-CN"/>
        </w:rPr>
        <w:t>无。</w:t>
      </w:r>
    </w:p>
    <w:p>
      <w:pPr>
        <w:pStyle w:val="13"/>
        <w:widowControl/>
        <w:numPr>
          <w:ilvl w:val="0"/>
          <w:numId w:val="2"/>
        </w:numPr>
        <w:spacing w:before="0" w:beforeAutospacing="0" w:after="0" w:afterAutospacing="0" w:line="576" w:lineRule="exact"/>
        <w:ind w:firstLine="643" w:firstLineChars="200"/>
        <w:outlineLvl w:val="2"/>
        <w:rPr>
          <w:rFonts w:ascii="楷体_GB2312" w:hAnsi="楷体_GB2312" w:eastAsia="楷体_GB2312" w:cs="楷体_GB2312"/>
          <w:b/>
          <w:bCs/>
          <w:color w:val="000000"/>
          <w:sz w:val="32"/>
          <w:szCs w:val="32"/>
          <w:shd w:val="clear" w:color="auto" w:fill="FFFFFF"/>
          <w:lang w:val="zh-CN"/>
        </w:rPr>
      </w:pPr>
      <w:bookmarkStart w:id="49" w:name="_Toc27195"/>
      <w:r>
        <w:rPr>
          <w:rFonts w:hint="eastAsia" w:ascii="楷体_GB2312" w:hAnsi="楷体_GB2312" w:eastAsia="楷体_GB2312" w:cs="楷体_GB2312"/>
          <w:b/>
          <w:bCs/>
          <w:color w:val="000000"/>
          <w:sz w:val="32"/>
          <w:szCs w:val="32"/>
          <w:shd w:val="clear" w:color="auto" w:fill="FFFFFF"/>
          <w:lang w:val="zh-CN"/>
        </w:rPr>
        <w:t>相关建议</w:t>
      </w:r>
      <w:bookmarkEnd w:id="49"/>
    </w:p>
    <w:p>
      <w:pPr>
        <w:adjustRightInd w:val="0"/>
        <w:snapToGrid w:val="0"/>
        <w:spacing w:line="576" w:lineRule="exact"/>
        <w:ind w:firstLine="640" w:firstLineChars="200"/>
        <w:rPr>
          <w:rFonts w:hint="eastAsia" w:ascii="仿宋_GB2312" w:hAnsi="Times New Roman" w:eastAsia="仿宋_GB2312"/>
          <w:sz w:val="32"/>
          <w:szCs w:val="32"/>
          <w:lang w:val="zh-CN" w:eastAsia="zh-CN"/>
        </w:rPr>
      </w:pPr>
      <w:r>
        <w:rPr>
          <w:rFonts w:hint="eastAsia" w:ascii="仿宋_GB2312" w:hAnsi="Times New Roman" w:eastAsia="仿宋_GB2312"/>
          <w:sz w:val="32"/>
          <w:szCs w:val="32"/>
          <w:lang w:val="zh-CN" w:eastAsia="zh-CN"/>
        </w:rPr>
        <w:t>无。</w:t>
      </w:r>
    </w:p>
    <w:p>
      <w:pPr>
        <w:pStyle w:val="13"/>
        <w:widowControl/>
        <w:spacing w:line="576" w:lineRule="exact"/>
      </w:pPr>
      <w:r>
        <w:t>附表</w:t>
      </w:r>
    </w:p>
    <w:tbl>
      <w:tblPr>
        <w:tblStyle w:val="15"/>
        <w:tblpPr w:leftFromText="180" w:rightFromText="180" w:vertAnchor="text" w:horzAnchor="page" w:tblpX="1256" w:tblpY="221"/>
        <w:tblOverlap w:val="never"/>
        <w:tblW w:w="5173" w:type="pct"/>
        <w:tblInd w:w="0" w:type="dxa"/>
        <w:tblLayout w:type="autofit"/>
        <w:tblCellMar>
          <w:top w:w="0" w:type="dxa"/>
          <w:left w:w="108" w:type="dxa"/>
          <w:bottom w:w="0" w:type="dxa"/>
          <w:right w:w="108" w:type="dxa"/>
        </w:tblCellMar>
      </w:tblPr>
      <w:tblGrid>
        <w:gridCol w:w="1418"/>
        <w:gridCol w:w="1310"/>
        <w:gridCol w:w="480"/>
        <w:gridCol w:w="1266"/>
        <w:gridCol w:w="414"/>
        <w:gridCol w:w="749"/>
        <w:gridCol w:w="1735"/>
        <w:gridCol w:w="1445"/>
      </w:tblGrid>
      <w:tr>
        <w:tblPrEx>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vAlign w:val="center"/>
          </w:tcPr>
          <w:p>
            <w:pPr>
              <w:jc w:val="center"/>
              <w:textAlignment w:val="center"/>
              <w:rPr>
                <w:rFonts w:ascii="宋体" w:hAnsi="宋体" w:cs="宋体"/>
                <w:b/>
                <w:color w:val="000000"/>
                <w:sz w:val="32"/>
                <w:szCs w:val="32"/>
              </w:rPr>
            </w:pPr>
            <w:r>
              <w:rPr>
                <w:rFonts w:hint="eastAsia" w:ascii="宋体" w:hAnsi="宋体" w:cs="宋体"/>
                <w:b/>
                <w:color w:val="000000"/>
                <w:sz w:val="32"/>
                <w:szCs w:val="32"/>
              </w:rPr>
              <w:t>2022年蚕丛村扶持壮大村集体经济项目绩效目标自评</w:t>
            </w:r>
          </w:p>
        </w:tc>
      </w:tr>
      <w:tr>
        <w:tblPrEx>
          <w:tblCellMar>
            <w:top w:w="0" w:type="dxa"/>
            <w:left w:w="108" w:type="dxa"/>
            <w:bottom w:w="0" w:type="dxa"/>
            <w:right w:w="108" w:type="dxa"/>
          </w:tblCellMar>
        </w:tblPrEx>
        <w:trPr>
          <w:trHeight w:val="254" w:hRule="atLeast"/>
        </w:trPr>
        <w:tc>
          <w:tcPr>
            <w:tcW w:w="1819" w:type="pct"/>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主管部门及代码</w:t>
            </w:r>
          </w:p>
        </w:tc>
        <w:tc>
          <w:tcPr>
            <w:tcW w:w="1377" w:type="pct"/>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611</w:t>
            </w:r>
          </w:p>
        </w:tc>
        <w:tc>
          <w:tcPr>
            <w:tcW w:w="98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实施单位</w:t>
            </w:r>
          </w:p>
        </w:tc>
        <w:tc>
          <w:tcPr>
            <w:tcW w:w="820"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叠溪镇</w:t>
            </w:r>
          </w:p>
        </w:tc>
      </w:tr>
      <w:tr>
        <w:tblPrEx>
          <w:tblCellMar>
            <w:top w:w="0" w:type="dxa"/>
            <w:left w:w="108" w:type="dxa"/>
            <w:bottom w:w="0" w:type="dxa"/>
            <w:right w:w="108" w:type="dxa"/>
          </w:tblCellMar>
        </w:tblPrEx>
        <w:trPr>
          <w:trHeight w:val="341" w:hRule="atLeast"/>
        </w:trPr>
        <w:tc>
          <w:tcPr>
            <w:tcW w:w="1819" w:type="pct"/>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项目预算</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执行情况</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（万元）</w:t>
            </w:r>
          </w:p>
        </w:tc>
        <w:tc>
          <w:tcPr>
            <w:tcW w:w="953"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 xml:space="preserve"> 预算数：</w:t>
            </w:r>
          </w:p>
        </w:tc>
        <w:tc>
          <w:tcPr>
            <w:tcW w:w="42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98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 xml:space="preserve"> 执行数：</w:t>
            </w:r>
          </w:p>
        </w:tc>
        <w:tc>
          <w:tcPr>
            <w:tcW w:w="820"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r>
        <w:tblPrEx>
          <w:tblCellMar>
            <w:top w:w="0" w:type="dxa"/>
            <w:left w:w="108" w:type="dxa"/>
            <w:bottom w:w="0" w:type="dxa"/>
            <w:right w:w="108" w:type="dxa"/>
          </w:tblCellMar>
        </w:tblPrEx>
        <w:trPr>
          <w:trHeight w:val="577" w:hRule="atLeast"/>
        </w:trPr>
        <w:tc>
          <w:tcPr>
            <w:tcW w:w="1819" w:type="pct"/>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953"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其中：</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财政拨款</w:t>
            </w:r>
          </w:p>
        </w:tc>
        <w:tc>
          <w:tcPr>
            <w:tcW w:w="42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98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其中：</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财政拨款</w:t>
            </w:r>
          </w:p>
        </w:tc>
        <w:tc>
          <w:tcPr>
            <w:tcW w:w="820"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r>
        <w:tblPrEx>
          <w:tblCellMar>
            <w:top w:w="0" w:type="dxa"/>
            <w:left w:w="108" w:type="dxa"/>
            <w:bottom w:w="0" w:type="dxa"/>
            <w:right w:w="108" w:type="dxa"/>
          </w:tblCellMar>
        </w:tblPrEx>
        <w:trPr>
          <w:trHeight w:val="341" w:hRule="atLeast"/>
        </w:trPr>
        <w:tc>
          <w:tcPr>
            <w:tcW w:w="1819" w:type="pct"/>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953"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其他资金</w:t>
            </w:r>
          </w:p>
        </w:tc>
        <w:tc>
          <w:tcPr>
            <w:tcW w:w="42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98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其他资金</w:t>
            </w:r>
          </w:p>
        </w:tc>
        <w:tc>
          <w:tcPr>
            <w:tcW w:w="820"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r>
      <w:tr>
        <w:tblPrEx>
          <w:tblCellMar>
            <w:top w:w="0" w:type="dxa"/>
            <w:left w:w="108" w:type="dxa"/>
            <w:bottom w:w="0" w:type="dxa"/>
            <w:right w:w="108" w:type="dxa"/>
          </w:tblCellMar>
        </w:tblPrEx>
        <w:trPr>
          <w:trHeight w:val="217" w:hRule="atLeast"/>
        </w:trPr>
        <w:tc>
          <w:tcPr>
            <w:tcW w:w="804"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年度总体目标</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完成情况</w:t>
            </w:r>
          </w:p>
        </w:tc>
        <w:tc>
          <w:tcPr>
            <w:tcW w:w="2393" w:type="pct"/>
            <w:gridSpan w:val="5"/>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预期目标</w:t>
            </w:r>
          </w:p>
        </w:tc>
        <w:tc>
          <w:tcPr>
            <w:tcW w:w="1804"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目标实际完成情况</w:t>
            </w:r>
          </w:p>
        </w:tc>
      </w:tr>
      <w:tr>
        <w:tblPrEx>
          <w:tblCellMar>
            <w:top w:w="0" w:type="dxa"/>
            <w:left w:w="108" w:type="dxa"/>
            <w:bottom w:w="0" w:type="dxa"/>
            <w:right w:w="108" w:type="dxa"/>
          </w:tblCellMar>
        </w:tblPrEx>
        <w:trPr>
          <w:trHeight w:val="1297" w:hRule="atLeast"/>
        </w:trPr>
        <w:tc>
          <w:tcPr>
            <w:tcW w:w="804" w:type="pct"/>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2393" w:type="pct"/>
            <w:gridSpan w:val="5"/>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巩固扶贫成果，助力乡村振兴。本次项目总投入100万元，主要是在茂县购买铺面，收取租金的方式壮大村集体经济。</w:t>
            </w:r>
          </w:p>
          <w:p>
            <w:pPr>
              <w:spacing w:line="560" w:lineRule="exact"/>
              <w:rPr>
                <w:rFonts w:ascii="仿宋_GB2312" w:hAnsi="Times New Roman" w:eastAsia="仿宋_GB2312"/>
                <w:szCs w:val="21"/>
                <w:lang w:val="zh-CN"/>
              </w:rPr>
            </w:pPr>
          </w:p>
        </w:tc>
        <w:tc>
          <w:tcPr>
            <w:tcW w:w="1804" w:type="pct"/>
            <w:gridSpan w:val="2"/>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巩固扶贫成果，助力乡村振兴。本次项目总投入100万元，主要是在茂县购买铺面，收取租金的方式壮大村集体经济</w:t>
            </w:r>
          </w:p>
        </w:tc>
      </w:tr>
      <w:tr>
        <w:tblPrEx>
          <w:tblCellMar>
            <w:top w:w="0" w:type="dxa"/>
            <w:left w:w="108" w:type="dxa"/>
            <w:bottom w:w="0" w:type="dxa"/>
            <w:right w:w="108" w:type="dxa"/>
          </w:tblCellMar>
        </w:tblPrEx>
        <w:trPr>
          <w:trHeight w:val="738" w:hRule="atLeast"/>
        </w:trPr>
        <w:tc>
          <w:tcPr>
            <w:tcW w:w="804" w:type="pct"/>
            <w:vMerge w:val="restart"/>
            <w:tcBorders>
              <w:top w:val="single" w:color="000000" w:sz="4" w:space="0"/>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年度绩效指标完成情况</w:t>
            </w:r>
          </w:p>
        </w:tc>
        <w:tc>
          <w:tcPr>
            <w:tcW w:w="743" w:type="pct"/>
            <w:tcBorders>
              <w:top w:val="single" w:color="000000" w:sz="4" w:space="0"/>
              <w:left w:val="nil"/>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一级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990"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二级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660"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三级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984"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预期指标值</w:t>
            </w:r>
          </w:p>
        </w:tc>
        <w:tc>
          <w:tcPr>
            <w:tcW w:w="820"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实际完成指标值</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数量指标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涉及行政村</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质量指标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验收合格率</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时效指标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完成年度</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2022</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2022</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成本指标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投入成本</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效益</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经济效益  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给村集体增加收益</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5万元</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4.68万元</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可持续影响 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可持续影响力</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95%</w:t>
            </w:r>
          </w:p>
        </w:tc>
      </w:tr>
      <w:tr>
        <w:tblPrEx>
          <w:tblCellMar>
            <w:top w:w="0" w:type="dxa"/>
            <w:left w:w="108" w:type="dxa"/>
            <w:bottom w:w="0" w:type="dxa"/>
            <w:right w:w="108" w:type="dxa"/>
          </w:tblCellMar>
        </w:tblPrEx>
        <w:trPr>
          <w:trHeight w:val="480" w:hRule="atLeast"/>
        </w:trPr>
        <w:tc>
          <w:tcPr>
            <w:tcW w:w="804" w:type="pct"/>
            <w:vMerge w:val="continue"/>
            <w:tcBorders>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43"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满意</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度指标</w:t>
            </w:r>
          </w:p>
        </w:tc>
        <w:tc>
          <w:tcPr>
            <w:tcW w:w="99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满意度</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66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村民满意度</w:t>
            </w:r>
          </w:p>
        </w:tc>
        <w:tc>
          <w:tcPr>
            <w:tcW w:w="984"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820"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bl>
    <w:p>
      <w:pPr>
        <w:pStyle w:val="26"/>
        <w:spacing w:line="560" w:lineRule="exact"/>
        <w:rPr>
          <w:rFonts w:ascii="方正小标宋简体" w:hAnsi="宋体" w:eastAsia="方正小标宋简体"/>
          <w:sz w:val="44"/>
          <w:szCs w:val="44"/>
          <w:lang w:val="en-US"/>
        </w:rPr>
      </w:pPr>
    </w:p>
    <w:p>
      <w:pPr>
        <w:pStyle w:val="26"/>
        <w:spacing w:line="576" w:lineRule="exact"/>
        <w:jc w:val="center"/>
        <w:rPr>
          <w:rFonts w:ascii="方正小标宋简体" w:hAnsi="宋体" w:eastAsia="方正小标宋简体"/>
          <w:sz w:val="44"/>
          <w:szCs w:val="44"/>
          <w:lang w:val="en-US"/>
        </w:rPr>
      </w:pPr>
      <w:r>
        <w:rPr>
          <w:rFonts w:hint="eastAsia" w:ascii="方正小标宋简体" w:hAnsi="宋体" w:eastAsia="方正小标宋简体"/>
          <w:sz w:val="44"/>
          <w:szCs w:val="44"/>
          <w:lang w:val="en-US"/>
        </w:rPr>
        <w:t>2023年叠溪镇基层组织活动和公共服务运行补助经费支出绩效自评报告</w:t>
      </w:r>
    </w:p>
    <w:p>
      <w:pPr>
        <w:adjustRightInd w:val="0"/>
        <w:snapToGrid w:val="0"/>
        <w:spacing w:line="576" w:lineRule="exact"/>
        <w:ind w:firstLine="640" w:firstLineChars="200"/>
        <w:rPr>
          <w:rFonts w:ascii="黑体" w:hAnsi="Times New Roman" w:eastAsia="黑体"/>
          <w:sz w:val="32"/>
          <w:szCs w:val="32"/>
          <w:lang w:val="zh-CN"/>
        </w:rPr>
      </w:pPr>
      <w:r>
        <w:rPr>
          <w:rFonts w:hint="eastAsia" w:ascii="黑体" w:hAnsi="Times New Roman" w:eastAsia="黑体"/>
          <w:sz w:val="32"/>
          <w:szCs w:val="32"/>
        </w:rPr>
        <w:t>一、</w:t>
      </w:r>
      <w:r>
        <w:rPr>
          <w:rFonts w:hint="eastAsia" w:ascii="黑体" w:hAnsi="Times New Roman" w:eastAsia="黑体"/>
          <w:sz w:val="32"/>
          <w:szCs w:val="32"/>
          <w:lang w:val="zh-CN"/>
        </w:rPr>
        <w:t>项目概况</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（一）项目基本情况</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1．我镇基层组织活动和公共服务运行补助经费:一是农村基础设施和环境类项目的运行维护。包括村内户外道路、水利、供水、供电、通讯、互联网等基础设施，农村垃圾、污水集中处理，农村客运、邮政、园林绿化等。二是农业生产服务类项目的运行维护。包括农业科技推广、动植物疫病防控、农产品流通、农用生产资料供应、农业信息化、种养业良种服务、农业资源与生态保护、农村防灾减灾、农村金融服务等。三是农村生活服务类项目的运行维护。包括广播电视“村村通”、电影放映服务、报刊图书阅览服务、文体及健身活动、文艺演出和展览服务。四是农村社会管理类项目的运行维护。包括农村治安保卫、环境卫生监督管理、政策宣传、法律咨询和援助，农村土地规划管理、建筑物建设管理，农村传染病防控和食品安全保障等。五是村基层组织活动。主要包括基层党组织开展组织活动，党员干部教育培训，激励创先争优，走访慰问，群团活动开展，组织活动场所维护等。六是村日常办公运转，包括必要的办公用品费、水电费、报刊征订费等维持村正常运转以及村务监督委员会等其他形式村务机构开展工作所必需的支出。</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2．项目立项、资金申报的依据，我镇基层组织活动和公共服务运行补助经费应收到财政下拨264万元，按合并前每个村11万元下达，其中：省财政补助每村7万元/年；州财政补助每村2万元/年；县财政补助每村2万元/年。</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3．资金管理办法制定情况，资金支持具体项目的条件、范围与支持方式概况。我镇结合各村地理位置、党员人数、服务人口及半径、村集体收入、工作绩效等因数分村确定分配金额。</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4．资金分配的原则及考虑因素。我镇结合各村地理位置、党员人数、服务人口及半径、村集体收入、工作绩效等因数分村确定分配金额。</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（二）项目绩效目标</w:t>
      </w:r>
    </w:p>
    <w:p>
      <w:pPr>
        <w:adjustRightInd w:val="0"/>
        <w:snapToGrid w:val="0"/>
        <w:spacing w:line="576" w:lineRule="exact"/>
        <w:ind w:firstLine="643" w:firstLineChars="200"/>
        <w:rPr>
          <w:rFonts w:ascii="仿宋_GB2312" w:hAnsi="Times New Roman" w:eastAsia="仿宋_GB2312"/>
          <w:b/>
          <w:bCs/>
          <w:sz w:val="32"/>
          <w:szCs w:val="32"/>
          <w:lang w:val="zh-CN"/>
        </w:rPr>
      </w:pPr>
      <w:r>
        <w:rPr>
          <w:rFonts w:hint="eastAsia" w:ascii="仿宋_GB2312" w:hAnsi="Times New Roman" w:eastAsia="仿宋_GB2312"/>
          <w:b/>
          <w:bCs/>
          <w:sz w:val="32"/>
          <w:szCs w:val="32"/>
          <w:lang w:val="zh-CN"/>
        </w:rPr>
        <w:t>1．项目主要内容</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我镇基层组织活动和公共服务运行补助经费用于农村基础设施和环境类项目的运行维护、农业生产服务类项目的运行维护、农村生活服务类项目的运行维护、农村社会管理类项目的运行维护、村基层组织活动、村日常办公运转以及村务监督委员会等其他形式村务机构开展工作所必需的支出。</w:t>
      </w:r>
    </w:p>
    <w:p>
      <w:pPr>
        <w:adjustRightInd w:val="0"/>
        <w:snapToGrid w:val="0"/>
        <w:spacing w:line="576" w:lineRule="exact"/>
        <w:ind w:firstLine="643" w:firstLineChars="200"/>
        <w:rPr>
          <w:rFonts w:ascii="仿宋_GB2312" w:hAnsi="Times New Roman" w:eastAsia="仿宋_GB2312"/>
          <w:b/>
          <w:bCs/>
          <w:sz w:val="32"/>
          <w:szCs w:val="32"/>
          <w:lang w:val="zh-CN"/>
        </w:rPr>
      </w:pPr>
      <w:r>
        <w:rPr>
          <w:rFonts w:hint="eastAsia" w:ascii="仿宋_GB2312" w:hAnsi="Times New Roman" w:eastAsia="仿宋_GB2312"/>
          <w:b/>
          <w:bCs/>
          <w:sz w:val="32"/>
          <w:szCs w:val="32"/>
          <w:lang w:val="zh-CN"/>
        </w:rPr>
        <w:t>2．项目应实现的具体绩效目标</w:t>
      </w:r>
    </w:p>
    <w:p>
      <w:pPr>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通过改革创新，实现“小改革、大机制，小资金、大舞台”的工作目标，为创新农村社会管理机制体制探索新路径。树立“自治”理念，全面推进民主决策、民主管理和民主监督，让广大农民群众直接行使民主权利，依法办理自己的事情。</w:t>
      </w:r>
    </w:p>
    <w:p>
      <w:pPr>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及时公开资金规模用途。年初，公示本年度资金额度、用途和要求。公开村民建议意见。在村民（代表）会议前，公示项目需求建议、排序情况、实施草案、选择条件等内容。公开村民会议决议。项目完工后，公示项目实施、资金使用、验收意见等内容。公开绩效评价结果。考评结束后，公示资金绩效评价结果。</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3．我镇基层组织活动和公共服务运行补助经费申报内容是否与实际相符，申报目标合理可行。</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（三）项目自评步骤及方法</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本项目采取自评与他评相结合的方式，结合评价内容，做到有计划，有安排，扎实开展本次自评工作。针对申报内容、实施情况、资金拨付、财务管理、社会效益等做出自我评价。</w:t>
      </w:r>
    </w:p>
    <w:p>
      <w:pPr>
        <w:adjustRightInd w:val="0"/>
        <w:snapToGrid w:val="0"/>
        <w:spacing w:line="576" w:lineRule="exact"/>
        <w:ind w:firstLine="640" w:firstLineChars="200"/>
        <w:rPr>
          <w:rFonts w:ascii="黑体" w:hAnsi="Times New Roman" w:eastAsia="黑体"/>
          <w:sz w:val="32"/>
          <w:szCs w:val="32"/>
        </w:rPr>
      </w:pPr>
      <w:r>
        <w:rPr>
          <w:rFonts w:hint="eastAsia" w:ascii="黑体" w:hAnsi="Times New Roman" w:eastAsia="黑体"/>
          <w:sz w:val="32"/>
          <w:szCs w:val="32"/>
        </w:rPr>
        <w:t>二、项目资金申报及使用情况</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（一）项目资金申报及批复情况</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我镇基层组织活动和公共服务运行补助经费应收到财政下拨264万元，按合并前每个村11万元下达，其中：省财政补助每村7万元/年；州财政补助每村2万元/年；县财政补助每村2万元/年；申报资金与批复资金一致。</w:t>
      </w:r>
    </w:p>
    <w:p>
      <w:pPr>
        <w:numPr>
          <w:ilvl w:val="0"/>
          <w:numId w:val="3"/>
        </w:num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资金计划、到位及使用情况</w:t>
      </w:r>
    </w:p>
    <w:p>
      <w:pPr>
        <w:adjustRightInd w:val="0"/>
        <w:snapToGrid w:val="0"/>
        <w:spacing w:line="576" w:lineRule="exact"/>
        <w:ind w:firstLine="643" w:firstLineChars="200"/>
        <w:rPr>
          <w:rFonts w:cs="仿宋_GB2312"/>
          <w:kern w:val="1"/>
        </w:rPr>
      </w:pPr>
      <w:r>
        <w:rPr>
          <w:rFonts w:hint="eastAsia" w:ascii="仿宋_GB2312" w:hAnsi="仿宋_GB2312" w:eastAsia="仿宋_GB2312" w:cs="仿宋_GB2312"/>
          <w:b/>
          <w:bCs/>
          <w:sz w:val="32"/>
          <w:szCs w:val="32"/>
          <w:lang w:val="zh-CN"/>
        </w:rPr>
        <w:t>1．资金计划。</w:t>
      </w:r>
      <w:r>
        <w:rPr>
          <w:rFonts w:hint="eastAsia" w:ascii="仿宋_GB2312" w:hAnsi="Times New Roman" w:eastAsia="仿宋_GB2312"/>
          <w:sz w:val="32"/>
          <w:szCs w:val="32"/>
          <w:lang w:val="zh-CN"/>
        </w:rPr>
        <w:t>我镇基层组织活动和公共服务运行补助经费应收到财政下拨264万元，按合并前每个村11万元下达，其中：省财政补助每村7万元/年；州财政补助每村2万元/年；县财政补助每村2万元/年。</w:t>
      </w:r>
    </w:p>
    <w:p>
      <w:pPr>
        <w:adjustRightInd w:val="0"/>
        <w:snapToGrid w:val="0"/>
        <w:spacing w:line="576" w:lineRule="exact"/>
        <w:ind w:firstLine="643" w:firstLineChars="200"/>
        <w:rPr>
          <w:rFonts w:ascii="仿宋_GB2312" w:hAnsi="Times New Roman" w:eastAsia="仿宋_GB2312"/>
          <w:sz w:val="32"/>
          <w:szCs w:val="32"/>
          <w:lang w:val="zh-CN"/>
        </w:rPr>
      </w:pPr>
      <w:r>
        <w:rPr>
          <w:rFonts w:hint="eastAsia" w:ascii="仿宋_GB2312" w:hAnsi="仿宋_GB2312" w:eastAsia="仿宋_GB2312" w:cs="仿宋_GB2312"/>
          <w:b/>
          <w:bCs/>
          <w:sz w:val="32"/>
          <w:szCs w:val="32"/>
          <w:lang w:val="zh-CN"/>
        </w:rPr>
        <w:t>2．资金到位。</w:t>
      </w:r>
      <w:r>
        <w:rPr>
          <w:rFonts w:hint="eastAsia" w:ascii="仿宋_GB2312" w:hAnsi="Times New Roman" w:eastAsia="仿宋_GB2312"/>
          <w:sz w:val="32"/>
          <w:szCs w:val="32"/>
          <w:lang w:val="zh-CN"/>
        </w:rPr>
        <w:t>我镇基层组织活动和公共服务运行补助经费应收到财政下拨264万元，按合并前每个村11万元下达，其中：省财政补助每村7万元/年；州财政补助每村2万元/年；县财政补助每村2万元/年；申报资金与批复资金一致。</w:t>
      </w:r>
    </w:p>
    <w:p>
      <w:pPr>
        <w:adjustRightInd w:val="0"/>
        <w:snapToGrid w:val="0"/>
        <w:spacing w:line="576" w:lineRule="exact"/>
        <w:ind w:firstLine="643" w:firstLineChars="200"/>
        <w:rPr>
          <w:rFonts w:ascii="仿宋_GB2312" w:hAnsi="Times New Roman" w:eastAsia="仿宋_GB2312"/>
          <w:sz w:val="32"/>
          <w:szCs w:val="32"/>
          <w:lang w:val="zh-CN"/>
        </w:rPr>
      </w:pPr>
      <w:r>
        <w:rPr>
          <w:rFonts w:hint="eastAsia" w:ascii="仿宋_GB2312" w:hAnsi="仿宋_GB2312" w:eastAsia="仿宋_GB2312" w:cs="仿宋_GB2312"/>
          <w:b/>
          <w:bCs/>
          <w:sz w:val="32"/>
          <w:szCs w:val="32"/>
          <w:lang w:val="zh-CN"/>
        </w:rPr>
        <w:t>3．资金使用。</w:t>
      </w:r>
      <w:r>
        <w:rPr>
          <w:rFonts w:hint="eastAsia" w:ascii="仿宋_GB2312" w:hAnsi="Times New Roman" w:eastAsia="仿宋_GB2312"/>
          <w:sz w:val="32"/>
          <w:szCs w:val="32"/>
          <w:lang w:val="zh-CN"/>
        </w:rPr>
        <w:t>我镇结合各村地理位置、党员人数、服务人口及半径、村集体收入、工作绩效等因数分村确定具体补助标准：桃花村</w:t>
      </w:r>
      <w:r>
        <w:rPr>
          <w:rFonts w:ascii="仿宋_GB2312" w:hAnsi="Times New Roman" w:eastAsia="仿宋_GB2312"/>
          <w:sz w:val="32"/>
          <w:szCs w:val="32"/>
          <w:lang w:val="zh-CN"/>
        </w:rPr>
        <w:t>10.06041</w:t>
      </w:r>
      <w:r>
        <w:rPr>
          <w:rFonts w:hint="eastAsia" w:ascii="仿宋_GB2312" w:hAnsi="Times New Roman" w:eastAsia="仿宋_GB2312"/>
          <w:sz w:val="32"/>
          <w:szCs w:val="32"/>
          <w:lang w:val="zh-CN"/>
        </w:rPr>
        <w:t>万元，石大关村</w:t>
      </w:r>
      <w:r>
        <w:rPr>
          <w:rFonts w:ascii="仿宋_GB2312" w:hAnsi="Times New Roman" w:eastAsia="仿宋_GB2312"/>
          <w:sz w:val="32"/>
          <w:szCs w:val="32"/>
          <w:lang w:val="zh-CN"/>
        </w:rPr>
        <w:t>9.990924</w:t>
      </w:r>
      <w:r>
        <w:rPr>
          <w:rFonts w:hint="eastAsia" w:ascii="仿宋_GB2312" w:hAnsi="Times New Roman" w:eastAsia="仿宋_GB2312"/>
          <w:sz w:val="32"/>
          <w:szCs w:val="32"/>
          <w:lang w:val="zh-CN"/>
        </w:rPr>
        <w:t>万元，拴马村</w:t>
      </w:r>
      <w:r>
        <w:rPr>
          <w:rFonts w:ascii="仿宋_GB2312" w:hAnsi="Times New Roman" w:eastAsia="仿宋_GB2312"/>
          <w:sz w:val="32"/>
          <w:szCs w:val="32"/>
          <w:lang w:val="zh-CN"/>
        </w:rPr>
        <w:t>10.623216</w:t>
      </w:r>
      <w:r>
        <w:rPr>
          <w:rFonts w:hint="eastAsia" w:ascii="仿宋_GB2312" w:hAnsi="Times New Roman" w:eastAsia="仿宋_GB2312"/>
          <w:sz w:val="32"/>
          <w:szCs w:val="32"/>
          <w:lang w:val="zh-CN"/>
        </w:rPr>
        <w:t>万元，大店村</w:t>
      </w:r>
      <w:r>
        <w:rPr>
          <w:rFonts w:ascii="仿宋_GB2312" w:hAnsi="Times New Roman" w:eastAsia="仿宋_GB2312"/>
          <w:sz w:val="32"/>
          <w:szCs w:val="32"/>
          <w:lang w:val="zh-CN"/>
        </w:rPr>
        <w:t>19.711833</w:t>
      </w:r>
      <w:r>
        <w:rPr>
          <w:rFonts w:hint="eastAsia" w:ascii="仿宋_GB2312" w:hAnsi="Times New Roman" w:eastAsia="仿宋_GB2312"/>
          <w:sz w:val="32"/>
          <w:szCs w:val="32"/>
          <w:lang w:val="zh-CN"/>
        </w:rPr>
        <w:t>万元，蚕丛村</w:t>
      </w:r>
      <w:r>
        <w:rPr>
          <w:rFonts w:ascii="仿宋_GB2312" w:hAnsi="Times New Roman" w:eastAsia="仿宋_GB2312"/>
          <w:sz w:val="32"/>
          <w:szCs w:val="32"/>
          <w:lang w:val="zh-CN"/>
        </w:rPr>
        <w:t>38.775096</w:t>
      </w:r>
      <w:r>
        <w:rPr>
          <w:rFonts w:hint="eastAsia" w:ascii="仿宋_GB2312" w:hAnsi="Times New Roman" w:eastAsia="仿宋_GB2312"/>
          <w:sz w:val="32"/>
          <w:szCs w:val="32"/>
          <w:lang w:val="zh-CN"/>
        </w:rPr>
        <w:t>万元，较场村</w:t>
      </w:r>
      <w:r>
        <w:rPr>
          <w:rFonts w:ascii="仿宋_GB2312" w:hAnsi="Times New Roman" w:eastAsia="仿宋_GB2312"/>
          <w:sz w:val="32"/>
          <w:szCs w:val="32"/>
          <w:lang w:val="zh-CN"/>
        </w:rPr>
        <w:t>14.517747</w:t>
      </w:r>
      <w:r>
        <w:rPr>
          <w:rFonts w:hint="eastAsia" w:ascii="仿宋_GB2312" w:hAnsi="Times New Roman" w:eastAsia="仿宋_GB2312"/>
          <w:sz w:val="32"/>
          <w:szCs w:val="32"/>
          <w:lang w:val="zh-CN"/>
        </w:rPr>
        <w:t>万元，龙池村</w:t>
      </w:r>
      <w:r>
        <w:rPr>
          <w:rFonts w:ascii="仿宋_GB2312" w:hAnsi="Times New Roman" w:eastAsia="仿宋_GB2312"/>
          <w:sz w:val="32"/>
          <w:szCs w:val="32"/>
          <w:lang w:val="zh-CN"/>
        </w:rPr>
        <w:t>20.45371</w:t>
      </w:r>
      <w:r>
        <w:rPr>
          <w:rFonts w:hint="eastAsia" w:ascii="仿宋_GB2312" w:hAnsi="Times New Roman" w:eastAsia="仿宋_GB2312"/>
          <w:sz w:val="32"/>
          <w:szCs w:val="32"/>
          <w:lang w:val="zh-CN"/>
        </w:rPr>
        <w:t>万元，松坪沟村</w:t>
      </w:r>
      <w:r>
        <w:rPr>
          <w:rFonts w:ascii="仿宋_GB2312" w:hAnsi="Times New Roman" w:eastAsia="仿宋_GB2312"/>
          <w:sz w:val="32"/>
          <w:szCs w:val="32"/>
          <w:lang w:val="zh-CN"/>
        </w:rPr>
        <w:t>39.444759</w:t>
      </w:r>
      <w:r>
        <w:rPr>
          <w:rFonts w:hint="eastAsia" w:ascii="仿宋_GB2312" w:hAnsi="Times New Roman" w:eastAsia="仿宋_GB2312"/>
          <w:sz w:val="32"/>
          <w:szCs w:val="32"/>
          <w:lang w:val="zh-CN"/>
        </w:rPr>
        <w:t>万元,沙湾村</w:t>
      </w:r>
      <w:r>
        <w:rPr>
          <w:rFonts w:ascii="仿宋_GB2312" w:hAnsi="Times New Roman" w:eastAsia="仿宋_GB2312"/>
          <w:sz w:val="32"/>
          <w:szCs w:val="32"/>
          <w:lang w:val="zh-CN"/>
        </w:rPr>
        <w:t>21.933214</w:t>
      </w:r>
      <w:r>
        <w:rPr>
          <w:rFonts w:hint="eastAsia" w:ascii="仿宋_GB2312" w:hAnsi="Times New Roman" w:eastAsia="仿宋_GB2312"/>
          <w:sz w:val="32"/>
          <w:szCs w:val="32"/>
          <w:lang w:val="zh-CN"/>
        </w:rPr>
        <w:t>万元,杨柳村</w:t>
      </w:r>
      <w:r>
        <w:rPr>
          <w:rFonts w:ascii="仿宋_GB2312" w:hAnsi="Times New Roman" w:eastAsia="仿宋_GB2312"/>
          <w:sz w:val="32"/>
          <w:szCs w:val="32"/>
          <w:lang w:val="zh-CN"/>
        </w:rPr>
        <w:t>32.487701</w:t>
      </w:r>
      <w:r>
        <w:rPr>
          <w:rFonts w:hint="eastAsia" w:ascii="仿宋_GB2312" w:hAnsi="Times New Roman" w:eastAsia="仿宋_GB2312"/>
          <w:sz w:val="32"/>
          <w:szCs w:val="32"/>
          <w:lang w:val="zh-CN"/>
        </w:rPr>
        <w:t>万元,太平村</w:t>
      </w:r>
      <w:r>
        <w:rPr>
          <w:rFonts w:ascii="仿宋_GB2312" w:hAnsi="Times New Roman" w:eastAsia="仿宋_GB2312"/>
          <w:sz w:val="32"/>
          <w:szCs w:val="32"/>
          <w:lang w:val="zh-CN"/>
        </w:rPr>
        <w:t>14.154966</w:t>
      </w:r>
      <w:r>
        <w:rPr>
          <w:rFonts w:hint="eastAsia" w:ascii="仿宋_GB2312" w:hAnsi="Times New Roman" w:eastAsia="仿宋_GB2312"/>
          <w:sz w:val="32"/>
          <w:szCs w:val="32"/>
          <w:lang w:val="zh-CN"/>
        </w:rPr>
        <w:t>万元,牛尾村</w:t>
      </w:r>
      <w:r>
        <w:rPr>
          <w:rFonts w:ascii="仿宋_GB2312" w:hAnsi="Times New Roman" w:eastAsia="仿宋_GB2312"/>
          <w:sz w:val="32"/>
          <w:szCs w:val="32"/>
          <w:lang w:val="zh-CN"/>
        </w:rPr>
        <w:t>10.073214</w:t>
      </w:r>
      <w:r>
        <w:rPr>
          <w:rFonts w:hint="eastAsia" w:ascii="仿宋_GB2312" w:hAnsi="Times New Roman" w:eastAsia="仿宋_GB2312"/>
          <w:sz w:val="32"/>
          <w:szCs w:val="32"/>
          <w:lang w:val="zh-CN"/>
        </w:rPr>
        <w:t>万元,龙池村</w:t>
      </w:r>
      <w:r>
        <w:rPr>
          <w:rFonts w:ascii="仿宋_GB2312" w:hAnsi="Times New Roman" w:eastAsia="仿宋_GB2312"/>
          <w:sz w:val="32"/>
          <w:szCs w:val="32"/>
          <w:lang w:val="zh-CN"/>
        </w:rPr>
        <w:t>20.45371</w:t>
      </w:r>
      <w:r>
        <w:rPr>
          <w:rFonts w:hint="eastAsia" w:ascii="仿宋_GB2312" w:hAnsi="Times New Roman" w:eastAsia="仿宋_GB2312"/>
          <w:sz w:val="32"/>
          <w:szCs w:val="32"/>
          <w:lang w:val="zh-CN"/>
        </w:rPr>
        <w:t>万元。</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（三）项目财务管理情况</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我镇严格执行财务管理制度，及时进行账务处理。</w:t>
      </w:r>
    </w:p>
    <w:p>
      <w:pPr>
        <w:adjustRightInd w:val="0"/>
        <w:snapToGrid w:val="0"/>
        <w:spacing w:line="576" w:lineRule="exact"/>
        <w:ind w:firstLine="640" w:firstLineChars="200"/>
        <w:rPr>
          <w:rFonts w:ascii="黑体" w:hAnsi="Times New Roman" w:eastAsia="黑体"/>
          <w:sz w:val="32"/>
          <w:szCs w:val="32"/>
        </w:rPr>
      </w:pPr>
      <w:r>
        <w:rPr>
          <w:rFonts w:hint="eastAsia" w:ascii="黑体" w:hAnsi="Times New Roman"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ascii="仿宋_GB2312" w:hAnsi="Times New Roman" w:eastAsia="仿宋_GB2312"/>
          <w:sz w:val="32"/>
          <w:szCs w:val="32"/>
          <w:lang w:val="zh-CN"/>
        </w:rPr>
      </w:pPr>
      <w:r>
        <w:rPr>
          <w:rFonts w:hint="eastAsia" w:ascii="楷体_GB2312" w:hAnsi="Times New Roman" w:eastAsia="楷体_GB2312"/>
          <w:b/>
          <w:sz w:val="32"/>
          <w:szCs w:val="32"/>
          <w:lang w:val="zh-CN"/>
        </w:rPr>
        <w:t>（一）基层组织活动和公共服务运行补助经费时间安排。</w:t>
      </w:r>
      <w:r>
        <w:rPr>
          <w:rFonts w:hint="eastAsia" w:ascii="仿宋_GB2312" w:hAnsi="Times New Roman" w:eastAsia="仿宋_GB2312"/>
          <w:sz w:val="32"/>
          <w:szCs w:val="32"/>
          <w:lang w:val="zh-CN"/>
        </w:rPr>
        <w:t>2022年</w:t>
      </w:r>
      <w:r>
        <w:rPr>
          <w:rFonts w:hint="eastAsia" w:ascii="仿宋_GB2312" w:hAnsi="Times New Roman" w:eastAsia="仿宋_GB2312"/>
          <w:sz w:val="32"/>
          <w:szCs w:val="32"/>
        </w:rPr>
        <w:t>1</w:t>
      </w:r>
      <w:r>
        <w:rPr>
          <w:rFonts w:hint="eastAsia" w:ascii="仿宋_GB2312" w:hAnsi="Times New Roman" w:eastAsia="仿宋_GB2312"/>
          <w:sz w:val="32"/>
          <w:szCs w:val="32"/>
          <w:lang w:val="zh-CN"/>
        </w:rPr>
        <w:t>月，围绕工作要求，专题研究讨论，拟定初步计划;2022年1-12月项目实施阶段。</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Times New Roman" w:eastAsia="仿宋_GB2312"/>
          <w:sz w:val="32"/>
          <w:szCs w:val="32"/>
          <w:lang w:val="zh-CN"/>
        </w:rPr>
      </w:pPr>
      <w:r>
        <w:rPr>
          <w:rFonts w:hint="eastAsia" w:ascii="楷体_GB2312" w:hAnsi="Times New Roman" w:eastAsia="楷体_GB2312"/>
          <w:b/>
          <w:sz w:val="32"/>
          <w:szCs w:val="32"/>
          <w:lang w:val="zh-CN"/>
        </w:rPr>
        <w:t>（二）项目管理情况。</w:t>
      </w:r>
      <w:r>
        <w:rPr>
          <w:rFonts w:hint="eastAsia" w:ascii="仿宋_GB2312" w:hAnsi="Times New Roman" w:eastAsia="仿宋_GB2312"/>
          <w:sz w:val="32"/>
          <w:szCs w:val="32"/>
          <w:lang w:val="zh-CN"/>
        </w:rPr>
        <w:t>项目实施过程中，严格按照相关法律法规及项目管理制度进行管理。</w:t>
      </w:r>
    </w:p>
    <w:p>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ascii="仿宋_GB2312" w:hAnsi="Times New Roman" w:eastAsia="仿宋_GB2312"/>
          <w:sz w:val="32"/>
          <w:szCs w:val="32"/>
          <w:lang w:val="zh-CN"/>
        </w:rPr>
      </w:pPr>
      <w:r>
        <w:rPr>
          <w:rFonts w:hint="eastAsia" w:ascii="楷体_GB2312" w:hAnsi="Times New Roman" w:eastAsia="楷体_GB2312"/>
          <w:b/>
          <w:sz w:val="32"/>
          <w:szCs w:val="32"/>
          <w:lang w:val="zh-CN"/>
        </w:rPr>
        <w:t>（三）项目监管情况。</w:t>
      </w:r>
      <w:r>
        <w:rPr>
          <w:rFonts w:hint="eastAsia" w:ascii="仿宋_GB2312" w:hAnsi="Times New Roman" w:eastAsia="仿宋_GB2312"/>
          <w:sz w:val="32"/>
          <w:szCs w:val="32"/>
          <w:lang w:val="zh-CN"/>
        </w:rPr>
        <w:t>项目实施实施过程中，项目主管部门坚持制度管人、督促项目实施单位建立健全内部监督各项制度，最大限度地预防工程质量安全事故，</w:t>
      </w:r>
      <w:r>
        <w:rPr>
          <w:rFonts w:hint="eastAsia" w:ascii="仿宋_GB2312" w:hAnsi="Times New Roman" w:eastAsia="仿宋_GB2312"/>
          <w:sz w:val="32"/>
          <w:szCs w:val="32"/>
          <w:lang w:val="en-US" w:eastAsia="zh-CN"/>
        </w:rPr>
        <w:t>避免</w:t>
      </w:r>
      <w:r>
        <w:rPr>
          <w:rFonts w:hint="eastAsia" w:ascii="仿宋_GB2312" w:hAnsi="Times New Roman" w:eastAsia="仿宋_GB2312"/>
          <w:sz w:val="32"/>
          <w:szCs w:val="32"/>
          <w:lang w:val="zh-CN"/>
        </w:rPr>
        <w:t>项目资金损失浪费和违法违纪行为的发生。</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黑体" w:hAnsi="Times New Roman" w:eastAsia="黑体"/>
          <w:sz w:val="32"/>
          <w:szCs w:val="32"/>
        </w:rPr>
        <w:t>四、项目绩效情况</w:t>
      </w:r>
      <w:r>
        <w:rPr>
          <w:rFonts w:hint="eastAsia" w:ascii="仿宋_GB2312" w:hAnsi="Times New Roman" w:eastAsia="仿宋_GB2312"/>
          <w:sz w:val="32"/>
          <w:szCs w:val="32"/>
          <w:lang w:val="zh-CN"/>
        </w:rPr>
        <w:tab/>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（一）项目完成情况</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202</w:t>
      </w:r>
      <w:r>
        <w:rPr>
          <w:rFonts w:hint="eastAsia" w:ascii="仿宋_GB2312" w:hAnsi="Times New Roman" w:eastAsia="仿宋_GB2312"/>
          <w:sz w:val="32"/>
          <w:szCs w:val="32"/>
        </w:rPr>
        <w:t>2</w:t>
      </w:r>
      <w:r>
        <w:rPr>
          <w:rFonts w:hint="eastAsia" w:ascii="仿宋_GB2312" w:hAnsi="Times New Roman" w:eastAsia="仿宋_GB2312"/>
          <w:sz w:val="32"/>
          <w:szCs w:val="32"/>
          <w:lang w:val="zh-CN"/>
        </w:rPr>
        <w:t>年</w:t>
      </w:r>
      <w:r>
        <w:rPr>
          <w:rFonts w:hint="eastAsia" w:ascii="仿宋_GB2312" w:hAnsi="Times New Roman" w:eastAsia="仿宋_GB2312"/>
          <w:sz w:val="32"/>
          <w:szCs w:val="32"/>
        </w:rPr>
        <w:t>1</w:t>
      </w:r>
      <w:r>
        <w:rPr>
          <w:rFonts w:hint="eastAsia" w:ascii="仿宋_GB2312" w:hAnsi="Times New Roman" w:eastAsia="仿宋_GB2312"/>
          <w:sz w:val="32"/>
          <w:szCs w:val="32"/>
          <w:lang w:val="zh-CN"/>
        </w:rPr>
        <w:t>月，围绕工作要求，专题研究讨论，拟定计划;202</w:t>
      </w:r>
      <w:r>
        <w:rPr>
          <w:rFonts w:hint="eastAsia" w:ascii="仿宋_GB2312" w:hAnsi="Times New Roman" w:eastAsia="仿宋_GB2312"/>
          <w:sz w:val="32"/>
          <w:szCs w:val="32"/>
        </w:rPr>
        <w:t>2</w:t>
      </w:r>
      <w:r>
        <w:rPr>
          <w:rFonts w:hint="eastAsia" w:ascii="仿宋_GB2312" w:hAnsi="Times New Roman" w:eastAsia="仿宋_GB2312"/>
          <w:sz w:val="32"/>
          <w:szCs w:val="32"/>
          <w:lang w:val="zh-CN"/>
        </w:rPr>
        <w:t>年1-12月项目实施阶段。整个项目投入资金</w:t>
      </w:r>
      <w:r>
        <w:rPr>
          <w:rFonts w:hint="eastAsia" w:ascii="仿宋_GB2312" w:hAnsi="Times New Roman" w:eastAsia="仿宋_GB2312"/>
          <w:sz w:val="32"/>
          <w:szCs w:val="32"/>
        </w:rPr>
        <w:t>264</w:t>
      </w:r>
      <w:r>
        <w:rPr>
          <w:rFonts w:hint="eastAsia" w:ascii="仿宋_GB2312" w:hAnsi="Times New Roman" w:eastAsia="仿宋_GB2312"/>
          <w:sz w:val="32"/>
          <w:szCs w:val="32"/>
          <w:lang w:val="zh-CN"/>
        </w:rPr>
        <w:t>万元。</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（二）项目效益情况</w:t>
      </w:r>
    </w:p>
    <w:p>
      <w:pPr>
        <w:adjustRightInd w:val="0"/>
        <w:snapToGrid w:val="0"/>
        <w:spacing w:line="576" w:lineRule="exact"/>
        <w:ind w:firstLine="640" w:firstLineChars="200"/>
        <w:rPr>
          <w:rFonts w:ascii="仿宋_GB2312" w:hAnsi="Times New Roman" w:eastAsia="仿宋_GB2312"/>
          <w:sz w:val="32"/>
          <w:szCs w:val="32"/>
          <w:lang w:val="zh-CN"/>
        </w:rPr>
      </w:pPr>
      <w:r>
        <w:rPr>
          <w:rFonts w:hint="eastAsia" w:ascii="仿宋_GB2312" w:hAnsi="Times New Roman" w:eastAsia="仿宋_GB2312"/>
          <w:sz w:val="32"/>
          <w:szCs w:val="32"/>
          <w:lang w:val="zh-CN"/>
        </w:rPr>
        <w:t>涵盖了村内户外公益事业项目，着力解决村内急需、群众最急盼、受益最直接的突出问题。</w:t>
      </w:r>
    </w:p>
    <w:p>
      <w:pPr>
        <w:adjustRightInd w:val="0"/>
        <w:snapToGrid w:val="0"/>
        <w:spacing w:line="576" w:lineRule="exact"/>
        <w:ind w:firstLine="640" w:firstLineChars="200"/>
        <w:rPr>
          <w:rFonts w:ascii="黑体" w:hAnsi="Times New Roman" w:eastAsia="黑体"/>
          <w:sz w:val="32"/>
          <w:szCs w:val="32"/>
        </w:rPr>
      </w:pPr>
      <w:r>
        <w:rPr>
          <w:rFonts w:hint="eastAsia" w:ascii="黑体" w:hAnsi="Times New Roman" w:eastAsia="黑体"/>
          <w:sz w:val="32"/>
          <w:szCs w:val="32"/>
        </w:rPr>
        <w:t>五、评价结论及建议</w:t>
      </w:r>
    </w:p>
    <w:p>
      <w:p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（一）评价结论</w:t>
      </w:r>
    </w:p>
    <w:p>
      <w:pPr>
        <w:adjustRightInd w:val="0"/>
        <w:snapToGrid w:val="0"/>
        <w:spacing w:line="576" w:lineRule="exact"/>
        <w:ind w:firstLine="640" w:firstLineChars="200"/>
        <w:rPr>
          <w:rFonts w:hint="eastAsia" w:ascii="仿宋_GB2312" w:hAnsi="Times New Roman" w:eastAsia="仿宋_GB2312"/>
          <w:sz w:val="32"/>
          <w:szCs w:val="32"/>
          <w:lang w:val="zh-CN"/>
        </w:rPr>
      </w:pPr>
      <w:r>
        <w:rPr>
          <w:rFonts w:hint="eastAsia" w:ascii="仿宋_GB2312" w:hAnsi="Times New Roman" w:eastAsia="仿宋_GB2312"/>
          <w:sz w:val="32"/>
          <w:szCs w:val="32"/>
          <w:lang w:val="zh-CN"/>
        </w:rPr>
        <w:t>无。</w:t>
      </w:r>
    </w:p>
    <w:p>
      <w:pPr>
        <w:adjustRightInd w:val="0"/>
        <w:snapToGrid w:val="0"/>
        <w:spacing w:line="576" w:lineRule="exact"/>
        <w:ind w:firstLine="643" w:firstLineChars="200"/>
        <w:rPr>
          <w:rFonts w:hint="eastAsia" w:ascii="楷体_GB2312" w:hAnsi="Times New Roman" w:eastAsia="楷体_GB2312"/>
          <w:b/>
          <w:sz w:val="32"/>
          <w:szCs w:val="32"/>
          <w:lang w:val="zh-CN"/>
        </w:rPr>
      </w:pPr>
      <w:r>
        <w:rPr>
          <w:rFonts w:hint="eastAsia" w:ascii="楷体_GB2312" w:hAnsi="Times New Roman" w:eastAsia="楷体_GB2312"/>
          <w:b/>
          <w:sz w:val="32"/>
          <w:szCs w:val="32"/>
          <w:lang w:val="zh-CN"/>
        </w:rPr>
        <w:t>（二）存在的问题</w:t>
      </w:r>
    </w:p>
    <w:p>
      <w:pPr>
        <w:adjustRightInd w:val="0"/>
        <w:snapToGrid w:val="0"/>
        <w:spacing w:line="576" w:lineRule="exact"/>
        <w:ind w:firstLine="640" w:firstLineChars="200"/>
        <w:rPr>
          <w:rFonts w:hint="eastAsia" w:ascii="仿宋_GB2312" w:hAnsi="Times New Roman" w:eastAsia="仿宋_GB2312"/>
          <w:sz w:val="32"/>
          <w:szCs w:val="32"/>
          <w:lang w:val="zh-CN"/>
        </w:rPr>
      </w:pPr>
      <w:r>
        <w:rPr>
          <w:rFonts w:hint="eastAsia" w:ascii="仿宋_GB2312" w:hAnsi="Times New Roman" w:eastAsia="仿宋_GB2312"/>
          <w:sz w:val="32"/>
          <w:szCs w:val="32"/>
          <w:lang w:val="zh-CN"/>
        </w:rPr>
        <w:t>无。</w:t>
      </w:r>
    </w:p>
    <w:p>
      <w:pPr>
        <w:numPr>
          <w:ilvl w:val="0"/>
          <w:numId w:val="3"/>
        </w:numPr>
        <w:adjustRightInd w:val="0"/>
        <w:snapToGrid w:val="0"/>
        <w:spacing w:line="576" w:lineRule="exact"/>
        <w:ind w:firstLine="643" w:firstLineChars="200"/>
        <w:rPr>
          <w:rFonts w:ascii="楷体_GB2312" w:hAnsi="Times New Roman" w:eastAsia="楷体_GB2312"/>
          <w:b/>
          <w:sz w:val="32"/>
          <w:szCs w:val="32"/>
          <w:lang w:val="zh-CN"/>
        </w:rPr>
      </w:pPr>
      <w:r>
        <w:rPr>
          <w:rFonts w:hint="eastAsia" w:ascii="楷体_GB2312" w:hAnsi="Times New Roman" w:eastAsia="楷体_GB2312"/>
          <w:b/>
          <w:sz w:val="32"/>
          <w:szCs w:val="32"/>
          <w:lang w:val="zh-CN"/>
        </w:rPr>
        <w:t>相关建议</w:t>
      </w:r>
    </w:p>
    <w:p>
      <w:pPr>
        <w:adjustRightInd w:val="0"/>
        <w:snapToGrid w:val="0"/>
        <w:spacing w:line="576" w:lineRule="exact"/>
        <w:ind w:firstLine="640" w:firstLineChars="200"/>
        <w:rPr>
          <w:rFonts w:hint="eastAsia" w:ascii="仿宋_GB2312" w:hAnsi="Times New Roman" w:eastAsia="仿宋_GB2312"/>
          <w:sz w:val="32"/>
          <w:szCs w:val="32"/>
          <w:lang w:val="zh-CN"/>
        </w:rPr>
      </w:pPr>
      <w:r>
        <w:rPr>
          <w:rFonts w:hint="eastAsia" w:ascii="仿宋_GB2312" w:hAnsi="Times New Roman" w:eastAsia="仿宋_GB2312"/>
          <w:sz w:val="32"/>
          <w:szCs w:val="32"/>
          <w:lang w:val="zh-CN"/>
        </w:rPr>
        <w:t>无。</w:t>
      </w:r>
    </w:p>
    <w:tbl>
      <w:tblPr>
        <w:tblStyle w:val="15"/>
        <w:tblpPr w:leftFromText="180" w:rightFromText="180" w:vertAnchor="text" w:horzAnchor="page" w:tblpX="1256" w:tblpY="221"/>
        <w:tblOverlap w:val="never"/>
        <w:tblW w:w="5936" w:type="pct"/>
        <w:tblInd w:w="0" w:type="dxa"/>
        <w:tblLayout w:type="autofit"/>
        <w:tblCellMar>
          <w:top w:w="0" w:type="dxa"/>
          <w:left w:w="108" w:type="dxa"/>
          <w:bottom w:w="0" w:type="dxa"/>
          <w:right w:w="108" w:type="dxa"/>
        </w:tblCellMar>
      </w:tblPr>
      <w:tblGrid>
        <w:gridCol w:w="1382"/>
        <w:gridCol w:w="1277"/>
        <w:gridCol w:w="469"/>
        <w:gridCol w:w="1230"/>
        <w:gridCol w:w="407"/>
        <w:gridCol w:w="868"/>
        <w:gridCol w:w="1552"/>
        <w:gridCol w:w="2695"/>
        <w:gridCol w:w="237"/>
      </w:tblGrid>
      <w:tr>
        <w:tblPrEx>
          <w:tblCellMar>
            <w:top w:w="0" w:type="dxa"/>
            <w:left w:w="108" w:type="dxa"/>
            <w:bottom w:w="0" w:type="dxa"/>
            <w:right w:w="108" w:type="dxa"/>
          </w:tblCellMar>
        </w:tblPrEx>
        <w:trPr>
          <w:trHeight w:val="675" w:hRule="atLeast"/>
        </w:trPr>
        <w:tc>
          <w:tcPr>
            <w:tcW w:w="4883" w:type="pct"/>
            <w:gridSpan w:val="8"/>
            <w:tcBorders>
              <w:top w:val="nil"/>
              <w:left w:val="nil"/>
              <w:bottom w:val="nil"/>
              <w:right w:val="nil"/>
            </w:tcBorders>
            <w:vAlign w:val="center"/>
          </w:tcPr>
          <w:p>
            <w:pPr>
              <w:jc w:val="center"/>
              <w:textAlignment w:val="center"/>
              <w:rPr>
                <w:rFonts w:ascii="宋体" w:hAnsi="宋体" w:cs="宋体"/>
                <w:b/>
                <w:color w:val="000000"/>
                <w:sz w:val="32"/>
                <w:szCs w:val="32"/>
              </w:rPr>
            </w:pPr>
            <w:r>
              <w:rPr>
                <w:rFonts w:hint="eastAsia" w:ascii="宋体" w:hAnsi="宋体" w:cs="宋体"/>
                <w:b/>
                <w:color w:val="000000"/>
                <w:sz w:val="32"/>
                <w:szCs w:val="32"/>
              </w:rPr>
              <w:t>2022年村级运行维护费项目绩效目标自评</w:t>
            </w:r>
          </w:p>
        </w:tc>
        <w:tc>
          <w:tcPr>
            <w:tcW w:w="117" w:type="pct"/>
            <w:tcBorders>
              <w:top w:val="nil"/>
              <w:left w:val="nil"/>
              <w:bottom w:val="nil"/>
              <w:right w:val="nil"/>
            </w:tcBorders>
            <w:vAlign w:val="center"/>
          </w:tcPr>
          <w:p>
            <w:pPr>
              <w:jc w:val="center"/>
              <w:textAlignment w:val="center"/>
              <w:rPr>
                <w:rFonts w:ascii="宋体" w:hAnsi="宋体" w:cs="宋体"/>
                <w:b/>
                <w:color w:val="000000"/>
                <w:sz w:val="32"/>
                <w:szCs w:val="32"/>
              </w:rPr>
            </w:pPr>
          </w:p>
        </w:tc>
      </w:tr>
      <w:tr>
        <w:tblPrEx>
          <w:tblCellMar>
            <w:top w:w="0" w:type="dxa"/>
            <w:left w:w="108" w:type="dxa"/>
            <w:bottom w:w="0" w:type="dxa"/>
            <w:right w:w="108" w:type="dxa"/>
          </w:tblCellMar>
        </w:tblPrEx>
        <w:trPr>
          <w:gridAfter w:val="1"/>
          <w:wAfter w:w="117" w:type="pct"/>
          <w:trHeight w:val="254" w:hRule="atLeast"/>
        </w:trPr>
        <w:tc>
          <w:tcPr>
            <w:tcW w:w="1546" w:type="pct"/>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主管部门及代码</w:t>
            </w:r>
          </w:p>
        </w:tc>
        <w:tc>
          <w:tcPr>
            <w:tcW w:w="1238" w:type="pct"/>
            <w:gridSpan w:val="3"/>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611</w:t>
            </w:r>
          </w:p>
        </w:tc>
        <w:tc>
          <w:tcPr>
            <w:tcW w:w="767"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实施单位</w:t>
            </w:r>
          </w:p>
        </w:tc>
        <w:tc>
          <w:tcPr>
            <w:tcW w:w="1332"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叠溪镇</w:t>
            </w:r>
          </w:p>
        </w:tc>
      </w:tr>
      <w:tr>
        <w:tblPrEx>
          <w:tblCellMar>
            <w:top w:w="0" w:type="dxa"/>
            <w:left w:w="108" w:type="dxa"/>
            <w:bottom w:w="0" w:type="dxa"/>
            <w:right w:w="108" w:type="dxa"/>
          </w:tblCellMar>
        </w:tblPrEx>
        <w:trPr>
          <w:gridAfter w:val="1"/>
          <w:wAfter w:w="117" w:type="pct"/>
          <w:trHeight w:val="341" w:hRule="atLeast"/>
        </w:trPr>
        <w:tc>
          <w:tcPr>
            <w:tcW w:w="1546" w:type="pct"/>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项目预算</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执行情况</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（万元）</w:t>
            </w:r>
          </w:p>
        </w:tc>
        <w:tc>
          <w:tcPr>
            <w:tcW w:w="809"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 xml:space="preserve"> 预算数：</w:t>
            </w:r>
          </w:p>
        </w:tc>
        <w:tc>
          <w:tcPr>
            <w:tcW w:w="429"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216</w:t>
            </w:r>
          </w:p>
        </w:tc>
        <w:tc>
          <w:tcPr>
            <w:tcW w:w="767"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 xml:space="preserve"> 执行数：</w:t>
            </w:r>
          </w:p>
        </w:tc>
        <w:tc>
          <w:tcPr>
            <w:tcW w:w="1332"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215.89</w:t>
            </w:r>
          </w:p>
        </w:tc>
      </w:tr>
      <w:tr>
        <w:tblPrEx>
          <w:tblCellMar>
            <w:top w:w="0" w:type="dxa"/>
            <w:left w:w="108" w:type="dxa"/>
            <w:bottom w:w="0" w:type="dxa"/>
            <w:right w:w="108" w:type="dxa"/>
          </w:tblCellMar>
        </w:tblPrEx>
        <w:trPr>
          <w:gridAfter w:val="1"/>
          <w:wAfter w:w="117" w:type="pct"/>
          <w:trHeight w:val="1005" w:hRule="atLeast"/>
        </w:trPr>
        <w:tc>
          <w:tcPr>
            <w:tcW w:w="1546" w:type="pct"/>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809"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其中：</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财政拨款</w:t>
            </w:r>
          </w:p>
        </w:tc>
        <w:tc>
          <w:tcPr>
            <w:tcW w:w="429"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216</w:t>
            </w:r>
          </w:p>
        </w:tc>
        <w:tc>
          <w:tcPr>
            <w:tcW w:w="767"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其中：</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财政拨款</w:t>
            </w:r>
          </w:p>
        </w:tc>
        <w:tc>
          <w:tcPr>
            <w:tcW w:w="1332"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215.89</w:t>
            </w:r>
          </w:p>
        </w:tc>
      </w:tr>
      <w:tr>
        <w:tblPrEx>
          <w:tblCellMar>
            <w:top w:w="0" w:type="dxa"/>
            <w:left w:w="108" w:type="dxa"/>
            <w:bottom w:w="0" w:type="dxa"/>
            <w:right w:w="108" w:type="dxa"/>
          </w:tblCellMar>
        </w:tblPrEx>
        <w:trPr>
          <w:gridAfter w:val="1"/>
          <w:wAfter w:w="117" w:type="pct"/>
          <w:trHeight w:val="341" w:hRule="atLeast"/>
        </w:trPr>
        <w:tc>
          <w:tcPr>
            <w:tcW w:w="1546" w:type="pct"/>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809"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其他资金</w:t>
            </w:r>
          </w:p>
        </w:tc>
        <w:tc>
          <w:tcPr>
            <w:tcW w:w="429"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767"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其他资金</w:t>
            </w:r>
          </w:p>
        </w:tc>
        <w:tc>
          <w:tcPr>
            <w:tcW w:w="1332"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r>
      <w:tr>
        <w:tblPrEx>
          <w:tblCellMar>
            <w:top w:w="0" w:type="dxa"/>
            <w:left w:w="108" w:type="dxa"/>
            <w:bottom w:w="0" w:type="dxa"/>
            <w:right w:w="108" w:type="dxa"/>
          </w:tblCellMar>
        </w:tblPrEx>
        <w:trPr>
          <w:gridAfter w:val="1"/>
          <w:wAfter w:w="117" w:type="pct"/>
          <w:trHeight w:val="217" w:hRule="atLeast"/>
        </w:trPr>
        <w:tc>
          <w:tcPr>
            <w:tcW w:w="683"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年度总体目标</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完成情况</w:t>
            </w:r>
          </w:p>
        </w:tc>
        <w:tc>
          <w:tcPr>
            <w:tcW w:w="2101" w:type="pct"/>
            <w:gridSpan w:val="5"/>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预期目标</w:t>
            </w:r>
          </w:p>
        </w:tc>
        <w:tc>
          <w:tcPr>
            <w:tcW w:w="2099"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目标实际完成情况</w:t>
            </w:r>
          </w:p>
        </w:tc>
      </w:tr>
      <w:tr>
        <w:tblPrEx>
          <w:tblCellMar>
            <w:top w:w="0" w:type="dxa"/>
            <w:left w:w="108" w:type="dxa"/>
            <w:bottom w:w="0" w:type="dxa"/>
            <w:right w:w="108" w:type="dxa"/>
          </w:tblCellMar>
        </w:tblPrEx>
        <w:trPr>
          <w:gridAfter w:val="1"/>
          <w:wAfter w:w="117" w:type="pct"/>
          <w:trHeight w:val="1297" w:hRule="atLeast"/>
        </w:trPr>
        <w:tc>
          <w:tcPr>
            <w:tcW w:w="683" w:type="pct"/>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宋体" w:hAnsi="宋体" w:cs="宋体"/>
                <w:color w:val="000000"/>
                <w:sz w:val="24"/>
              </w:rPr>
            </w:pPr>
          </w:p>
        </w:tc>
        <w:tc>
          <w:tcPr>
            <w:tcW w:w="2101" w:type="pct"/>
            <w:gridSpan w:val="5"/>
            <w:tcBorders>
              <w:top w:val="single" w:color="000000" w:sz="4" w:space="0"/>
              <w:left w:val="single" w:color="000000" w:sz="4" w:space="0"/>
              <w:bottom w:val="single" w:color="000000" w:sz="4" w:space="0"/>
              <w:right w:val="single" w:color="000000" w:sz="4" w:space="0"/>
            </w:tcBorders>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用于农村基础设施和环境类项目的运行维护、农业生产服务类项目的运行维护、农村生活服务类项目的运行维护、农村社会管理类项目的运行维护、村基层组织活动、村日常办公运转以及村务监督委员会等其他形式村务机构开展工作所必需的支出。</w:t>
            </w:r>
          </w:p>
        </w:tc>
        <w:tc>
          <w:tcPr>
            <w:tcW w:w="2099" w:type="pct"/>
            <w:gridSpan w:val="2"/>
            <w:tcBorders>
              <w:top w:val="single" w:color="000000" w:sz="4" w:space="0"/>
              <w:left w:val="single" w:color="000000" w:sz="4" w:space="0"/>
              <w:bottom w:val="single" w:color="000000" w:sz="4" w:space="0"/>
              <w:right w:val="single" w:color="000000" w:sz="4" w:space="0"/>
            </w:tcBorders>
          </w:tcPr>
          <w:p>
            <w:pPr>
              <w:spacing w:line="560" w:lineRule="exact"/>
              <w:ind w:firstLine="720"/>
              <w:rPr>
                <w:rFonts w:ascii="仿宋_GB2312" w:hAnsi="Times New Roman" w:eastAsia="仿宋_GB2312"/>
                <w:szCs w:val="21"/>
                <w:lang w:val="zh-CN"/>
              </w:rPr>
            </w:pPr>
            <w:r>
              <w:rPr>
                <w:rFonts w:hint="eastAsia" w:ascii="仿宋_GB2312" w:hAnsi="Times New Roman" w:eastAsia="仿宋_GB2312"/>
                <w:szCs w:val="21"/>
                <w:lang w:val="zh-CN"/>
              </w:rPr>
              <w:t>用于农村基础设施和环境类项目的运行维护、农业生产服务类项目的运行维护、农村生活服务类项目的运行维护、农村社会管理类项目的运行维护、村基层组织活动、村日常办公运转以及村务监督委员会等其他形式村务机构开展工作所必需的支出。</w:t>
            </w:r>
          </w:p>
        </w:tc>
      </w:tr>
      <w:tr>
        <w:tblPrEx>
          <w:tblCellMar>
            <w:top w:w="0" w:type="dxa"/>
            <w:left w:w="108" w:type="dxa"/>
            <w:bottom w:w="0" w:type="dxa"/>
            <w:right w:w="108" w:type="dxa"/>
          </w:tblCellMar>
        </w:tblPrEx>
        <w:trPr>
          <w:gridAfter w:val="1"/>
          <w:wAfter w:w="117" w:type="pct"/>
          <w:trHeight w:val="738" w:hRule="atLeast"/>
        </w:trPr>
        <w:tc>
          <w:tcPr>
            <w:tcW w:w="683" w:type="pct"/>
            <w:vMerge w:val="restart"/>
            <w:tcBorders>
              <w:top w:val="single" w:color="000000" w:sz="4" w:space="0"/>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年度绩效指标完成情况</w:t>
            </w:r>
          </w:p>
        </w:tc>
        <w:tc>
          <w:tcPr>
            <w:tcW w:w="631" w:type="pct"/>
            <w:tcBorders>
              <w:top w:val="single" w:color="000000" w:sz="4" w:space="0"/>
              <w:left w:val="nil"/>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一级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840"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二级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630" w:type="pct"/>
            <w:gridSpan w:val="2"/>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三级</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767"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预期指标值</w:t>
            </w:r>
          </w:p>
        </w:tc>
        <w:tc>
          <w:tcPr>
            <w:tcW w:w="1332" w:type="pc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实际完成指标值</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数量指标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涉及行政村</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13</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13</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631"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质量指标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验收合格率</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631"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时效指标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完成年度</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2022</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2022</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631"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成本指标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投入成本</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216</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215.89</w:t>
            </w:r>
          </w:p>
        </w:tc>
      </w:tr>
      <w:tr>
        <w:tblPrEx>
          <w:tblCellMar>
            <w:top w:w="0" w:type="dxa"/>
            <w:left w:w="108" w:type="dxa"/>
            <w:bottom w:w="0" w:type="dxa"/>
            <w:right w:w="108" w:type="dxa"/>
          </w:tblCellMar>
        </w:tblPrEx>
        <w:trPr>
          <w:gridAfter w:val="1"/>
          <w:wAfter w:w="117" w:type="pct"/>
          <w:trHeight w:val="950" w:hRule="atLeast"/>
        </w:trPr>
        <w:tc>
          <w:tcPr>
            <w:tcW w:w="683" w:type="pct"/>
            <w:vMerge w:val="continue"/>
            <w:tcBorders>
              <w:left w:val="single" w:color="000000" w:sz="4" w:space="0"/>
              <w:right w:val="single" w:color="000000" w:sz="4" w:space="0"/>
            </w:tcBorders>
            <w:vAlign w:val="center"/>
          </w:tcPr>
          <w:p>
            <w:pPr>
              <w:spacing w:line="560" w:lineRule="exact"/>
              <w:rPr>
                <w:rFonts w:ascii="仿宋_GB2312" w:hAnsi="Times New Roman" w:eastAsia="仿宋_GB2312"/>
                <w:szCs w:val="21"/>
                <w:lang w:val="zh-CN"/>
              </w:rPr>
            </w:pPr>
          </w:p>
        </w:tc>
        <w:tc>
          <w:tcPr>
            <w:tcW w:w="631" w:type="pct"/>
            <w:vMerge w:val="restart"/>
            <w:tcBorders>
              <w:top w:val="single" w:color="000000" w:sz="4" w:space="0"/>
              <w:left w:val="single" w:color="000000" w:sz="4" w:space="0"/>
              <w:bottom w:val="single" w:color="000000" w:sz="4" w:space="0"/>
              <w:right w:val="single" w:color="000000" w:sz="4" w:space="0"/>
            </w:tcBorders>
            <w:vAlign w:val="center"/>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效益</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经济效益  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给村民增加收益</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50万元</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52万元</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right w:val="single" w:color="000000" w:sz="4" w:space="0"/>
            </w:tcBorders>
            <w:vAlign w:val="center"/>
          </w:tcPr>
          <w:p>
            <w:pPr>
              <w:spacing w:line="320" w:lineRule="exact"/>
              <w:jc w:val="center"/>
              <w:rPr>
                <w:rFonts w:ascii="仿宋_GB2312" w:hAnsi="仿宋_GB2312" w:cs="仿宋_GB2312"/>
                <w:color w:val="000000"/>
                <w:sz w:val="28"/>
                <w:szCs w:val="28"/>
              </w:rPr>
            </w:pPr>
          </w:p>
        </w:tc>
        <w:tc>
          <w:tcPr>
            <w:tcW w:w="631" w:type="pct"/>
            <w:vMerge w:val="continue"/>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可持续影响 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可持续影响力</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95%</w:t>
            </w:r>
          </w:p>
        </w:tc>
      </w:tr>
      <w:tr>
        <w:tblPrEx>
          <w:tblCellMar>
            <w:top w:w="0" w:type="dxa"/>
            <w:left w:w="108" w:type="dxa"/>
            <w:bottom w:w="0" w:type="dxa"/>
            <w:right w:w="108" w:type="dxa"/>
          </w:tblCellMar>
        </w:tblPrEx>
        <w:trPr>
          <w:gridAfter w:val="1"/>
          <w:wAfter w:w="117" w:type="pct"/>
          <w:trHeight w:val="480" w:hRule="atLeast"/>
        </w:trPr>
        <w:tc>
          <w:tcPr>
            <w:tcW w:w="683" w:type="pct"/>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cs="仿宋_GB2312"/>
                <w:color w:val="000000"/>
                <w:sz w:val="28"/>
                <w:szCs w:val="28"/>
              </w:rPr>
            </w:pPr>
          </w:p>
        </w:tc>
        <w:tc>
          <w:tcPr>
            <w:tcW w:w="631"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满意</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度指标</w:t>
            </w:r>
          </w:p>
        </w:tc>
        <w:tc>
          <w:tcPr>
            <w:tcW w:w="84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满意度</w:t>
            </w:r>
          </w:p>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指标</w:t>
            </w:r>
          </w:p>
        </w:tc>
        <w:tc>
          <w:tcPr>
            <w:tcW w:w="630" w:type="pct"/>
            <w:gridSpan w:val="2"/>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村民满意度</w:t>
            </w:r>
          </w:p>
        </w:tc>
        <w:tc>
          <w:tcPr>
            <w:tcW w:w="767"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c>
          <w:tcPr>
            <w:tcW w:w="1332" w:type="pct"/>
            <w:tcBorders>
              <w:top w:val="single" w:color="000000" w:sz="4" w:space="0"/>
              <w:left w:val="single" w:color="000000" w:sz="4" w:space="0"/>
              <w:bottom w:val="single" w:color="000000" w:sz="4" w:space="0"/>
              <w:right w:val="single" w:color="000000" w:sz="4" w:space="0"/>
            </w:tcBorders>
            <w:vAlign w:val="bottom"/>
          </w:tcPr>
          <w:p>
            <w:pPr>
              <w:spacing w:line="560" w:lineRule="exact"/>
              <w:rPr>
                <w:rFonts w:ascii="仿宋_GB2312" w:hAnsi="Times New Roman" w:eastAsia="仿宋_GB2312"/>
                <w:szCs w:val="21"/>
                <w:lang w:val="zh-CN"/>
              </w:rPr>
            </w:pPr>
            <w:r>
              <w:rPr>
                <w:rFonts w:hint="eastAsia" w:ascii="仿宋_GB2312" w:hAnsi="Times New Roman" w:eastAsia="仿宋_GB2312"/>
                <w:szCs w:val="21"/>
                <w:lang w:val="zh-CN"/>
              </w:rPr>
              <w:t>100%</w:t>
            </w:r>
          </w:p>
        </w:tc>
      </w:tr>
    </w:tbl>
    <w:p>
      <w:pPr>
        <w:spacing w:line="576" w:lineRule="exact"/>
        <w:outlineLvl w:val="0"/>
        <w:rPr>
          <w:rFonts w:ascii="黑体" w:hAnsi="Times New Roman" w:eastAsia="黑体"/>
          <w:color w:val="000000"/>
          <w:sz w:val="44"/>
          <w:szCs w:val="44"/>
        </w:rPr>
      </w:pPr>
    </w:p>
    <w:tbl>
      <w:tblPr>
        <w:tblStyle w:val="15"/>
        <w:tblpPr w:leftFromText="180" w:rightFromText="180" w:vertAnchor="text" w:horzAnchor="page" w:tblpX="1394" w:tblpY="127"/>
        <w:tblOverlap w:val="never"/>
        <w:tblW w:w="5285" w:type="pct"/>
        <w:tblInd w:w="0" w:type="dxa"/>
        <w:tblLayout w:type="autofit"/>
        <w:tblCellMar>
          <w:top w:w="0" w:type="dxa"/>
          <w:left w:w="108" w:type="dxa"/>
          <w:bottom w:w="0" w:type="dxa"/>
          <w:right w:w="108" w:type="dxa"/>
        </w:tblCellMar>
      </w:tblPr>
      <w:tblGrid>
        <w:gridCol w:w="1468"/>
        <w:gridCol w:w="1045"/>
        <w:gridCol w:w="1708"/>
        <w:gridCol w:w="1416"/>
        <w:gridCol w:w="1566"/>
        <w:gridCol w:w="1805"/>
      </w:tblGrid>
      <w:tr>
        <w:tblPrEx>
          <w:tblCellMar>
            <w:top w:w="0" w:type="dxa"/>
            <w:left w:w="108" w:type="dxa"/>
            <w:bottom w:w="0" w:type="dxa"/>
            <w:right w:w="108" w:type="dxa"/>
          </w:tblCellMar>
        </w:tblPrEx>
        <w:trPr>
          <w:trHeight w:val="939" w:hRule="atLeast"/>
        </w:trPr>
        <w:tc>
          <w:tcPr>
            <w:tcW w:w="5000" w:type="pct"/>
            <w:gridSpan w:val="6"/>
            <w:tcBorders>
              <w:top w:val="nil"/>
              <w:left w:val="nil"/>
              <w:bottom w:val="nil"/>
              <w:right w:val="nil"/>
            </w:tcBorders>
            <w:vAlign w:val="center"/>
          </w:tcPr>
          <w:p>
            <w:pPr>
              <w:jc w:val="center"/>
              <w:textAlignment w:val="center"/>
              <w:rPr>
                <w:rFonts w:ascii="宋体" w:hAnsi="宋体" w:cs="宋体"/>
                <w:b/>
                <w:color w:val="000000"/>
                <w:sz w:val="32"/>
                <w:szCs w:val="32"/>
              </w:rPr>
            </w:pPr>
            <w:r>
              <w:rPr>
                <w:rFonts w:hint="eastAsia" w:ascii="宋体" w:hAnsi="宋体" w:cs="宋体"/>
                <w:b/>
                <w:color w:val="000000"/>
                <w:sz w:val="32"/>
                <w:szCs w:val="32"/>
              </w:rPr>
              <w:t>2022年居家养老项目绩效目标自评</w:t>
            </w:r>
          </w:p>
          <w:p>
            <w:pPr>
              <w:pStyle w:val="14"/>
              <w:rPr>
                <w:rFonts w:ascii="仿宋_GB2312" w:hAnsi="仿宋_GB2312" w:eastAsia="仿宋_GB2312" w:cs="仿宋_GB2312"/>
                <w:szCs w:val="21"/>
              </w:rPr>
            </w:pPr>
          </w:p>
        </w:tc>
      </w:tr>
      <w:tr>
        <w:tblPrEx>
          <w:tblCellMar>
            <w:top w:w="0" w:type="dxa"/>
            <w:left w:w="108" w:type="dxa"/>
            <w:bottom w:w="0" w:type="dxa"/>
            <w:right w:w="108" w:type="dxa"/>
          </w:tblCellMar>
        </w:tblPrEx>
        <w:trPr>
          <w:trHeight w:val="657" w:hRule="atLeast"/>
        </w:trPr>
        <w:tc>
          <w:tcPr>
            <w:tcW w:w="1395"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主管部门及代码</w:t>
            </w:r>
          </w:p>
        </w:tc>
        <w:tc>
          <w:tcPr>
            <w:tcW w:w="1733"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叠溪镇人民政府611</w:t>
            </w:r>
          </w:p>
        </w:tc>
        <w:tc>
          <w:tcPr>
            <w:tcW w:w="869"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00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叠溪镇</w:t>
            </w:r>
          </w:p>
        </w:tc>
      </w:tr>
      <w:tr>
        <w:tblPrEx>
          <w:tblCellMar>
            <w:top w:w="0" w:type="dxa"/>
            <w:left w:w="108" w:type="dxa"/>
            <w:bottom w:w="0" w:type="dxa"/>
            <w:right w:w="108" w:type="dxa"/>
          </w:tblCellMar>
        </w:tblPrEx>
        <w:trPr>
          <w:trHeight w:val="776" w:hRule="atLeast"/>
        </w:trPr>
        <w:tc>
          <w:tcPr>
            <w:tcW w:w="1395"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项目预算</w:t>
            </w:r>
          </w:p>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执行情况</w:t>
            </w:r>
          </w:p>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预算数：</w:t>
            </w:r>
          </w:p>
        </w:tc>
        <w:tc>
          <w:tcPr>
            <w:tcW w:w="784"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7.47</w:t>
            </w:r>
          </w:p>
        </w:tc>
        <w:tc>
          <w:tcPr>
            <w:tcW w:w="869"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执行数：</w:t>
            </w:r>
          </w:p>
        </w:tc>
        <w:tc>
          <w:tcPr>
            <w:tcW w:w="100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7.47</w:t>
            </w:r>
          </w:p>
        </w:tc>
      </w:tr>
      <w:tr>
        <w:tblPrEx>
          <w:tblCellMar>
            <w:top w:w="0" w:type="dxa"/>
            <w:left w:w="108" w:type="dxa"/>
            <w:bottom w:w="0" w:type="dxa"/>
            <w:right w:w="108" w:type="dxa"/>
          </w:tblCellMar>
        </w:tblPrEx>
        <w:trPr>
          <w:trHeight w:val="740" w:hRule="atLeast"/>
        </w:trPr>
        <w:tc>
          <w:tcPr>
            <w:tcW w:w="1395"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财政拨款</w:t>
            </w:r>
          </w:p>
        </w:tc>
        <w:tc>
          <w:tcPr>
            <w:tcW w:w="784"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7.47</w:t>
            </w:r>
          </w:p>
        </w:tc>
        <w:tc>
          <w:tcPr>
            <w:tcW w:w="869"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财政拨款</w:t>
            </w:r>
          </w:p>
        </w:tc>
        <w:tc>
          <w:tcPr>
            <w:tcW w:w="100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ind w:firstLine="840" w:firstLineChars="400"/>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7.47</w:t>
            </w:r>
          </w:p>
        </w:tc>
      </w:tr>
      <w:tr>
        <w:tblPrEx>
          <w:tblCellMar>
            <w:top w:w="0" w:type="dxa"/>
            <w:left w:w="108" w:type="dxa"/>
            <w:bottom w:w="0" w:type="dxa"/>
            <w:right w:w="108" w:type="dxa"/>
          </w:tblCellMar>
        </w:tblPrEx>
        <w:trPr>
          <w:trHeight w:val="376" w:hRule="atLeast"/>
        </w:trPr>
        <w:tc>
          <w:tcPr>
            <w:tcW w:w="1395" w:type="pct"/>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其他资金</w:t>
            </w:r>
          </w:p>
        </w:tc>
        <w:tc>
          <w:tcPr>
            <w:tcW w:w="784"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p>
        </w:tc>
        <w:tc>
          <w:tcPr>
            <w:tcW w:w="869"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其他资金</w:t>
            </w:r>
          </w:p>
        </w:tc>
        <w:tc>
          <w:tcPr>
            <w:tcW w:w="100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417" w:hRule="atLeast"/>
        </w:trPr>
        <w:tc>
          <w:tcPr>
            <w:tcW w:w="815"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年度总体目标</w:t>
            </w:r>
          </w:p>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完成情况</w:t>
            </w:r>
          </w:p>
        </w:tc>
        <w:tc>
          <w:tcPr>
            <w:tcW w:w="2314"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预期目标</w:t>
            </w:r>
          </w:p>
        </w:tc>
        <w:tc>
          <w:tcPr>
            <w:tcW w:w="187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目标实际完成情况</w:t>
            </w:r>
          </w:p>
        </w:tc>
      </w:tr>
      <w:tr>
        <w:tblPrEx>
          <w:tblCellMar>
            <w:top w:w="0" w:type="dxa"/>
            <w:left w:w="108" w:type="dxa"/>
            <w:bottom w:w="0" w:type="dxa"/>
            <w:right w:w="108" w:type="dxa"/>
          </w:tblCellMar>
        </w:tblPrEx>
        <w:trPr>
          <w:trHeight w:val="4407" w:hRule="atLeast"/>
        </w:trPr>
        <w:tc>
          <w:tcPr>
            <w:tcW w:w="815" w:type="pct"/>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2314" w:type="pct"/>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ascii="仿宋_GB2312" w:hAnsi="仿宋_GB2312" w:eastAsia="仿宋_GB2312" w:cs="仿宋_GB2312"/>
                <w:color w:val="000000"/>
                <w:kern w:val="0"/>
                <w:szCs w:val="21"/>
                <w:lang w:val="zh-CN"/>
              </w:rPr>
            </w:pPr>
            <w:r>
              <w:rPr>
                <w:rFonts w:hint="eastAsia" w:ascii="仿宋_GB2312" w:hAnsi="仿宋_GB2312" w:eastAsia="仿宋_GB2312" w:cs="仿宋_GB2312"/>
                <w:color w:val="000000"/>
                <w:kern w:val="0"/>
                <w:szCs w:val="21"/>
              </w:rPr>
              <w:t>通过政府购买服务的方式，激发民间社会组织参与农村建设及农村服务的活力；通过政府+社工+志愿者的模式开展居家养老服务，提供居家照顾、义诊、义剪、精神慰藉等服务；用整合资源的方式，开展主题活动，提供老人相互交流平台，建构支持网络，促进老人居家生活质量，使老年人更幸福，社会更加和谐。</w:t>
            </w:r>
          </w:p>
          <w:p>
            <w:pPr>
              <w:widowControl/>
              <w:spacing w:line="320" w:lineRule="exact"/>
              <w:jc w:val="left"/>
              <w:textAlignment w:val="top"/>
              <w:rPr>
                <w:rFonts w:ascii="仿宋_GB2312" w:hAnsi="仿宋_GB2312" w:eastAsia="仿宋_GB2312" w:cs="仿宋_GB2312"/>
                <w:color w:val="000000"/>
                <w:szCs w:val="21"/>
              </w:rPr>
            </w:pPr>
          </w:p>
        </w:tc>
        <w:tc>
          <w:tcPr>
            <w:tcW w:w="1870" w:type="pct"/>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建立并更新了249位老人个人服务档案，为当地党委政府在开展后续老人服务时提供了数据支持；链接和整合资源，通过“党员社工+志愿者+村医”多方联动的服务模式，充分发挥了党员社工模范先锋作用，积极调动志愿者的积极性，进一步发挥基层村干部、村医、在城乡老人居家养老服务中的积极促进作用。开展不同类型的志愿服务活动，让老人及家人感受到政府以及社会的关怀；</w:t>
            </w:r>
          </w:p>
          <w:p>
            <w:pPr>
              <w:widowControl/>
              <w:spacing w:line="320" w:lineRule="exact"/>
              <w:jc w:val="left"/>
              <w:textAlignment w:val="top"/>
              <w:rPr>
                <w:rFonts w:ascii="仿宋_GB2312" w:hAnsi="仿宋_GB2312" w:eastAsia="仿宋_GB2312" w:cs="仿宋_GB2312"/>
                <w:color w:val="000000"/>
                <w:szCs w:val="21"/>
              </w:rPr>
            </w:pPr>
          </w:p>
        </w:tc>
      </w:tr>
      <w:tr>
        <w:tblPrEx>
          <w:tblCellMar>
            <w:top w:w="0" w:type="dxa"/>
            <w:left w:w="108" w:type="dxa"/>
            <w:bottom w:w="0" w:type="dxa"/>
            <w:right w:w="108" w:type="dxa"/>
          </w:tblCellMar>
        </w:tblPrEx>
        <w:trPr>
          <w:trHeight w:val="946" w:hRule="atLeast"/>
        </w:trPr>
        <w:tc>
          <w:tcPr>
            <w:tcW w:w="815" w:type="pct"/>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年度绩效指标完成情况</w:t>
            </w:r>
          </w:p>
        </w:tc>
        <w:tc>
          <w:tcPr>
            <w:tcW w:w="580" w:type="pct"/>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一级</w:t>
            </w:r>
          </w:p>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9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二级</w:t>
            </w:r>
          </w:p>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784"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三级</w:t>
            </w:r>
          </w:p>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869"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预期指标值</w:t>
            </w:r>
          </w:p>
        </w:tc>
        <w:tc>
          <w:tcPr>
            <w:tcW w:w="1000"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实际完成指标值</w:t>
            </w:r>
          </w:p>
        </w:tc>
      </w:tr>
      <w:tr>
        <w:tblPrEx>
          <w:tblCellMar>
            <w:top w:w="0" w:type="dxa"/>
            <w:left w:w="108" w:type="dxa"/>
            <w:bottom w:w="0" w:type="dxa"/>
            <w:right w:w="108" w:type="dxa"/>
          </w:tblCellMar>
        </w:tblPrEx>
        <w:trPr>
          <w:trHeight w:val="620" w:hRule="atLeast"/>
        </w:trPr>
        <w:tc>
          <w:tcPr>
            <w:tcW w:w="815" w:type="pct"/>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580" w:type="pct"/>
            <w:vMerge w:val="restart"/>
            <w:tcBorders>
              <w:top w:val="single" w:color="000000" w:sz="4" w:space="0"/>
              <w:left w:val="single" w:color="000000" w:sz="4" w:space="0"/>
              <w:right w:val="single" w:color="000000" w:sz="4" w:space="0"/>
            </w:tcBorders>
            <w:vAlign w:val="bottom"/>
          </w:tcPr>
          <w:p>
            <w:pPr>
              <w:spacing w:line="320" w:lineRule="exact"/>
              <w:jc w:val="center"/>
              <w:rPr>
                <w:rFonts w:ascii="仿宋_GB2312" w:hAnsi="仿宋_GB2312" w:eastAsia="仿宋_GB2312" w:cs="仿宋_GB2312"/>
                <w:color w:val="000000"/>
                <w:szCs w:val="21"/>
              </w:rPr>
            </w:pPr>
          </w:p>
        </w:tc>
        <w:tc>
          <w:tcPr>
            <w:tcW w:w="9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784"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完成质量</w:t>
            </w:r>
          </w:p>
        </w:tc>
        <w:tc>
          <w:tcPr>
            <w:tcW w:w="869"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高中低</w:t>
            </w:r>
          </w:p>
        </w:tc>
        <w:tc>
          <w:tcPr>
            <w:tcW w:w="100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高</w:t>
            </w:r>
          </w:p>
        </w:tc>
      </w:tr>
      <w:tr>
        <w:tblPrEx>
          <w:tblCellMar>
            <w:top w:w="0" w:type="dxa"/>
            <w:left w:w="108" w:type="dxa"/>
            <w:bottom w:w="0" w:type="dxa"/>
            <w:right w:w="108" w:type="dxa"/>
          </w:tblCellMar>
        </w:tblPrEx>
        <w:trPr>
          <w:trHeight w:val="620" w:hRule="atLeast"/>
        </w:trPr>
        <w:tc>
          <w:tcPr>
            <w:tcW w:w="815" w:type="pct"/>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580" w:type="pct"/>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color w:val="000000"/>
                <w:szCs w:val="21"/>
              </w:rPr>
            </w:pPr>
          </w:p>
        </w:tc>
        <w:tc>
          <w:tcPr>
            <w:tcW w:w="9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784"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完成时间</w:t>
            </w:r>
          </w:p>
        </w:tc>
        <w:tc>
          <w:tcPr>
            <w:tcW w:w="869"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1年</w:t>
            </w:r>
          </w:p>
        </w:tc>
        <w:tc>
          <w:tcPr>
            <w:tcW w:w="100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完成</w:t>
            </w:r>
          </w:p>
        </w:tc>
      </w:tr>
      <w:tr>
        <w:tblPrEx>
          <w:tblCellMar>
            <w:top w:w="0" w:type="dxa"/>
            <w:left w:w="108" w:type="dxa"/>
            <w:bottom w:w="0" w:type="dxa"/>
            <w:right w:w="108" w:type="dxa"/>
          </w:tblCellMar>
        </w:tblPrEx>
        <w:trPr>
          <w:trHeight w:val="822" w:hRule="atLeast"/>
        </w:trPr>
        <w:tc>
          <w:tcPr>
            <w:tcW w:w="815" w:type="pct"/>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580"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效益</w:t>
            </w:r>
          </w:p>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9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经济效益  指标</w:t>
            </w:r>
          </w:p>
        </w:tc>
        <w:tc>
          <w:tcPr>
            <w:tcW w:w="784"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预算资金</w:t>
            </w:r>
          </w:p>
        </w:tc>
        <w:tc>
          <w:tcPr>
            <w:tcW w:w="869"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7.47</w:t>
            </w:r>
          </w:p>
        </w:tc>
        <w:tc>
          <w:tcPr>
            <w:tcW w:w="100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108" w:type="dxa"/>
            <w:bottom w:w="0" w:type="dxa"/>
            <w:right w:w="108" w:type="dxa"/>
          </w:tblCellMar>
        </w:tblPrEx>
        <w:trPr>
          <w:trHeight w:val="822" w:hRule="atLeast"/>
        </w:trPr>
        <w:tc>
          <w:tcPr>
            <w:tcW w:w="815" w:type="pct"/>
            <w:vMerge w:val="continue"/>
            <w:tcBorders>
              <w:left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580" w:type="pct"/>
            <w:vMerge w:val="continue"/>
            <w:tcBorders>
              <w:top w:val="single" w:color="000000" w:sz="4" w:space="0"/>
              <w:left w:val="single" w:color="000000" w:sz="4" w:space="0"/>
              <w:bottom w:val="single" w:color="000000" w:sz="4" w:space="0"/>
              <w:right w:val="single" w:color="000000" w:sz="4" w:space="0"/>
            </w:tcBorders>
            <w:vAlign w:val="bottom"/>
          </w:tcPr>
          <w:p>
            <w:pPr>
              <w:spacing w:line="320" w:lineRule="exact"/>
              <w:jc w:val="center"/>
              <w:rPr>
                <w:rFonts w:ascii="仿宋_GB2312" w:hAnsi="仿宋_GB2312" w:eastAsia="仿宋_GB2312" w:cs="仿宋_GB2312"/>
                <w:color w:val="000000"/>
                <w:szCs w:val="21"/>
              </w:rPr>
            </w:pPr>
          </w:p>
        </w:tc>
        <w:tc>
          <w:tcPr>
            <w:tcW w:w="9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可持续影响 指标</w:t>
            </w:r>
          </w:p>
        </w:tc>
        <w:tc>
          <w:tcPr>
            <w:tcW w:w="784"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可持续性</w:t>
            </w:r>
          </w:p>
        </w:tc>
        <w:tc>
          <w:tcPr>
            <w:tcW w:w="869"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c>
          <w:tcPr>
            <w:tcW w:w="100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r>
      <w:tr>
        <w:tblPrEx>
          <w:tblCellMar>
            <w:top w:w="0" w:type="dxa"/>
            <w:left w:w="108" w:type="dxa"/>
            <w:bottom w:w="0" w:type="dxa"/>
            <w:right w:w="108" w:type="dxa"/>
          </w:tblCellMar>
        </w:tblPrEx>
        <w:trPr>
          <w:trHeight w:val="835" w:hRule="atLeast"/>
        </w:trPr>
        <w:tc>
          <w:tcPr>
            <w:tcW w:w="815" w:type="pct"/>
            <w:vMerge w:val="continue"/>
            <w:tcBorders>
              <w:left w:val="single" w:color="000000" w:sz="4" w:space="0"/>
              <w:bottom w:val="single" w:color="000000" w:sz="4" w:space="0"/>
              <w:right w:val="single" w:color="000000" w:sz="4" w:space="0"/>
            </w:tcBorders>
            <w:vAlign w:val="center"/>
          </w:tcPr>
          <w:p>
            <w:pPr>
              <w:spacing w:line="320" w:lineRule="exact"/>
              <w:jc w:val="center"/>
              <w:rPr>
                <w:rFonts w:ascii="仿宋_GB2312" w:hAnsi="仿宋_GB2312" w:eastAsia="仿宋_GB2312" w:cs="仿宋_GB2312"/>
                <w:color w:val="000000"/>
                <w:szCs w:val="21"/>
              </w:rPr>
            </w:pPr>
          </w:p>
        </w:tc>
        <w:tc>
          <w:tcPr>
            <w:tcW w:w="58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w:t>
            </w:r>
          </w:p>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度指标</w:t>
            </w:r>
          </w:p>
        </w:tc>
        <w:tc>
          <w:tcPr>
            <w:tcW w:w="9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784"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满意度</w:t>
            </w:r>
          </w:p>
        </w:tc>
        <w:tc>
          <w:tcPr>
            <w:tcW w:w="869"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c>
          <w:tcPr>
            <w:tcW w:w="1000"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90%</w:t>
            </w:r>
          </w:p>
        </w:tc>
      </w:tr>
    </w:tbl>
    <w:p>
      <w:pPr>
        <w:spacing w:line="576" w:lineRule="exact"/>
        <w:jc w:val="center"/>
        <w:outlineLvl w:val="0"/>
        <w:rPr>
          <w:rFonts w:ascii="黑体" w:hAnsi="Times New Roman" w:eastAsia="黑体"/>
          <w:color w:val="000000"/>
          <w:sz w:val="44"/>
          <w:szCs w:val="44"/>
        </w:rPr>
      </w:pPr>
    </w:p>
    <w:tbl>
      <w:tblPr>
        <w:tblStyle w:val="15"/>
        <w:tblpPr w:leftFromText="180" w:rightFromText="180" w:vertAnchor="text" w:horzAnchor="page" w:tblpX="1256" w:tblpY="221"/>
        <w:tblOverlap w:val="never"/>
        <w:tblW w:w="5244" w:type="pct"/>
        <w:tblInd w:w="0" w:type="dxa"/>
        <w:tblLayout w:type="autofit"/>
        <w:tblCellMar>
          <w:top w:w="0" w:type="dxa"/>
          <w:left w:w="108" w:type="dxa"/>
          <w:bottom w:w="0" w:type="dxa"/>
          <w:right w:w="108" w:type="dxa"/>
        </w:tblCellMar>
      </w:tblPr>
      <w:tblGrid>
        <w:gridCol w:w="1457"/>
        <w:gridCol w:w="1038"/>
        <w:gridCol w:w="1696"/>
        <w:gridCol w:w="1403"/>
        <w:gridCol w:w="1555"/>
        <w:gridCol w:w="1789"/>
      </w:tblGrid>
      <w:tr>
        <w:tblPrEx>
          <w:tblCellMar>
            <w:top w:w="0" w:type="dxa"/>
            <w:left w:w="108" w:type="dxa"/>
            <w:bottom w:w="0" w:type="dxa"/>
            <w:right w:w="108" w:type="dxa"/>
          </w:tblCellMar>
        </w:tblPrEx>
        <w:trPr>
          <w:trHeight w:val="1288" w:hRule="atLeast"/>
        </w:trPr>
        <w:tc>
          <w:tcPr>
            <w:tcW w:w="4875" w:type="pct"/>
            <w:gridSpan w:val="6"/>
            <w:tcBorders>
              <w:top w:val="nil"/>
              <w:left w:val="nil"/>
              <w:bottom w:val="nil"/>
              <w:right w:val="nil"/>
            </w:tcBorders>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2022年残协工作经费绩效目标自评</w:t>
            </w:r>
          </w:p>
        </w:tc>
      </w:tr>
      <w:tr>
        <w:tblPrEx>
          <w:tblCellMar>
            <w:top w:w="0" w:type="dxa"/>
            <w:left w:w="108" w:type="dxa"/>
            <w:bottom w:w="0" w:type="dxa"/>
            <w:right w:w="108" w:type="dxa"/>
          </w:tblCellMar>
        </w:tblPrEx>
        <w:trPr>
          <w:trHeight w:val="657" w:hRule="atLeast"/>
        </w:trPr>
        <w:tc>
          <w:tcPr>
            <w:tcW w:w="136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主管部门及代码</w:t>
            </w:r>
          </w:p>
        </w:tc>
        <w:tc>
          <w:tcPr>
            <w:tcW w:w="169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611</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实施单位</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叠溪镇</w:t>
            </w:r>
          </w:p>
        </w:tc>
      </w:tr>
      <w:tr>
        <w:tblPrEx>
          <w:tblCellMar>
            <w:top w:w="0" w:type="dxa"/>
            <w:left w:w="108" w:type="dxa"/>
            <w:bottom w:w="0" w:type="dxa"/>
            <w:right w:w="108" w:type="dxa"/>
          </w:tblCellMar>
        </w:tblPrEx>
        <w:trPr>
          <w:trHeight w:val="599" w:hRule="atLeast"/>
        </w:trPr>
        <w:tc>
          <w:tcPr>
            <w:tcW w:w="1361"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项目预算</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执行情况</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（万元）</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预算数：</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0.52</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执行数：</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0.52</w:t>
            </w:r>
          </w:p>
        </w:tc>
      </w:tr>
      <w:tr>
        <w:tblPrEx>
          <w:tblCellMar>
            <w:top w:w="0" w:type="dxa"/>
            <w:left w:w="108" w:type="dxa"/>
            <w:bottom w:w="0" w:type="dxa"/>
            <w:right w:w="108" w:type="dxa"/>
          </w:tblCellMar>
        </w:tblPrEx>
        <w:trPr>
          <w:trHeight w:val="580" w:hRule="atLeast"/>
        </w:trPr>
        <w:tc>
          <w:tcPr>
            <w:tcW w:w="136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财政拨款</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0.52</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财政拨款</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0.52</w:t>
            </w:r>
          </w:p>
        </w:tc>
      </w:tr>
      <w:tr>
        <w:tblPrEx>
          <w:tblCellMar>
            <w:top w:w="0" w:type="dxa"/>
            <w:left w:w="108" w:type="dxa"/>
            <w:bottom w:w="0" w:type="dxa"/>
            <w:right w:w="108" w:type="dxa"/>
          </w:tblCellMar>
        </w:tblPrEx>
        <w:trPr>
          <w:trHeight w:val="493" w:hRule="atLeast"/>
        </w:trPr>
        <w:tc>
          <w:tcPr>
            <w:tcW w:w="136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417" w:hRule="atLeast"/>
        </w:trPr>
        <w:tc>
          <w:tcPr>
            <w:tcW w:w="795"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年度总体目标</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完成情况</w:t>
            </w:r>
          </w:p>
        </w:tc>
        <w:tc>
          <w:tcPr>
            <w:tcW w:w="2256"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预期目标</w:t>
            </w:r>
          </w:p>
        </w:tc>
        <w:tc>
          <w:tcPr>
            <w:tcW w:w="1824"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目标实际完成情况</w:t>
            </w:r>
          </w:p>
        </w:tc>
      </w:tr>
      <w:tr>
        <w:tblPrEx>
          <w:tblCellMar>
            <w:top w:w="0" w:type="dxa"/>
            <w:left w:w="108" w:type="dxa"/>
            <w:bottom w:w="0" w:type="dxa"/>
            <w:right w:w="108" w:type="dxa"/>
          </w:tblCellMar>
        </w:tblPrEx>
        <w:trPr>
          <w:trHeight w:val="2639" w:hRule="atLeast"/>
        </w:trPr>
        <w:tc>
          <w:tcPr>
            <w:tcW w:w="79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2256" w:type="pct"/>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进一步加强残疾人工作，全面提升基层残疾人组织服务能力和管理科学化水平，更好为残疾人做好服务，同时关心关爱残疾人。</w:t>
            </w:r>
          </w:p>
        </w:tc>
        <w:tc>
          <w:tcPr>
            <w:tcW w:w="1824" w:type="pct"/>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加强我镇13个村残疾人工作，提升基层残疾人组织服务能力和管理科学化水平，更好为我镇13个村的残疾人做好服务。</w:t>
            </w:r>
          </w:p>
          <w:p>
            <w:pPr>
              <w:widowControl/>
              <w:spacing w:line="320" w:lineRule="exact"/>
              <w:jc w:val="center"/>
              <w:textAlignment w:val="bottom"/>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946" w:hRule="atLeast"/>
        </w:trPr>
        <w:tc>
          <w:tcPr>
            <w:tcW w:w="795" w:type="pct"/>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年度绩效指标完成情况</w:t>
            </w:r>
          </w:p>
        </w:tc>
        <w:tc>
          <w:tcPr>
            <w:tcW w:w="565" w:type="pct"/>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预期指标值</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实际完成指标值</w:t>
            </w:r>
          </w:p>
        </w:tc>
      </w:tr>
      <w:tr>
        <w:tblPrEx>
          <w:tblCellMar>
            <w:top w:w="0" w:type="dxa"/>
            <w:left w:w="108" w:type="dxa"/>
            <w:bottom w:w="0" w:type="dxa"/>
            <w:right w:w="108" w:type="dxa"/>
          </w:tblCellMar>
        </w:tblPrEx>
        <w:trPr>
          <w:trHeight w:val="620"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restart"/>
            <w:tcBorders>
              <w:top w:val="single" w:color="000000" w:sz="4" w:space="0"/>
              <w:left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完成质量</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高中低</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w:t>
            </w:r>
          </w:p>
        </w:tc>
      </w:tr>
      <w:tr>
        <w:tblPrEx>
          <w:tblCellMar>
            <w:top w:w="0" w:type="dxa"/>
            <w:left w:w="108" w:type="dxa"/>
            <w:bottom w:w="0" w:type="dxa"/>
            <w:right w:w="108" w:type="dxa"/>
          </w:tblCellMar>
        </w:tblPrEx>
        <w:trPr>
          <w:trHeight w:val="620"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时效指标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1年</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w:t>
            </w:r>
          </w:p>
        </w:tc>
      </w:tr>
      <w:tr>
        <w:tblPrEx>
          <w:tblCellMar>
            <w:top w:w="0" w:type="dxa"/>
            <w:left w:w="108" w:type="dxa"/>
            <w:bottom w:w="0" w:type="dxa"/>
            <w:right w:w="108" w:type="dxa"/>
          </w:tblCellMar>
        </w:tblPrEx>
        <w:trPr>
          <w:trHeight w:val="822"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效益</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经济效益  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预算资金</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0.52</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r>
      <w:tr>
        <w:tblPrEx>
          <w:tblCellMar>
            <w:top w:w="0" w:type="dxa"/>
            <w:left w:w="108" w:type="dxa"/>
            <w:bottom w:w="0" w:type="dxa"/>
            <w:right w:w="108" w:type="dxa"/>
          </w:tblCellMar>
        </w:tblPrEx>
        <w:trPr>
          <w:trHeight w:val="822"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 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可持续性</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90</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90%</w:t>
            </w:r>
          </w:p>
        </w:tc>
      </w:tr>
      <w:tr>
        <w:tblPrEx>
          <w:tblCellMar>
            <w:top w:w="0" w:type="dxa"/>
            <w:left w:w="108" w:type="dxa"/>
            <w:bottom w:w="0" w:type="dxa"/>
            <w:right w:w="108" w:type="dxa"/>
          </w:tblCellMar>
        </w:tblPrEx>
        <w:trPr>
          <w:trHeight w:val="835" w:hRule="atLeast"/>
        </w:trPr>
        <w:tc>
          <w:tcPr>
            <w:tcW w:w="795" w:type="pct"/>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度指标</w:t>
            </w: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90</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90%</w:t>
            </w:r>
          </w:p>
        </w:tc>
      </w:tr>
    </w:tbl>
    <w:p>
      <w:pPr>
        <w:spacing w:line="576" w:lineRule="exact"/>
        <w:jc w:val="center"/>
        <w:outlineLvl w:val="0"/>
        <w:rPr>
          <w:rFonts w:ascii="黑体" w:hAnsi="Times New Roman" w:eastAsia="黑体"/>
          <w:color w:val="000000"/>
          <w:sz w:val="44"/>
          <w:szCs w:val="44"/>
        </w:rPr>
      </w:pPr>
    </w:p>
    <w:tbl>
      <w:tblPr>
        <w:tblStyle w:val="15"/>
        <w:tblpPr w:leftFromText="180" w:rightFromText="180" w:vertAnchor="text" w:horzAnchor="page" w:tblpX="1256" w:tblpY="221"/>
        <w:tblOverlap w:val="never"/>
        <w:tblW w:w="5244" w:type="pct"/>
        <w:tblInd w:w="0" w:type="dxa"/>
        <w:tblLayout w:type="autofit"/>
        <w:tblCellMar>
          <w:top w:w="0" w:type="dxa"/>
          <w:left w:w="108" w:type="dxa"/>
          <w:bottom w:w="0" w:type="dxa"/>
          <w:right w:w="108" w:type="dxa"/>
        </w:tblCellMar>
      </w:tblPr>
      <w:tblGrid>
        <w:gridCol w:w="1457"/>
        <w:gridCol w:w="1038"/>
        <w:gridCol w:w="1696"/>
        <w:gridCol w:w="1403"/>
        <w:gridCol w:w="1555"/>
        <w:gridCol w:w="1789"/>
      </w:tblGrid>
      <w:tr>
        <w:tblPrEx>
          <w:tblCellMar>
            <w:top w:w="0" w:type="dxa"/>
            <w:left w:w="108" w:type="dxa"/>
            <w:bottom w:w="0" w:type="dxa"/>
            <w:right w:w="108" w:type="dxa"/>
          </w:tblCellMar>
        </w:tblPrEx>
        <w:trPr>
          <w:trHeight w:val="1288" w:hRule="atLeast"/>
        </w:trPr>
        <w:tc>
          <w:tcPr>
            <w:tcW w:w="4875" w:type="pct"/>
            <w:gridSpan w:val="6"/>
            <w:tcBorders>
              <w:top w:val="nil"/>
              <w:left w:val="nil"/>
              <w:bottom w:val="nil"/>
              <w:right w:val="nil"/>
            </w:tcBorders>
            <w:vAlign w:val="center"/>
          </w:tcPr>
          <w:p>
            <w:pPr>
              <w:widowControl/>
              <w:jc w:val="center"/>
              <w:textAlignment w:val="center"/>
              <w:rPr>
                <w:rFonts w:ascii="宋体" w:hAnsi="宋体" w:cs="宋体"/>
                <w:b/>
                <w:color w:val="000000"/>
                <w:sz w:val="32"/>
                <w:szCs w:val="32"/>
              </w:rPr>
            </w:pPr>
            <w:r>
              <w:rPr>
                <w:rFonts w:hint="eastAsia" w:ascii="宋体" w:hAnsi="宋体" w:cs="宋体"/>
                <w:b/>
                <w:color w:val="000000"/>
                <w:sz w:val="32"/>
                <w:szCs w:val="32"/>
              </w:rPr>
              <w:t>2022年疫情防控工作经费绩效目标自评</w:t>
            </w:r>
          </w:p>
        </w:tc>
      </w:tr>
      <w:tr>
        <w:tblPrEx>
          <w:tblCellMar>
            <w:top w:w="0" w:type="dxa"/>
            <w:left w:w="108" w:type="dxa"/>
            <w:bottom w:w="0" w:type="dxa"/>
            <w:right w:w="108" w:type="dxa"/>
          </w:tblCellMar>
        </w:tblPrEx>
        <w:trPr>
          <w:trHeight w:val="657" w:hRule="atLeast"/>
        </w:trPr>
        <w:tc>
          <w:tcPr>
            <w:tcW w:w="1361"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主管部门及代码</w:t>
            </w:r>
          </w:p>
        </w:tc>
        <w:tc>
          <w:tcPr>
            <w:tcW w:w="1690"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611</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实施单位</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叠溪镇</w:t>
            </w:r>
          </w:p>
        </w:tc>
      </w:tr>
      <w:tr>
        <w:tblPrEx>
          <w:tblCellMar>
            <w:top w:w="0" w:type="dxa"/>
            <w:left w:w="108" w:type="dxa"/>
            <w:bottom w:w="0" w:type="dxa"/>
            <w:right w:w="108" w:type="dxa"/>
          </w:tblCellMar>
        </w:tblPrEx>
        <w:trPr>
          <w:trHeight w:val="599" w:hRule="atLeast"/>
        </w:trPr>
        <w:tc>
          <w:tcPr>
            <w:tcW w:w="1361" w:type="pct"/>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项目预算</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执行情况</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（万元）</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预算数：</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 xml:space="preserve"> 执行数：</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r>
      <w:tr>
        <w:tblPrEx>
          <w:tblCellMar>
            <w:top w:w="0" w:type="dxa"/>
            <w:left w:w="108" w:type="dxa"/>
            <w:bottom w:w="0" w:type="dxa"/>
            <w:right w:w="108" w:type="dxa"/>
          </w:tblCellMar>
        </w:tblPrEx>
        <w:trPr>
          <w:trHeight w:val="580" w:hRule="atLeast"/>
        </w:trPr>
        <w:tc>
          <w:tcPr>
            <w:tcW w:w="136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财政拨款</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其中：</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财政拨款</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r>
      <w:tr>
        <w:tblPrEx>
          <w:tblCellMar>
            <w:top w:w="0" w:type="dxa"/>
            <w:left w:w="108" w:type="dxa"/>
            <w:bottom w:w="0" w:type="dxa"/>
            <w:right w:w="108" w:type="dxa"/>
          </w:tblCellMar>
        </w:tblPrEx>
        <w:trPr>
          <w:trHeight w:val="493" w:hRule="atLeast"/>
        </w:trPr>
        <w:tc>
          <w:tcPr>
            <w:tcW w:w="1361" w:type="pct"/>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其他资金</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r>
      <w:tr>
        <w:tblPrEx>
          <w:tblCellMar>
            <w:top w:w="0" w:type="dxa"/>
            <w:left w:w="108" w:type="dxa"/>
            <w:bottom w:w="0" w:type="dxa"/>
            <w:right w:w="108" w:type="dxa"/>
          </w:tblCellMar>
        </w:tblPrEx>
        <w:trPr>
          <w:trHeight w:val="417" w:hRule="atLeast"/>
        </w:trPr>
        <w:tc>
          <w:tcPr>
            <w:tcW w:w="795"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年度总体目标</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完成情况</w:t>
            </w:r>
          </w:p>
        </w:tc>
        <w:tc>
          <w:tcPr>
            <w:tcW w:w="2256" w:type="pct"/>
            <w:gridSpan w:val="3"/>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预期目标</w:t>
            </w:r>
          </w:p>
        </w:tc>
        <w:tc>
          <w:tcPr>
            <w:tcW w:w="1824" w:type="pct"/>
            <w:gridSpan w:val="2"/>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目标实际完成情况</w:t>
            </w:r>
          </w:p>
        </w:tc>
      </w:tr>
      <w:tr>
        <w:tblPrEx>
          <w:tblCellMar>
            <w:top w:w="0" w:type="dxa"/>
            <w:left w:w="108" w:type="dxa"/>
            <w:bottom w:w="0" w:type="dxa"/>
            <w:right w:w="108" w:type="dxa"/>
          </w:tblCellMar>
        </w:tblPrEx>
        <w:trPr>
          <w:trHeight w:val="2639" w:hRule="atLeast"/>
        </w:trPr>
        <w:tc>
          <w:tcPr>
            <w:tcW w:w="795" w:type="pct"/>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2256" w:type="pct"/>
            <w:gridSpan w:val="3"/>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zh-CN"/>
              </w:rPr>
              <w:t>叠溪镇防疫经费的使用有利于我镇开展新冠肺炎的管控工作，使人民群众更加了解防疫知识。</w:t>
            </w:r>
          </w:p>
        </w:tc>
        <w:tc>
          <w:tcPr>
            <w:tcW w:w="1824" w:type="pct"/>
            <w:gridSpan w:val="2"/>
            <w:tcBorders>
              <w:top w:val="single" w:color="000000" w:sz="4" w:space="0"/>
              <w:left w:val="single" w:color="000000" w:sz="4" w:space="0"/>
              <w:bottom w:val="single" w:color="000000" w:sz="4" w:space="0"/>
              <w:right w:val="single" w:color="000000" w:sz="4" w:space="0"/>
            </w:tcBorders>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叠溪镇防疫资金</w:t>
            </w:r>
            <w:r>
              <w:rPr>
                <w:rFonts w:hint="eastAsia" w:ascii="仿宋_GB2312" w:hAnsi="仿宋_GB2312" w:eastAsia="仿宋_GB2312" w:cs="仿宋_GB2312"/>
                <w:color w:val="000000"/>
                <w:kern w:val="0"/>
                <w:szCs w:val="21"/>
                <w:lang w:val="zh-CN"/>
              </w:rPr>
              <w:t>实施内容是用于叠溪镇购买防疫办公用品、防疫广告宣传费用、购买消毒液费用以及卡点物资</w:t>
            </w:r>
            <w:r>
              <w:rPr>
                <w:rFonts w:hint="eastAsia" w:ascii="仿宋_GB2312" w:hAnsi="仿宋_GB2312" w:eastAsia="仿宋_GB2312" w:cs="仿宋_GB2312"/>
                <w:color w:val="000000"/>
                <w:kern w:val="0"/>
                <w:szCs w:val="21"/>
              </w:rPr>
              <w:t>购买</w:t>
            </w:r>
            <w:r>
              <w:rPr>
                <w:rFonts w:hint="eastAsia" w:ascii="仿宋_GB2312" w:hAnsi="仿宋_GB2312" w:eastAsia="仿宋_GB2312" w:cs="仿宋_GB2312"/>
                <w:color w:val="000000"/>
                <w:kern w:val="0"/>
                <w:szCs w:val="21"/>
                <w:lang w:val="zh-CN"/>
              </w:rPr>
              <w:t>费。叠溪镇防疫经费使我镇在新冠肺炎疫情中，保障了辖区的环境卫生，维护了人民群众的身体健康。增强了群众对疫情防范，利于我镇对疫情的防控。</w:t>
            </w:r>
          </w:p>
        </w:tc>
      </w:tr>
      <w:tr>
        <w:tblPrEx>
          <w:tblCellMar>
            <w:top w:w="0" w:type="dxa"/>
            <w:left w:w="108" w:type="dxa"/>
            <w:bottom w:w="0" w:type="dxa"/>
            <w:right w:w="108" w:type="dxa"/>
          </w:tblCellMar>
        </w:tblPrEx>
        <w:trPr>
          <w:trHeight w:val="946" w:hRule="atLeast"/>
        </w:trPr>
        <w:tc>
          <w:tcPr>
            <w:tcW w:w="795" w:type="pct"/>
            <w:vMerge w:val="restart"/>
            <w:tcBorders>
              <w:top w:val="single" w:color="000000" w:sz="4" w:space="0"/>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年度绩效指标完成情况</w:t>
            </w:r>
          </w:p>
        </w:tc>
        <w:tc>
          <w:tcPr>
            <w:tcW w:w="565" w:type="pct"/>
            <w:tcBorders>
              <w:top w:val="single" w:color="000000" w:sz="4" w:space="0"/>
              <w:left w:val="nil"/>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一级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92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二级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76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三级</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848"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预期指标值</w:t>
            </w:r>
          </w:p>
        </w:tc>
        <w:tc>
          <w:tcPr>
            <w:tcW w:w="975" w:type="pc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实际完成指标值</w:t>
            </w:r>
          </w:p>
        </w:tc>
      </w:tr>
      <w:tr>
        <w:tblPrEx>
          <w:tblCellMar>
            <w:top w:w="0" w:type="dxa"/>
            <w:left w:w="108" w:type="dxa"/>
            <w:bottom w:w="0" w:type="dxa"/>
            <w:right w:w="108" w:type="dxa"/>
          </w:tblCellMar>
        </w:tblPrEx>
        <w:trPr>
          <w:trHeight w:val="620"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restart"/>
            <w:tcBorders>
              <w:top w:val="single" w:color="000000" w:sz="4" w:space="0"/>
              <w:left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质量指标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完成质量</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高中低</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高</w:t>
            </w:r>
          </w:p>
        </w:tc>
      </w:tr>
      <w:tr>
        <w:tblPrEx>
          <w:tblCellMar>
            <w:top w:w="0" w:type="dxa"/>
            <w:left w:w="108" w:type="dxa"/>
            <w:bottom w:w="0" w:type="dxa"/>
            <w:right w:w="108" w:type="dxa"/>
          </w:tblCellMar>
        </w:tblPrEx>
        <w:trPr>
          <w:trHeight w:val="620"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时效指标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1年</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w:t>
            </w:r>
          </w:p>
        </w:tc>
      </w:tr>
      <w:tr>
        <w:tblPrEx>
          <w:tblCellMar>
            <w:top w:w="0" w:type="dxa"/>
            <w:left w:w="108" w:type="dxa"/>
            <w:bottom w:w="0" w:type="dxa"/>
            <w:right w:w="108" w:type="dxa"/>
          </w:tblCellMar>
        </w:tblPrEx>
        <w:trPr>
          <w:trHeight w:val="822"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restart"/>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效益</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经济效益  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预算资金</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100%</w:t>
            </w:r>
          </w:p>
        </w:tc>
      </w:tr>
      <w:tr>
        <w:tblPrEx>
          <w:tblCellMar>
            <w:top w:w="0" w:type="dxa"/>
            <w:left w:w="108" w:type="dxa"/>
            <w:bottom w:w="0" w:type="dxa"/>
            <w:right w:w="108" w:type="dxa"/>
          </w:tblCellMar>
        </w:tblPrEx>
        <w:trPr>
          <w:trHeight w:val="822" w:hRule="atLeast"/>
        </w:trPr>
        <w:tc>
          <w:tcPr>
            <w:tcW w:w="795" w:type="pct"/>
            <w:vMerge w:val="continue"/>
            <w:tcBorders>
              <w:left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vMerge w:val="continue"/>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 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可持续性</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90</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90%</w:t>
            </w:r>
          </w:p>
        </w:tc>
      </w:tr>
      <w:tr>
        <w:tblPrEx>
          <w:tblCellMar>
            <w:top w:w="0" w:type="dxa"/>
            <w:left w:w="108" w:type="dxa"/>
            <w:bottom w:w="0" w:type="dxa"/>
            <w:right w:w="108" w:type="dxa"/>
          </w:tblCellMar>
        </w:tblPrEx>
        <w:trPr>
          <w:trHeight w:val="835" w:hRule="atLeast"/>
        </w:trPr>
        <w:tc>
          <w:tcPr>
            <w:tcW w:w="795" w:type="pct"/>
            <w:vMerge w:val="continue"/>
            <w:tcBorders>
              <w:left w:val="single" w:color="000000" w:sz="4" w:space="0"/>
              <w:bottom w:val="single" w:color="000000" w:sz="4" w:space="0"/>
              <w:right w:val="single" w:color="000000" w:sz="4" w:space="0"/>
            </w:tcBorders>
            <w:vAlign w:val="center"/>
          </w:tcPr>
          <w:p>
            <w:pPr>
              <w:widowControl/>
              <w:spacing w:line="320" w:lineRule="exact"/>
              <w:jc w:val="center"/>
              <w:textAlignment w:val="bottom"/>
              <w:rPr>
                <w:rFonts w:ascii="仿宋_GB2312" w:hAnsi="仿宋_GB2312" w:eastAsia="仿宋_GB2312" w:cs="仿宋_GB2312"/>
                <w:color w:val="000000"/>
                <w:kern w:val="0"/>
                <w:szCs w:val="21"/>
              </w:rPr>
            </w:pPr>
          </w:p>
        </w:tc>
        <w:tc>
          <w:tcPr>
            <w:tcW w:w="5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度指标</w:t>
            </w:r>
          </w:p>
        </w:tc>
        <w:tc>
          <w:tcPr>
            <w:tcW w:w="92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指标</w:t>
            </w:r>
          </w:p>
        </w:tc>
        <w:tc>
          <w:tcPr>
            <w:tcW w:w="76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满意度</w:t>
            </w:r>
          </w:p>
        </w:tc>
        <w:tc>
          <w:tcPr>
            <w:tcW w:w="848"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ascii="仿宋_GB2312" w:hAnsi="仿宋_GB2312" w:eastAsia="仿宋_GB2312" w:cs="仿宋_GB2312"/>
                <w:color w:val="000000"/>
                <w:kern w:val="0"/>
                <w:szCs w:val="21"/>
              </w:rPr>
              <w:t>≥</w:t>
            </w:r>
            <w:r>
              <w:rPr>
                <w:rFonts w:hint="eastAsia" w:ascii="仿宋_GB2312" w:hAnsi="仿宋_GB2312" w:eastAsia="仿宋_GB2312" w:cs="仿宋_GB2312"/>
                <w:color w:val="000000"/>
                <w:kern w:val="0"/>
                <w:szCs w:val="21"/>
              </w:rPr>
              <w:t>90</w:t>
            </w:r>
          </w:p>
        </w:tc>
        <w:tc>
          <w:tcPr>
            <w:tcW w:w="975" w:type="pct"/>
            <w:tcBorders>
              <w:top w:val="single" w:color="000000" w:sz="4" w:space="0"/>
              <w:left w:val="single" w:color="000000" w:sz="4" w:space="0"/>
              <w:bottom w:val="single" w:color="000000" w:sz="4" w:space="0"/>
              <w:right w:val="single" w:color="000000" w:sz="4" w:space="0"/>
            </w:tcBorders>
            <w:vAlign w:val="bottom"/>
          </w:tcPr>
          <w:p>
            <w:pPr>
              <w:widowControl/>
              <w:spacing w:line="320" w:lineRule="exact"/>
              <w:jc w:val="center"/>
              <w:textAlignment w:val="bottom"/>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90%</w:t>
            </w:r>
          </w:p>
        </w:tc>
      </w:tr>
    </w:tbl>
    <w:p>
      <w:pPr>
        <w:widowControl/>
        <w:spacing w:line="320" w:lineRule="exact"/>
        <w:jc w:val="center"/>
        <w:textAlignment w:val="bottom"/>
        <w:rPr>
          <w:rFonts w:ascii="仿宋_GB2312" w:hAnsi="仿宋_GB2312" w:eastAsia="仿宋_GB2312" w:cs="仿宋_GB2312"/>
          <w:color w:val="000000"/>
          <w:kern w:val="0"/>
          <w:szCs w:val="21"/>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hint="eastAsia"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center"/>
        <w:outlineLvl w:val="0"/>
        <w:rPr>
          <w:rFonts w:ascii="黑体" w:hAnsi="Times New Roman" w:eastAsia="黑体"/>
          <w:color w:val="000000"/>
          <w:sz w:val="44"/>
          <w:szCs w:val="44"/>
        </w:rPr>
      </w:pPr>
    </w:p>
    <w:p>
      <w:pPr>
        <w:spacing w:line="576" w:lineRule="exact"/>
        <w:jc w:val="both"/>
        <w:outlineLvl w:val="0"/>
        <w:rPr>
          <w:rFonts w:ascii="黑体" w:hAnsi="Times New Roman" w:eastAsia="黑体"/>
          <w:color w:val="000000"/>
          <w:sz w:val="44"/>
          <w:szCs w:val="44"/>
        </w:rPr>
      </w:pPr>
    </w:p>
    <w:p>
      <w:pPr>
        <w:numPr>
          <w:ilvl w:val="0"/>
          <w:numId w:val="4"/>
        </w:numPr>
        <w:spacing w:line="576" w:lineRule="exact"/>
        <w:jc w:val="center"/>
        <w:outlineLvl w:val="0"/>
        <w:rPr>
          <w:rFonts w:ascii="方正小标宋简体" w:hAnsi="方正小标宋简体" w:eastAsia="方正小标宋简体" w:cs="方正小标宋简体"/>
          <w:color w:val="000000"/>
          <w:sz w:val="44"/>
          <w:szCs w:val="44"/>
        </w:rPr>
      </w:pPr>
      <w:bookmarkStart w:id="50" w:name="_Toc8606"/>
      <w:r>
        <w:rPr>
          <w:rFonts w:hint="eastAsia" w:ascii="方正小标宋简体" w:hAnsi="方正小标宋简体" w:eastAsia="方正小标宋简体" w:cs="方正小标宋简体"/>
          <w:color w:val="000000"/>
          <w:sz w:val="44"/>
          <w:szCs w:val="44"/>
        </w:rPr>
        <w:t>附表</w:t>
      </w:r>
      <w:bookmarkEnd w:id="50"/>
    </w:p>
    <w:p>
      <w:pPr>
        <w:numPr>
          <w:ilvl w:val="0"/>
          <w:numId w:val="5"/>
        </w:numPr>
        <w:spacing w:line="576" w:lineRule="exact"/>
        <w:outlineLvl w:val="0"/>
        <w:rPr>
          <w:rFonts w:ascii="仿宋_GB2312" w:hAnsi="仿宋_GB2312" w:eastAsia="仿宋_GB2312" w:cs="仿宋_GB2312"/>
          <w:bCs/>
          <w:color w:val="000000"/>
          <w:sz w:val="32"/>
          <w:szCs w:val="32"/>
        </w:rPr>
      </w:pPr>
      <w:bookmarkStart w:id="51" w:name="_Toc4673"/>
      <w:r>
        <w:rPr>
          <w:rFonts w:hint="eastAsia" w:ascii="仿宋_GB2312" w:hAnsi="仿宋_GB2312" w:eastAsia="仿宋_GB2312" w:cs="仿宋_GB2312"/>
          <w:bCs/>
          <w:color w:val="000000"/>
          <w:sz w:val="32"/>
          <w:szCs w:val="32"/>
        </w:rPr>
        <w:t>收入支出决算总表</w:t>
      </w:r>
      <w:bookmarkEnd w:id="51"/>
    </w:p>
    <w:p>
      <w:pPr>
        <w:numPr>
          <w:ilvl w:val="0"/>
          <w:numId w:val="5"/>
        </w:numPr>
        <w:spacing w:line="576" w:lineRule="exact"/>
        <w:outlineLvl w:val="0"/>
        <w:rPr>
          <w:rFonts w:ascii="仿宋_GB2312" w:hAnsi="仿宋_GB2312" w:eastAsia="仿宋_GB2312" w:cs="仿宋_GB2312"/>
          <w:bCs/>
          <w:color w:val="000000"/>
          <w:sz w:val="32"/>
          <w:szCs w:val="32"/>
        </w:rPr>
      </w:pPr>
      <w:bookmarkStart w:id="52" w:name="_Toc548"/>
      <w:r>
        <w:rPr>
          <w:rFonts w:hint="eastAsia" w:ascii="仿宋_GB2312" w:hAnsi="仿宋_GB2312" w:eastAsia="仿宋_GB2312" w:cs="仿宋_GB2312"/>
          <w:bCs/>
          <w:color w:val="000000"/>
          <w:sz w:val="32"/>
          <w:szCs w:val="32"/>
        </w:rPr>
        <w:t>收入决算表</w:t>
      </w:r>
      <w:bookmarkEnd w:id="52"/>
    </w:p>
    <w:p>
      <w:pPr>
        <w:numPr>
          <w:ilvl w:val="0"/>
          <w:numId w:val="5"/>
        </w:numPr>
        <w:spacing w:line="576" w:lineRule="exact"/>
        <w:outlineLvl w:val="0"/>
        <w:rPr>
          <w:rFonts w:ascii="仿宋_GB2312" w:hAnsi="仿宋_GB2312" w:eastAsia="仿宋_GB2312" w:cs="仿宋_GB2312"/>
          <w:bCs/>
          <w:color w:val="000000"/>
          <w:sz w:val="32"/>
          <w:szCs w:val="32"/>
        </w:rPr>
      </w:pPr>
      <w:bookmarkStart w:id="53" w:name="_Toc6791"/>
      <w:r>
        <w:rPr>
          <w:rFonts w:hint="eastAsia" w:ascii="仿宋_GB2312" w:hAnsi="仿宋_GB2312" w:eastAsia="仿宋_GB2312" w:cs="仿宋_GB2312"/>
          <w:bCs/>
          <w:color w:val="000000"/>
          <w:sz w:val="32"/>
          <w:szCs w:val="32"/>
        </w:rPr>
        <w:t>支出决算表</w:t>
      </w:r>
      <w:bookmarkEnd w:id="53"/>
    </w:p>
    <w:p>
      <w:pPr>
        <w:numPr>
          <w:ilvl w:val="0"/>
          <w:numId w:val="5"/>
        </w:numPr>
        <w:spacing w:line="576" w:lineRule="exact"/>
        <w:outlineLvl w:val="0"/>
        <w:rPr>
          <w:rFonts w:ascii="仿宋_GB2312" w:hAnsi="仿宋_GB2312" w:eastAsia="仿宋_GB2312" w:cs="仿宋_GB2312"/>
          <w:bCs/>
          <w:color w:val="000000"/>
          <w:sz w:val="32"/>
          <w:szCs w:val="32"/>
        </w:rPr>
      </w:pPr>
      <w:bookmarkStart w:id="54" w:name="_Toc20718"/>
      <w:r>
        <w:rPr>
          <w:rFonts w:hint="eastAsia" w:ascii="仿宋_GB2312" w:hAnsi="仿宋_GB2312" w:eastAsia="仿宋_GB2312" w:cs="仿宋_GB2312"/>
          <w:bCs/>
          <w:color w:val="000000"/>
          <w:sz w:val="32"/>
          <w:szCs w:val="32"/>
        </w:rPr>
        <w:t>财政拨款收入支出决算总表</w:t>
      </w:r>
      <w:bookmarkEnd w:id="54"/>
    </w:p>
    <w:p>
      <w:pPr>
        <w:numPr>
          <w:ilvl w:val="0"/>
          <w:numId w:val="5"/>
        </w:numPr>
        <w:spacing w:line="576" w:lineRule="exact"/>
        <w:outlineLvl w:val="0"/>
        <w:rPr>
          <w:rFonts w:ascii="仿宋_GB2312" w:hAnsi="仿宋_GB2312" w:eastAsia="仿宋_GB2312" w:cs="仿宋_GB2312"/>
          <w:bCs/>
          <w:color w:val="000000"/>
          <w:sz w:val="32"/>
          <w:szCs w:val="32"/>
        </w:rPr>
      </w:pPr>
      <w:bookmarkStart w:id="55" w:name="_Toc18420"/>
      <w:r>
        <w:rPr>
          <w:rFonts w:hint="eastAsia" w:ascii="仿宋_GB2312" w:hAnsi="仿宋_GB2312" w:eastAsia="仿宋_GB2312" w:cs="仿宋_GB2312"/>
          <w:bCs/>
          <w:color w:val="000000"/>
          <w:sz w:val="32"/>
          <w:szCs w:val="32"/>
        </w:rPr>
        <w:t>财政拨款支出决算明细表</w:t>
      </w:r>
      <w:bookmarkEnd w:id="55"/>
    </w:p>
    <w:p>
      <w:pPr>
        <w:numPr>
          <w:ilvl w:val="0"/>
          <w:numId w:val="5"/>
        </w:numPr>
        <w:spacing w:line="576" w:lineRule="exact"/>
        <w:outlineLvl w:val="0"/>
        <w:rPr>
          <w:rFonts w:ascii="仿宋_GB2312" w:hAnsi="仿宋_GB2312" w:eastAsia="仿宋_GB2312" w:cs="仿宋_GB2312"/>
          <w:bCs/>
          <w:color w:val="000000"/>
          <w:sz w:val="32"/>
          <w:szCs w:val="32"/>
        </w:rPr>
      </w:pPr>
      <w:bookmarkStart w:id="56" w:name="_Toc2401"/>
      <w:r>
        <w:rPr>
          <w:rFonts w:hint="eastAsia" w:ascii="仿宋_GB2312" w:hAnsi="仿宋_GB2312" w:eastAsia="仿宋_GB2312" w:cs="仿宋_GB2312"/>
          <w:bCs/>
          <w:color w:val="000000"/>
          <w:sz w:val="32"/>
          <w:szCs w:val="32"/>
        </w:rPr>
        <w:t>一般公共预算财政拨款支出决算表</w:t>
      </w:r>
      <w:bookmarkEnd w:id="56"/>
    </w:p>
    <w:p>
      <w:pPr>
        <w:numPr>
          <w:ilvl w:val="0"/>
          <w:numId w:val="5"/>
        </w:numPr>
        <w:spacing w:line="576" w:lineRule="exact"/>
        <w:outlineLvl w:val="0"/>
        <w:rPr>
          <w:rFonts w:ascii="仿宋_GB2312" w:hAnsi="仿宋_GB2312" w:eastAsia="仿宋_GB2312" w:cs="仿宋_GB2312"/>
          <w:bCs/>
          <w:color w:val="000000"/>
          <w:sz w:val="32"/>
          <w:szCs w:val="32"/>
        </w:rPr>
      </w:pPr>
      <w:bookmarkStart w:id="57" w:name="_Toc12817"/>
      <w:r>
        <w:rPr>
          <w:rFonts w:hint="eastAsia" w:ascii="仿宋_GB2312" w:hAnsi="仿宋_GB2312" w:eastAsia="仿宋_GB2312" w:cs="仿宋_GB2312"/>
          <w:bCs/>
          <w:color w:val="000000"/>
          <w:sz w:val="32"/>
          <w:szCs w:val="32"/>
        </w:rPr>
        <w:t>一般公共预算财政拨款支出决算明细表</w:t>
      </w:r>
      <w:bookmarkEnd w:id="57"/>
    </w:p>
    <w:p>
      <w:pPr>
        <w:spacing w:line="576" w:lineRule="exact"/>
        <w:outlineLvl w:val="0"/>
        <w:rPr>
          <w:rFonts w:ascii="仿宋_GB2312" w:hAnsi="仿宋_GB2312" w:eastAsia="仿宋_GB2312" w:cs="仿宋_GB2312"/>
          <w:bCs/>
          <w:color w:val="000000"/>
          <w:sz w:val="32"/>
          <w:szCs w:val="32"/>
        </w:rPr>
      </w:pPr>
      <w:bookmarkStart w:id="58" w:name="_Toc4040"/>
      <w:r>
        <w:rPr>
          <w:rFonts w:hint="eastAsia" w:ascii="仿宋_GB2312" w:hAnsi="仿宋_GB2312" w:eastAsia="仿宋_GB2312" w:cs="仿宋_GB2312"/>
          <w:bCs/>
          <w:color w:val="000000"/>
          <w:sz w:val="32"/>
          <w:szCs w:val="32"/>
        </w:rPr>
        <w:t>八、一般公共预算财政拨款基本支出决算表</w:t>
      </w:r>
      <w:bookmarkEnd w:id="58"/>
    </w:p>
    <w:p>
      <w:pPr>
        <w:spacing w:line="576" w:lineRule="exact"/>
        <w:outlineLvl w:val="0"/>
        <w:rPr>
          <w:rFonts w:ascii="仿宋_GB2312" w:hAnsi="仿宋_GB2312" w:eastAsia="仿宋_GB2312" w:cs="仿宋_GB2312"/>
          <w:bCs/>
          <w:color w:val="000000"/>
          <w:sz w:val="32"/>
          <w:szCs w:val="32"/>
        </w:rPr>
      </w:pPr>
      <w:bookmarkStart w:id="59" w:name="_Toc21307"/>
      <w:r>
        <w:rPr>
          <w:rFonts w:hint="eastAsia" w:ascii="仿宋_GB2312" w:hAnsi="仿宋_GB2312" w:eastAsia="仿宋_GB2312" w:cs="仿宋_GB2312"/>
          <w:bCs/>
          <w:color w:val="000000"/>
          <w:sz w:val="32"/>
          <w:szCs w:val="32"/>
        </w:rPr>
        <w:t>九、一般公共预算财政拨款项目支出决算表</w:t>
      </w:r>
      <w:bookmarkEnd w:id="59"/>
    </w:p>
    <w:p>
      <w:pPr>
        <w:spacing w:line="576" w:lineRule="exact"/>
        <w:outlineLvl w:val="0"/>
        <w:rPr>
          <w:rFonts w:ascii="仿宋_GB2312" w:hAnsi="仿宋_GB2312" w:eastAsia="仿宋_GB2312" w:cs="仿宋_GB2312"/>
          <w:bCs/>
          <w:color w:val="000000"/>
          <w:sz w:val="32"/>
          <w:szCs w:val="32"/>
        </w:rPr>
      </w:pPr>
      <w:bookmarkStart w:id="60" w:name="_Toc1868"/>
      <w:r>
        <w:rPr>
          <w:rFonts w:hint="eastAsia" w:ascii="仿宋_GB2312" w:hAnsi="仿宋_GB2312" w:eastAsia="仿宋_GB2312" w:cs="仿宋_GB2312"/>
          <w:bCs/>
          <w:color w:val="000000"/>
          <w:sz w:val="32"/>
          <w:szCs w:val="32"/>
        </w:rPr>
        <w:t>十、政府性基金预算财政拨款收入支出决算表</w:t>
      </w:r>
      <w:bookmarkEnd w:id="60"/>
    </w:p>
    <w:p>
      <w:pPr>
        <w:spacing w:line="576" w:lineRule="exact"/>
        <w:outlineLvl w:val="0"/>
        <w:rPr>
          <w:rFonts w:ascii="仿宋_GB2312" w:hAnsi="仿宋_GB2312" w:eastAsia="仿宋_GB2312" w:cs="仿宋_GB2312"/>
          <w:bCs/>
          <w:color w:val="000000"/>
          <w:sz w:val="32"/>
          <w:szCs w:val="32"/>
        </w:rPr>
      </w:pPr>
      <w:bookmarkStart w:id="61" w:name="_Toc29514"/>
      <w:r>
        <w:rPr>
          <w:rFonts w:hint="eastAsia" w:ascii="仿宋_GB2312" w:hAnsi="仿宋_GB2312" w:eastAsia="仿宋_GB2312" w:cs="仿宋_GB2312"/>
          <w:bCs/>
          <w:color w:val="000000"/>
          <w:sz w:val="32"/>
          <w:szCs w:val="32"/>
        </w:rPr>
        <w:t>十一、国有资本经营预算财政拨款收入支出决算表</w:t>
      </w:r>
      <w:bookmarkEnd w:id="61"/>
    </w:p>
    <w:p>
      <w:pPr>
        <w:spacing w:line="576" w:lineRule="exact"/>
        <w:outlineLvl w:val="0"/>
        <w:rPr>
          <w:rFonts w:ascii="仿宋_GB2312" w:hAnsi="仿宋_GB2312" w:eastAsia="仿宋_GB2312" w:cs="仿宋_GB2312"/>
          <w:bCs/>
          <w:color w:val="000000"/>
          <w:sz w:val="32"/>
          <w:szCs w:val="32"/>
        </w:rPr>
      </w:pPr>
      <w:bookmarkStart w:id="62" w:name="_Toc19563"/>
      <w:r>
        <w:rPr>
          <w:rFonts w:hint="eastAsia" w:ascii="仿宋_GB2312" w:hAnsi="仿宋_GB2312" w:eastAsia="仿宋_GB2312" w:cs="仿宋_GB2312"/>
          <w:bCs/>
          <w:color w:val="000000"/>
          <w:sz w:val="32"/>
          <w:szCs w:val="32"/>
        </w:rPr>
        <w:t>十二、国有资本经营预算财政拨款支出决算表</w:t>
      </w:r>
      <w:bookmarkEnd w:id="62"/>
    </w:p>
    <w:p>
      <w:pPr>
        <w:spacing w:line="576" w:lineRule="exact"/>
        <w:outlineLvl w:val="0"/>
        <w:rPr>
          <w:rFonts w:ascii="仿宋_GB2312" w:hAnsi="仿宋_GB2312" w:eastAsia="仿宋_GB2312" w:cs="仿宋_GB2312"/>
          <w:bCs/>
          <w:color w:val="000000"/>
          <w:sz w:val="32"/>
          <w:szCs w:val="32"/>
        </w:rPr>
      </w:pPr>
      <w:bookmarkStart w:id="63" w:name="_Toc2217"/>
      <w:r>
        <w:rPr>
          <w:rFonts w:hint="eastAsia" w:ascii="仿宋_GB2312" w:hAnsi="仿宋_GB2312" w:eastAsia="仿宋_GB2312" w:cs="仿宋_GB2312"/>
          <w:bCs/>
          <w:color w:val="000000"/>
          <w:sz w:val="32"/>
          <w:szCs w:val="32"/>
        </w:rPr>
        <w:t>十三、财政拨款“三公”经费支出决算表</w:t>
      </w:r>
      <w:bookmarkEnd w:id="63"/>
    </w:p>
    <w:p>
      <w:pPr>
        <w:spacing w:line="576" w:lineRule="exact"/>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1"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B75A7A"/>
    <w:multiLevelType w:val="singleLevel"/>
    <w:tmpl w:val="C1B75A7A"/>
    <w:lvl w:ilvl="0" w:tentative="0">
      <w:start w:val="2"/>
      <w:numFmt w:val="chineseCounting"/>
      <w:suff w:val="nothing"/>
      <w:lvlText w:val="（%1）"/>
      <w:lvlJc w:val="left"/>
      <w:rPr>
        <w:rFonts w:hint="eastAsia"/>
      </w:rPr>
    </w:lvl>
  </w:abstractNum>
  <w:abstractNum w:abstractNumId="1">
    <w:nsid w:val="16E2B615"/>
    <w:multiLevelType w:val="singleLevel"/>
    <w:tmpl w:val="16E2B615"/>
    <w:lvl w:ilvl="0" w:tentative="0">
      <w:start w:val="2"/>
      <w:numFmt w:val="chineseCounting"/>
      <w:suff w:val="nothing"/>
      <w:lvlText w:val="（%1）"/>
      <w:lvlJc w:val="left"/>
      <w:rPr>
        <w:rFonts w:hint="eastAsia"/>
      </w:rPr>
    </w:lvl>
  </w:abstractNum>
  <w:abstractNum w:abstractNumId="2">
    <w:nsid w:val="3FCF0D86"/>
    <w:multiLevelType w:val="singleLevel"/>
    <w:tmpl w:val="3FCF0D86"/>
    <w:lvl w:ilvl="0" w:tentative="0">
      <w:start w:val="1"/>
      <w:numFmt w:val="chineseCounting"/>
      <w:suff w:val="nothing"/>
      <w:lvlText w:val="%1、"/>
      <w:lvlJc w:val="left"/>
      <w:rPr>
        <w:rFonts w:hint="eastAsia"/>
      </w:rPr>
    </w:lvl>
  </w:abstractNum>
  <w:abstractNum w:abstractNumId="3">
    <w:nsid w:val="46EEACBA"/>
    <w:multiLevelType w:val="singleLevel"/>
    <w:tmpl w:val="46EEACBA"/>
    <w:lvl w:ilvl="0" w:tentative="0">
      <w:start w:val="4"/>
      <w:numFmt w:val="chineseCounting"/>
      <w:suff w:val="nothing"/>
      <w:lvlText w:val="%1、"/>
      <w:lvlJc w:val="left"/>
      <w:rPr>
        <w:rFonts w:hint="eastAsia"/>
      </w:rPr>
    </w:lvl>
  </w:abstractNum>
  <w:abstractNum w:abstractNumId="4">
    <w:nsid w:val="77CDDB66"/>
    <w:multiLevelType w:val="singleLevel"/>
    <w:tmpl w:val="77CDDB66"/>
    <w:lvl w:ilvl="0" w:tentative="0">
      <w:start w:val="5"/>
      <w:numFmt w:val="chineseCounting"/>
      <w:suff w:val="space"/>
      <w:lvlText w:val="第%1部分"/>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BjZDIxODBjOTA0MDJiM2NjOTQ3MTRkMjI5MDE5NzAifQ=="/>
  </w:docVars>
  <w:rsids>
    <w:rsidRoot w:val="000C1900"/>
    <w:rsid w:val="00011818"/>
    <w:rsid w:val="00016373"/>
    <w:rsid w:val="00041C19"/>
    <w:rsid w:val="0005757D"/>
    <w:rsid w:val="00071557"/>
    <w:rsid w:val="000A6229"/>
    <w:rsid w:val="000C051B"/>
    <w:rsid w:val="000C1900"/>
    <w:rsid w:val="00126E4C"/>
    <w:rsid w:val="00193E2E"/>
    <w:rsid w:val="001A291F"/>
    <w:rsid w:val="001E1488"/>
    <w:rsid w:val="002215CA"/>
    <w:rsid w:val="00221D40"/>
    <w:rsid w:val="00244575"/>
    <w:rsid w:val="00246FF3"/>
    <w:rsid w:val="00267710"/>
    <w:rsid w:val="00291E9D"/>
    <w:rsid w:val="0029542B"/>
    <w:rsid w:val="00296C9F"/>
    <w:rsid w:val="002A5BFE"/>
    <w:rsid w:val="002B411B"/>
    <w:rsid w:val="002F0D86"/>
    <w:rsid w:val="0036638B"/>
    <w:rsid w:val="003A1F41"/>
    <w:rsid w:val="003A452E"/>
    <w:rsid w:val="00401AEB"/>
    <w:rsid w:val="00487350"/>
    <w:rsid w:val="004D187A"/>
    <w:rsid w:val="00503BD7"/>
    <w:rsid w:val="00527A39"/>
    <w:rsid w:val="005F13E8"/>
    <w:rsid w:val="00666B73"/>
    <w:rsid w:val="006774C8"/>
    <w:rsid w:val="00691E5A"/>
    <w:rsid w:val="006C4C86"/>
    <w:rsid w:val="00715934"/>
    <w:rsid w:val="0074621D"/>
    <w:rsid w:val="00762E0B"/>
    <w:rsid w:val="0076671B"/>
    <w:rsid w:val="00774E81"/>
    <w:rsid w:val="00796C9B"/>
    <w:rsid w:val="007A2D34"/>
    <w:rsid w:val="007E7E5F"/>
    <w:rsid w:val="008111DE"/>
    <w:rsid w:val="00824DE0"/>
    <w:rsid w:val="00827618"/>
    <w:rsid w:val="008B15A6"/>
    <w:rsid w:val="008B7D31"/>
    <w:rsid w:val="008F40E6"/>
    <w:rsid w:val="00925E5D"/>
    <w:rsid w:val="00936627"/>
    <w:rsid w:val="00936A2B"/>
    <w:rsid w:val="009764FA"/>
    <w:rsid w:val="009768E2"/>
    <w:rsid w:val="009776A2"/>
    <w:rsid w:val="00996142"/>
    <w:rsid w:val="009E000D"/>
    <w:rsid w:val="009F4DC7"/>
    <w:rsid w:val="00A424E2"/>
    <w:rsid w:val="00AB5FDA"/>
    <w:rsid w:val="00AB7007"/>
    <w:rsid w:val="00B34FBA"/>
    <w:rsid w:val="00B53017"/>
    <w:rsid w:val="00BB48E2"/>
    <w:rsid w:val="00BC3F96"/>
    <w:rsid w:val="00BD5354"/>
    <w:rsid w:val="00C0155A"/>
    <w:rsid w:val="00C018AB"/>
    <w:rsid w:val="00C4765E"/>
    <w:rsid w:val="00CC3CFC"/>
    <w:rsid w:val="00D13145"/>
    <w:rsid w:val="00D83F3E"/>
    <w:rsid w:val="00D845DD"/>
    <w:rsid w:val="00DF0118"/>
    <w:rsid w:val="00DF3D25"/>
    <w:rsid w:val="00E00C06"/>
    <w:rsid w:val="00E83BB8"/>
    <w:rsid w:val="00E8723B"/>
    <w:rsid w:val="00E9385C"/>
    <w:rsid w:val="00E96A67"/>
    <w:rsid w:val="00EC6314"/>
    <w:rsid w:val="00F3153D"/>
    <w:rsid w:val="00F671E1"/>
    <w:rsid w:val="00F9537E"/>
    <w:rsid w:val="00FE04DD"/>
    <w:rsid w:val="042B10CF"/>
    <w:rsid w:val="04413579"/>
    <w:rsid w:val="050F2B8E"/>
    <w:rsid w:val="075711BF"/>
    <w:rsid w:val="081B3F39"/>
    <w:rsid w:val="0B104DB1"/>
    <w:rsid w:val="10DD5A17"/>
    <w:rsid w:val="134B1F1E"/>
    <w:rsid w:val="134B66AC"/>
    <w:rsid w:val="135E2714"/>
    <w:rsid w:val="138A6528"/>
    <w:rsid w:val="139D363D"/>
    <w:rsid w:val="164B6F7F"/>
    <w:rsid w:val="16772C0C"/>
    <w:rsid w:val="16FF2465"/>
    <w:rsid w:val="180E295A"/>
    <w:rsid w:val="1CA522AC"/>
    <w:rsid w:val="1EEE0E0C"/>
    <w:rsid w:val="1F244811"/>
    <w:rsid w:val="1F714B49"/>
    <w:rsid w:val="20AF2801"/>
    <w:rsid w:val="213E6BE2"/>
    <w:rsid w:val="24EF7670"/>
    <w:rsid w:val="251E5A96"/>
    <w:rsid w:val="26BB59F0"/>
    <w:rsid w:val="27492571"/>
    <w:rsid w:val="28193205"/>
    <w:rsid w:val="28B6104C"/>
    <w:rsid w:val="28F811E9"/>
    <w:rsid w:val="290A0F1C"/>
    <w:rsid w:val="2A0F525A"/>
    <w:rsid w:val="2D032D0B"/>
    <w:rsid w:val="2E0A2729"/>
    <w:rsid w:val="300246FB"/>
    <w:rsid w:val="30D416F5"/>
    <w:rsid w:val="30FA3C4D"/>
    <w:rsid w:val="34022F72"/>
    <w:rsid w:val="35445151"/>
    <w:rsid w:val="39B1349E"/>
    <w:rsid w:val="3A3C3C1B"/>
    <w:rsid w:val="3AFA1F12"/>
    <w:rsid w:val="3C436119"/>
    <w:rsid w:val="3C7324DC"/>
    <w:rsid w:val="3E1360CA"/>
    <w:rsid w:val="3F264BCF"/>
    <w:rsid w:val="42A45AE6"/>
    <w:rsid w:val="4463620D"/>
    <w:rsid w:val="45E05087"/>
    <w:rsid w:val="46767425"/>
    <w:rsid w:val="478E23E4"/>
    <w:rsid w:val="47C34057"/>
    <w:rsid w:val="49055424"/>
    <w:rsid w:val="4AD4683C"/>
    <w:rsid w:val="4AEB3022"/>
    <w:rsid w:val="4B3927DE"/>
    <w:rsid w:val="504149A6"/>
    <w:rsid w:val="504F0FA9"/>
    <w:rsid w:val="5050488C"/>
    <w:rsid w:val="52B12842"/>
    <w:rsid w:val="55237A7A"/>
    <w:rsid w:val="57ED16E1"/>
    <w:rsid w:val="57F43E27"/>
    <w:rsid w:val="5847696C"/>
    <w:rsid w:val="590F1AB3"/>
    <w:rsid w:val="5BEA2363"/>
    <w:rsid w:val="5C346253"/>
    <w:rsid w:val="5C91458D"/>
    <w:rsid w:val="5CFC62C5"/>
    <w:rsid w:val="5D34082D"/>
    <w:rsid w:val="60077368"/>
    <w:rsid w:val="61EA1899"/>
    <w:rsid w:val="62082EAD"/>
    <w:rsid w:val="64FFBDA0"/>
    <w:rsid w:val="6708472C"/>
    <w:rsid w:val="67CE0D8B"/>
    <w:rsid w:val="684352D5"/>
    <w:rsid w:val="69E7771E"/>
    <w:rsid w:val="6A00352D"/>
    <w:rsid w:val="6AAD2EDA"/>
    <w:rsid w:val="6B487C6E"/>
    <w:rsid w:val="6CC21555"/>
    <w:rsid w:val="6E9810CD"/>
    <w:rsid w:val="6EF573E8"/>
    <w:rsid w:val="6FB865A9"/>
    <w:rsid w:val="72203F91"/>
    <w:rsid w:val="7383161B"/>
    <w:rsid w:val="745D741C"/>
    <w:rsid w:val="75DA2C55"/>
    <w:rsid w:val="7676CA6A"/>
    <w:rsid w:val="785A616E"/>
    <w:rsid w:val="7BF309C0"/>
    <w:rsid w:val="7C10151B"/>
    <w:rsid w:val="7FFFD1AC"/>
    <w:rsid w:val="BDDE0155"/>
    <w:rsid w:val="FA69E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paragraph" w:styleId="3">
    <w:name w:val="heading 2"/>
    <w:basedOn w:val="1"/>
    <w:next w:val="1"/>
    <w:link w:val="19"/>
    <w:qFormat/>
    <w:uiPriority w:val="0"/>
    <w:pPr>
      <w:spacing w:before="100" w:beforeAutospacing="1" w:after="100" w:afterAutospacing="1"/>
      <w:jc w:val="left"/>
      <w:outlineLvl w:val="1"/>
    </w:pPr>
    <w:rPr>
      <w:rFonts w:hint="eastAsia" w:ascii="宋体" w:hAnsi="宋体"/>
      <w:b/>
      <w:bCs/>
      <w:kern w:val="0"/>
      <w:sz w:val="36"/>
      <w:szCs w:val="36"/>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cs="Arial"/>
      <w:szCs w:val="22"/>
    </w:rPr>
  </w:style>
  <w:style w:type="paragraph" w:styleId="5">
    <w:name w:val="Body Text"/>
    <w:basedOn w:val="1"/>
    <w:qFormat/>
    <w:uiPriority w:val="0"/>
    <w:pPr>
      <w:spacing w:beforeLines="30"/>
    </w:pPr>
    <w:rPr>
      <w:rFonts w:ascii="仿宋_GB2312" w:eastAsia="仿宋_GB2312"/>
      <w:kern w:val="0"/>
      <w:sz w:val="24"/>
      <w:szCs w:val="20"/>
    </w:rPr>
  </w:style>
  <w:style w:type="paragraph" w:styleId="6">
    <w:name w:val="Body Text Indent"/>
    <w:basedOn w:val="1"/>
    <w:unhideWhenUsed/>
    <w:qFormat/>
    <w:uiPriority w:val="0"/>
    <w:pPr>
      <w:spacing w:after="120"/>
      <w:ind w:left="420" w:leftChars="200"/>
    </w:pPr>
  </w:style>
  <w:style w:type="paragraph" w:styleId="7">
    <w:name w:val="toc 3"/>
    <w:basedOn w:val="1"/>
    <w:next w:val="1"/>
    <w:qFormat/>
    <w:uiPriority w:val="39"/>
    <w:pPr>
      <w:ind w:left="840" w:leftChars="400"/>
    </w:p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spacing w:before="120" w:after="120"/>
      <w:jc w:val="left"/>
    </w:pPr>
    <w:rPr>
      <w:rFonts w:ascii="等线" w:eastAsia="等线"/>
      <w:b/>
      <w:bCs/>
      <w:caps/>
      <w:sz w:val="20"/>
      <w:szCs w:val="20"/>
    </w:rPr>
  </w:style>
  <w:style w:type="paragraph" w:styleId="12">
    <w:name w:val="toc 2"/>
    <w:basedOn w:val="1"/>
    <w:next w:val="1"/>
    <w:qFormat/>
    <w:uiPriority w:val="39"/>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2"/>
    <w:basedOn w:val="6"/>
    <w:semiHidden/>
    <w:qFormat/>
    <w:uiPriority w:val="0"/>
    <w:pPr>
      <w:ind w:firstLine="420" w:firstLineChars="200"/>
    </w:pPr>
    <w:rPr>
      <w:szCs w:val="20"/>
    </w:rPr>
  </w:style>
  <w:style w:type="character" w:styleId="17">
    <w:name w:val="Strong"/>
    <w:basedOn w:val="16"/>
    <w:qFormat/>
    <w:uiPriority w:val="22"/>
    <w:rPr>
      <w:b/>
    </w:rPr>
  </w:style>
  <w:style w:type="character" w:styleId="18">
    <w:name w:val="Hyperlink"/>
    <w:basedOn w:val="16"/>
    <w:unhideWhenUsed/>
    <w:qFormat/>
    <w:uiPriority w:val="99"/>
    <w:rPr>
      <w:color w:val="0000FF"/>
      <w:u w:val="single"/>
    </w:rPr>
  </w:style>
  <w:style w:type="character" w:customStyle="1" w:styleId="19">
    <w:name w:val="标题 2 Char"/>
    <w:basedOn w:val="16"/>
    <w:link w:val="3"/>
    <w:qFormat/>
    <w:uiPriority w:val="0"/>
    <w:rPr>
      <w:rFonts w:hint="eastAsia" w:ascii="宋体" w:hAnsi="宋体" w:eastAsia="宋体" w:cs="宋体"/>
      <w:b/>
      <w:bCs/>
      <w:kern w:val="0"/>
      <w:sz w:val="36"/>
      <w:szCs w:val="36"/>
      <w:lang w:val="en-US" w:eastAsia="zh-CN"/>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
    <w:name w:val="列表段落1"/>
    <w:basedOn w:val="1"/>
    <w:qFormat/>
    <w:uiPriority w:val="0"/>
    <w:pPr>
      <w:ind w:firstLine="200" w:firstLineChars="200"/>
    </w:p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5">
    <w:name w:val="NormalCharacter"/>
    <w:qFormat/>
    <w:uiPriority w:val="0"/>
    <w:rPr>
      <w:rFonts w:ascii="Calibri" w:hAnsi="Calibri" w:eastAsia="宋体" w:cs="Times New Roman"/>
      <w:kern w:val="2"/>
      <w:sz w:val="21"/>
      <w:szCs w:val="24"/>
      <w:lang w:val="en-US" w:eastAsia="zh-CN" w:bidi="ar-SA"/>
    </w:rPr>
  </w:style>
  <w:style w:type="paragraph" w:customStyle="1" w:styleId="26">
    <w:name w:val="四号正文"/>
    <w:qFormat/>
    <w:uiPriority w:val="0"/>
    <w:pPr>
      <w:widowControl w:val="0"/>
      <w:spacing w:line="360" w:lineRule="auto"/>
      <w:jc w:val="both"/>
    </w:pPr>
    <w:rPr>
      <w:rFonts w:ascii="??" w:hAnsi="??" w:eastAsia="宋体" w:cs="Times New Roman"/>
      <w:color w:val="000000"/>
      <w:sz w:val="28"/>
      <w:szCs w:val="21"/>
      <w:lang w:val="zh-CN" w:eastAsia="zh-CN" w:bidi="ar-SA"/>
    </w:rPr>
  </w:style>
  <w:style w:type="character" w:customStyle="1" w:styleId="27">
    <w:name w:val="批注框文本 Char"/>
    <w:basedOn w:val="16"/>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收入决算结构图(万元)</c:v>
                </c:pt>
              </c:strCache>
            </c:strRef>
          </c:tx>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sz="1200"/>
                      <a:t>一般公共预算财政拨款收入</a:t>
                    </a:r>
                    <a:r>
                      <a:rPr lang="en-US" altLang="zh-CN" sz="1200"/>
                      <a:t>1758.85</a:t>
                    </a:r>
                    <a:r>
                      <a:rPr lang="zh-CN" altLang="en-US" sz="1200"/>
                      <a:t>
</a:t>
                    </a:r>
                    <a:r>
                      <a:rPr lang="en-US" altLang="zh-CN" sz="1200"/>
                      <a:t>98.68%</a:t>
                    </a:r>
                    <a:endParaRPr lang="en-US" altLang="zh-CN" sz="1200"/>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26914501988789"/>
                  <c:y val="0.150953628530047"/>
                </c:manualLayout>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sz="1200"/>
                      <a:t>政府性基金预算财政拨款收入</a:t>
                    </a:r>
                    <a:r>
                      <a:rPr lang="en-US" altLang="zh-CN" sz="1200"/>
                      <a:t>23.53</a:t>
                    </a:r>
                    <a:endParaRPr lang="en-US" altLang="zh-CN" sz="1200"/>
                  </a:p>
                  <a:p>
                    <a:pPr>
                      <a:defRPr lang="zh-CN" sz="1200" b="0" i="0" u="none" strike="noStrike" kern="1200" baseline="0">
                        <a:solidFill>
                          <a:schemeClr val="tx1"/>
                        </a:solidFill>
                        <a:latin typeface="+mn-lt"/>
                        <a:ea typeface="+mn-ea"/>
                        <a:cs typeface="+mn-cs"/>
                      </a:defRPr>
                    </a:pPr>
                    <a:r>
                      <a:rPr lang="en-US" altLang="zh-CN" sz="1200"/>
                      <a:t>1.32%</a:t>
                    </a:r>
                    <a:endParaRPr lang="en-US" altLang="zh-CN" sz="120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1758.85</c:v>
                </c:pt>
                <c:pt idx="1">
                  <c:v>23.53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44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支出决算结构图(万元)</c:v>
                </c:pt>
              </c:strCache>
            </c:strRef>
          </c:tx>
          <c:explosion val="25"/>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sz="1200"/>
                      <a:t>基本支出</a:t>
                    </a:r>
                    <a:r>
                      <a:rPr lang="en-US" altLang="zh-CN" sz="1200"/>
                      <a:t>1080.52</a:t>
                    </a:r>
                    <a:r>
                      <a:rPr lang="zh-CN" altLang="en-US" sz="1200"/>
                      <a:t>
</a:t>
                    </a:r>
                    <a:r>
                      <a:rPr lang="en-US" altLang="zh-CN" sz="1200"/>
                      <a:t>60.62%</a:t>
                    </a:r>
                    <a:endParaRPr lang="en-US" altLang="zh-CN" sz="1200"/>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sz="1200"/>
                      <a:t>项目支出</a:t>
                    </a:r>
                    <a:r>
                      <a:rPr lang="en-US" altLang="zh-CN" sz="1200"/>
                      <a:t>701.86</a:t>
                    </a:r>
                    <a:r>
                      <a:rPr lang="zh-CN" altLang="en-US" sz="1200"/>
                      <a:t>
</a:t>
                    </a:r>
                    <a:r>
                      <a:rPr lang="en-US" altLang="zh-CN" sz="1200"/>
                      <a:t>39.38%</a:t>
                    </a:r>
                    <a:endParaRPr lang="en-US" altLang="zh-CN" sz="1200"/>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1080.53</c:v>
                </c:pt>
                <c:pt idx="1">
                  <c:v>701.85</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sz="12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200" b="1" i="0" u="none" strike="noStrike" baseline="0"/>
              <a:t>财政拨款收、支决算总计变动情况</a:t>
            </a:r>
            <a:r>
              <a:rPr lang="en-US" altLang="zh-CN" sz="1200" b="1" i="0" u="none" strike="noStrike" baseline="0"/>
              <a:t>(</a:t>
            </a:r>
            <a:r>
              <a:rPr lang="zh-CN" altLang="en-US" sz="1200" b="1" i="0" u="none" strike="noStrike" baseline="0"/>
              <a:t>万元</a:t>
            </a:r>
            <a:r>
              <a:rPr lang="en-US" altLang="zh-CN" sz="1200" b="1" i="0" u="none" strike="noStrike" baseline="0"/>
              <a:t>)</a:t>
            </a:r>
            <a:endParaRPr lang="zh-CN" altLang="en-US" sz="12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2504.92</c:v>
                </c:pt>
                <c:pt idx="1">
                  <c:v>2504.92</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1782.38</c:v>
                </c:pt>
                <c:pt idx="1">
                  <c:v>1782.38</c:v>
                </c:pt>
              </c:numCache>
            </c:numRef>
          </c:val>
        </c:ser>
        <c:dLbls>
          <c:showLegendKey val="0"/>
          <c:showVal val="1"/>
          <c:showCatName val="0"/>
          <c:showSerName val="0"/>
          <c:showPercent val="0"/>
          <c:showBubbleSize val="0"/>
        </c:dLbls>
        <c:gapWidth val="150"/>
        <c:overlap val="-25"/>
        <c:axId val="99037952"/>
        <c:axId val="99039488"/>
      </c:barChart>
      <c:catAx>
        <c:axId val="9903795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039488"/>
        <c:crosses val="autoZero"/>
        <c:auto val="1"/>
        <c:lblAlgn val="ctr"/>
        <c:lblOffset val="100"/>
        <c:noMultiLvlLbl val="0"/>
      </c:catAx>
      <c:valAx>
        <c:axId val="99039488"/>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037952"/>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zh-CN" sz="1200" b="1" i="0" u="none" strike="noStrike" baseline="0"/>
              <a:t>一般公共预算财政拨款支出决算变动情况</a:t>
            </a:r>
            <a:r>
              <a:rPr lang="zh-CN" altLang="en-US" sz="1200" b="1" i="0" u="none" strike="noStrike" baseline="0"/>
              <a:t>（万元）</a:t>
            </a:r>
            <a:endParaRPr lang="zh-CN" altLang="en-US" sz="1200"/>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Sheet1!$B$2:$B$3</c:f>
              <c:numCache>
                <c:formatCode>General</c:formatCode>
                <c:ptCount val="2"/>
                <c:pt idx="0">
                  <c:v>2054.92</c:v>
                </c:pt>
                <c:pt idx="1">
                  <c:v>2054.92</c:v>
                </c:pt>
              </c:numCache>
            </c:numRef>
          </c:val>
        </c:ser>
        <c:ser>
          <c:idx val="1"/>
          <c:order val="1"/>
          <c:tx>
            <c:strRef>
              <c:f>Sheet1!$C$1</c:f>
              <c:strCache>
                <c:ptCount val="1"/>
                <c:pt idx="0">
                  <c:v>2022年</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c:v>
                </c:pt>
                <c:pt idx="1">
                  <c:v>支出</c:v>
                </c:pt>
              </c:strCache>
            </c:strRef>
          </c:cat>
          <c:val>
            <c:numRef>
              <c:f>Sheet1!$C$2:$C$3</c:f>
              <c:numCache>
                <c:formatCode>General</c:formatCode>
                <c:ptCount val="2"/>
                <c:pt idx="0">
                  <c:v>1758.85</c:v>
                </c:pt>
                <c:pt idx="1">
                  <c:v>1758.85</c:v>
                </c:pt>
              </c:numCache>
            </c:numRef>
          </c:val>
        </c:ser>
        <c:dLbls>
          <c:showLegendKey val="0"/>
          <c:showVal val="1"/>
          <c:showCatName val="0"/>
          <c:showSerName val="0"/>
          <c:showPercent val="0"/>
          <c:showBubbleSize val="0"/>
        </c:dLbls>
        <c:gapWidth val="150"/>
        <c:overlap val="-25"/>
        <c:axId val="99085696"/>
        <c:axId val="72418432"/>
      </c:barChart>
      <c:catAx>
        <c:axId val="990856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2418432"/>
        <c:crosses val="autoZero"/>
        <c:auto val="1"/>
        <c:lblAlgn val="ctr"/>
        <c:lblOffset val="100"/>
        <c:noMultiLvlLbl val="0"/>
      </c:catAx>
      <c:valAx>
        <c:axId val="72418432"/>
        <c:scaling>
          <c:orientation val="minMax"/>
        </c:scaling>
        <c:delete val="1"/>
        <c:axPos val="l"/>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99085696"/>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一般公共预算财政拨款支出决算结构图（万元）</c:v>
                </c:pt>
              </c:strCache>
            </c:strRef>
          </c:tx>
          <c:explosion val="25"/>
          <c:dPt>
            <c:idx val="0"/>
            <c:bubble3D val="0"/>
          </c:dPt>
          <c:dPt>
            <c:idx val="1"/>
            <c:bubble3D val="0"/>
          </c:dPt>
          <c:dPt>
            <c:idx val="2"/>
            <c:bubble3D val="0"/>
          </c:dPt>
          <c:dPt>
            <c:idx val="3"/>
            <c:bubble3D val="0"/>
          </c:dPt>
          <c:dPt>
            <c:idx val="4"/>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一般公共服务支出</a:t>
                    </a:r>
                    <a:r>
                      <a:rPr lang="en-US" altLang="zh-CN"/>
                      <a:t>500.94</a:t>
                    </a:r>
                    <a:endParaRPr lang="en-US" altLang="zh-CN"/>
                  </a:p>
                  <a:p>
                    <a:pPr>
                      <a:defRPr lang="zh-CN" sz="1000" b="0" i="0" u="none" strike="noStrike" kern="1200" baseline="0">
                        <a:solidFill>
                          <a:schemeClr val="tx1"/>
                        </a:solidFill>
                        <a:latin typeface="+mn-lt"/>
                        <a:ea typeface="+mn-ea"/>
                        <a:cs typeface="+mn-cs"/>
                      </a:defRPr>
                    </a:pPr>
                    <a:r>
                      <a:rPr lang="en-US" altLang="zh-CN"/>
                      <a:t>28.48%</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社会保障就业支出</a:t>
                    </a:r>
                    <a:r>
                      <a:rPr lang="en-US" altLang="zh-CN"/>
                      <a:t>119.59</a:t>
                    </a:r>
                    <a:endParaRPr lang="en-US" altLang="zh-CN"/>
                  </a:p>
                  <a:p>
                    <a:pPr>
                      <a:defRPr lang="zh-CN" sz="1000" b="0" i="0" u="none" strike="noStrike" kern="1200" baseline="0">
                        <a:solidFill>
                          <a:schemeClr val="tx1"/>
                        </a:solidFill>
                        <a:latin typeface="+mn-lt"/>
                        <a:ea typeface="+mn-ea"/>
                        <a:cs typeface="+mn-cs"/>
                      </a:defRPr>
                    </a:pPr>
                    <a:r>
                      <a:rPr lang="en-US" altLang="zh-CN"/>
                      <a:t>6.8%</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a:t>
                    </a:r>
                    <a:r>
                      <a:rPr lang="en-US" altLang="zh-CN"/>
                      <a:t>61.47</a:t>
                    </a:r>
                    <a:r>
                      <a:rPr lang="zh-CN" altLang="en-US"/>
                      <a:t>
</a:t>
                    </a:r>
                    <a:r>
                      <a:rPr lang="en-US" altLang="zh-CN"/>
                      <a:t>3.49%</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dLbl>
              <c:idx val="3"/>
              <c:layout>
                <c:manualLayout>
                  <c:x val="-0.154596904618803"/>
                  <c:y val="0.015140537773335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a:t>
                    </a:r>
                    <a:r>
                      <a:rPr lang="en-US" altLang="zh-CN"/>
                      <a:t>75.61</a:t>
                    </a:r>
                    <a:r>
                      <a:rPr lang="zh-CN" altLang="en-US"/>
                      <a:t>
</a:t>
                    </a:r>
                    <a:r>
                      <a:rPr lang="en-US" altLang="zh-CN"/>
                      <a:t>4.3%</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农林水支出</a:t>
                    </a:r>
                    <a:r>
                      <a:rPr lang="en-US" altLang="zh-CN"/>
                      <a:t>1001.24</a:t>
                    </a:r>
                    <a:r>
                      <a:rPr lang="zh-CN" altLang="en-US"/>
                      <a:t>
</a:t>
                    </a:r>
                    <a:r>
                      <a:rPr lang="en-US" altLang="zh-CN"/>
                      <a:t>56.93%</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一般公共服务支出</c:v>
                </c:pt>
                <c:pt idx="1">
                  <c:v>社会保障和就业支出</c:v>
                </c:pt>
                <c:pt idx="2">
                  <c:v>卫生健康支出</c:v>
                </c:pt>
                <c:pt idx="3">
                  <c:v>住房保障支出</c:v>
                </c:pt>
                <c:pt idx="4">
                  <c:v>农林水支出</c:v>
                </c:pt>
              </c:strCache>
            </c:strRef>
          </c:cat>
          <c:val>
            <c:numRef>
              <c:f>Sheet1!$B$2:$B$6</c:f>
              <c:numCache>
                <c:formatCode>General</c:formatCode>
                <c:ptCount val="5"/>
                <c:pt idx="0">
                  <c:v>500.94</c:v>
                </c:pt>
                <c:pt idx="1">
                  <c:v>119.59</c:v>
                </c:pt>
                <c:pt idx="2">
                  <c:v>61.47</c:v>
                </c:pt>
                <c:pt idx="3">
                  <c:v>75.61</c:v>
                </c:pt>
                <c:pt idx="4">
                  <c:v>1001.24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“三公”经费财政拨款支出结构图（万元）</c:v>
                </c:pt>
              </c:strCache>
            </c:strRef>
          </c:tx>
          <c:spPr/>
          <c:explosion val="25"/>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325066852909105"/>
                  <c:y val="0.520383900928104"/>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2"/>
              <c:layout>
                <c:manualLayout>
                  <c:x val="-0.316037315806757"/>
                  <c:y val="0.226689370484211"/>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5.26</c:v>
                </c:pt>
                <c:pt idx="2">
                  <c:v>0</c:v>
                </c:pt>
              </c:numCache>
            </c:numRef>
          </c:val>
        </c:ser>
        <c:dLbls>
          <c:showLegendKey val="0"/>
          <c:showVal val="1"/>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B7C91D-6302-41E9-B24F-53CEEAC6C127}">
  <ds:schemaRefs/>
</ds:datastoreItem>
</file>

<file path=docProps/app.xml><?xml version="1.0" encoding="utf-8"?>
<Properties xmlns="http://schemas.openxmlformats.org/officeDocument/2006/extended-properties" xmlns:vt="http://schemas.openxmlformats.org/officeDocument/2006/docPropsVTypes">
  <Template>Normal</Template>
  <Pages>52</Pages>
  <Words>22118</Words>
  <Characters>24178</Characters>
  <Lines>57</Lines>
  <Paragraphs>57</Paragraphs>
  <TotalTime>3</TotalTime>
  <ScaleCrop>false</ScaleCrop>
  <LinksUpToDate>false</LinksUpToDate>
  <CharactersWithSpaces>24545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2023-09-12T01:19:00Z</dcterms:created>
  <dc:creator>Administrator</dc:creator>
  <cp:lastModifiedBy>Administrator</cp:lastModifiedBy>
  <cp:lastPrinted>2023-09-12T03:14:00Z</cp:lastPrinted>
  <dcterms:modified xsi:type="dcterms:W3CDTF">2023-09-12T05:50:12Z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D9912DE1F717433D9A39A0CDDE1155B5_13</vt:lpwstr>
  </property>
</Properties>
</file>