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hint="eastAsia"/>
          <w:sz w:val="32"/>
          <w:szCs w:val="32"/>
        </w:rPr>
      </w:pPr>
      <w:r>
        <w:rPr>
          <w:rFonts w:hint="eastAsia"/>
          <w:sz w:val="32"/>
          <w:szCs w:val="32"/>
        </w:rPr>
        <w:t>附件2</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茂县叠溪镇人民政府</w:t>
      </w:r>
    </w:p>
    <w:p>
      <w:pPr>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2026年部门预算</w:t>
      </w:r>
    </w:p>
    <w:p>
      <w:pPr>
        <w:rPr>
          <w:rFonts w:hint="eastAsia"/>
          <w:sz w:val="32"/>
          <w:szCs w:val="32"/>
        </w:rPr>
      </w:pPr>
    </w:p>
    <w:p>
      <w:pPr>
        <w:rPr>
          <w:rFonts w:hint="eastAsia"/>
          <w:sz w:val="32"/>
          <w:szCs w:val="32"/>
        </w:rPr>
      </w:pPr>
    </w:p>
    <w:p>
      <w:pPr>
        <w:jc w:val="center"/>
        <w:rPr>
          <w:rFonts w:hint="eastAsia"/>
          <w:sz w:val="32"/>
          <w:szCs w:val="32"/>
        </w:rPr>
      </w:pPr>
      <w:r>
        <w:rPr>
          <w:sz w:val="32"/>
          <w:szCs w:val="32"/>
        </w:rPr>
        <w:t>2026年4月3日</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eastAsia="黑体" w:cs="黑体" w:hint="eastAsia"/>
          <w:sz w:val="44"/>
          <w:szCs w:val="44"/>
        </w:rPr>
      </w:pPr>
      <w:r>
        <w:rPr>
          <w:rFonts w:ascii="黑体" w:eastAsia="黑体" w:cs="黑体" w:hint="eastAsia"/>
          <w:sz w:val="44"/>
          <w:szCs w:val="44"/>
        </w:rPr>
        <w:t>目录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（二）2026年重点工作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eastAsia="楷体_GB2312" w:cs="楷体_GB2312" w:hint="eastAsia"/>
          <w:sz w:val="32"/>
          <w:szCs w:val="32"/>
        </w:rPr>
      </w:pPr>
      <w:r>
        <w:rPr>
          <w:rFonts w:ascii="楷体_GB2312" w:eastAsia="楷体_GB2312" w:cs="楷体_GB2312" w:hint="eastAsia"/>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hint="eastAsia"/>
          <w:sz w:val="32"/>
          <w:szCs w:val="32"/>
        </w:rPr>
      </w:pPr>
      <w:r>
        <w:rPr>
          <w:rFonts w:ascii="黑体" w:eastAsia="黑体" w:cs="黑体" w:hint="eastAsia"/>
          <w:sz w:val="32"/>
          <w:szCs w:val="32"/>
        </w:rPr>
        <w:t>十、名称解释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4.加强党的建设。坚持全面从严治党，落实管党治党主体责任，全面加强党的政治建设、思想建设、组织建设、作风建设、纪律建设、制度建设等工作。不断强化自身建设和村党组织建设，以及其他隶属叠溪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6.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9.负责辖区范围内的应急管理、社会稳定、安全生产、生态环境保护、社会信用体系建设和审批服务便民化等工作。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10.负责辖区内农村经营管理体系建设工作。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11.完成县委、县政府交办的其他任务。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（二）2026年重点工作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聚焦乡村振兴，建设宜居宜业和美乡村。一是持续巩固拓展脱贫攻坚成果同乡村振兴有效衔接，强化防止返贫动态监测和精准帮扶，确保不发生规模性返贫。二是立足本地资源禀赋，大力发展以大红袍花椒、生态畜牧、错季蔬菜为核心的特色优势产业，积极培育新型农业经营主体，推动农业规模化、品牌化发展。三是紧抓川汶高速建设机遇，深化农文旅融合，提升松坪沟景区、蚕陵文化小镇等节点品质，打造“蚕陵重镇·魅力叠溪”文旅品牌，激发乡村发展内生动力。四是学习运用“千万工程”经验，持续推进农村人居环境整治提升，健全长效管护机制，着力改善村容村貌，建设彰显羌乡特色的和美乡村。五是加强和改进乡村治理，深化基层党建引领，完善村规民约，培育文明乡风，提升乡村善治水平。</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筑牢安全底线，切实保障和改善民生。一是严格落实安全生产责任制，聚焦道路交通、建筑施工、旅游景区、消防等重点领域，持续开展风险隐患排查整治，坚决防范遏制重特大事故发生。二是健全防灾减灾救灾体系，加强防汛抗旱、地质灾害防治、森林草原防灭火等工作，完善应急预案，强化监测预警和应急演练，提升综合应急处置能力。三是强化食品药品安全监管，保障人民群众饮食用药安全。四是持续加大民生投入，着力解决好人民群众在就业、教育、医疗、养老、社保等方面的急难愁盼问题，不断提升基本公共服务均等化水平和覆盖面，让发展成果更多更公平惠及全镇人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3.深化平安建设，提升社会治理效能。一是坚持和发展新时代“枫桥经验”，畅通和规范群众诉求表达、利益协调、权益保障通道，深化矛盾纠纷排查化解，着力解决信访突出问题。二是健全社会治安防控体系，强化重点区域、重点人员、重点场所管理服务，依法打击各类违法犯罪活动，保障人民群众生命财产安全。三是推进扫黑除恶常态化，深化禁毒、反诈等专项斗争，营造安全稳定社会环境。四是强化网络综合治理，净化网络空间。五是深化“法治叠溪”建设，持续开展普法宣传教育，提升全民法治素养，引导干部群众办事依法、遇事找法、解决问题用法、化解矛盾靠法。</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4.加强生态保护，推动发展方式绿色转型。一是牢固树立和践行“绿水青山就是金山银山”理念，坚持山水林田湖草沙一体化保护和系统治理，严格落实河（湖）长制、林长制，持续打好蓝天、碧水、净土保卫战。二是深入推进城乡环境综合整治，巩固提升“大环境、大整治、大提升”行动成果，健全生活垃圾收运处置体系，强化污水治理，持续改善人居环境质量。三是加强生态环境监管，严肃查处环境违法行为。四是推动产业生态化和生态产业化，鼓励发展节能环保、清洁能源等绿色产业，倡导绿色低碳生产生活方式，促进经济社会发展全面绿色转型，建设人与自然和谐共生的美丽叠溪。</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茂县叠溪镇人民政府属一级预算单位，下属二级预算单位0个，其中：参照公务员法管理的事业单位0个，其他事业单位0个。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按照综合预算的原则，茂县叠溪镇人民政府所有收入和支出均纳入部门预算管理。收入包括：一般公共预算拨款收入14670793.82元；支出包括：一般公共服务支出5513332.43元，社会保障和就业支出1423536.12元，卫生健康支出737110.93元，农林水支出6013630.34元，住房保障支出983184.00元。茂县叠溪镇人民政府2026年收支总预算14670793.82元，较2025年收支预算总数增加1080358.05元，主要原因是：人员增加，相应人员经费和公用经费增加。</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2026年收入预算14670793.82元；一般公共预算拨款收入14670793.82元，占100%。</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2026年支出预算14670793.82元，其中：基本支出11981593.82元，占81.67%</w:t>
      </w:r>
      <w:r>
        <w:rPr>
          <w:rFonts w:ascii="仿宋_GB2312" w:eastAsia="仿宋_GB2312" w:cs="仿宋_GB2312"/>
          <w:sz w:val="32"/>
          <w:szCs w:val="32"/>
        </w:rPr>
        <w:t>；</w:t>
      </w:r>
      <w:r>
        <w:rPr>
          <w:rFonts w:ascii="仿宋_GB2312" w:eastAsia="仿宋_GB2312" w:cs="仿宋_GB2312" w:hint="eastAsia"/>
          <w:sz w:val="32"/>
          <w:szCs w:val="32"/>
        </w:rPr>
        <w:t>项目支出2689200.00元，占18.33%。</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2026年财政拨款收支总预算14670793.82元，较2025年财政拨款收支总预算增加1080358.05元，主要原因是：人员增加，相应人员经费和公用经费增加。</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收入包括：本年一般公共预算拨款收入14670793.82元。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支出包括：一般公共预算拨款收入14670793.82元；支出包括：一般公共服务支出5513332.43元，社会保障和就业支出1423536.12元，卫生健康支出737110.93元，农林水支出6013630.34元，住房保障支出983184.00元。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2026年一般公共预算当年拨款14670793.82元,较2025年预算数增加1080358.05元，主要原因</w:t>
      </w:r>
      <w:r>
        <w:rPr>
          <w:rFonts w:ascii="仿宋_GB2312" w:eastAsia="仿宋_GB2312" w:cs="仿宋_GB2312"/>
          <w:sz w:val="32"/>
          <w:szCs w:val="32"/>
        </w:rPr>
        <w:t>是</w:t>
      </w:r>
      <w:r>
        <w:rPr>
          <w:rFonts w:ascii="仿宋_GB2312" w:eastAsia="仿宋_GB2312" w:cs="仿宋_GB2312" w:hint="eastAsia"/>
          <w:sz w:val="32"/>
          <w:szCs w:val="32"/>
        </w:rPr>
        <w:t>：人员增加，相应人员经费和公用经费增加。</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一般公共服务支出5513332.43元，占37.58%；社会保障和就业支出1423536.12元，占9.70%；卫生健康支出737110.93元，占5.02%；农林水支出6013630.34元，占40.99%；住房保障支出983184.00元，占6.71%。</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1.一般公共服务支出（201）政府办公厅（室）及相关机构支出（03）行政运行（01）2026年预算数为5513332.43元，主要用于:单位2026年的人员经费和日常公用经费等基本支出。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2.社会保障和就业支出（208）行政事业单位养老支出（05）机关事业单位基本养老保险缴费支出（05）2026年预算数为949024.14元，主要用于：单位缴纳基本养老保险费。 </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3.社会保障和就业支出（208）行政事业单位养老支出（05）机关事业单位职业年金缴费支出（06）2026年预算数为474511.98元，主要用于：单位缴纳职业年金。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4.卫生健康支出（210）行政事业单位医疗（11）行政单位医疗（01）2026年预算数为458642.31元，主要用于:2026年行政单位缴纳基本医疗保险。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5.卫生健康支出（210）行政事业单位医疗（11）事业单位医疗（02）2026年预算数为278468.62元，主要用于:2026年事业单位缴纳基本医疗保险。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6.农林水支出（213）农业（01）事业运行（04）2026年预算数为3324430.34元，主要用于:2026年农业事业单位基本支出，事业单位设施、系统运行与资产维护等方面的支出。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7.农林水支出（213）农村综合改革（07）对村民委员会和村党支部的补助（05）2026年预算数为2689200.00元，主要用于:反映各级财政对村民委员会和村党支部的补助支出、体检费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8.住房保障（221）住房改革（02）住房公积金（01）2026年预算数为983184.00元，主要用于:2026年单位为职工缴纳住房公积金。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一般公共预算基本支出11981593.82元，其中：人员经费11125707.93元，主要包括：基本工资、津贴补贴、奖金、其他社会保障缴费、绩效工资、机关事业单位基本养老保险缴费、职业年金缴费、奖励金、住房公积金、其他对个人和家庭的补助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公用经费855885.89元，主要包括：办公费、水费、电费、邮电费、差旅费、培训费等。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2026年“三公”经费财政拨款预算数80000.00元，其中：因公出国（境）经费</w:t>
      </w:r>
      <w:r>
        <w:rPr>
          <w:rFonts w:ascii="仿宋_GB2312" w:eastAsia="仿宋_GB2312" w:cs="仿宋_GB2312"/>
          <w:sz w:val="32"/>
          <w:szCs w:val="32"/>
        </w:rPr>
        <w:t>0元</w:t>
      </w:r>
      <w:r>
        <w:rPr>
          <w:rFonts w:ascii="仿宋_GB2312" w:eastAsia="仿宋_GB2312" w:cs="仿宋_GB2312" w:hint="eastAsia"/>
          <w:sz w:val="32"/>
          <w:szCs w:val="32"/>
        </w:rPr>
        <w:t>，公务接待费</w:t>
      </w:r>
      <w:r>
        <w:rPr>
          <w:rFonts w:ascii="仿宋_GB2312" w:eastAsia="仿宋_GB2312" w:cs="仿宋_GB2312"/>
          <w:sz w:val="32"/>
          <w:szCs w:val="32"/>
        </w:rPr>
        <w:t>0元</w:t>
      </w:r>
      <w:r>
        <w:rPr>
          <w:rFonts w:ascii="仿宋_GB2312" w:eastAsia="仿宋_GB2312" w:cs="仿宋_GB2312" w:hint="eastAsia"/>
          <w:sz w:val="32"/>
          <w:szCs w:val="32"/>
        </w:rPr>
        <w:t>，公务用车购置及运行维护费80000.00元。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（一）2026年无因公出国（境）经费。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（二）2026年无公务接待经费。</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（三）2026年公务用车购置及运行维护费80000.00元,较2025年预算经费无变化。</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2026年机关运行经费财政拨款预算数为0元。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2026年安排政府采购预算0元。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截</w:t>
      </w:r>
      <w:r>
        <w:rPr>
          <w:rFonts w:ascii="仿宋_GB2312" w:eastAsia="仿宋_GB2312" w:cs="仿宋_GB2312"/>
          <w:sz w:val="32"/>
          <w:szCs w:val="32"/>
        </w:rPr>
        <w:t>至</w:t>
      </w:r>
      <w:r>
        <w:rPr>
          <w:rFonts w:ascii="仿宋_GB2312" w:eastAsia="仿宋_GB2312" w:cs="仿宋_GB2312" w:hint="eastAsia"/>
          <w:sz w:val="32"/>
          <w:szCs w:val="32"/>
        </w:rPr>
        <w:t>2025年12月31日，我单位固定资产总额16067069.93元，其中：房屋5285.66平方米，价值12289053.71元；公务用车3辆，价值411779.00元；其他固定资产3366237.22元。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hint="eastAsia"/>
          <w:sz w:val="32"/>
          <w:szCs w:val="32"/>
        </w:rPr>
      </w:pPr>
      <w:r>
        <w:rPr>
          <w:rFonts w:ascii="楷体_GB2312" w:eastAsia="楷体_GB2312" w:cs="楷体_GB2312" w:hint="eastAsia"/>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2026年项目支出均按要求实行绩效目标管理，涉及项目3个，一般公共预算当年拨款2689200.00元。</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cs="黑体" w:hint="eastAsia"/>
          <w:sz w:val="32"/>
          <w:szCs w:val="32"/>
        </w:rPr>
      </w:pPr>
      <w:r>
        <w:rPr>
          <w:rFonts w:ascii="黑体" w:eastAsia="黑体" w:cs="黑体" w:hint="eastAsia"/>
          <w:sz w:val="32"/>
          <w:szCs w:val="32"/>
        </w:rPr>
        <w:t>十、名称解释</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（一）财政拨款收入：</w:t>
      </w:r>
      <w:r>
        <w:rPr>
          <w:rFonts w:ascii="仿宋_GB2312" w:eastAsia="仿宋_GB2312" w:cs="仿宋_GB2312" w:hint="eastAsia"/>
          <w:sz w:val="32"/>
          <w:szCs w:val="32"/>
        </w:rPr>
        <w:t>指由财政拨款形成的部门收入。按现行管理制度，部门预算中反映的财政拨款仅包括一般公共预算拨款和政府性基金预算拨款。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（二）事业收入：</w:t>
      </w:r>
      <w:r>
        <w:rPr>
          <w:rFonts w:ascii="仿宋_GB2312" w:eastAsia="仿宋_GB2312" w:cs="仿宋_GB2312" w:hint="eastAsia"/>
          <w:sz w:val="32"/>
          <w:szCs w:val="32"/>
        </w:rPr>
        <w:t>指所属事业单位开展专业业务活动及辅助活动所取得的收入。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（三）事业单位经营收入：</w:t>
      </w:r>
      <w:r>
        <w:rPr>
          <w:rFonts w:ascii="仿宋_GB2312" w:eastAsia="仿宋_GB2312" w:cs="仿宋_GB2312" w:hint="eastAsia"/>
          <w:sz w:val="32"/>
          <w:szCs w:val="32"/>
        </w:rPr>
        <w:t>指所属事业单位在专业业务活动及其辅助活动之外开展非独立核算经营活动取得的收入。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（四）其他收入：</w:t>
      </w:r>
      <w:r>
        <w:rPr>
          <w:rFonts w:ascii="仿宋_GB2312" w:eastAsia="仿宋_GB2312" w:cs="仿宋_GB2312" w:hint="eastAsia"/>
          <w:sz w:val="32"/>
          <w:szCs w:val="32"/>
        </w:rPr>
        <w:t>指除上述“财政拨款收入”、“事业收入”、“事业单位经营收入”等以外的收入，主要是所属行政事业单位按规定动用的售房收入、存款利息收入等。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（五）用事业基金弥补收支差额：</w:t>
      </w:r>
      <w:r>
        <w:rPr>
          <w:rFonts w:ascii="仿宋_GB2312" w:eastAsia="仿宋_GB2312" w:cs="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（六）上年结转：</w:t>
      </w:r>
      <w:r>
        <w:rPr>
          <w:rFonts w:ascii="仿宋_GB2312" w:eastAsia="仿宋_GB2312" w:cs="仿宋_GB2312" w:hint="eastAsia"/>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（七）基本支出：</w:t>
      </w:r>
      <w:r>
        <w:rPr>
          <w:rFonts w:ascii="仿宋_GB2312" w:eastAsia="仿宋_GB2312" w:cs="仿宋_GB2312" w:hint="eastAsia"/>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楷体_GB2312" w:eastAsia="楷体_GB2312" w:cs="楷体_GB2312" w:hint="eastAsia"/>
          <w:sz w:val="32"/>
          <w:szCs w:val="32"/>
        </w:rPr>
        <w:t>（八）项目支出：</w:t>
      </w:r>
      <w:r>
        <w:rPr>
          <w:rFonts w:ascii="仿宋_GB2312" w:eastAsia="仿宋_GB2312" w:cs="仿宋_GB2312" w:hint="eastAsia"/>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sz w:val="32"/>
          <w:szCs w:val="32"/>
        </w:rPr>
      </w:pPr>
      <w:r>
        <w:rPr>
          <w:rFonts w:ascii="楷体_GB2312" w:eastAsia="楷体_GB2312" w:cs="楷体_GB2312" w:hint="eastAsia"/>
          <w:sz w:val="32"/>
          <w:szCs w:val="32"/>
        </w:rPr>
        <w:t>（九）“三公”经费：</w:t>
      </w:r>
      <w:r>
        <w:rPr>
          <w:rFonts w:ascii="仿宋_GB2312" w:eastAsia="仿宋_GB2312" w:cs="仿宋_GB2312" w:hint="eastAsia"/>
          <w:sz w:val="32"/>
          <w:szCs w:val="32"/>
        </w:rPr>
        <w:t>纳入预决算管理的“三公”经费，是指部门用财政拨款安排的因公出国（境）费、公务用车购置及运行维护费和公务接待费。其中，因公出国（境）费反映单位</w:t>
      </w:r>
      <w:r>
        <w:rPr>
          <w:rFonts w:ascii="楷体_GB2312" w:eastAsia="楷体_GB2312" w:cs="楷体_GB2312" w:hint="eastAsia"/>
          <w:sz w:val="32"/>
          <w:szCs w:val="32"/>
        </w:rPr>
        <w:t>公务</w:t>
      </w:r>
      <w:r>
        <w:rPr>
          <w:rFonts w:ascii="仿宋_GB2312" w:eastAsia="仿宋_GB2312" w:cs="仿宋_GB2312" w:hint="eastAsia"/>
          <w:sz w:val="32"/>
          <w:szCs w:val="32"/>
        </w:rPr>
        <w:t>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Chars="1500" w:firstLine="4800"/>
        <w:textAlignment w:val="auto"/>
        <w:rPr>
          <w:rFonts w:ascii="仿宋_GB2312" w:eastAsia="仿宋_GB2312" w:cs="仿宋_GB2312"/>
          <w:sz w:val="32"/>
          <w:szCs w:val="32"/>
        </w:rPr>
      </w:pPr>
      <w:r>
        <w:rPr>
          <w:rFonts w:ascii="仿宋_GB2312" w:eastAsia="仿宋_GB2312" w:cs="仿宋_GB2312"/>
          <w:sz w:val="32"/>
          <w:szCs w:val="32"/>
        </w:rPr>
        <w:t>茂县叠溪镇人民政府</w:t>
      </w:r>
    </w:p>
    <w:p>
      <w:pPr>
        <w:keepNext w:val="0"/>
        <w:keepLines w:val="0"/>
        <w:pageBreakBefore w:val="0"/>
        <w:widowControl w:val="0"/>
        <w:kinsoku/>
        <w:wordWrap/>
        <w:overflowPunct/>
        <w:topLinePunct w:val="0"/>
        <w:autoSpaceDE/>
        <w:autoSpaceDN/>
        <w:bidi w:val="0"/>
        <w:adjustRightInd/>
        <w:snapToGrid/>
        <w:spacing w:line="576" w:lineRule="exact"/>
        <w:ind w:firstLineChars="1700" w:firstLine="5440"/>
        <w:textAlignment w:val="auto"/>
        <w:rPr>
          <w:rFonts w:ascii="仿宋_GB2312" w:eastAsia="仿宋_GB2312" w:cs="仿宋_GB2312" w:hint="eastAsia"/>
          <w:sz w:val="32"/>
          <w:szCs w:val="32"/>
        </w:rPr>
      </w:pPr>
      <w:bookmarkStart w:id="0" w:name="_GoBack"/>
      <w:bookmarkEnd w:id="0"/>
      <w:r>
        <w:rPr>
          <w:rFonts w:ascii="仿宋_GB2312" w:eastAsia="仿宋_GB2312" w:cs="仿宋_GB2312"/>
          <w:sz w:val="32"/>
          <w:szCs w:val="32"/>
        </w:rPr>
        <w:t>2026年4月3日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7A"/>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12</TotalTime>
  <Application>Yozo_Office27021597764231179</Application>
  <Pages>12</Pages>
  <Words>4653</Words>
  <Characters>5295</Characters>
  <Lines>264</Lines>
  <Paragraphs>97</Paragraphs>
  <CharactersWithSpaces>5296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0</cp:revision>
  <dcterms:created xsi:type="dcterms:W3CDTF">2014-10-29T12:08:00Z</dcterms:created>
  <dcterms:modified xsi:type="dcterms:W3CDTF">2026-04-02T01:43:44Z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eyJoZGlkIjoiZjAzNTg4ZDRlZjgyYTAwZmMzZWMwZmFhM2EwN2M3ZGMiLCJ1c2VySWQiOiI0MzMzNDQyOTgifQ==</vt:lpwstr>
  </property>
  <property fmtid="{D5CDD505-2E9C-101B-9397-08002B2CF9AE}" pid="4" name="ICV">
    <vt:lpwstr>AE97BF2F911644D7BFB475699666638C_12</vt:lpwstr>
  </property>
</Properties>
</file>