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富顺镇人民政府</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022年部门预算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一、基本职能及主要工作</w:t>
      </w:r>
    </w:p>
    <w:p>
      <w:pPr>
        <w:adjustRightInd w:val="0"/>
        <w:snapToGrid w:val="0"/>
        <w:spacing w:line="576" w:lineRule="exact"/>
        <w:ind w:firstLine="643" w:firstLineChars="200"/>
        <w:rPr>
          <w:rFonts w:ascii="楷体_GB2312" w:eastAsia="楷体_GB2312"/>
          <w:b/>
          <w:sz w:val="32"/>
          <w:szCs w:val="32"/>
        </w:rPr>
      </w:pPr>
      <w:r>
        <w:rPr>
          <w:rFonts w:ascii="楷体_GB2312" w:eastAsia="楷体_GB2312"/>
          <w:b/>
          <w:sz w:val="32"/>
          <w:szCs w:val="32"/>
        </w:rPr>
        <w:t>（一）</w:t>
      </w:r>
      <w:r>
        <w:rPr>
          <w:rFonts w:hint="eastAsia" w:ascii="楷体_GB2312" w:eastAsia="楷体_GB2312"/>
          <w:b/>
          <w:sz w:val="32"/>
          <w:szCs w:val="32"/>
        </w:rPr>
        <w:t>部门职能简介</w:t>
      </w:r>
    </w:p>
    <w:p>
      <w:pPr>
        <w:pStyle w:val="2"/>
        <w:adjustRightInd w:val="0"/>
        <w:snapToGrid w:val="0"/>
        <w:spacing w:line="576" w:lineRule="exact"/>
        <w:ind w:left="40" w:leftChars="0" w:firstLine="640" w:firstLineChars="200"/>
        <w:rPr>
          <w:rFonts w:hint="eastAsia" w:ascii="仿宋_GB2312" w:eastAsia="仿宋_GB2312" w:cs="仿宋_GB2312"/>
          <w:sz w:val="32"/>
          <w:szCs w:val="32"/>
        </w:rPr>
      </w:pPr>
      <w:r>
        <w:rPr>
          <w:rFonts w:hint="eastAsia" w:ascii="仿宋_GB2312" w:eastAsia="仿宋_GB2312" w:cs="仿宋_GB2312"/>
          <w:sz w:val="32"/>
          <w:szCs w:val="32"/>
        </w:rPr>
        <w:t>负责草拟本</w:t>
      </w:r>
      <w:r>
        <w:rPr>
          <w:rFonts w:ascii="仿宋_GB2312" w:eastAsia="仿宋_GB2312" w:cs="仿宋_GB2312"/>
          <w:sz w:val="32"/>
          <w:szCs w:val="32"/>
        </w:rPr>
        <w:t>镇</w:t>
      </w:r>
      <w:r>
        <w:rPr>
          <w:rFonts w:hint="eastAsia" w:ascii="仿宋_GB2312" w:eastAsia="仿宋_GB2312" w:cs="仿宋_GB2312"/>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adjustRightInd w:val="0"/>
        <w:snapToGrid w:val="0"/>
        <w:spacing w:line="576" w:lineRule="exact"/>
        <w:ind w:firstLine="643" w:firstLineChars="200"/>
        <w:rPr>
          <w:rFonts w:ascii="楷体_GB2312" w:eastAsia="楷体_GB2312"/>
          <w:b/>
          <w:sz w:val="32"/>
          <w:szCs w:val="32"/>
        </w:rPr>
      </w:pPr>
      <w:r>
        <w:rPr>
          <w:rFonts w:hint="eastAsia" w:ascii="楷体_GB2312" w:eastAsia="楷体_GB2312"/>
          <w:b/>
          <w:sz w:val="32"/>
          <w:szCs w:val="32"/>
        </w:rPr>
        <w:t>（二）2022年重点工作</w:t>
      </w:r>
    </w:p>
    <w:p>
      <w:pPr>
        <w:adjustRightInd w:val="0"/>
        <w:snapToGrid w:val="0"/>
        <w:spacing w:line="576"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1.</w:t>
      </w:r>
      <w:r>
        <w:rPr>
          <w:rFonts w:hint="eastAsia" w:ascii="仿宋_GB2312" w:eastAsia="仿宋_GB2312"/>
          <w:sz w:val="32"/>
          <w:szCs w:val="32"/>
          <w:highlight w:val="none"/>
        </w:rPr>
        <w:t>以“</w:t>
      </w:r>
      <w:r>
        <w:rPr>
          <w:rFonts w:hint="eastAsia" w:ascii="仿宋_GB2312" w:eastAsia="仿宋_GB2312" w:cs="仿宋_GB2312"/>
          <w:sz w:val="32"/>
          <w:szCs w:val="32"/>
          <w:highlight w:val="none"/>
        </w:rPr>
        <w:t>土门片区种养循环模式</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“万亩级生态特色农业产业园区”建设目标，围绕“建基地、创品牌、搞加工、强监管、促融合”，</w:t>
      </w:r>
      <w:r>
        <w:rPr>
          <w:rFonts w:hint="eastAsia" w:ascii="仿宋_GB2312" w:eastAsia="仿宋_GB2312"/>
          <w:sz w:val="32"/>
          <w:szCs w:val="32"/>
          <w:highlight w:val="none"/>
        </w:rPr>
        <w:t>推进羌脆李、绿色蔬菜、生态猪等产业提质增效，科学规划建设种养循环模式产业园，大力培育农村新型经营主体和特色品牌，深化农业科技支撑和推广，加大农产品加工企业培育引进力度，提升农业发展竞争力</w:t>
      </w:r>
      <w:r>
        <w:rPr>
          <w:rFonts w:hint="eastAsia" w:ascii="仿宋_GB2312" w:eastAsia="仿宋_GB2312"/>
          <w:sz w:val="32"/>
          <w:szCs w:val="32"/>
          <w:highlight w:val="none"/>
          <w:lang w:eastAsia="zh-CN"/>
        </w:rPr>
        <w:t>。</w:t>
      </w:r>
    </w:p>
    <w:p>
      <w:pPr>
        <w:adjustRightInd w:val="0"/>
        <w:snapToGrid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highlight w:val="none"/>
        </w:rPr>
        <w:t>2.</w:t>
      </w:r>
      <w:r>
        <w:rPr>
          <w:rFonts w:hint="eastAsia" w:ascii="仿宋_GB2312" w:eastAsia="仿宋_GB2312"/>
          <w:sz w:val="32"/>
          <w:szCs w:val="32"/>
          <w:highlight w:val="none"/>
        </w:rPr>
        <w:t>坚持生态环保优先，引导和支持辖区内潘达尔硅业、西南阳光、嘉信硅业等转型升级，增强工业对本地经济发展带动力，切实增加群众工资性收入等</w:t>
      </w:r>
      <w:r>
        <w:rPr>
          <w:rFonts w:hint="eastAsia" w:ascii="仿宋_GB2312" w:eastAsia="仿宋_GB2312"/>
          <w:sz w:val="32"/>
          <w:szCs w:val="32"/>
          <w:highlight w:val="none"/>
          <w:lang w:eastAsia="zh-CN"/>
        </w:rPr>
        <w:t>。</w:t>
      </w:r>
    </w:p>
    <w:p>
      <w:pPr>
        <w:adjustRightInd w:val="0"/>
        <w:snapToGrid w:val="0"/>
        <w:spacing w:line="576" w:lineRule="exact"/>
        <w:ind w:firstLine="640" w:firstLineChars="200"/>
        <w:rPr>
          <w:rFonts w:hint="eastAsia" w:ascii="仿宋_GB2312" w:eastAsia="仿宋_GB2312"/>
          <w:sz w:val="32"/>
          <w:szCs w:val="32"/>
        </w:rPr>
      </w:pPr>
      <w:r>
        <w:rPr>
          <w:rFonts w:ascii="仿宋_GB2312" w:eastAsia="仿宋_GB2312"/>
          <w:sz w:val="32"/>
          <w:szCs w:val="32"/>
          <w:highlight w:val="none"/>
        </w:rPr>
        <w:t>3.</w:t>
      </w:r>
      <w:r>
        <w:rPr>
          <w:rFonts w:hint="eastAsia" w:ascii="仿宋_GB2312" w:eastAsia="仿宋_GB2312"/>
          <w:sz w:val="32"/>
          <w:szCs w:val="32"/>
          <w:highlight w:val="none"/>
        </w:rPr>
        <w:t>依托上关岷江百合花谷AAA级景区，丰富完善民宿体验、有氧运动、户外露营地等业态，着力提升旅游基础设施，深入开展线上线下精准营销，加大招商引资力度，打响“岷江百合”名片。</w:t>
      </w:r>
    </w:p>
    <w:p>
      <w:pPr>
        <w:pStyle w:val="12"/>
        <w:adjustRightInd w:val="0"/>
        <w:snapToGrid w:val="0"/>
        <w:spacing w:line="576" w:lineRule="exact"/>
        <w:ind w:firstLine="640" w:firstLineChars="200"/>
        <w:rPr>
          <w:rFonts w:ascii="黑体" w:eastAsia="黑体"/>
          <w:sz w:val="32"/>
          <w:szCs w:val="32"/>
        </w:rPr>
      </w:pPr>
      <w:r>
        <w:rPr>
          <w:rFonts w:ascii="黑体" w:eastAsia="黑体"/>
          <w:sz w:val="32"/>
          <w:szCs w:val="32"/>
        </w:rPr>
        <w:t>二、</w:t>
      </w:r>
      <w:r>
        <w:rPr>
          <w:rFonts w:hint="eastAsia" w:ascii="黑体" w:eastAsia="黑体"/>
          <w:sz w:val="32"/>
          <w:szCs w:val="32"/>
        </w:rPr>
        <w:t>部门预算单位构成</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富顺镇人民政府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个。参照公务员法管理的事业单位分别是</w:t>
      </w:r>
      <w:r>
        <w:rPr>
          <w:rFonts w:hint="eastAsia" w:ascii="仿宋_GB2312" w:eastAsia="仿宋_GB2312"/>
          <w:sz w:val="32"/>
          <w:szCs w:val="32"/>
          <w:lang w:eastAsia="zh-CN"/>
        </w:rPr>
        <w:t>：</w:t>
      </w:r>
      <w:r>
        <w:rPr>
          <w:rFonts w:hint="eastAsia" w:ascii="仿宋_GB2312" w:eastAsia="仿宋_GB2312"/>
          <w:sz w:val="32"/>
          <w:szCs w:val="32"/>
          <w:lang w:val="en-US" w:eastAsia="zh-CN"/>
        </w:rPr>
        <w:t>0</w:t>
      </w:r>
      <w:r>
        <w:rPr>
          <w:rFonts w:hint="eastAsia" w:ascii="仿宋_GB2312" w:eastAsia="仿宋_GB2312"/>
          <w:sz w:val="32"/>
          <w:szCs w:val="32"/>
        </w:rPr>
        <w:t>；其他事业单位分别是</w:t>
      </w:r>
      <w:r>
        <w:rPr>
          <w:rFonts w:hint="eastAsia" w:ascii="仿宋_GB2312" w:eastAsia="仿宋_GB2312"/>
          <w:sz w:val="32"/>
          <w:szCs w:val="32"/>
          <w:lang w:eastAsia="zh-CN"/>
        </w:rPr>
        <w:t>：</w:t>
      </w:r>
      <w:r>
        <w:rPr>
          <w:rFonts w:hint="eastAsia" w:ascii="仿宋_GB2312" w:eastAsia="仿宋_GB2312"/>
          <w:sz w:val="32"/>
          <w:szCs w:val="32"/>
          <w:lang w:val="en-US" w:eastAsia="zh-CN"/>
        </w:rPr>
        <w:t>0</w:t>
      </w:r>
      <w:r>
        <w:rPr>
          <w:rFonts w:hint="eastAsia" w:ascii="仿宋_GB2312" w:eastAsia="仿宋_GB2312"/>
          <w:sz w:val="32"/>
          <w:szCs w:val="32"/>
        </w:rPr>
        <w:t>。</w:t>
      </w:r>
    </w:p>
    <w:p>
      <w:pPr>
        <w:pStyle w:val="12"/>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三、收支预算情况说明</w:t>
      </w:r>
    </w:p>
    <w:p>
      <w:pPr>
        <w:adjustRightInd w:val="0"/>
        <w:snapToGrid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富顺镇人民政府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9781116.52</w:t>
      </w:r>
      <w:r>
        <w:rPr>
          <w:rFonts w:ascii="仿宋_GB2312" w:eastAsia="仿宋_GB2312"/>
          <w:sz w:val="32"/>
          <w:szCs w:val="32"/>
        </w:rPr>
        <w:t>元；支出包括：</w:t>
      </w:r>
      <w:r>
        <w:rPr>
          <w:rFonts w:hint="eastAsia" w:ascii="仿宋_GB2312" w:eastAsia="仿宋_GB2312"/>
          <w:sz w:val="32"/>
          <w:szCs w:val="32"/>
        </w:rPr>
        <w:t>一般公共服务支出3457507.29元，社会保障和就业支出1074325.4元，卫生健康支出461548.64元，农林水支出4033355.19元，住房保障支出754380元</w:t>
      </w:r>
      <w:r>
        <w:rPr>
          <w:rFonts w:ascii="仿宋_GB2312" w:eastAsia="仿宋_GB2312"/>
          <w:sz w:val="32"/>
          <w:szCs w:val="32"/>
        </w:rPr>
        <w:t>。</w:t>
      </w:r>
      <w:r>
        <w:rPr>
          <w:rFonts w:hint="eastAsia" w:ascii="仿宋_GB2312" w:eastAsia="仿宋_GB2312"/>
          <w:sz w:val="32"/>
          <w:szCs w:val="32"/>
          <w:lang w:eastAsia="zh-CN"/>
        </w:rPr>
        <w:t>富顺镇人民政府</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rPr>
        <w:t>9781116.52</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700111.52</w:t>
      </w:r>
      <w:r>
        <w:rPr>
          <w:rFonts w:hint="eastAsia" w:ascii="仿宋_GB2312" w:eastAsia="仿宋_GB2312"/>
          <w:sz w:val="32"/>
          <w:szCs w:val="32"/>
        </w:rPr>
        <w:t xml:space="preserve">                     </w:t>
      </w:r>
      <w:r>
        <w:rPr>
          <w:rFonts w:ascii="仿宋_GB2312" w:eastAsia="仿宋_GB2312"/>
          <w:sz w:val="32"/>
          <w:szCs w:val="32"/>
        </w:rPr>
        <w:t>元，主要原因:</w:t>
      </w:r>
      <w:r>
        <w:rPr>
          <w:rFonts w:ascii="仿宋_GB2312" w:eastAsia="仿宋_GB2312"/>
          <w:sz w:val="32"/>
          <w:szCs w:val="32"/>
          <w:lang w:eastAsia="zh-CN"/>
        </w:rPr>
        <w:t>人员增加</w:t>
      </w:r>
      <w:r>
        <w:rPr>
          <w:rFonts w:hint="eastAsia" w:ascii="仿宋_GB2312" w:eastAsia="仿宋_GB2312"/>
          <w:sz w:val="32"/>
          <w:szCs w:val="32"/>
          <w:lang w:eastAsia="zh-CN"/>
        </w:rPr>
        <w:t>。</w:t>
      </w:r>
    </w:p>
    <w:p>
      <w:pPr>
        <w:adjustRightInd w:val="0"/>
        <w:snapToGrid w:val="0"/>
        <w:spacing w:line="576"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adjustRightInd w:val="0"/>
        <w:snapToGrid w:val="0"/>
        <w:spacing w:line="576" w:lineRule="exact"/>
        <w:ind w:left="0" w:firstLine="640" w:firstLineChars="200"/>
        <w:rPr>
          <w:rFonts w:ascii="仿宋_GB2312" w:eastAsia="仿宋_GB2312"/>
          <w:sz w:val="32"/>
          <w:szCs w:val="32"/>
        </w:rPr>
      </w:pP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rPr>
        <w:t>9781116.52</w:t>
      </w:r>
      <w:r>
        <w:rPr>
          <w:rFonts w:ascii="仿宋_GB2312" w:eastAsia="仿宋_GB2312"/>
          <w:sz w:val="32"/>
          <w:szCs w:val="32"/>
        </w:rPr>
        <w:t>元；一般公共预算拨款收入</w:t>
      </w:r>
      <w:r>
        <w:rPr>
          <w:rFonts w:hint="eastAsia" w:ascii="仿宋_GB2312" w:eastAsia="仿宋_GB2312"/>
          <w:sz w:val="32"/>
          <w:szCs w:val="32"/>
        </w:rPr>
        <w:t>9781116.52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adjustRightInd w:val="0"/>
        <w:snapToGrid w:val="0"/>
        <w:spacing w:line="576"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adjustRightInd w:val="0"/>
        <w:snapToGrid w:val="0"/>
        <w:spacing w:line="576" w:lineRule="exact"/>
        <w:ind w:left="0" w:firstLine="640" w:firstLineChars="200"/>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rPr>
        <w:t>9781116.52</w:t>
      </w:r>
      <w:r>
        <w:rPr>
          <w:rFonts w:ascii="仿宋_GB2312" w:eastAsia="仿宋_GB2312"/>
          <w:sz w:val="32"/>
          <w:szCs w:val="32"/>
        </w:rPr>
        <w:t>元，其中：基本支出</w:t>
      </w:r>
      <w:r>
        <w:rPr>
          <w:rFonts w:hint="eastAsia" w:ascii="仿宋_GB2312" w:eastAsia="仿宋_GB2312"/>
          <w:sz w:val="32"/>
          <w:szCs w:val="32"/>
        </w:rPr>
        <w:t>7633016.52</w:t>
      </w:r>
      <w:r>
        <w:rPr>
          <w:rFonts w:ascii="仿宋_GB2312" w:eastAsia="仿宋_GB2312"/>
          <w:sz w:val="32"/>
          <w:szCs w:val="32"/>
        </w:rPr>
        <w:t>元，占</w:t>
      </w:r>
      <w:r>
        <w:rPr>
          <w:rFonts w:hint="eastAsia" w:ascii="仿宋_GB2312" w:eastAsia="仿宋_GB2312"/>
          <w:sz w:val="32"/>
          <w:szCs w:val="32"/>
          <w:lang w:val="en-US" w:eastAsia="zh-CN"/>
        </w:rPr>
        <w:t>78</w:t>
      </w:r>
      <w:r>
        <w:rPr>
          <w:rFonts w:ascii="仿宋_GB2312" w:eastAsia="仿宋_GB2312"/>
          <w:sz w:val="32"/>
          <w:szCs w:val="32"/>
        </w:rPr>
        <w:t>%，项目支出</w:t>
      </w:r>
      <w:r>
        <w:rPr>
          <w:rFonts w:hint="eastAsia" w:ascii="仿宋_GB2312" w:eastAsia="仿宋_GB2312"/>
          <w:sz w:val="32"/>
          <w:szCs w:val="32"/>
        </w:rPr>
        <w:t>2148100</w:t>
      </w:r>
      <w:r>
        <w:rPr>
          <w:rFonts w:ascii="仿宋_GB2312" w:eastAsia="仿宋_GB2312"/>
          <w:sz w:val="32"/>
          <w:szCs w:val="32"/>
        </w:rPr>
        <w:t>元，占</w:t>
      </w:r>
      <w:r>
        <w:rPr>
          <w:rFonts w:hint="eastAsia" w:ascii="仿宋_GB2312" w:eastAsia="仿宋_GB2312"/>
          <w:sz w:val="32"/>
          <w:szCs w:val="32"/>
          <w:lang w:val="en-US" w:eastAsia="zh-CN"/>
        </w:rPr>
        <w:t>22</w:t>
      </w:r>
      <w:r>
        <w:rPr>
          <w:rFonts w:ascii="仿宋_GB2312" w:eastAsia="仿宋_GB2312"/>
          <w:sz w:val="32"/>
          <w:szCs w:val="32"/>
        </w:rPr>
        <w:t>%。</w:t>
      </w:r>
    </w:p>
    <w:p>
      <w:pPr>
        <w:adjustRightInd w:val="0"/>
        <w:snapToGrid w:val="0"/>
        <w:spacing w:line="576" w:lineRule="exact"/>
        <w:ind w:firstLine="643" w:firstLineChars="200"/>
        <w:rPr>
          <w:rFonts w:ascii="黑体" w:eastAsia="黑体"/>
          <w:b/>
          <w:sz w:val="32"/>
          <w:szCs w:val="32"/>
        </w:rPr>
      </w:pPr>
      <w:r>
        <w:rPr>
          <w:rFonts w:ascii="黑体" w:eastAsia="黑体"/>
          <w:b/>
          <w:sz w:val="32"/>
          <w:szCs w:val="32"/>
        </w:rPr>
        <w:t xml:space="preserve"> </w:t>
      </w:r>
    </w:p>
    <w:p>
      <w:pPr>
        <w:adjustRightInd w:val="0"/>
        <w:snapToGrid w:val="0"/>
        <w:spacing w:line="576" w:lineRule="exact"/>
        <w:ind w:left="0" w:firstLine="640" w:firstLineChars="200"/>
        <w:jc w:val="left"/>
        <w:rPr>
          <w:rFonts w:ascii="仿宋_GB2312" w:eastAsia="仿宋_GB2312"/>
          <w:sz w:val="32"/>
          <w:szCs w:val="32"/>
        </w:rPr>
      </w:pPr>
      <w:r>
        <w:rPr>
          <w:rFonts w:hint="eastAsia" w:ascii="黑体" w:eastAsia="黑体"/>
          <w:sz w:val="32"/>
          <w:szCs w:val="32"/>
        </w:rPr>
        <w:t>四、财政拨款收支预算情况说明</w:t>
      </w:r>
    </w:p>
    <w:p>
      <w:pPr>
        <w:adjustRightInd w:val="0"/>
        <w:snapToGrid w:val="0"/>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rPr>
        <w:t>9781116.52</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700111.52</w:t>
      </w:r>
      <w:r>
        <w:rPr>
          <w:rFonts w:hint="eastAsia" w:ascii="仿宋_GB2312" w:eastAsia="仿宋_GB2312"/>
          <w:sz w:val="32"/>
          <w:szCs w:val="32"/>
        </w:rPr>
        <w:t xml:space="preserve"> </w:t>
      </w:r>
      <w:r>
        <w:rPr>
          <w:rFonts w:ascii="仿宋_GB2312" w:eastAsia="仿宋_GB2312"/>
          <w:sz w:val="32"/>
          <w:szCs w:val="32"/>
        </w:rPr>
        <w:t>元，主要原因:</w:t>
      </w:r>
      <w:r>
        <w:rPr>
          <w:rFonts w:ascii="仿宋_GB2312" w:eastAsia="仿宋_GB2312"/>
          <w:sz w:val="32"/>
          <w:szCs w:val="32"/>
          <w:lang w:eastAsia="zh-CN"/>
        </w:rPr>
        <w:t>人员增加</w:t>
      </w:r>
      <w:r>
        <w:rPr>
          <w:rFonts w:hint="eastAsia" w:ascii="仿宋_GB2312" w:eastAsia="仿宋_GB2312"/>
          <w:sz w:val="32"/>
          <w:szCs w:val="32"/>
          <w:lang w:eastAsia="zh-CN"/>
        </w:rPr>
        <w:t>。</w:t>
      </w:r>
    </w:p>
    <w:p>
      <w:pPr>
        <w:adjustRightInd w:val="0"/>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9781116.52</w:t>
      </w:r>
      <w:r>
        <w:rPr>
          <w:rFonts w:ascii="仿宋_GB2312" w:eastAsia="仿宋_GB2312"/>
          <w:sz w:val="32"/>
          <w:szCs w:val="32"/>
        </w:rPr>
        <w:t>元</w:t>
      </w:r>
      <w:r>
        <w:rPr>
          <w:rFonts w:hint="eastAsia" w:ascii="仿宋_GB2312" w:eastAsia="仿宋_GB2312"/>
          <w:sz w:val="32"/>
          <w:szCs w:val="32"/>
        </w:rPr>
        <w:t>。</w:t>
      </w:r>
    </w:p>
    <w:p>
      <w:pPr>
        <w:adjustRightInd w:val="0"/>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一般公共服务支出3457507.29元，社会保障和就业支出1074325.4元，卫生健康支出461548.64元，农林水支出4033355.19元，住房保障支出754380元</w:t>
      </w:r>
      <w:r>
        <w:rPr>
          <w:rFonts w:ascii="仿宋_GB2312" w:eastAsia="仿宋_GB2312"/>
          <w:sz w:val="32"/>
          <w:szCs w:val="32"/>
        </w:rPr>
        <w:t>。</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3"/>
        <w:adjustRightInd w:val="0"/>
        <w:snapToGrid w:val="0"/>
        <w:spacing w:before="0"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adjustRightInd w:val="0"/>
        <w:snapToGrid w:val="0"/>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rPr>
        <w:t>9781116.52</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700111.52</w:t>
      </w:r>
      <w:r>
        <w:rPr>
          <w:rFonts w:hint="eastAsia" w:ascii="仿宋_GB2312" w:eastAsia="仿宋_GB2312"/>
          <w:sz w:val="32"/>
          <w:szCs w:val="32"/>
        </w:rPr>
        <w:t xml:space="preserve"> </w:t>
      </w:r>
      <w:r>
        <w:rPr>
          <w:rFonts w:ascii="仿宋_GB2312" w:eastAsia="仿宋_GB2312"/>
          <w:sz w:val="32"/>
          <w:szCs w:val="32"/>
        </w:rPr>
        <w:t>元，主要原因:</w:t>
      </w:r>
      <w:r>
        <w:rPr>
          <w:rFonts w:ascii="仿宋_GB2312" w:eastAsia="仿宋_GB2312"/>
          <w:sz w:val="32"/>
          <w:szCs w:val="32"/>
          <w:lang w:eastAsia="zh-CN"/>
        </w:rPr>
        <w:t>人员增加</w:t>
      </w:r>
      <w:r>
        <w:rPr>
          <w:rFonts w:hint="eastAsia" w:ascii="仿宋_GB2312" w:eastAsia="仿宋_GB2312"/>
          <w:sz w:val="32"/>
          <w:szCs w:val="32"/>
          <w:lang w:eastAsia="zh-CN"/>
        </w:rPr>
        <w:t>。</w:t>
      </w:r>
    </w:p>
    <w:p>
      <w:pPr>
        <w:adjustRightInd w:val="0"/>
        <w:snapToGrid w:val="0"/>
        <w:spacing w:line="576"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pStyle w:val="13"/>
        <w:adjustRightInd w:val="0"/>
        <w:snapToGrid w:val="0"/>
        <w:spacing w:before="0" w:line="576" w:lineRule="exact"/>
        <w:ind w:firstLine="640" w:firstLineChars="200"/>
        <w:jc w:val="left"/>
        <w:rPr>
          <w:rFonts w:ascii="仿宋_GB2312" w:eastAsia="仿宋_GB2312"/>
          <w:sz w:val="32"/>
          <w:szCs w:val="32"/>
        </w:rPr>
      </w:pPr>
      <w:r>
        <w:rPr>
          <w:rFonts w:hint="eastAsia" w:ascii="仿宋_GB2312" w:eastAsia="仿宋_GB2312"/>
          <w:sz w:val="32"/>
          <w:szCs w:val="32"/>
        </w:rPr>
        <w:t>一般公共服务支出3457507.29元，</w:t>
      </w:r>
      <w:r>
        <w:rPr>
          <w:rFonts w:ascii="仿宋_GB2312" w:eastAsia="仿宋_GB2312"/>
          <w:sz w:val="32"/>
          <w:szCs w:val="32"/>
        </w:rPr>
        <w:t>占</w:t>
      </w:r>
      <w:r>
        <w:rPr>
          <w:rFonts w:hint="eastAsia"/>
          <w:sz w:val="32"/>
          <w:szCs w:val="32"/>
          <w:lang w:val="en-US" w:eastAsia="zh-CN"/>
        </w:rPr>
        <w:t>35</w:t>
      </w:r>
      <w:r>
        <w:rPr>
          <w:rFonts w:ascii="仿宋_GB2312" w:eastAsia="仿宋_GB2312"/>
          <w:sz w:val="32"/>
          <w:szCs w:val="32"/>
        </w:rPr>
        <w:t>%</w:t>
      </w:r>
      <w:r>
        <w:rPr>
          <w:rFonts w:hint="eastAsia"/>
          <w:sz w:val="32"/>
          <w:szCs w:val="32"/>
          <w:lang w:eastAsia="zh-CN"/>
        </w:rPr>
        <w:t>；</w:t>
      </w:r>
      <w:r>
        <w:rPr>
          <w:rFonts w:hint="eastAsia" w:ascii="仿宋_GB2312" w:eastAsia="仿宋_GB2312"/>
          <w:sz w:val="32"/>
          <w:szCs w:val="32"/>
        </w:rPr>
        <w:t>社会保障和就业支出1074325.4元，</w:t>
      </w:r>
      <w:r>
        <w:rPr>
          <w:rFonts w:ascii="仿宋_GB2312" w:eastAsia="仿宋_GB2312"/>
          <w:sz w:val="32"/>
          <w:szCs w:val="32"/>
        </w:rPr>
        <w:t>占</w:t>
      </w:r>
      <w:r>
        <w:rPr>
          <w:rFonts w:hint="eastAsia"/>
          <w:sz w:val="32"/>
          <w:szCs w:val="32"/>
          <w:lang w:val="en-US" w:eastAsia="zh-CN"/>
        </w:rPr>
        <w:t>11</w:t>
      </w:r>
      <w:r>
        <w:rPr>
          <w:rFonts w:ascii="仿宋_GB2312" w:eastAsia="仿宋_GB2312"/>
          <w:sz w:val="32"/>
          <w:szCs w:val="32"/>
        </w:rPr>
        <w:t>%</w:t>
      </w:r>
      <w:r>
        <w:rPr>
          <w:rFonts w:hint="eastAsia"/>
          <w:sz w:val="32"/>
          <w:szCs w:val="32"/>
          <w:lang w:eastAsia="zh-CN"/>
        </w:rPr>
        <w:t>；</w:t>
      </w:r>
      <w:r>
        <w:rPr>
          <w:rFonts w:hint="eastAsia" w:ascii="仿宋_GB2312" w:eastAsia="仿宋_GB2312"/>
          <w:sz w:val="32"/>
          <w:szCs w:val="32"/>
        </w:rPr>
        <w:t>卫生健康支出461548.64元，</w:t>
      </w:r>
      <w:r>
        <w:rPr>
          <w:rFonts w:ascii="仿宋_GB2312" w:eastAsia="仿宋_GB2312"/>
          <w:sz w:val="32"/>
          <w:szCs w:val="32"/>
        </w:rPr>
        <w:t>占</w:t>
      </w:r>
      <w:r>
        <w:rPr>
          <w:rFonts w:hint="eastAsia"/>
          <w:sz w:val="32"/>
          <w:szCs w:val="32"/>
          <w:lang w:val="en-US" w:eastAsia="zh-CN"/>
        </w:rPr>
        <w:t>5</w:t>
      </w:r>
      <w:r>
        <w:rPr>
          <w:rFonts w:ascii="仿宋_GB2312" w:eastAsia="仿宋_GB2312"/>
          <w:sz w:val="32"/>
          <w:szCs w:val="32"/>
        </w:rPr>
        <w:t>%</w:t>
      </w:r>
      <w:r>
        <w:rPr>
          <w:rFonts w:hint="eastAsia"/>
          <w:sz w:val="32"/>
          <w:szCs w:val="32"/>
          <w:lang w:eastAsia="zh-CN"/>
        </w:rPr>
        <w:t>；</w:t>
      </w:r>
      <w:r>
        <w:rPr>
          <w:rFonts w:hint="eastAsia" w:ascii="仿宋_GB2312" w:eastAsia="仿宋_GB2312"/>
          <w:sz w:val="32"/>
          <w:szCs w:val="32"/>
        </w:rPr>
        <w:t>农林水支出4033355.19元，</w:t>
      </w:r>
      <w:r>
        <w:rPr>
          <w:rFonts w:ascii="仿宋_GB2312" w:eastAsia="仿宋_GB2312"/>
          <w:sz w:val="32"/>
          <w:szCs w:val="32"/>
        </w:rPr>
        <w:t>占</w:t>
      </w:r>
      <w:r>
        <w:rPr>
          <w:rFonts w:hint="eastAsia"/>
          <w:sz w:val="32"/>
          <w:szCs w:val="32"/>
          <w:lang w:val="en-US" w:eastAsia="zh-CN"/>
        </w:rPr>
        <w:t>41</w:t>
      </w:r>
      <w:r>
        <w:rPr>
          <w:rFonts w:ascii="仿宋_GB2312" w:eastAsia="仿宋_GB2312"/>
          <w:sz w:val="32"/>
          <w:szCs w:val="32"/>
        </w:rPr>
        <w:t>%</w:t>
      </w:r>
      <w:r>
        <w:rPr>
          <w:rFonts w:hint="eastAsia"/>
          <w:sz w:val="32"/>
          <w:szCs w:val="32"/>
          <w:lang w:eastAsia="zh-CN"/>
        </w:rPr>
        <w:t>；</w:t>
      </w:r>
      <w:r>
        <w:rPr>
          <w:rFonts w:hint="eastAsia" w:ascii="仿宋_GB2312" w:eastAsia="仿宋_GB2312"/>
          <w:sz w:val="32"/>
          <w:szCs w:val="32"/>
        </w:rPr>
        <w:t>住房保障支出754380元</w:t>
      </w:r>
      <w:r>
        <w:rPr>
          <w:rFonts w:hint="eastAsia"/>
          <w:color w:val="auto"/>
          <w:sz w:val="32"/>
          <w:szCs w:val="32"/>
          <w:lang w:val="en-US" w:eastAsia="zh-CN"/>
        </w:rPr>
        <w:t>,</w:t>
      </w:r>
      <w:r>
        <w:rPr>
          <w:rFonts w:ascii="仿宋_GB2312" w:eastAsia="仿宋_GB2312"/>
          <w:color w:val="auto"/>
          <w:sz w:val="32"/>
          <w:szCs w:val="32"/>
        </w:rPr>
        <w:t>占</w:t>
      </w:r>
      <w:r>
        <w:rPr>
          <w:rFonts w:hint="eastAsia"/>
          <w:color w:val="auto"/>
          <w:sz w:val="32"/>
          <w:szCs w:val="32"/>
          <w:lang w:val="en-US" w:eastAsia="zh-CN"/>
        </w:rPr>
        <w:t>8</w:t>
      </w:r>
      <w:r>
        <w:rPr>
          <w:rFonts w:ascii="仿宋_GB2312" w:eastAsia="仿宋_GB2312"/>
          <w:color w:val="auto"/>
          <w:sz w:val="32"/>
          <w:szCs w:val="32"/>
        </w:rPr>
        <w:t>%</w:t>
      </w:r>
      <w:r>
        <w:rPr>
          <w:rFonts w:ascii="仿宋_GB2312" w:eastAsia="仿宋_GB2312"/>
          <w:sz w:val="32"/>
          <w:szCs w:val="32"/>
        </w:rPr>
        <w:t>。</w:t>
      </w:r>
    </w:p>
    <w:p>
      <w:pPr>
        <w:pStyle w:val="13"/>
        <w:numPr>
          <w:ilvl w:val="0"/>
          <w:numId w:val="1"/>
        </w:numPr>
        <w:adjustRightInd w:val="0"/>
        <w:snapToGrid w:val="0"/>
        <w:spacing w:before="0" w:line="576" w:lineRule="exact"/>
        <w:ind w:left="0" w:firstLine="643" w:firstLineChars="20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1.一般公共服务（201）财政事务（03）行政运行（01）2022年预算数为3457507.29元，主要用于:政府人员经费、办公费等方面的支出。</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2．社会保障和就业支出（208）行政事业单位离退休（05）机关事业单位基本养老保险缴费支出（05）2022年预算数为716216.97元，主要用于单位缴纳基本养老保险费。</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3．社会保障和就业支出（208）行政事业单位离退休（05）机关事业单位职业年金缴费支出（06）2022年预算数为358108.43元，主要用于单位缴纳职业年金。</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4．卫生健康支出（210）行政事业单位医疗（11）行政单位医疗（01）2022年预算数为289642.92元，主要用于行政单位缴纳基本医疗保险。</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5．卫生健康支出（210）行政事业单位医疗（11）事业单位医疗（02）2022年预算数为171905.72元，主要用于事业单位缴纳基本医疗保险。</w:t>
      </w:r>
    </w:p>
    <w:p>
      <w:pPr>
        <w:pStyle w:val="13"/>
        <w:adjustRightInd w:val="0"/>
        <w:snapToGrid w:val="0"/>
        <w:spacing w:before="0" w:line="576" w:lineRule="exact"/>
        <w:ind w:firstLine="640" w:firstLineChars="200"/>
        <w:jc w:val="left"/>
        <w:rPr>
          <w:rFonts w:hint="eastAsia" w:ascii="仿宋_GB2312" w:eastAsia="仿宋_GB2312" w:cs="Times New Roman"/>
          <w:color w:val="auto"/>
          <w:sz w:val="32"/>
          <w:szCs w:val="32"/>
        </w:rPr>
      </w:pPr>
      <w:r>
        <w:rPr>
          <w:rFonts w:hint="eastAsia" w:ascii="仿宋_GB2312" w:eastAsia="仿宋_GB2312" w:cs="Times New Roman"/>
          <w:color w:val="auto"/>
          <w:sz w:val="32"/>
          <w:szCs w:val="32"/>
        </w:rPr>
        <w:t>6．农林水支出（213）农业农村（01）事业运行（04）2022年预算数为1885255.19元，主要用于事业人员经费、办公费等支出。</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color w:val="auto"/>
          <w:sz w:val="32"/>
          <w:szCs w:val="32"/>
        </w:rPr>
        <w:t>7.农林水支出（213）农村综合改革（07）对村民委员会和村党支部的补助（05）2022年</w:t>
      </w:r>
      <w:r>
        <w:rPr>
          <w:rFonts w:hint="eastAsia" w:ascii="仿宋_GB2312" w:eastAsia="仿宋_GB2312" w:cs="Times New Roman"/>
          <w:sz w:val="32"/>
          <w:szCs w:val="32"/>
        </w:rPr>
        <w:t>预算数为2148100元，主要用于村组干部误工补助、村级办公费。</w:t>
      </w:r>
    </w:p>
    <w:p>
      <w:pPr>
        <w:pStyle w:val="13"/>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8．住房保障（221）住房改革（02）住房公积金（01）2022年预算数为754380元，主要用于单位为职工缴纳住房公积金。</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3"/>
        <w:adjustRightInd w:val="0"/>
        <w:snapToGrid w:val="0"/>
        <w:spacing w:before="0" w:line="576" w:lineRule="exact"/>
        <w:ind w:firstLine="640" w:firstLineChars="200"/>
        <w:rPr>
          <w:rFonts w:cs="仿宋_GB2312"/>
          <w:kern w:val="2"/>
          <w:sz w:val="32"/>
          <w:szCs w:val="32"/>
        </w:rPr>
      </w:pPr>
      <w:r>
        <w:rPr>
          <w:rFonts w:hint="eastAsia" w:cs="仿宋_GB2312"/>
          <w:kern w:val="2"/>
          <w:sz w:val="32"/>
          <w:szCs w:val="32"/>
        </w:rPr>
        <w:t>2022年一般公共预算基本支出7633016.52元，其中：人员经费7129016.52元，主要包括：基本工资、津贴补贴、奖金、其他社会保障缴费、绩效工资、机关事业单位基本养老保险缴费、职业年金缴费、其他工资福利支出、离休费、奖励金、住房公积金、其他对个人和家庭的补助支出。</w:t>
      </w:r>
    </w:p>
    <w:p>
      <w:pPr>
        <w:pStyle w:val="13"/>
        <w:adjustRightInd w:val="0"/>
        <w:snapToGrid w:val="0"/>
        <w:spacing w:before="0" w:line="576" w:lineRule="exact"/>
        <w:ind w:firstLine="640" w:firstLineChars="200"/>
        <w:rPr>
          <w:rFonts w:cs="仿宋_GB2312"/>
          <w:kern w:val="2"/>
          <w:sz w:val="32"/>
          <w:szCs w:val="32"/>
        </w:rPr>
      </w:pPr>
      <w:r>
        <w:rPr>
          <w:rFonts w:hint="eastAsia" w:cs="仿宋_GB2312"/>
          <w:kern w:val="2"/>
          <w:sz w:val="32"/>
          <w:szCs w:val="32"/>
        </w:rPr>
        <w:t>公用经费504000元，主要包括：办公费、印刷费、手续费、水费、电费、邮电费、差旅费、维修（护）费、租赁费、会议费、培训费、劳务费、工会经费、福利费、其他交通工具运行维护费、其他商品和服务支出。</w:t>
      </w:r>
    </w:p>
    <w:p>
      <w:pPr>
        <w:adjustRightInd w:val="0"/>
        <w:snapToGrid w:val="0"/>
        <w:spacing w:line="576" w:lineRule="exact"/>
        <w:ind w:left="0"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3"/>
        <w:adjustRightInd w:val="0"/>
        <w:snapToGrid w:val="0"/>
        <w:spacing w:before="0" w:line="576" w:lineRule="exact"/>
        <w:ind w:firstLine="640" w:firstLineChars="200"/>
        <w:rPr>
          <w:rFonts w:cs="仿宋_GB2312"/>
          <w:kern w:val="2"/>
          <w:sz w:val="32"/>
          <w:szCs w:val="32"/>
        </w:rPr>
      </w:pPr>
      <w:r>
        <w:rPr>
          <w:rFonts w:hint="eastAsia" w:cs="仿宋_GB2312"/>
          <w:kern w:val="2"/>
          <w:sz w:val="32"/>
          <w:szCs w:val="32"/>
        </w:rPr>
        <w:t>2022年“三公”经费财政拨款预算数49280元，其中：因</w:t>
      </w:r>
      <w:r>
        <w:rPr>
          <w:sz w:val="32"/>
          <w:szCs w:val="32"/>
        </w:rPr>
        <w:t>无因公出国（境）经费，</w:t>
      </w:r>
      <w:r>
        <w:rPr>
          <w:rFonts w:hint="eastAsia" w:cs="仿宋_GB2312"/>
          <w:kern w:val="2"/>
          <w:sz w:val="32"/>
          <w:szCs w:val="32"/>
        </w:rPr>
        <w:t>公务接待费9280元，公务用车购置及运行维护费40000元。</w:t>
      </w:r>
    </w:p>
    <w:p>
      <w:pPr>
        <w:adjustRightInd w:val="0"/>
        <w:snapToGrid w:val="0"/>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13"/>
        <w:adjustRightInd w:val="0"/>
        <w:snapToGrid w:val="0"/>
        <w:spacing w:before="0" w:line="576" w:lineRule="exact"/>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kern w:val="2"/>
          <w:sz w:val="32"/>
          <w:szCs w:val="32"/>
        </w:rPr>
        <w:t>9280</w:t>
      </w:r>
      <w:r>
        <w:rPr>
          <w:rFonts w:hint="eastAsia" w:cs="仿宋_GB2312"/>
          <w:color w:val="000000"/>
          <w:kern w:val="2"/>
          <w:sz w:val="32"/>
          <w:szCs w:val="32"/>
        </w:rPr>
        <w:t>元。较2021年预算经费</w:t>
      </w:r>
      <w:r>
        <w:rPr>
          <w:rFonts w:hint="eastAsia" w:cs="宋体"/>
          <w:sz w:val="32"/>
          <w:szCs w:val="32"/>
        </w:rPr>
        <w:t>增加</w:t>
      </w:r>
      <w:r>
        <w:rPr>
          <w:rFonts w:hint="eastAsia" w:cs="宋体"/>
          <w:sz w:val="32"/>
          <w:szCs w:val="32"/>
          <w:lang w:val="en-US" w:eastAsia="zh-CN"/>
        </w:rPr>
        <w:t>160</w:t>
      </w:r>
      <w:r>
        <w:rPr>
          <w:rFonts w:hint="eastAsia" w:cs="仿宋_GB2312"/>
          <w:color w:val="000000"/>
          <w:kern w:val="2"/>
          <w:sz w:val="32"/>
          <w:szCs w:val="32"/>
        </w:rPr>
        <w:t>元，</w:t>
      </w:r>
      <w:r>
        <w:rPr>
          <w:sz w:val="32"/>
          <w:szCs w:val="32"/>
        </w:rPr>
        <w:t>主要原因是：</w:t>
      </w:r>
      <w:r>
        <w:rPr>
          <w:rFonts w:hint="eastAsia" w:cs="仿宋_GB2312"/>
          <w:color w:val="000000"/>
          <w:kern w:val="2"/>
          <w:sz w:val="32"/>
          <w:szCs w:val="32"/>
          <w:lang w:eastAsia="zh-CN"/>
        </w:rPr>
        <w:t>人员增加。</w:t>
      </w:r>
    </w:p>
    <w:p>
      <w:pPr>
        <w:pStyle w:val="13"/>
        <w:adjustRightInd w:val="0"/>
        <w:snapToGrid w:val="0"/>
        <w:spacing w:before="0" w:line="576" w:lineRule="exact"/>
        <w:ind w:left="0" w:firstLine="640" w:firstLineChars="200"/>
        <w:rPr>
          <w:rFonts w:eastAsia="仿宋_GB2312" w:cs="仿宋_GB2312"/>
          <w:color w:val="000000"/>
          <w:kern w:val="2"/>
          <w:sz w:val="32"/>
          <w:szCs w:val="32"/>
          <w:lang w:val="en-US" w:eastAsia="zh-CN"/>
        </w:rPr>
      </w:pPr>
      <w:r>
        <w:rPr>
          <w:rFonts w:hint="eastAsia" w:cs="仿宋_GB2312"/>
          <w:color w:val="000000"/>
          <w:kern w:val="2"/>
          <w:sz w:val="32"/>
          <w:szCs w:val="32"/>
        </w:rPr>
        <w:t>（三）2022年公务用车购置及运行维护费</w:t>
      </w:r>
      <w:r>
        <w:rPr>
          <w:rFonts w:hint="eastAsia" w:cs="仿宋_GB2312"/>
          <w:kern w:val="2"/>
          <w:sz w:val="32"/>
          <w:szCs w:val="32"/>
        </w:rPr>
        <w:t>40000</w:t>
      </w:r>
      <w:r>
        <w:rPr>
          <w:rFonts w:hint="eastAsia" w:cs="仿宋_GB2312"/>
          <w:color w:val="000000"/>
          <w:kern w:val="2"/>
          <w:sz w:val="32"/>
          <w:szCs w:val="32"/>
        </w:rPr>
        <w:t>元。较2021年预算经费</w:t>
      </w:r>
      <w:r>
        <w:rPr>
          <w:rFonts w:hint="eastAsia" w:cs="宋体"/>
          <w:sz w:val="32"/>
          <w:szCs w:val="32"/>
        </w:rPr>
        <w:t>增加</w:t>
      </w:r>
      <w:r>
        <w:rPr>
          <w:rFonts w:hint="eastAsia" w:cs="宋体"/>
          <w:sz w:val="32"/>
          <w:szCs w:val="32"/>
          <w:lang w:val="en-US" w:eastAsia="zh-CN"/>
        </w:rPr>
        <w:t>0元。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3"/>
        <w:adjustRightInd w:val="0"/>
        <w:snapToGrid w:val="0"/>
        <w:spacing w:before="0" w:line="576" w:lineRule="exact"/>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13"/>
        <w:adjustRightInd w:val="0"/>
        <w:snapToGrid w:val="0"/>
        <w:spacing w:before="0" w:line="576" w:lineRule="exact"/>
        <w:ind w:firstLine="640" w:firstLineChars="200"/>
        <w:rPr>
          <w:rFonts w:ascii="黑体" w:eastAsia="黑体"/>
          <w:sz w:val="32"/>
          <w:szCs w:val="32"/>
        </w:rPr>
      </w:pPr>
      <w:r>
        <w:rPr>
          <w:rFonts w:hint="eastAsia" w:ascii="黑体" w:eastAsia="黑体"/>
          <w:sz w:val="32"/>
          <w:szCs w:val="32"/>
        </w:rPr>
        <w:t>九、其他重要事项的情况说明</w:t>
      </w:r>
    </w:p>
    <w:p>
      <w:pPr>
        <w:adjustRightInd w:val="0"/>
        <w:snapToGrid w:val="0"/>
        <w:spacing w:line="576"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adjustRightInd w:val="0"/>
        <w:snapToGrid w:val="0"/>
        <w:spacing w:line="576" w:lineRule="exact"/>
        <w:ind w:firstLine="640" w:firstLineChars="200"/>
        <w:rPr>
          <w:rFonts w:ascii="仿宋_GB2312" w:eastAsia="仿宋_GB2312"/>
          <w:color w:val="auto"/>
          <w:sz w:val="32"/>
          <w:szCs w:val="32"/>
        </w:rPr>
      </w:pPr>
      <w:bookmarkStart w:id="0" w:name="_GoBack"/>
      <w:r>
        <w:rPr>
          <w:rFonts w:ascii="仿宋_GB2312" w:eastAsia="仿宋_GB2312"/>
          <w:color w:val="auto"/>
          <w:sz w:val="32"/>
          <w:szCs w:val="32"/>
        </w:rPr>
        <w:t>20</w:t>
      </w:r>
      <w:r>
        <w:rPr>
          <w:rFonts w:hint="eastAsia" w:ascii="仿宋_GB2312" w:eastAsia="仿宋_GB2312"/>
          <w:color w:val="auto"/>
          <w:sz w:val="32"/>
          <w:szCs w:val="32"/>
        </w:rPr>
        <w:t>22</w:t>
      </w:r>
      <w:r>
        <w:rPr>
          <w:rFonts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320000</w:t>
      </w:r>
      <w:r>
        <w:rPr>
          <w:rFonts w:ascii="仿宋_GB2312" w:eastAsia="仿宋_GB2312"/>
          <w:color w:val="auto"/>
          <w:sz w:val="32"/>
          <w:szCs w:val="32"/>
        </w:rPr>
        <w:t>元，比</w:t>
      </w:r>
      <w:r>
        <w:rPr>
          <w:rFonts w:hint="eastAsia" w:ascii="仿宋_GB2312" w:eastAsia="仿宋_GB2312"/>
          <w:color w:val="auto"/>
          <w:sz w:val="32"/>
          <w:szCs w:val="32"/>
        </w:rPr>
        <w:t>2021</w:t>
      </w:r>
      <w:r>
        <w:rPr>
          <w:rFonts w:ascii="仿宋_GB2312" w:eastAsia="仿宋_GB2312"/>
          <w:color w:val="auto"/>
          <w:sz w:val="32"/>
          <w:szCs w:val="32"/>
        </w:rPr>
        <w:t>年预算增加</w:t>
      </w:r>
      <w:r>
        <w:rPr>
          <w:rFonts w:hint="eastAsia" w:ascii="仿宋_GB2312" w:eastAsia="仿宋_GB2312"/>
          <w:color w:val="auto"/>
          <w:sz w:val="32"/>
          <w:szCs w:val="32"/>
          <w:lang w:val="en-US" w:eastAsia="zh-CN"/>
        </w:rPr>
        <w:t>320000元,</w:t>
      </w:r>
      <w:r>
        <w:rPr>
          <w:rFonts w:ascii="仿宋_GB2312" w:eastAsia="仿宋_GB2312"/>
          <w:color w:val="auto"/>
          <w:sz w:val="32"/>
          <w:szCs w:val="32"/>
        </w:rPr>
        <w:t>主要原因是：</w:t>
      </w:r>
      <w:r>
        <w:rPr>
          <w:rFonts w:hint="eastAsia" w:ascii="仿宋_GB2312" w:eastAsia="仿宋_GB2312"/>
          <w:color w:val="auto"/>
          <w:sz w:val="32"/>
          <w:szCs w:val="32"/>
          <w:lang w:val="en-US" w:eastAsia="zh-CN"/>
        </w:rPr>
        <w:t>2022年</w:t>
      </w:r>
      <w:r>
        <w:rPr>
          <w:rFonts w:hint="eastAsia" w:ascii="仿宋_GB2312" w:eastAsia="仿宋_GB2312"/>
          <w:color w:val="auto"/>
          <w:sz w:val="32"/>
          <w:szCs w:val="32"/>
          <w:lang w:eastAsia="zh-CN"/>
        </w:rPr>
        <w:t>行政事业分开核算</w:t>
      </w:r>
      <w:r>
        <w:rPr>
          <w:rFonts w:ascii="仿宋_GB2312" w:eastAsia="仿宋_GB2312"/>
          <w:color w:val="auto"/>
          <w:sz w:val="32"/>
          <w:szCs w:val="32"/>
        </w:rPr>
        <w:t>。</w:t>
      </w:r>
    </w:p>
    <w:bookmarkEnd w:id="0"/>
    <w:p>
      <w:pPr>
        <w:pStyle w:val="13"/>
        <w:numPr>
          <w:ilvl w:val="0"/>
          <w:numId w:val="2"/>
        </w:numPr>
        <w:adjustRightInd w:val="0"/>
        <w:snapToGrid w:val="0"/>
        <w:spacing w:before="0" w:line="576" w:lineRule="exact"/>
        <w:ind w:left="0" w:firstLine="643" w:firstLineChars="200"/>
        <w:rPr>
          <w:rFonts w:hint="eastAsia" w:cs="仿宋_GB2312"/>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2022年安排政府采购预算</w:t>
      </w:r>
      <w:r>
        <w:rPr>
          <w:rFonts w:hint="eastAsia" w:cs="仿宋_GB2312"/>
          <w:color w:val="000000"/>
          <w:kern w:val="2"/>
          <w:sz w:val="32"/>
          <w:szCs w:val="32"/>
          <w:lang w:val="en-US" w:eastAsia="zh-CN"/>
        </w:rPr>
        <w:t>25000</w:t>
      </w:r>
      <w:r>
        <w:rPr>
          <w:rFonts w:hint="eastAsia" w:cs="仿宋_GB2312"/>
          <w:color w:val="000000"/>
          <w:kern w:val="2"/>
          <w:sz w:val="32"/>
          <w:szCs w:val="32"/>
        </w:rPr>
        <w:t>元，主要</w:t>
      </w:r>
      <w:r>
        <w:rPr>
          <w:rFonts w:hint="eastAsia" w:cs="仿宋_GB2312"/>
          <w:kern w:val="2"/>
          <w:sz w:val="32"/>
          <w:szCs w:val="32"/>
        </w:rPr>
        <w:t>用于</w:t>
      </w:r>
      <w:r>
        <w:rPr>
          <w:rFonts w:hint="eastAsia" w:cs="仿宋_GB2312"/>
          <w:kern w:val="2"/>
          <w:sz w:val="32"/>
          <w:szCs w:val="32"/>
          <w:lang w:eastAsia="zh-CN"/>
        </w:rPr>
        <w:t>办公家具、办公设备购买。</w:t>
      </w:r>
    </w:p>
    <w:p>
      <w:pPr>
        <w:pStyle w:val="13"/>
        <w:adjustRightInd w:val="0"/>
        <w:snapToGrid w:val="0"/>
        <w:spacing w:before="0" w:line="576" w:lineRule="exact"/>
        <w:ind w:left="0"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adjustRightInd w:val="0"/>
        <w:snapToGrid w:val="0"/>
        <w:spacing w:line="576"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3459269.93</w:t>
      </w:r>
      <w:r>
        <w:rPr>
          <w:rFonts w:ascii="仿宋_GB2312" w:eastAsia="仿宋_GB2312"/>
          <w:sz w:val="32"/>
          <w:szCs w:val="32"/>
        </w:rPr>
        <w:t>元，其中：房屋</w:t>
      </w:r>
      <w:r>
        <w:rPr>
          <w:rFonts w:hint="eastAsia" w:ascii="仿宋_GB2312" w:eastAsia="仿宋_GB2312"/>
          <w:sz w:val="32"/>
          <w:szCs w:val="32"/>
          <w:lang w:val="en-US" w:eastAsia="zh-CN"/>
        </w:rPr>
        <w:t>4706.71</w:t>
      </w:r>
      <w:r>
        <w:rPr>
          <w:rFonts w:ascii="仿宋_GB2312" w:eastAsia="仿宋_GB2312"/>
          <w:sz w:val="32"/>
          <w:szCs w:val="32"/>
        </w:rPr>
        <w:t>平方米，价值</w:t>
      </w:r>
      <w:r>
        <w:rPr>
          <w:rFonts w:hint="eastAsia" w:ascii="仿宋_GB2312" w:eastAsia="仿宋_GB2312"/>
          <w:sz w:val="32"/>
          <w:szCs w:val="32"/>
          <w:lang w:val="en-US" w:eastAsia="zh-CN"/>
        </w:rPr>
        <w:t>1727214.43</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183865</w:t>
      </w:r>
      <w:r>
        <w:rPr>
          <w:rFonts w:ascii="仿宋_GB2312" w:eastAsia="仿宋_GB2312"/>
          <w:sz w:val="32"/>
          <w:szCs w:val="32"/>
        </w:rPr>
        <w:t>元；其他固定资产</w:t>
      </w:r>
      <w:r>
        <w:rPr>
          <w:rFonts w:hint="eastAsia" w:ascii="仿宋_GB2312" w:eastAsia="仿宋_GB2312"/>
          <w:sz w:val="32"/>
          <w:szCs w:val="32"/>
          <w:lang w:val="en-US" w:eastAsia="zh-CN"/>
        </w:rPr>
        <w:t>1548190.5</w:t>
      </w:r>
      <w:r>
        <w:rPr>
          <w:rFonts w:ascii="仿宋_GB2312" w:eastAsia="仿宋_GB2312"/>
          <w:sz w:val="32"/>
          <w:szCs w:val="32"/>
        </w:rPr>
        <w:t>元。</w:t>
      </w:r>
    </w:p>
    <w:p>
      <w:pPr>
        <w:adjustRightInd w:val="0"/>
        <w:snapToGrid w:val="0"/>
        <w:spacing w:line="576" w:lineRule="exact"/>
        <w:ind w:firstLine="643"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2022年项目支出均按要求实行绩效目标管理，涉及项目</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个，一般公共预算当年拨款2148100元。</w:t>
      </w:r>
    </w:p>
    <w:p>
      <w:pPr>
        <w:pStyle w:val="13"/>
        <w:adjustRightInd w:val="0"/>
        <w:snapToGrid w:val="0"/>
        <w:spacing w:before="0" w:line="576" w:lineRule="exact"/>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adjustRightInd w:val="0"/>
        <w:snapToGrid w:val="0"/>
        <w:spacing w:line="576"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2E4DD"/>
    <w:multiLevelType w:val="singleLevel"/>
    <w:tmpl w:val="D772E4DD"/>
    <w:lvl w:ilvl="0" w:tentative="0">
      <w:start w:val="3"/>
      <w:numFmt w:val="chineseCounting"/>
      <w:suff w:val="nothing"/>
      <w:lvlText w:val="（%1）"/>
      <w:lvlJc w:val="left"/>
      <w:pPr>
        <w:ind w:left="0" w:firstLine="0"/>
      </w:pPr>
      <w:rPr>
        <w:rFonts w:hint="eastAsia"/>
      </w:rPr>
    </w:lvl>
  </w:abstractNum>
  <w:abstractNum w:abstractNumId="1">
    <w:nsid w:val="7FA89DBC"/>
    <w:multiLevelType w:val="singleLevel"/>
    <w:tmpl w:val="7FA89DBC"/>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mY5N2UzMDE0NjliMjk5Mjc5M2NhNjZlODNjNjgxZDgifQ=="/>
  </w:docVars>
  <w:rsids>
    <w:rsidRoot w:val="00000000"/>
    <w:rsid w:val="01A4698D"/>
    <w:rsid w:val="028458A5"/>
    <w:rsid w:val="07DD49A7"/>
    <w:rsid w:val="08E31AEA"/>
    <w:rsid w:val="09E55D95"/>
    <w:rsid w:val="0F85156A"/>
    <w:rsid w:val="11006AAC"/>
    <w:rsid w:val="117E4C3C"/>
    <w:rsid w:val="155812D9"/>
    <w:rsid w:val="18062254"/>
    <w:rsid w:val="1A324423"/>
    <w:rsid w:val="1F177BC1"/>
    <w:rsid w:val="24D54E2B"/>
    <w:rsid w:val="3EBFC0F4"/>
    <w:rsid w:val="51FED7AB"/>
    <w:rsid w:val="528D3EA0"/>
    <w:rsid w:val="53B82429"/>
    <w:rsid w:val="55652EB2"/>
    <w:rsid w:val="5EFA7CCD"/>
    <w:rsid w:val="5F13572D"/>
    <w:rsid w:val="7F3D43D5"/>
    <w:rsid w:val="7F7D58EC"/>
    <w:rsid w:val="9D4B5CFF"/>
    <w:rsid w:val="BA7B23C6"/>
    <w:rsid w:val="E9F71EFB"/>
    <w:rsid w:val="FE734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index 8"/>
    <w:basedOn w:val="1"/>
    <w:next w:val="1"/>
    <w:qFormat/>
    <w:uiPriority w:val="0"/>
    <w:pPr>
      <w:ind w:left="2940"/>
    </w:pPr>
  </w:style>
  <w:style w:type="paragraph" w:styleId="7">
    <w:name w:val="Body Text"/>
    <w:basedOn w:val="1"/>
    <w:next w:val="6"/>
    <w:qFormat/>
    <w:uiPriority w:val="0"/>
    <w:rPr>
      <w:rFonts w:ascii="仿宋_GB2312" w:eastAsia="仿宋_GB2312" w:cs="仿宋_GB2312"/>
      <w:sz w:val="32"/>
      <w:szCs w:val="32"/>
      <w:lang w:val="zh-CN" w:bidi="zh-C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3202</Words>
  <Characters>3733</Characters>
  <Lines>201</Lines>
  <Paragraphs>66</Paragraphs>
  <TotalTime>2</TotalTime>
  <ScaleCrop>false</ScaleCrop>
  <LinksUpToDate>false</LinksUpToDate>
  <CharactersWithSpaces>3795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2022-03-23T20:39:00Z</cp:lastPrinted>
  <dcterms:modified xsi:type="dcterms:W3CDTF">2023-09-21T03:13:56Z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90E6487D3FFD4624B15D945A7D4D6993</vt:lpwstr>
  </property>
</Properties>
</file>