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987CA">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06267"/>
      <w:bookmarkStart w:id="2" w:name="_Toc15378441"/>
      <w:bookmarkStart w:id="3" w:name="_Toc15396475"/>
      <w:bookmarkStart w:id="4" w:name="_Toc15377193"/>
      <w:bookmarkStart w:id="5" w:name="_Toc15377425"/>
    </w:p>
    <w:p w14:paraId="49B1A2E4">
      <w:pPr>
        <w:pStyle w:val="7"/>
        <w:rPr>
          <w:rFonts w:hint="eastAsia" w:ascii="Times New Roman" w:hAnsi="Times New Roman" w:eastAsia="方正小标宋简体" w:cs="Times New Roman"/>
          <w:color w:val="auto"/>
          <w:kern w:val="2"/>
          <w:sz w:val="72"/>
          <w:szCs w:val="72"/>
          <w:highlight w:val="none"/>
          <w:lang w:val="en-US" w:eastAsia="zh-CN" w:bidi="ar-SA"/>
        </w:rPr>
      </w:pPr>
    </w:p>
    <w:p w14:paraId="35E225BC">
      <w:pPr>
        <w:pStyle w:val="7"/>
        <w:rPr>
          <w:rFonts w:hint="eastAsia" w:ascii="Times New Roman" w:hAnsi="Times New Roman" w:eastAsia="方正小标宋简体" w:cs="Times New Roman"/>
          <w:color w:val="auto"/>
          <w:kern w:val="2"/>
          <w:sz w:val="72"/>
          <w:szCs w:val="72"/>
          <w:highlight w:val="none"/>
          <w:lang w:val="en-US" w:eastAsia="zh-CN" w:bidi="ar-SA"/>
        </w:rPr>
      </w:pPr>
    </w:p>
    <w:p w14:paraId="71902F81">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highlight w:val="none"/>
          <w:lang w:val="en-US" w:eastAsia="zh-CN"/>
          <w14:textFill>
            <w14:solidFill>
              <w14:schemeClr w14:val="tx1"/>
            </w14:solidFill>
          </w14:textFill>
        </w:rPr>
        <w:t>4</w:t>
      </w:r>
      <w:r>
        <w:rPr>
          <w:rFonts w:ascii="方正小标宋简体" w:hAnsi="方正小标宋简体" w:eastAsia="方正小标宋简体" w:cs="方正小标宋简体"/>
          <w:color w:val="000000"/>
          <w:sz w:val="44"/>
          <w:highlight w:val="none"/>
          <w:u w:color="auto"/>
        </w:rPr>
        <w:t>年度</w:t>
      </w:r>
    </w:p>
    <w:p w14:paraId="159CA7EC">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bookmarkStart w:id="6" w:name="_Toc15378442"/>
      <w:bookmarkStart w:id="7" w:name="_Toc15306268"/>
      <w:bookmarkStart w:id="8" w:name="_Toc15396476"/>
      <w:bookmarkStart w:id="9" w:name="_Toc15377426"/>
      <w:bookmarkStart w:id="10" w:name="_Toc15396598"/>
      <w:bookmarkStart w:id="11" w:name="_Toc15377194"/>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阿坝州茂县</w:t>
      </w:r>
      <w:r>
        <w:rPr>
          <w:rFonts w:hint="eastAsia" w:ascii="方正小标宋简体" w:hAnsi="方正小标宋简体" w:eastAsia="方正小标宋简体" w:cs="方正小标宋简体"/>
          <w:b w:val="0"/>
          <w:bCs/>
          <w:color w:val="000000" w:themeColor="text1"/>
          <w:sz w:val="44"/>
          <w:szCs w:val="44"/>
          <w:highlight w:val="none"/>
          <w:lang w:eastAsia="zh-CN"/>
          <w14:textFill>
            <w14:solidFill>
              <w14:schemeClr w14:val="tx1"/>
            </w14:solidFill>
          </w14:textFill>
        </w:rPr>
        <w:t>渭门</w:t>
      </w: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镇人民政府</w:t>
      </w:r>
    </w:p>
    <w:p w14:paraId="325D995F">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eastAsia" w:ascii="思源黑体 CN Normal" w:hAnsi="思源黑体 CN Normal" w:eastAsia="方正小标宋简体" w:cs="思源黑体 CN Normal"/>
          <w:b w:val="0"/>
          <w:bCs/>
          <w:color w:val="000000" w:themeColor="text1"/>
          <w:sz w:val="44"/>
          <w:szCs w:val="44"/>
          <w:highlight w:val="none"/>
          <w:lang w:val="en-US" w:eastAsia="zh-CN"/>
          <w14:textFill>
            <w14:solidFill>
              <w14:schemeClr w14:val="tx1"/>
            </w14:solidFill>
          </w14:textFill>
        </w:rPr>
      </w:pPr>
      <w:r>
        <w:rPr>
          <w:rFonts w:ascii="方正小标宋简体" w:hAnsi="方正小标宋简体" w:eastAsia="方正小标宋简体" w:cs="方正小标宋简体"/>
          <w:color w:val="000000"/>
          <w:sz w:val="44"/>
          <w:highlight w:val="none"/>
          <w:u w:color="auto"/>
        </w:rPr>
        <w:t>单位决算</w:t>
      </w:r>
      <w:bookmarkEnd w:id="6"/>
      <w:bookmarkEnd w:id="7"/>
      <w:bookmarkEnd w:id="8"/>
      <w:bookmarkEnd w:id="9"/>
      <w:bookmarkEnd w:id="10"/>
      <w:bookmarkEnd w:id="11"/>
      <w:r>
        <w:rPr>
          <w:rFonts w:hint="eastAsia" w:ascii="方正小标宋简体" w:hAnsi="方正小标宋简体" w:eastAsia="方正小标宋简体" w:cs="方正小标宋简体"/>
          <w:color w:val="000000"/>
          <w:sz w:val="44"/>
          <w:highlight w:val="none"/>
          <w:u w:color="auto"/>
          <w:lang w:val="en-US" w:eastAsia="zh-CN"/>
        </w:rPr>
        <w:t>(事业）</w:t>
      </w:r>
    </w:p>
    <w:p w14:paraId="027CBD89">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51392D9D">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3FBC3895">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551E59F7">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041E155B">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0101F2A5">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2A55C423">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100D42E0">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7FCD1472">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0DB46902">
      <w:pPr>
        <w:pStyle w:val="7"/>
        <w:jc w:val="both"/>
        <w:rPr>
          <w:rFonts w:hint="eastAsia" w:ascii="Times New Roman" w:hAnsi="Times New Roman" w:eastAsia="方正小标宋简体" w:cs="Times New Roman"/>
          <w:color w:val="auto"/>
          <w:kern w:val="2"/>
          <w:sz w:val="44"/>
          <w:szCs w:val="44"/>
          <w:highlight w:val="none"/>
          <w:lang w:val="en-US" w:eastAsia="zh-CN" w:bidi="ar-SA"/>
        </w:rPr>
      </w:pPr>
    </w:p>
    <w:p w14:paraId="34FC5FB6">
      <w:pPr>
        <w:pStyle w:val="7"/>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66EBFFF6">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56F70385">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p w14:paraId="5DD39873">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9899"/>
        <w15:color w:val="DBDBDB"/>
        <w:docPartObj>
          <w:docPartGallery w:val="Table of Contents"/>
          <w:docPartUnique/>
        </w:docPartObj>
      </w:sdtPr>
      <w:sdtEndPr>
        <w:rPr>
          <w:rFonts w:hint="eastAsia" w:ascii="宋体" w:hAnsi="宋体" w:eastAsia="宋体" w:cs="宋体"/>
          <w:kern w:val="2"/>
          <w:sz w:val="21"/>
          <w:szCs w:val="24"/>
          <w:lang w:val="en-US" w:eastAsia="zh-CN" w:bidi="ar-SA"/>
        </w:rPr>
      </w:sdtEndPr>
      <w:sdtContent>
        <w:p w14:paraId="2B6E6408">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color w:val="000000" w:themeColor="text1"/>
              <w:sz w:val="32"/>
              <w:szCs w:val="32"/>
              <w14:textFill>
                <w14:solidFill>
                  <w14:schemeClr w14:val="tx1"/>
                </w14:solidFill>
              </w14:textFill>
            </w:rPr>
            <w:instrText xml:space="preserve"> TOC \o "1-2" \h \z \u </w:instrText>
          </w:r>
          <w:r>
            <w:rPr>
              <w:rFonts w:hint="eastAsia" w:ascii="宋体" w:hAnsi="宋体" w:eastAsia="宋体" w:cs="宋体"/>
              <w:smallCaps/>
              <w:color w:val="000000" w:themeColor="text1"/>
              <w:sz w:val="32"/>
              <w:szCs w:val="32"/>
              <w14:textFill>
                <w14:solidFill>
                  <w14:schemeClr w14:val="tx1"/>
                </w14:solidFill>
              </w14:textFill>
            </w:rPr>
            <w:fldChar w:fldCharType="separate"/>
          </w: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_Toc13668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第一部分</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eastAsia="zh-CN"/>
            </w:rPr>
            <w:t>单位</w:t>
          </w:r>
          <w:r>
            <w:rPr>
              <w:rFonts w:hint="eastAsia" w:ascii="宋体" w:hAnsi="宋体" w:eastAsia="宋体" w:cs="宋体"/>
              <w:bCs w:val="0"/>
              <w:sz w:val="32"/>
              <w:szCs w:val="32"/>
              <w:highlight w:val="none"/>
            </w:rPr>
            <w:t>概况</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_Toc13668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10588A0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_Toc24652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部门职责</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_Toc24652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3832F7A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_Toc11609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二、机</w:t>
          </w:r>
          <w:r>
            <w:rPr>
              <w:rFonts w:hint="eastAsia" w:ascii="宋体" w:hAnsi="宋体" w:eastAsia="宋体" w:cs="宋体"/>
              <w:bCs w:val="0"/>
              <w:sz w:val="32"/>
              <w:szCs w:val="32"/>
              <w:highlight w:val="none"/>
            </w:rPr>
            <w:t>构设置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_Toc11609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51A3FA3E">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_Toc1169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第二部分</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 xml:space="preserve"> </w:t>
          </w:r>
          <w:r>
            <w:rPr>
              <w:rFonts w:hint="eastAsia" w:ascii="宋体" w:hAnsi="宋体" w:eastAsia="宋体" w:cs="宋体"/>
              <w:sz w:val="32"/>
              <w:szCs w:val="32"/>
              <w:highlight w:val="none"/>
              <w:lang w:val="en-US" w:eastAsia="zh-CN"/>
            </w:rPr>
            <w:t>2024年度</w:t>
          </w:r>
          <w:r>
            <w:rPr>
              <w:rFonts w:hint="eastAsia" w:ascii="宋体" w:hAnsi="宋体" w:eastAsia="宋体" w:cs="宋体"/>
              <w:sz w:val="32"/>
              <w:szCs w:val="32"/>
              <w:highlight w:val="none"/>
            </w:rPr>
            <w:t>部门决算情况说明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_Toc1169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2E6DEF9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_Toc3265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lang w:eastAsia="zh-CN"/>
            </w:rPr>
            <w:t>一、</w:t>
          </w:r>
          <w:r>
            <w:rPr>
              <w:rFonts w:hint="eastAsia" w:ascii="宋体" w:hAnsi="宋体" w:eastAsia="宋体" w:cs="宋体"/>
              <w:sz w:val="32"/>
              <w:szCs w:val="32"/>
              <w:highlight w:val="none"/>
            </w:rPr>
            <w:t>收入支出决算总体情况说明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_Toc3265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726064C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mallCaps/>
              <w:color w:val="000000" w:themeColor="text1"/>
              <w:sz w:val="32"/>
              <w:szCs w:val="32"/>
              <w14:textFill>
                <w14:solidFill>
                  <w14:schemeClr w14:val="tx1"/>
                </w14:solidFill>
              </w14:textFill>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_Toc12249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lang w:eastAsia="zh-CN"/>
            </w:rPr>
            <w:t>二、收入决算情况说明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_Toc12249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6BCD67E7">
          <w:pPr>
            <w:rPr>
              <w:rFonts w:hint="default" w:eastAsia="宋体"/>
              <w:lang w:val="en-US" w:eastAsia="zh-CN"/>
            </w:rPr>
          </w:pPr>
          <w:r>
            <w:rPr>
              <w:rFonts w:hint="eastAsia" w:ascii="宋体" w:hAnsi="宋体" w:cs="宋体"/>
              <w:smallCaps/>
              <w:color w:val="000000" w:themeColor="text1"/>
              <w:sz w:val="32"/>
              <w:szCs w:val="32"/>
              <w:lang w:val="en-US" w:eastAsia="zh-CN"/>
              <w14:textFill>
                <w14:solidFill>
                  <w14:schemeClr w14:val="tx1"/>
                </w14:solidFill>
              </w14:textFill>
            </w:rPr>
            <w:t xml:space="preserve">   三、支出决算情况说明............................ 3</w:t>
          </w:r>
        </w:p>
        <w:p w14:paraId="2662BD6B">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_Toc26608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四、财政拨款收入支出决算总体情况说明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_Toc26608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6D0571E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mallCaps/>
              <w:color w:val="000000" w:themeColor="text1"/>
              <w:sz w:val="32"/>
              <w:szCs w:val="32"/>
              <w14:textFill>
                <w14:solidFill>
                  <w14:schemeClr w14:val="tx1"/>
                </w14:solidFill>
              </w14:textFill>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_Toc29644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五、一般公共预算财政拨款支出决算情况说明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_Toc29644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53DEE8C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mallCaps/>
              <w:color w:val="000000" w:themeColor="text1"/>
              <w:sz w:val="32"/>
              <w:szCs w:val="32"/>
              <w14:textFill>
                <w14:solidFill>
                  <w14:schemeClr w14:val="tx1"/>
                </w14:solidFill>
              </w14:textFill>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_Toc22430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六、一般公共预算财政拨款基本支出决算情况说明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_Toc22430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5EEB0F7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_Toc25827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七、财政拨款“三公”经费支出决算情况说明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_Toc25827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7D39258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_Toc11768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rPr>
            <w:t>八、政府性基金预算支出决算情况说明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_Toc11768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54AAE23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mallCaps/>
              <w:color w:val="000000" w:themeColor="text1"/>
              <w:sz w:val="32"/>
              <w:szCs w:val="32"/>
              <w14:textFill>
                <w14:solidFill>
                  <w14:schemeClr w14:val="tx1"/>
                </w14:solidFill>
              </w14:textFill>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_Toc24735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lang w:eastAsia="zh-CN"/>
            </w:rPr>
            <w:t>九、</w:t>
          </w:r>
          <w:r>
            <w:rPr>
              <w:rFonts w:hint="eastAsia" w:ascii="宋体" w:hAnsi="宋体" w:eastAsia="宋体" w:cs="宋体"/>
              <w:sz w:val="32"/>
              <w:szCs w:val="32"/>
              <w:highlight w:val="none"/>
            </w:rPr>
            <w:t>国有资本经营预算支出决算情况说明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_Toc24735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3ADF739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_Toc9112 </w:instrText>
          </w:r>
          <w:r>
            <w:rPr>
              <w:rFonts w:hint="eastAsia" w:ascii="宋体" w:hAnsi="宋体" w:eastAsia="宋体" w:cs="宋体"/>
              <w:smallCaps/>
              <w:sz w:val="32"/>
              <w:szCs w:val="32"/>
            </w:rPr>
            <w:fldChar w:fldCharType="separate"/>
          </w: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其他重要事项的情况说明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_Toc9112 \h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mallCaps/>
              <w:color w:val="000000" w:themeColor="text1"/>
              <w:sz w:val="32"/>
              <w:szCs w:val="32"/>
              <w14:textFill>
                <w14:solidFill>
                  <w14:schemeClr w14:val="tx1"/>
                </w14:solidFill>
              </w14:textFill>
            </w:rPr>
            <w:fldChar w:fldCharType="end"/>
          </w:r>
        </w:p>
        <w:p w14:paraId="0C30D60E">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_Toc7186 </w:instrText>
          </w:r>
          <w:r>
            <w:rPr>
              <w:rFonts w:hint="eastAsia" w:ascii="宋体" w:hAnsi="宋体" w:eastAsia="宋体" w:cs="宋体"/>
              <w:smallCaps/>
              <w:sz w:val="32"/>
              <w:szCs w:val="32"/>
            </w:rPr>
            <w:fldChar w:fldCharType="separate"/>
          </w:r>
          <w:r>
            <w:rPr>
              <w:rFonts w:hint="eastAsia" w:ascii="宋体" w:hAnsi="宋体" w:eastAsia="宋体" w:cs="宋体"/>
              <w:bCs w:val="0"/>
              <w:sz w:val="32"/>
              <w:szCs w:val="32"/>
            </w:rPr>
            <w:t>第三部分</w:t>
          </w:r>
          <w:r>
            <w:rPr>
              <w:rFonts w:hint="eastAsia" w:ascii="宋体" w:hAnsi="宋体" w:eastAsia="宋体" w:cs="宋体"/>
              <w:bCs w:val="0"/>
              <w:sz w:val="32"/>
              <w:szCs w:val="32"/>
              <w:lang w:val="en-US" w:eastAsia="zh-CN"/>
            </w:rPr>
            <w:t xml:space="preserve"> </w:t>
          </w:r>
          <w:r>
            <w:rPr>
              <w:rFonts w:hint="eastAsia" w:ascii="宋体" w:hAnsi="宋体" w:eastAsia="宋体" w:cs="宋体"/>
              <w:bCs w:val="0"/>
              <w:sz w:val="32"/>
              <w:szCs w:val="32"/>
            </w:rPr>
            <w:t>名词解释</w:t>
          </w:r>
          <w:r>
            <w:rPr>
              <w:rFonts w:hint="eastAsia" w:ascii="宋体" w:hAnsi="宋体" w:eastAsia="宋体" w:cs="宋体"/>
              <w:sz w:val="32"/>
              <w:szCs w:val="32"/>
            </w:rPr>
            <w:tab/>
          </w:r>
          <w:r>
            <w:rPr>
              <w:rFonts w:hint="eastAsia" w:ascii="宋体" w:hAnsi="宋体" w:eastAsia="宋体" w:cs="宋体"/>
              <w:sz w:val="32"/>
              <w:szCs w:val="32"/>
              <w:lang w:val="en-US" w:eastAsia="zh-CN"/>
            </w:rPr>
            <w:t>1</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eastAsia="宋体" w:cs="宋体"/>
              <w:smallCaps/>
              <w:color w:val="000000" w:themeColor="text1"/>
              <w:sz w:val="32"/>
              <w:szCs w:val="32"/>
              <w:lang w:val="en-US" w:eastAsia="zh-CN"/>
              <w14:textFill>
                <w14:solidFill>
                  <w14:schemeClr w14:val="tx1"/>
                </w14:solidFill>
              </w14:textFill>
            </w:rPr>
            <w:t>0</w:t>
          </w:r>
        </w:p>
        <w:p w14:paraId="16BDB8F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_Toc14312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第四部分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附件</w:t>
          </w:r>
          <w:r>
            <w:rPr>
              <w:rFonts w:hint="eastAsia" w:ascii="宋体" w:hAnsi="宋体" w:eastAsia="宋体" w:cs="宋体"/>
              <w:sz w:val="32"/>
              <w:szCs w:val="32"/>
            </w:rPr>
            <w:tab/>
          </w:r>
          <w:r>
            <w:rPr>
              <w:rFonts w:hint="eastAsia" w:ascii="宋体" w:hAnsi="宋体" w:eastAsia="宋体" w:cs="宋体"/>
              <w:sz w:val="32"/>
              <w:szCs w:val="32"/>
              <w:lang w:val="en-US" w:eastAsia="zh-CN"/>
            </w:rPr>
            <w:t>.</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eastAsia="宋体" w:cs="宋体"/>
              <w:smallCaps/>
              <w:color w:val="000000" w:themeColor="text1"/>
              <w:sz w:val="32"/>
              <w:szCs w:val="32"/>
              <w:lang w:val="en-US" w:eastAsia="zh-CN"/>
              <w14:textFill>
                <w14:solidFill>
                  <w14:schemeClr w14:val="tx1"/>
                </w14:solidFill>
              </w14:textFill>
            </w:rPr>
            <w:t>14</w:t>
          </w:r>
        </w:p>
        <w:p w14:paraId="7790D13B">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_Toc15650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第五部分 附表</w:t>
          </w:r>
          <w:r>
            <w:rPr>
              <w:rFonts w:hint="eastAsia" w:ascii="宋体" w:hAnsi="宋体" w:eastAsia="宋体" w:cs="宋体"/>
              <w:sz w:val="32"/>
              <w:szCs w:val="32"/>
            </w:rPr>
            <w:tab/>
          </w:r>
          <w:r>
            <w:rPr>
              <w:rFonts w:hint="eastAsia" w:ascii="宋体" w:hAnsi="宋体" w:eastAsia="宋体" w:cs="宋体"/>
              <w:sz w:val="32"/>
              <w:szCs w:val="32"/>
              <w:lang w:val="en-US" w:eastAsia="zh-CN"/>
            </w:rPr>
            <w:t>1</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eastAsia="宋体" w:cs="宋体"/>
              <w:smallCaps/>
              <w:color w:val="000000" w:themeColor="text1"/>
              <w:sz w:val="32"/>
              <w:szCs w:val="32"/>
              <w:lang w:val="en-US" w:eastAsia="zh-CN"/>
              <w14:textFill>
                <w14:solidFill>
                  <w14:schemeClr w14:val="tx1"/>
                </w14:solidFill>
              </w14:textFill>
            </w:rPr>
            <w:t>5</w:t>
          </w:r>
        </w:p>
        <w:p w14:paraId="7AB38E7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_Toc5071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一、收入支出决算总表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p>
        <w:p w14:paraId="2083367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_Toc17549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二、收入决算表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p>
        <w:p w14:paraId="6F4816A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_Toc13293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三、支出决算表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p>
        <w:p w14:paraId="43B70EC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_Toc16687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四、财政拨款收入支出决算总表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p>
        <w:p w14:paraId="175CED0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_Toc9911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五、财政拨款支出决算明细表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p>
        <w:p w14:paraId="2F929BC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_Toc12266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六、一般公共预算财政拨款支出决算表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p>
        <w:p w14:paraId="3BF532B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_Toc482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七、一般公共预算财政拨款支出决算明细表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p>
        <w:p w14:paraId="71D22E6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_Toc12915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八、一般公共预算财政拨款基本支出决算表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p>
        <w:p w14:paraId="2AC60D9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_Toc8130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九、一般公共预算财政拨款项目支出决算表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p>
        <w:p w14:paraId="0D35ECC3">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_Toc17278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十、政府性基金预算财政拨款收入支出决算表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p>
        <w:p w14:paraId="3973605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_Toc6976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十一、国有资本经营预算</w:t>
          </w:r>
          <w:r>
            <w:rPr>
              <w:rFonts w:hint="eastAsia" w:ascii="宋体" w:hAnsi="宋体" w:eastAsia="宋体" w:cs="宋体"/>
              <w:sz w:val="32"/>
              <w:szCs w:val="32"/>
              <w:lang w:eastAsia="zh-CN"/>
            </w:rPr>
            <w:t>财政拨款收入</w:t>
          </w:r>
          <w:r>
            <w:rPr>
              <w:rFonts w:hint="eastAsia" w:ascii="宋体" w:hAnsi="宋体" w:eastAsia="宋体" w:cs="宋体"/>
              <w:sz w:val="32"/>
              <w:szCs w:val="32"/>
            </w:rPr>
            <w:t>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p>
        <w:p w14:paraId="037E9D1C">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_Toc31048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十二、</w:t>
          </w:r>
          <w:r>
            <w:rPr>
              <w:rFonts w:hint="eastAsia" w:ascii="宋体" w:hAnsi="宋体" w:eastAsia="宋体" w:cs="宋体"/>
              <w:sz w:val="32"/>
              <w:szCs w:val="32"/>
              <w:lang w:eastAsia="zh-CN"/>
            </w:rPr>
            <w:t>国有资本经营预算财政拨款支出决算表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p>
        <w:p w14:paraId="581CFEB6">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default" w:ascii="宋体" w:hAnsi="宋体" w:eastAsia="宋体" w:cs="宋体"/>
              <w:sz w:val="32"/>
              <w:szCs w:val="32"/>
              <w:lang w:val="en-US" w:eastAsia="zh-CN"/>
            </w:rPr>
          </w:pPr>
          <w:r>
            <w:rPr>
              <w:rFonts w:hint="eastAsia" w:ascii="宋体" w:hAnsi="宋体" w:eastAsia="宋体" w:cs="宋体"/>
              <w:smallCaps/>
              <w:color w:val="000000" w:themeColor="text1"/>
              <w:sz w:val="32"/>
              <w:szCs w:val="32"/>
              <w14:textFill>
                <w14:solidFill>
                  <w14:schemeClr w14:val="tx1"/>
                </w14:solidFill>
              </w14:textFill>
            </w:rPr>
            <w:fldChar w:fldCharType="begin"/>
          </w:r>
          <w:r>
            <w:rPr>
              <w:rFonts w:hint="eastAsia" w:ascii="宋体" w:hAnsi="宋体" w:eastAsia="宋体" w:cs="宋体"/>
              <w:smallCaps/>
              <w:sz w:val="32"/>
              <w:szCs w:val="32"/>
            </w:rPr>
            <w:instrText xml:space="preserve"> HYPERLINK \l _Toc25782 </w:instrText>
          </w:r>
          <w:r>
            <w:rPr>
              <w:rFonts w:hint="eastAsia" w:ascii="宋体" w:hAnsi="宋体" w:eastAsia="宋体" w:cs="宋体"/>
              <w:smallCaps/>
              <w:sz w:val="32"/>
              <w:szCs w:val="32"/>
            </w:rPr>
            <w:fldChar w:fldCharType="separate"/>
          </w:r>
          <w:r>
            <w:rPr>
              <w:rFonts w:hint="eastAsia" w:ascii="宋体" w:hAnsi="宋体" w:eastAsia="宋体" w:cs="宋体"/>
              <w:sz w:val="32"/>
              <w:szCs w:val="32"/>
            </w:rPr>
            <w:t>十三、</w:t>
          </w:r>
          <w:r>
            <w:rPr>
              <w:rFonts w:hint="eastAsia" w:ascii="宋体" w:hAnsi="宋体" w:eastAsia="宋体" w:cs="宋体"/>
              <w:sz w:val="32"/>
              <w:szCs w:val="32"/>
              <w:lang w:eastAsia="zh-CN"/>
            </w:rPr>
            <w:t>财政拨款“三公”经费支出决算表</w:t>
          </w:r>
          <w:r>
            <w:rPr>
              <w:rFonts w:hint="eastAsia" w:ascii="宋体" w:hAnsi="宋体" w:eastAsia="宋体" w:cs="宋体"/>
              <w:smallCaps/>
              <w:color w:val="000000" w:themeColor="text1"/>
              <w:sz w:val="32"/>
              <w:szCs w:val="32"/>
              <w14:textFill>
                <w14:solidFill>
                  <w14:schemeClr w14:val="tx1"/>
                </w14:solidFill>
              </w14:textFill>
            </w:rPr>
            <w:fldChar w:fldCharType="end"/>
          </w:r>
          <w:r>
            <w:rPr>
              <w:rFonts w:hint="eastAsia" w:ascii="宋体" w:hAnsi="宋体" w:cs="宋体"/>
              <w:smallCaps/>
              <w:color w:val="000000" w:themeColor="text1"/>
              <w:sz w:val="32"/>
              <w:szCs w:val="32"/>
              <w:lang w:val="en-US" w:eastAsia="zh-CN"/>
              <w14:textFill>
                <w14:solidFill>
                  <w14:schemeClr w14:val="tx1"/>
                </w14:solidFill>
              </w14:textFill>
            </w:rPr>
            <w:t>...........15</w:t>
          </w:r>
          <w:bookmarkStart w:id="90" w:name="_GoBack"/>
          <w:bookmarkEnd w:id="90"/>
        </w:p>
        <w:p w14:paraId="2EE709D3">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hAnsi="宋体" w:eastAsia="宋体" w:cs="宋体"/>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smallCaps/>
              <w:color w:val="000000" w:themeColor="text1"/>
              <w:sz w:val="32"/>
              <w:szCs w:val="32"/>
              <w14:textFill>
                <w14:solidFill>
                  <w14:schemeClr w14:val="tx1"/>
                </w14:solidFill>
              </w14:textFill>
            </w:rPr>
            <w:fldChar w:fldCharType="end"/>
          </w:r>
        </w:p>
      </w:sdtContent>
    </w:sdt>
    <w:p w14:paraId="44FF9F9C">
      <w:pPr>
        <w:pStyle w:val="3"/>
        <w:jc w:val="center"/>
        <w:rPr>
          <w:rStyle w:val="31"/>
          <w:rFonts w:hint="eastAsia" w:ascii="黑体" w:hAnsi="黑体" w:eastAsia="黑体" w:cs="黑体"/>
          <w:b/>
          <w:bCs w:val="0"/>
          <w:color w:val="auto"/>
          <w:highlight w:val="none"/>
        </w:rPr>
      </w:pPr>
      <w:bookmarkStart w:id="12" w:name="_Toc13668"/>
      <w:bookmarkStart w:id="13" w:name="_Toc29552"/>
      <w:r>
        <w:rPr>
          <w:rFonts w:hint="eastAsia" w:ascii="黑体" w:hAnsi="黑体" w:eastAsia="黑体" w:cs="黑体"/>
          <w:b w:val="0"/>
          <w:color w:val="auto"/>
          <w:highlight w:val="none"/>
        </w:rPr>
        <w:t>第一部分</w:t>
      </w:r>
      <w:r>
        <w:rPr>
          <w:rFonts w:hint="eastAsia" w:ascii="黑体" w:hAnsi="黑体" w:eastAsia="黑体" w:cs="黑体"/>
          <w:b w:val="0"/>
          <w:color w:val="auto"/>
          <w:highlight w:val="none"/>
          <w:lang w:val="en-US" w:eastAsia="zh-CN"/>
        </w:rPr>
        <w:t xml:space="preserve"> </w:t>
      </w:r>
      <w:r>
        <w:rPr>
          <w:rFonts w:hint="eastAsia" w:ascii="黑体" w:hAnsi="黑体" w:eastAsia="黑体" w:cs="黑体"/>
          <w:b w:val="0"/>
          <w:color w:val="auto"/>
          <w:highlight w:val="none"/>
        </w:rPr>
        <w:t xml:space="preserve"> </w:t>
      </w:r>
      <w:r>
        <w:rPr>
          <w:rFonts w:hint="eastAsia" w:ascii="黑体" w:hAnsi="黑体" w:eastAsia="黑体" w:cs="黑体"/>
          <w:b w:val="0"/>
          <w:color w:val="auto"/>
          <w:highlight w:val="none"/>
          <w:lang w:eastAsia="zh-CN"/>
        </w:rPr>
        <w:t>单位</w:t>
      </w:r>
      <w:r>
        <w:rPr>
          <w:rStyle w:val="31"/>
          <w:rFonts w:hint="eastAsia" w:ascii="黑体" w:hAnsi="黑体" w:eastAsia="黑体" w:cs="黑体"/>
          <w:b w:val="0"/>
          <w:bCs w:val="0"/>
          <w:color w:val="auto"/>
          <w:highlight w:val="none"/>
        </w:rPr>
        <w:t>概况</w:t>
      </w:r>
      <w:bookmarkEnd w:id="12"/>
      <w:bookmarkEnd w:id="13"/>
    </w:p>
    <w:p w14:paraId="4FC934D1">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Times New Roman" w:hAnsi="Times New Roman" w:eastAsia="黑体"/>
          <w:b w:val="0"/>
          <w:color w:val="auto"/>
          <w:highlight w:val="none"/>
          <w:lang w:eastAsia="zh-CN"/>
        </w:rPr>
      </w:pPr>
      <w:bookmarkStart w:id="14" w:name="_Toc15396600"/>
      <w:bookmarkStart w:id="15" w:name="_Toc15377197"/>
      <w:bookmarkStart w:id="16" w:name="_Toc14982"/>
      <w:bookmarkStart w:id="17" w:name="_Toc24652"/>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bookmarkEnd w:id="16"/>
      <w:bookmarkEnd w:id="17"/>
    </w:p>
    <w:p w14:paraId="4A646C59">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　</w:t>
      </w:r>
    </w:p>
    <w:p w14:paraId="1E5FC671">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Times New Roman" w:hAnsi="Times New Roman" w:eastAsia="黑体"/>
          <w:b w:val="0"/>
          <w:color w:val="auto"/>
          <w:highlight w:val="none"/>
          <w:lang w:eastAsia="zh-CN"/>
        </w:rPr>
      </w:pPr>
      <w:bookmarkStart w:id="18" w:name="_Toc15377200"/>
      <w:bookmarkStart w:id="19" w:name="_Toc15396601"/>
      <w:bookmarkStart w:id="20" w:name="_Toc9555"/>
      <w:bookmarkStart w:id="21" w:name="_Toc11609"/>
      <w:r>
        <w:rPr>
          <w:rFonts w:hint="eastAsia" w:ascii="Times New Roman" w:hAnsi="Times New Roman" w:eastAsia="黑体"/>
          <w:b w:val="0"/>
          <w:color w:val="auto"/>
          <w:highlight w:val="none"/>
          <w:lang w:eastAsia="zh-CN"/>
        </w:rPr>
        <w:t>二、机构设置</w:t>
      </w:r>
      <w:bookmarkEnd w:id="18"/>
      <w:bookmarkEnd w:id="19"/>
      <w:bookmarkEnd w:id="20"/>
      <w:bookmarkEnd w:id="21"/>
    </w:p>
    <w:p w14:paraId="143E9EC9">
      <w:pPr>
        <w:pStyle w:val="17"/>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茂县</w:t>
      </w:r>
      <w:r>
        <w:rPr>
          <w:rFonts w:hint="eastAsia" w:ascii="仿宋_GB2312" w:hAnsi="仿宋_GB2312" w:eastAsia="仿宋_GB2312" w:cs="仿宋_GB2312"/>
          <w:b w:val="0"/>
          <w:bCs w:val="0"/>
          <w:color w:val="000000"/>
          <w:sz w:val="32"/>
          <w:szCs w:val="32"/>
          <w:lang w:eastAsia="zh-CN"/>
        </w:rPr>
        <w:t>渭门</w:t>
      </w:r>
      <w:r>
        <w:rPr>
          <w:rFonts w:hint="eastAsia" w:ascii="仿宋_GB2312" w:hAnsi="仿宋_GB2312" w:eastAsia="仿宋_GB2312" w:cs="仿宋_GB2312"/>
          <w:b w:val="0"/>
          <w:bCs w:val="0"/>
          <w:color w:val="000000"/>
          <w:sz w:val="32"/>
          <w:szCs w:val="32"/>
        </w:rPr>
        <w:t>镇人民政府属于行政单位，下属行政单位0个，其中内设机构</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个，（1）党政办公室，（2）党建工作办公室，（3）社会事务经济发展和乡村振兴办公室，（4）社会治理和维护稳定办公室，（5）应急管理办公室，（6）综合行政执法和生态环境办公室，（7）财政办公室</w:t>
      </w:r>
      <w:r>
        <w:rPr>
          <w:rFonts w:hint="eastAsia" w:ascii="仿宋_GB2312" w:hAnsi="仿宋_GB2312" w:eastAsia="仿宋_GB2312" w:cs="仿宋_GB2312"/>
          <w:b w:val="0"/>
          <w:bCs w:val="0"/>
          <w:color w:val="000000"/>
          <w:sz w:val="32"/>
          <w:szCs w:val="32"/>
          <w:lang w:eastAsia="zh-CN"/>
        </w:rPr>
        <w:t>。</w:t>
      </w:r>
    </w:p>
    <w:p w14:paraId="03E95DD2">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E9F18A7">
      <w:pPr>
        <w:pStyle w:val="3"/>
        <w:jc w:val="center"/>
        <w:rPr>
          <w:rFonts w:hint="eastAsia" w:ascii="Times New Roman" w:hAnsi="Times New Roman" w:eastAsia="方正小标宋简体" w:cs="方正小标宋简体"/>
          <w:b w:val="0"/>
          <w:color w:val="auto"/>
          <w:highlight w:val="none"/>
        </w:rPr>
      </w:pPr>
      <w:bookmarkStart w:id="22" w:name="_Toc1169"/>
      <w:bookmarkStart w:id="23" w:name="_Toc15377204"/>
      <w:bookmarkStart w:id="24" w:name="_Toc15396602"/>
      <w:bookmarkStart w:id="25" w:name="_Toc15730"/>
      <w:r>
        <w:rPr>
          <w:rFonts w:hint="eastAsia" w:ascii="方正小标宋简体" w:hAnsi="方正小标宋简体" w:eastAsia="方正小标宋简体" w:cs="方正小标宋简体"/>
          <w:b w:val="0"/>
          <w:color w:val="auto"/>
          <w:highlight w:val="none"/>
        </w:rPr>
        <w:t>第二部分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Fonts w:hint="eastAsia" w:ascii="方正小标宋简体" w:hAnsi="方正小标宋简体" w:eastAsia="方正小标宋简体" w:cs="方正小标宋简体"/>
          <w:b w:val="0"/>
          <w:color w:val="auto"/>
          <w:highlight w:val="none"/>
          <w:lang w:val="en-US" w:eastAsia="zh-CN"/>
        </w:rPr>
        <w:t>2024年度</w:t>
      </w:r>
      <w:r>
        <w:rPr>
          <w:rFonts w:hint="eastAsia" w:ascii="方正小标宋简体" w:hAnsi="方正小标宋简体" w:eastAsia="方正小标宋简体" w:cs="方正小标宋简体"/>
          <w:b w:val="0"/>
          <w:color w:val="auto"/>
          <w:highlight w:val="none"/>
        </w:rPr>
        <w:t>部门决算情况说明</w:t>
      </w:r>
      <w:bookmarkEnd w:id="22"/>
      <w:bookmarkEnd w:id="23"/>
      <w:bookmarkEnd w:id="24"/>
      <w:bookmarkEnd w:id="25"/>
    </w:p>
    <w:p w14:paraId="7CDB0F94">
      <w:pPr>
        <w:rPr>
          <w:rFonts w:ascii="Times New Roman" w:hAnsi="Times New Roman"/>
          <w:color w:val="auto"/>
          <w:highlight w:val="none"/>
        </w:rPr>
      </w:pPr>
    </w:p>
    <w:p w14:paraId="5E01245B">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2"/>
          <w:rFonts w:hint="eastAsia" w:ascii="Times New Roman" w:hAnsi="Times New Roman" w:eastAsia="黑体"/>
          <w:b w:val="0"/>
          <w:color w:val="auto"/>
          <w:highlight w:val="none"/>
        </w:rPr>
      </w:pPr>
      <w:bookmarkStart w:id="26" w:name="_Toc15377205"/>
      <w:bookmarkStart w:id="27" w:name="_Toc3265"/>
      <w:bookmarkStart w:id="28" w:name="_Toc15396603"/>
      <w:bookmarkStart w:id="29" w:name="_Toc24950"/>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26"/>
      <w:bookmarkEnd w:id="27"/>
      <w:bookmarkEnd w:id="28"/>
      <w:bookmarkEnd w:id="29"/>
    </w:p>
    <w:p w14:paraId="4136DB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color w:val="auto"/>
          <w:sz w:val="32"/>
          <w:szCs w:val="32"/>
          <w:highlight w:val="none"/>
          <w:lang w:eastAsia="zh-CN"/>
        </w:rPr>
        <w:t>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lang w:val="en-US" w:eastAsia="zh-CN"/>
        </w:rPr>
        <w:t>305.31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较</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sz w:val="32"/>
          <w:szCs w:val="32"/>
          <w:lang w:val="en-US" w:eastAsia="zh-CN"/>
        </w:rPr>
        <w:t>63.89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17.30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:2024年人员减少导致费用减少</w:t>
      </w:r>
      <w:r>
        <w:rPr>
          <w:rFonts w:hint="eastAsia" w:ascii="仿宋_GB2312" w:hAnsi="仿宋_GB2312" w:eastAsia="仿宋_GB2312" w:cs="仿宋_GB2312"/>
          <w:color w:val="000000"/>
          <w:sz w:val="32"/>
          <w:szCs w:val="32"/>
          <w:lang w:eastAsia="zh-CN"/>
        </w:rPr>
        <w:t>。</w:t>
      </w:r>
    </w:p>
    <w:p w14:paraId="2A4636A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3249930</wp:posOffset>
                </wp:positionH>
                <wp:positionV relativeFrom="paragraph">
                  <wp:posOffset>2697480</wp:posOffset>
                </wp:positionV>
                <wp:extent cx="1149985" cy="325755"/>
                <wp:effectExtent l="0" t="0" r="12065" b="17145"/>
                <wp:wrapNone/>
                <wp:docPr id="5" name="文本框 5"/>
                <wp:cNvGraphicFramePr/>
                <a:graphic xmlns:a="http://schemas.openxmlformats.org/drawingml/2006/main">
                  <a:graphicData uri="http://schemas.microsoft.com/office/word/2010/wordprocessingShape">
                    <wps:wsp>
                      <wps:cNvSpPr txBox="1"/>
                      <wps:spPr>
                        <a:xfrm>
                          <a:off x="4392930" y="6157595"/>
                          <a:ext cx="1149985" cy="3257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122E826">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9pt;margin-top:212.4pt;height:25.65pt;width:90.55pt;z-index:251659264;mso-width-relative:page;mso-height-relative:page;" fillcolor="#FFFFFF [3201]" filled="t" stroked="f" coordsize="21600,21600" o:gfxdata="UEsDBAoAAAAAAIdO4kAAAAAAAAAAAAAAAAAEAAAAZHJzL1BLAwQUAAAACACHTuJAuBtK+dYAAAAL&#10;AQAADwAAAGRycy9kb3ducmV2LnhtbE2PzU7DMBCE70i8g7VI3KjjKAQa4vSAxBWJtvTsxkscYa+j&#10;2P19epYT3HZnRzPftqtz8OKIcxojaVCLAgRSH+1Ig4bt5u3hGUTKhqzxkVDDBROsutub1jQ2nugD&#10;j+s8CA6h1BgNLuepkTL1DoNJizgh8e0rzsFkXudB2tmcODx4WRZFLYMZiRucmfDVYf+9PgQNuyFc&#10;d59qmp0NvqL362WzjaPW93eqeAGR8Zz/zPCLz+jQMdM+Hsgm4TU8KsXoWUNVVjywo16WSxB7Vp5q&#10;BbJr5f8fuh9QSwMEFAAAAAgAh07iQNLcx4BcAgAAmwQAAA4AAABkcnMvZTJvRG9jLnhtbK1UzW4T&#10;MRC+I/EOlu9k89s2UTZVSBSEVNFKAXF2vN6sJdtjbCe75QHgDXriwp3nynMw9iZtKBx6IIfN2PPt&#10;NzPfzOz0utGK7IXzEkxOe50uJcJwKKTZ5vTTx9WbK0p8YKZgCozI6b3w9Hr2+tW0thPRhwpUIRxB&#10;EuMntc1pFYKdZJnnldDMd8AKg84SnGYBj26bFY7VyK5V1u92L7IaXGEdcOE93i5bJz0yupcQQllK&#10;LpbAd1qY0LI6oVjAknwlraezlG1ZCh5uy9KLQFROsdKQnhgE7U18ZrMpm2wds5XkxxTYS1J4VpNm&#10;0mDQR6olC4zsnPyLSkvuwEMZOhx01haSFMEqet1n2qwrZkWqBaX29lF0//9o+Yf9nSOyyOmIEsM0&#10;Nvzw8P3w49fh5zcyivLU1k8QtbaIC81baHBoTvceL2PVTel0/Md6CPqHg3F/PECJ73N60RtdjsaJ&#10;iU1EEwiPBL3heHyFETkiBn1EJED2xGSdD+8EaBKNnDpsZNKX7W98wKwQeoLEwB6ULFZSqXRw281C&#10;ObJn2PRV+sWE8ZU/YMqQGvMbjLqJ2UB8v8Upg/BYeFtgtEKzaY5qbKC4RzEctNPkLV9JzPKG+XDH&#10;HI4PVo4LFm7xUSrAIHC0KKnAff3XfcRjV9FLSY3jmFP/ZcecoES9N9jvcW84jPObDsPRZR8P7tyz&#10;OfeYnV4AFt/DVbY8mREf1MksHejPuIfzGBVdzHCMndNwMhehXRLcYy7m8wTCibUs3Ji15ZE6Sm1g&#10;vgtQytSSKFOrzVE9nNkk+3G/4lKcnxPq6Zs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4G0r5&#10;1gAAAAsBAAAPAAAAAAAAAAEAIAAAACIAAABkcnMvZG93bnJldi54bWxQSwECFAAUAAAACACHTuJA&#10;0tzHgFwCAACbBAAADgAAAAAAAAABACAAAAAlAQAAZHJzL2Uyb0RvYy54bWxQSwUGAAAAAAYABgBZ&#10;AQAA8wUAAAAA&#10;">
                <v:fill on="t" focussize="0,0"/>
                <v:stroke on="f" weight="0.5pt"/>
                <v:imagedata o:title=""/>
                <o:lock v:ext="edit" aspectratio="f"/>
                <v:textbox>
                  <w:txbxContent>
                    <w:p w14:paraId="1122E826">
                      <w:pPr>
                        <w:rPr>
                          <w:rFonts w:hint="eastAsia" w:eastAsia="宋体"/>
                          <w:lang w:eastAsia="zh-CN"/>
                        </w:rPr>
                      </w:pPr>
                      <w:r>
                        <w:rPr>
                          <w:rFonts w:hint="eastAsia"/>
                          <w:lang w:eastAsia="zh-CN"/>
                        </w:rPr>
                        <w:t>单位：万元</w:t>
                      </w:r>
                    </w:p>
                  </w:txbxContent>
                </v:textbox>
              </v:shape>
            </w:pict>
          </mc:Fallback>
        </mc:AlternateContent>
      </w:r>
      <w:r>
        <w:rPr>
          <w:rFonts w:hint="eastAsia" w:ascii="Times New Roman" w:hAnsi="Times New Roman" w:eastAsia="仿宋_GB2312" w:cs="仿宋_GB2312"/>
          <w:color w:val="auto"/>
          <w:sz w:val="32"/>
          <w:szCs w:val="32"/>
          <w:highlight w:val="none"/>
          <w:lang w:eastAsia="zh-CN"/>
        </w:rPr>
        <w:drawing>
          <wp:inline distT="0" distB="0" distL="114300" distR="114300">
            <wp:extent cx="6504305" cy="3149600"/>
            <wp:effectExtent l="4445" t="5080" r="635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73EC73">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0" w:name="_Toc15396604"/>
      <w:bookmarkStart w:id="31" w:name="_Toc12249"/>
      <w:bookmarkStart w:id="32" w:name="_Toc3700"/>
      <w:bookmarkStart w:id="33" w:name="_Toc15377206"/>
      <w:r>
        <w:rPr>
          <w:rFonts w:hint="eastAsia" w:ascii="Times New Roman" w:hAnsi="Times New Roman" w:eastAsia="黑体"/>
          <w:color w:val="auto"/>
          <w:sz w:val="32"/>
          <w:szCs w:val="32"/>
          <w:highlight w:val="none"/>
          <w:lang w:eastAsia="zh-CN"/>
        </w:rPr>
        <w:t>二、收入决算情况说明</w:t>
      </w:r>
      <w:bookmarkEnd w:id="30"/>
      <w:bookmarkEnd w:id="31"/>
      <w:bookmarkEnd w:id="32"/>
      <w:bookmarkEnd w:id="33"/>
    </w:p>
    <w:p w14:paraId="7E8F5A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bookmarkStart w:id="34" w:name="_Toc6780"/>
      <w:bookmarkStart w:id="35" w:name="_Toc9223"/>
      <w:bookmarkStart w:id="36" w:name="_Toc25034"/>
      <w:bookmarkStart w:id="37" w:name="_Toc5396"/>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lang w:val="en-US" w:eastAsia="zh-CN"/>
        </w:rPr>
        <w:t>305.31</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305.31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color w:val="auto"/>
          <w:sz w:val="32"/>
          <w:szCs w:val="32"/>
          <w:highlight w:val="none"/>
          <w:lang w:eastAsia="zh-CN"/>
        </w:rPr>
        <w:t>%</w:t>
      </w:r>
      <w:bookmarkEnd w:id="34"/>
      <w:bookmarkEnd w:id="35"/>
      <w:bookmarkEnd w:id="36"/>
      <w:bookmarkEnd w:id="37"/>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Times New Roman"/>
          <w:sz w:val="32"/>
          <w:szCs w:val="32"/>
          <w:lang w:eastAsia="zh-CN"/>
        </w:rPr>
        <w:t>政府性基金预算财政拨款收入</w:t>
      </w:r>
      <w:r>
        <w:rPr>
          <w:rFonts w:hint="eastAsia" w:ascii="Times New Roman" w:hAnsi="Times New Roman" w:eastAsia="仿宋_GB2312" w:cs="Times New Roman"/>
          <w:sz w:val="32"/>
          <w:szCs w:val="32"/>
          <w:lang w:val="en-US" w:eastAsia="zh-CN"/>
        </w:rPr>
        <w:t>0万元，占0%。</w:t>
      </w:r>
    </w:p>
    <w:p w14:paraId="6C45438C">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008E26B8">
      <w:pPr>
        <w:ind w:firstLine="800" w:firstLineChars="250"/>
        <w:rPr>
          <w:rFonts w:hint="eastAsia" w:ascii="Times New Roman" w:hAnsi="Times New Roman" w:eastAsia="仿宋_GB2312" w:cs="仿宋_GB2312"/>
          <w:color w:val="auto"/>
          <w:sz w:val="32"/>
          <w:szCs w:val="32"/>
          <w:highlight w:val="none"/>
          <w:lang w:eastAsia="zh-CN"/>
        </w:rPr>
      </w:pPr>
    </w:p>
    <w:p w14:paraId="0727DE39">
      <w:pPr>
        <w:ind w:firstLine="800" w:firstLineChars="250"/>
        <w:rPr>
          <w:rFonts w:hint="eastAsia" w:ascii="Times New Roman" w:hAnsi="Times New Roman" w:eastAsia="仿宋_GB2312" w:cs="仿宋_GB2312"/>
          <w:color w:val="auto"/>
          <w:sz w:val="32"/>
          <w:szCs w:val="32"/>
          <w:highlight w:val="none"/>
          <w:lang w:eastAsia="zh-CN"/>
        </w:rPr>
      </w:pPr>
    </w:p>
    <w:p w14:paraId="55F15DDE">
      <w:pPr>
        <w:rPr>
          <w:rFonts w:hint="eastAsia" w:ascii="Times New Roman" w:hAnsi="Times New Roman" w:eastAsia="仿宋_GB2312" w:cs="仿宋_GB2312"/>
          <w:color w:val="auto"/>
          <w:sz w:val="32"/>
          <w:szCs w:val="32"/>
          <w:highlight w:val="none"/>
          <w:lang w:eastAsia="zh-CN"/>
        </w:rPr>
      </w:pPr>
    </w:p>
    <w:p w14:paraId="7C3800CE">
      <w:pPr>
        <w:pStyle w:val="9"/>
        <w:ind w:left="0" w:leftChars="0" w:firstLine="0" w:firstLineChars="0"/>
        <w:rPr>
          <w:rFonts w:hint="eastAsia"/>
          <w:lang w:eastAsia="zh-CN"/>
        </w:rPr>
      </w:pPr>
      <w:r>
        <w:rPr>
          <w:rFonts w:hint="eastAsia"/>
          <w:lang w:eastAsia="zh-CN"/>
        </w:rPr>
        <w:drawing>
          <wp:inline distT="0" distB="0" distL="114300" distR="114300">
            <wp:extent cx="6475730" cy="3150235"/>
            <wp:effectExtent l="4445" t="4445" r="15875" b="762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6A010C">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Style w:val="32"/>
          <w:rFonts w:hint="eastAsia" w:ascii="Times New Roman" w:hAnsi="Times New Roman" w:eastAsia="黑体"/>
          <w:b w:val="0"/>
          <w:color w:val="auto"/>
          <w:highlight w:val="none"/>
        </w:rPr>
      </w:pPr>
      <w:bookmarkStart w:id="38" w:name="_Toc15377207"/>
      <w:bookmarkStart w:id="39" w:name="_Toc15396605"/>
      <w:bookmarkStart w:id="40" w:name="_Toc15823"/>
      <w:bookmarkStart w:id="41" w:name="_Toc10376"/>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38"/>
      <w:bookmarkEnd w:id="39"/>
      <w:bookmarkEnd w:id="40"/>
      <w:bookmarkEnd w:id="41"/>
    </w:p>
    <w:p w14:paraId="5CB1501A">
      <w:pPr>
        <w:pStyle w:val="3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1"/>
        <w:rPr>
          <w:rFonts w:hint="default" w:ascii="Times New Roman" w:hAnsi="Times New Roman" w:eastAsia="仿宋_GB2312" w:cs="仿宋_GB2312"/>
          <w:color w:val="auto"/>
          <w:sz w:val="32"/>
          <w:szCs w:val="32"/>
          <w:highlight w:val="none"/>
          <w:lang w:val="en-US" w:eastAsia="zh-CN"/>
        </w:rPr>
      </w:pPr>
      <w:bookmarkStart w:id="42" w:name="_Toc29053"/>
      <w:bookmarkStart w:id="43" w:name="_Toc25343"/>
      <w:bookmarkStart w:id="44" w:name="_Toc5334"/>
      <w:bookmarkStart w:id="45" w:name="_Toc8554"/>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lang w:val="en-US" w:eastAsia="zh-CN"/>
        </w:rPr>
        <w:t>305.31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lang w:val="en-US" w:eastAsia="zh-CN"/>
        </w:rPr>
        <w:t>305.31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sz w:val="32"/>
          <w:szCs w:val="32"/>
          <w:highlight w:val="none"/>
          <w:lang w:eastAsia="zh-CN"/>
        </w:rPr>
        <w:t>%。</w:t>
      </w:r>
      <w:bookmarkEnd w:id="42"/>
      <w:bookmarkEnd w:id="43"/>
      <w:bookmarkEnd w:id="44"/>
      <w:bookmarkEnd w:id="45"/>
    </w:p>
    <w:p w14:paraId="6BA40833">
      <w:pPr>
        <w:rPr>
          <w:rFonts w:hint="eastAsia"/>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6303645" cy="3063875"/>
            <wp:effectExtent l="4445" t="4445" r="16510" b="177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E532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rFonts w:ascii="Times New Roman" w:hAnsi="Times New Roman" w:eastAsia="黑体"/>
          <w:b w:val="0"/>
          <w:color w:val="auto"/>
          <w:highlight w:val="none"/>
        </w:rPr>
      </w:pPr>
      <w:bookmarkStart w:id="46" w:name="_Toc26608"/>
      <w:bookmarkStart w:id="47" w:name="_Toc21684"/>
      <w:bookmarkStart w:id="48" w:name="_Toc15377208"/>
      <w:bookmarkStart w:id="49" w:name="_Toc15396606"/>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46"/>
      <w:bookmarkEnd w:id="47"/>
      <w:bookmarkEnd w:id="48"/>
      <w:bookmarkEnd w:id="49"/>
    </w:p>
    <w:p w14:paraId="635920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color w:val="auto"/>
          <w:kern w:val="2"/>
          <w:sz w:val="32"/>
          <w:szCs w:val="32"/>
          <w:highlight w:val="none"/>
          <w:lang w:val="en-US" w:eastAsia="zh-CN" w:bidi="ar-SA"/>
        </w:rPr>
        <w:t>年度财政拨款收入、支出总计均为</w:t>
      </w:r>
      <w:r>
        <w:rPr>
          <w:rFonts w:hint="eastAsia" w:ascii="仿宋_GB2312" w:hAnsi="仿宋_GB2312" w:eastAsia="仿宋_GB2312" w:cs="仿宋_GB2312"/>
          <w:sz w:val="32"/>
          <w:szCs w:val="32"/>
          <w:lang w:val="en-US" w:eastAsia="zh-CN"/>
        </w:rPr>
        <w:t>305.31</w:t>
      </w:r>
      <w:r>
        <w:rPr>
          <w:rFonts w:hint="eastAsia" w:ascii="仿宋_GB2312" w:hAnsi="仿宋_GB2312" w:eastAsia="仿宋_GB2312" w:cs="仿宋_GB2312"/>
          <w:color w:val="auto"/>
          <w:kern w:val="2"/>
          <w:sz w:val="32"/>
          <w:szCs w:val="32"/>
          <w:highlight w:val="none"/>
          <w:lang w:val="en-US" w:eastAsia="zh-CN" w:bidi="ar-SA"/>
        </w:rPr>
        <w:t>万元。较2023年度相比，财政拨款收入总计、支出总计</w:t>
      </w: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sz w:val="32"/>
          <w:szCs w:val="32"/>
          <w:lang w:val="en-US" w:eastAsia="zh-CN"/>
        </w:rPr>
        <w:t>63.89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17.30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2024年人员减少导致相应经费减少。</w:t>
      </w:r>
    </w:p>
    <w:p w14:paraId="62513D39">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41275</wp:posOffset>
            </wp:positionH>
            <wp:positionV relativeFrom="paragraph">
              <wp:posOffset>-20320</wp:posOffset>
            </wp:positionV>
            <wp:extent cx="6465570" cy="2988310"/>
            <wp:effectExtent l="5080" t="4445" r="6350" b="1714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10B3E4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1F7E133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0ACE73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4C45EA5">
      <w:pPr>
        <w:spacing w:line="600" w:lineRule="exact"/>
        <w:ind w:firstLine="640" w:firstLineChars="200"/>
        <w:jc w:val="center"/>
        <w:rPr>
          <w:rFonts w:hint="eastAsia" w:ascii="Times New Roman" w:hAnsi="Times New Roman" w:eastAsia="仿宋_GB2312" w:cs="仿宋_GB2312"/>
          <w:color w:val="auto"/>
          <w:kern w:val="2"/>
          <w:sz w:val="32"/>
          <w:szCs w:val="32"/>
          <w:highlight w:val="none"/>
          <w:lang w:val="en-US" w:eastAsia="zh-CN" w:bidi="ar-SA"/>
        </w:rPr>
      </w:pPr>
    </w:p>
    <w:p w14:paraId="6384466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13198D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50370BA5">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9ED62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rFonts w:ascii="Times New Roman" w:hAnsi="Times New Roman" w:eastAsia="黑体"/>
          <w:b w:val="0"/>
          <w:color w:val="auto"/>
          <w:highlight w:val="none"/>
        </w:rPr>
      </w:pPr>
      <w:bookmarkStart w:id="50" w:name="_Toc29875"/>
      <w:bookmarkStart w:id="51" w:name="_Toc29644"/>
      <w:bookmarkStart w:id="52" w:name="_Toc15377209"/>
      <w:bookmarkStart w:id="5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50"/>
      <w:bookmarkEnd w:id="51"/>
      <w:bookmarkEnd w:id="52"/>
      <w:bookmarkEnd w:id="53"/>
    </w:p>
    <w:p w14:paraId="48833FF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54"/>
    </w:p>
    <w:p w14:paraId="4A68D5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305.31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一般公共预算财政拨款</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63.89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17.30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2024年人员减少导致相应经费减少。</w:t>
      </w:r>
    </w:p>
    <w:p w14:paraId="42093E37">
      <w:pPr>
        <w:pStyle w:val="9"/>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2336" behindDoc="0" locked="0" layoutInCell="1" allowOverlap="1">
            <wp:simplePos x="0" y="0"/>
            <wp:positionH relativeFrom="column">
              <wp:posOffset>13970</wp:posOffset>
            </wp:positionH>
            <wp:positionV relativeFrom="paragraph">
              <wp:posOffset>133350</wp:posOffset>
            </wp:positionV>
            <wp:extent cx="6466205" cy="4023360"/>
            <wp:effectExtent l="4445" t="4445" r="6350" b="1079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3B2E4AB">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96EC724">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26FFE03">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58CD87C">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CE89A0B">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682F852">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7707FE85">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2205FA9">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26C05CC">
      <w:pPr>
        <w:spacing w:line="600" w:lineRule="exact"/>
        <w:jc w:val="both"/>
        <w:rPr>
          <w:rFonts w:hint="eastAsia" w:ascii="Times New Roman" w:hAnsi="Times New Roman" w:eastAsia="仿宋_GB2312" w:cs="仿宋_GB2312"/>
          <w:color w:val="auto"/>
          <w:kern w:val="2"/>
          <w:sz w:val="32"/>
          <w:szCs w:val="32"/>
          <w:highlight w:val="none"/>
          <w:lang w:val="en-US" w:eastAsia="zh-CN" w:bidi="ar-SA"/>
        </w:rPr>
      </w:pPr>
    </w:p>
    <w:p w14:paraId="375C7C8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55"/>
    </w:p>
    <w:p w14:paraId="1A330B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lang w:val="en-US" w:eastAsia="zh-CN"/>
        </w:rPr>
        <w:t>305.31</w:t>
      </w:r>
      <w:r>
        <w:rPr>
          <w:rFonts w:hint="eastAsia" w:ascii="仿宋_GB2312" w:hAnsi="仿宋_GB2312" w:eastAsia="仿宋_GB2312" w:cs="仿宋_GB2312"/>
          <w:color w:val="auto"/>
          <w:kern w:val="2"/>
          <w:sz w:val="32"/>
          <w:szCs w:val="32"/>
          <w:highlight w:val="none"/>
          <w:lang w:val="en-US" w:eastAsia="zh-CN" w:bidi="ar-SA"/>
        </w:rPr>
        <w:t>万元，主要用于以下方面：</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25.18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8.25</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11.37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3.72</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val="en-US" w:eastAsia="zh-CN"/>
        </w:rPr>
        <w:t>252.94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82.85</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15.82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5.18</w:t>
      </w:r>
      <w:r>
        <w:rPr>
          <w:rFonts w:hint="eastAsia" w:ascii="仿宋_GB2312" w:hAnsi="仿宋_GB2312" w:eastAsia="仿宋_GB2312" w:cs="仿宋_GB2312"/>
          <w:sz w:val="32"/>
          <w:szCs w:val="32"/>
        </w:rPr>
        <w:t>%。</w:t>
      </w:r>
    </w:p>
    <w:p w14:paraId="459A3035">
      <w:pPr>
        <w:pStyle w:val="2"/>
        <w:rPr>
          <w:rFonts w:hint="eastAsia" w:ascii="仿宋_GB2312" w:hAnsi="仿宋_GB2312"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3360" behindDoc="0" locked="0" layoutInCell="1" allowOverlap="1">
            <wp:simplePos x="0" y="0"/>
            <wp:positionH relativeFrom="column">
              <wp:posOffset>108585</wp:posOffset>
            </wp:positionH>
            <wp:positionV relativeFrom="paragraph">
              <wp:posOffset>487045</wp:posOffset>
            </wp:positionV>
            <wp:extent cx="6533515" cy="4059555"/>
            <wp:effectExtent l="4445" t="4445" r="15240" b="12700"/>
            <wp:wrapNone/>
            <wp:docPr id="11" name="图表 11" descr="7b0a202020202263686172745265734964223a202232303437313338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3DA268C">
      <w:pPr>
        <w:rPr>
          <w:rFonts w:hint="eastAsia"/>
        </w:rPr>
      </w:pPr>
    </w:p>
    <w:p w14:paraId="3DEC4415">
      <w:pPr>
        <w:rPr>
          <w:rFonts w:hint="eastAsia" w:ascii="仿宋_GB2312" w:hAnsi="仿宋_GB2312" w:eastAsia="仿宋_GB2312" w:cs="仿宋_GB2312"/>
          <w:sz w:val="32"/>
          <w:szCs w:val="32"/>
        </w:rPr>
      </w:pPr>
    </w:p>
    <w:p w14:paraId="5982B99D">
      <w:pPr>
        <w:pStyle w:val="9"/>
        <w:ind w:left="0" w:leftChars="0" w:firstLine="0" w:firstLineChars="0"/>
        <w:rPr>
          <w:rFonts w:hint="eastAsia" w:ascii="仿宋_GB2312" w:hAnsi="仿宋_GB2312" w:eastAsia="仿宋_GB2312" w:cs="仿宋_GB2312"/>
          <w:sz w:val="32"/>
          <w:szCs w:val="32"/>
        </w:rPr>
      </w:pPr>
    </w:p>
    <w:p w14:paraId="29B02EB7">
      <w:pPr>
        <w:pStyle w:val="9"/>
        <w:ind w:left="0" w:leftChars="0" w:firstLine="0" w:firstLineChars="0"/>
        <w:rPr>
          <w:rFonts w:hint="eastAsia" w:ascii="仿宋_GB2312" w:hAnsi="仿宋_GB2312" w:eastAsia="仿宋_GB2312" w:cs="仿宋_GB2312"/>
          <w:sz w:val="32"/>
          <w:szCs w:val="32"/>
        </w:rPr>
      </w:pPr>
    </w:p>
    <w:p w14:paraId="5482E9E6">
      <w:pPr>
        <w:pStyle w:val="9"/>
        <w:ind w:left="0" w:leftChars="0" w:firstLine="0" w:firstLineChars="0"/>
        <w:rPr>
          <w:rFonts w:hint="eastAsia" w:ascii="仿宋_GB2312" w:hAnsi="仿宋_GB2312" w:eastAsia="仿宋_GB2312" w:cs="仿宋_GB2312"/>
          <w:sz w:val="32"/>
          <w:szCs w:val="32"/>
        </w:rPr>
      </w:pPr>
    </w:p>
    <w:p w14:paraId="33908C8F">
      <w:pPr>
        <w:rPr>
          <w:rFonts w:hint="eastAsia"/>
          <w:lang w:val="en-US" w:eastAsia="zh-CN"/>
        </w:rPr>
      </w:pPr>
    </w:p>
    <w:p w14:paraId="241F0D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79E0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8966B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C0763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8BEF6B9">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A1904D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56"/>
    </w:p>
    <w:p w14:paraId="590229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2024年度一般公共预算支出决算数为</w:t>
      </w:r>
      <w:r>
        <w:rPr>
          <w:rFonts w:hint="eastAsia" w:ascii="仿宋_GB2312" w:hAnsi="仿宋_GB2312" w:eastAsia="仿宋_GB2312" w:cs="仿宋_GB2312"/>
          <w:sz w:val="32"/>
          <w:szCs w:val="32"/>
          <w:lang w:val="en-US" w:eastAsia="zh-CN"/>
        </w:rPr>
        <w:t>305.31</w:t>
      </w:r>
      <w:r>
        <w:rPr>
          <w:rFonts w:hint="eastAsia" w:ascii="仿宋_GB2312" w:hAnsi="仿宋_GB2312" w:eastAsia="仿宋_GB2312" w:cs="仿宋_GB2312"/>
          <w:sz w:val="32"/>
          <w:szCs w:val="32"/>
        </w:rPr>
        <w:t>万元，完成预算100%。其中：</w:t>
      </w:r>
    </w:p>
    <w:p w14:paraId="1085F9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）行政事业单位养老支出（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）机关事业单位基本养老保险缴费支出（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16.79</w:t>
      </w:r>
      <w:r>
        <w:rPr>
          <w:rFonts w:hint="eastAsia" w:ascii="仿宋_GB2312" w:hAnsi="仿宋_GB2312" w:eastAsia="仿宋_GB2312" w:cs="仿宋_GB2312"/>
          <w:sz w:val="32"/>
          <w:szCs w:val="32"/>
        </w:rPr>
        <w:t>万元，完成预算100%。</w:t>
      </w:r>
    </w:p>
    <w:p w14:paraId="27BA2F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）行政事业单位养老支出（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）机关事业单位职业年金缴费支出（</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8.39</w:t>
      </w:r>
      <w:r>
        <w:rPr>
          <w:rFonts w:hint="eastAsia" w:ascii="仿宋_GB2312" w:hAnsi="仿宋_GB2312" w:eastAsia="仿宋_GB2312" w:cs="仿宋_GB2312"/>
          <w:sz w:val="32"/>
          <w:szCs w:val="32"/>
        </w:rPr>
        <w:t>万元，完成预算100%。</w:t>
      </w:r>
    </w:p>
    <w:p w14:paraId="788B01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）行政事业单位医疗（</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）行政单位医疗（</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11.37</w:t>
      </w:r>
      <w:r>
        <w:rPr>
          <w:rFonts w:hint="eastAsia" w:ascii="仿宋_GB2312" w:hAnsi="仿宋_GB2312" w:eastAsia="仿宋_GB2312" w:cs="仿宋_GB2312"/>
          <w:sz w:val="32"/>
          <w:szCs w:val="32"/>
        </w:rPr>
        <w:t>万元，完成预算100%。</w:t>
      </w:r>
    </w:p>
    <w:p w14:paraId="371494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.农林水支出（</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农业农村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事业运行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）：支出决算</w:t>
      </w:r>
      <w:r>
        <w:rPr>
          <w:rFonts w:hint="eastAsia" w:ascii="仿宋_GB2312" w:hAnsi="仿宋_GB2312" w:eastAsia="仿宋_GB2312" w:cs="仿宋_GB2312"/>
          <w:sz w:val="32"/>
          <w:szCs w:val="32"/>
          <w:lang w:val="en-US" w:eastAsia="zh-CN"/>
        </w:rPr>
        <w:t>252.94</w:t>
      </w:r>
      <w:r>
        <w:rPr>
          <w:rFonts w:hint="eastAsia" w:ascii="仿宋_GB2312" w:hAnsi="仿宋_GB2312" w:eastAsia="仿宋_GB2312" w:cs="仿宋_GB2312"/>
          <w:sz w:val="32"/>
          <w:szCs w:val="32"/>
        </w:rPr>
        <w:t>万元，完成预算100%。</w:t>
      </w:r>
    </w:p>
    <w:p w14:paraId="418284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5.住房保障支出（221）住房改革支出（02）住房公积金（01）：支出决算15.82万元，完成预算100%。</w:t>
      </w:r>
    </w:p>
    <w:p w14:paraId="362E1366">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firstLineChars="200"/>
        <w:textAlignment w:val="auto"/>
        <w:outlineLvl w:val="1"/>
        <w:rPr>
          <w:rStyle w:val="32"/>
          <w:rFonts w:ascii="Times New Roman" w:hAnsi="Times New Roman"/>
          <w:color w:val="auto"/>
          <w:highlight w:val="none"/>
        </w:rPr>
      </w:pPr>
      <w:bookmarkStart w:id="57" w:name="_Toc22430"/>
      <w:bookmarkStart w:id="58" w:name="_Toc15396608"/>
      <w:bookmarkStart w:id="59" w:name="_Toc15377214"/>
      <w:bookmarkStart w:id="60" w:name="_Toc27660"/>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57"/>
      <w:bookmarkEnd w:id="58"/>
      <w:bookmarkEnd w:id="59"/>
      <w:bookmarkEnd w:id="60"/>
      <w:r>
        <w:rPr>
          <w:rStyle w:val="32"/>
          <w:rFonts w:ascii="Times New Roman" w:hAnsi="Times New Roman" w:eastAsia="黑体"/>
          <w:b w:val="0"/>
          <w:color w:val="auto"/>
          <w:highlight w:val="none"/>
        </w:rPr>
        <w:tab/>
      </w:r>
    </w:p>
    <w:p w14:paraId="78F4B8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61" w:name="_Toc15396609"/>
      <w:bookmarkStart w:id="62" w:name="_Toc15377215"/>
      <w:r>
        <w:rPr>
          <w:rFonts w:hint="eastAsia" w:ascii="仿宋_GB2312" w:hAnsi="仿宋_GB2312"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305.31</w:t>
      </w:r>
      <w:r>
        <w:rPr>
          <w:rFonts w:hint="eastAsia" w:ascii="仿宋_GB2312" w:hAnsi="仿宋_GB2312" w:eastAsia="仿宋_GB2312" w:cs="仿宋_GB2312"/>
          <w:sz w:val="32"/>
          <w:szCs w:val="32"/>
        </w:rPr>
        <w:t>万元，其中：</w:t>
      </w:r>
    </w:p>
    <w:p w14:paraId="2D68D5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290.47</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65.01</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lang w:val="en-US" w:eastAsia="zh-CN"/>
        </w:rPr>
        <w:t>28.45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绩效工资</w:t>
      </w:r>
      <w:r>
        <w:rPr>
          <w:rFonts w:hint="eastAsia" w:ascii="仿宋_GB2312" w:hAnsi="仿宋_GB2312" w:eastAsia="仿宋_GB2312" w:cs="仿宋_GB2312"/>
          <w:sz w:val="32"/>
          <w:szCs w:val="32"/>
          <w:lang w:val="en-US" w:eastAsia="zh-CN"/>
        </w:rPr>
        <w:t>140.55万元、</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16.79</w:t>
      </w:r>
      <w:r>
        <w:rPr>
          <w:rFonts w:hint="eastAsia" w:ascii="仿宋_GB2312" w:hAnsi="仿宋_GB2312" w:eastAsia="仿宋_GB2312" w:cs="仿宋_GB2312"/>
          <w:sz w:val="32"/>
          <w:szCs w:val="32"/>
        </w:rPr>
        <w:t>万元、职业年金缴费</w:t>
      </w:r>
      <w:r>
        <w:rPr>
          <w:rFonts w:hint="eastAsia" w:ascii="仿宋_GB2312" w:hAnsi="仿宋_GB2312" w:eastAsia="仿宋_GB2312" w:cs="仿宋_GB2312"/>
          <w:sz w:val="32"/>
          <w:szCs w:val="32"/>
          <w:lang w:val="en-US" w:eastAsia="zh-CN"/>
        </w:rPr>
        <w:t>8.39</w:t>
      </w:r>
      <w:r>
        <w:rPr>
          <w:rFonts w:hint="eastAsia" w:ascii="仿宋_GB2312" w:hAnsi="仿宋_GB2312" w:eastAsia="仿宋_GB2312" w:cs="仿宋_GB2312"/>
          <w:sz w:val="32"/>
          <w:szCs w:val="32"/>
        </w:rPr>
        <w:t>万元、职工基本医疗保险缴费</w:t>
      </w:r>
      <w:r>
        <w:rPr>
          <w:rFonts w:hint="eastAsia" w:ascii="仿宋_GB2312" w:hAnsi="仿宋_GB2312" w:eastAsia="仿宋_GB2312" w:cs="仿宋_GB2312"/>
          <w:sz w:val="32"/>
          <w:szCs w:val="32"/>
          <w:lang w:val="en-US" w:eastAsia="zh-CN"/>
        </w:rPr>
        <w:t>11.37</w:t>
      </w:r>
      <w:r>
        <w:rPr>
          <w:rFonts w:hint="eastAsia" w:ascii="仿宋_GB2312" w:hAnsi="仿宋_GB2312" w:eastAsia="仿宋_GB2312" w:cs="仿宋_GB2312"/>
          <w:sz w:val="32"/>
          <w:szCs w:val="32"/>
        </w:rPr>
        <w:t>万元、其他社会保障缴费</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lang w:val="en-US" w:eastAsia="zh-CN"/>
        </w:rPr>
        <w:t>15.82</w:t>
      </w:r>
      <w:r>
        <w:rPr>
          <w:rFonts w:hint="eastAsia" w:ascii="仿宋_GB2312" w:hAnsi="仿宋_GB2312" w:eastAsia="仿宋_GB2312" w:cs="仿宋_GB2312"/>
          <w:sz w:val="32"/>
          <w:szCs w:val="32"/>
        </w:rPr>
        <w:t>万元、医疗费</w:t>
      </w:r>
      <w:r>
        <w:rPr>
          <w:rFonts w:hint="eastAsia" w:ascii="仿宋_GB2312" w:hAnsi="仿宋_GB2312" w:eastAsia="仿宋_GB2312" w:cs="仿宋_GB2312"/>
          <w:sz w:val="32"/>
          <w:szCs w:val="32"/>
          <w:lang w:val="en-US" w:eastAsia="zh-CN"/>
        </w:rPr>
        <w:t>2.96</w:t>
      </w:r>
      <w:r>
        <w:rPr>
          <w:rFonts w:hint="eastAsia" w:ascii="仿宋_GB2312" w:hAnsi="仿宋_GB2312" w:eastAsia="仿宋_GB2312" w:cs="仿宋_GB2312"/>
          <w:sz w:val="32"/>
          <w:szCs w:val="32"/>
        </w:rPr>
        <w:t>万元。</w:t>
      </w:r>
    </w:p>
    <w:p w14:paraId="657F5A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14.84</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3.39</w:t>
      </w:r>
      <w:r>
        <w:rPr>
          <w:rFonts w:hint="eastAsia" w:ascii="仿宋_GB2312" w:hAnsi="仿宋_GB2312" w:eastAsia="仿宋_GB2312" w:cs="仿宋_GB2312"/>
          <w:sz w:val="32"/>
          <w:szCs w:val="32"/>
        </w:rPr>
        <w:t>万元、邮电费</w:t>
      </w:r>
      <w:r>
        <w:rPr>
          <w:rFonts w:hint="eastAsia" w:ascii="仿宋_GB2312" w:hAnsi="仿宋_GB2312" w:eastAsia="仿宋_GB2312" w:cs="仿宋_GB2312"/>
          <w:sz w:val="32"/>
          <w:szCs w:val="32"/>
          <w:lang w:val="en-US" w:eastAsia="zh-CN"/>
        </w:rPr>
        <w:t>1.99</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lang w:val="en-US" w:eastAsia="zh-CN"/>
        </w:rPr>
        <w:t>9.46</w:t>
      </w:r>
      <w:r>
        <w:rPr>
          <w:rFonts w:hint="eastAsia" w:ascii="仿宋_GB2312" w:hAnsi="仿宋_GB2312" w:eastAsia="仿宋_GB2312" w:cs="仿宋_GB2312"/>
          <w:sz w:val="32"/>
          <w:szCs w:val="32"/>
        </w:rPr>
        <w:t>万元。</w:t>
      </w:r>
    </w:p>
    <w:p w14:paraId="65281A4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1"/>
        <w:rPr>
          <w:rStyle w:val="32"/>
          <w:rFonts w:ascii="Times New Roman" w:hAnsi="Times New Roman" w:eastAsia="黑体"/>
          <w:b w:val="0"/>
          <w:color w:val="auto"/>
          <w:highlight w:val="none"/>
        </w:rPr>
      </w:pPr>
      <w:bookmarkStart w:id="63" w:name="_Toc25827"/>
      <w:bookmarkStart w:id="64" w:name="_Toc7150"/>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61"/>
      <w:bookmarkEnd w:id="62"/>
      <w:bookmarkEnd w:id="63"/>
      <w:bookmarkEnd w:id="64"/>
    </w:p>
    <w:p w14:paraId="4647B3E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5"/>
    </w:p>
    <w:p w14:paraId="0DA4893F">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2024年度“三公”经费财政拨款支出决算为0.00万元</w:t>
      </w:r>
      <w:r>
        <w:rPr>
          <w:rFonts w:hint="eastAsia" w:ascii="仿宋_GB2312" w:hAnsi="仿宋_GB2312" w:eastAsia="仿宋_GB2312" w:cs="仿宋_GB2312"/>
          <w:color w:val="000000"/>
          <w:sz w:val="32"/>
          <w:szCs w:val="32"/>
          <w:lang w:eastAsia="zh-CN"/>
        </w:rPr>
        <w:t>。</w:t>
      </w:r>
    </w:p>
    <w:p w14:paraId="14790AF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6"/>
    </w:p>
    <w:p w14:paraId="6108306B">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2024年度“三公”经费财政拨款支出0.00万元。</w:t>
      </w:r>
    </w:p>
    <w:p w14:paraId="14E39C4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lang w:eastAsia="zh-CN"/>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因公出国（境）经费支出</w:t>
      </w:r>
      <w:r>
        <w:rPr>
          <w:rFonts w:hint="eastAsia" w:ascii="仿宋" w:hAnsi="仿宋" w:eastAsia="仿宋" w:cs="仿宋"/>
          <w:b/>
          <w:bCs/>
          <w:color w:val="000000"/>
          <w:sz w:val="32"/>
          <w:szCs w:val="32"/>
          <w:lang w:eastAsia="zh-CN"/>
        </w:rPr>
        <w:t>0</w:t>
      </w:r>
      <w:r>
        <w:rPr>
          <w:rFonts w:hint="eastAsia" w:ascii="仿宋" w:hAnsi="仿宋" w:eastAsia="仿宋" w:cs="仿宋"/>
          <w:b/>
          <w:bCs/>
          <w:color w:val="000000"/>
          <w:sz w:val="32"/>
          <w:szCs w:val="32"/>
          <w:lang w:val="en-US" w:eastAsia="zh-CN"/>
        </w:rPr>
        <w:t>.00</w:t>
      </w:r>
      <w:r>
        <w:rPr>
          <w:rFonts w:hint="eastAsia" w:ascii="仿宋" w:hAnsi="仿宋" w:eastAsia="仿宋" w:cs="仿宋"/>
          <w:b/>
          <w:bCs/>
          <w:color w:val="000000"/>
          <w:sz w:val="32"/>
          <w:szCs w:val="32"/>
          <w:lang w:eastAsia="zh-CN"/>
        </w:rPr>
        <w:t>万元</w:t>
      </w:r>
      <w:r>
        <w:rPr>
          <w:rFonts w:hint="eastAsia" w:ascii="仿宋_GB2312" w:hAnsi="仿宋_GB2312" w:eastAsia="仿宋_GB2312" w:cs="仿宋_GB2312"/>
          <w:color w:val="000000"/>
          <w:sz w:val="32"/>
          <w:szCs w:val="32"/>
        </w:rPr>
        <w:t>。</w:t>
      </w:r>
    </w:p>
    <w:p w14:paraId="7915DF78">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0.00万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仿宋_GB2312" w:hAnsi="仿宋_GB2312" w:eastAsia="仿宋_GB2312" w:cs="仿宋_GB2312"/>
          <w:color w:val="auto"/>
          <w:kern w:val="2"/>
          <w:sz w:val="32"/>
          <w:szCs w:val="32"/>
          <w:highlight w:val="none"/>
          <w:lang w:val="en-US" w:eastAsia="zh-CN" w:bidi="ar-SA"/>
        </w:rPr>
        <w:t>。</w:t>
      </w:r>
    </w:p>
    <w:p w14:paraId="1BFB253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bCs/>
          <w:color w:val="000000"/>
          <w:sz w:val="32"/>
          <w:szCs w:val="32"/>
        </w:rPr>
        <w:t>公务用车购置支出</w:t>
      </w:r>
      <w:r>
        <w:rPr>
          <w:rFonts w:hint="eastAsia" w:ascii="仿宋_GB2312" w:hAnsi="仿宋_GB2312" w:eastAsia="仿宋_GB2312" w:cs="仿宋_GB2312"/>
          <w:b/>
          <w:bCs/>
          <w:color w:val="000000"/>
          <w:sz w:val="32"/>
          <w:szCs w:val="32"/>
          <w:lang w:eastAsia="zh-CN"/>
        </w:rPr>
        <w:t>0</w:t>
      </w:r>
      <w:r>
        <w:rPr>
          <w:rFonts w:hint="eastAsia" w:ascii="仿宋_GB2312" w:hAnsi="仿宋_GB2312" w:eastAsia="仿宋_GB2312" w:cs="仿宋_GB2312"/>
          <w:b/>
          <w:bCs/>
          <w:color w:val="000000"/>
          <w:sz w:val="32"/>
          <w:szCs w:val="32"/>
          <w:lang w:val="en-US" w:eastAsia="zh-CN"/>
        </w:rPr>
        <w:t>.00</w:t>
      </w:r>
      <w:r>
        <w:rPr>
          <w:rFonts w:hint="eastAsia" w:ascii="仿宋_GB2312" w:hAnsi="仿宋_GB2312" w:eastAsia="仿宋_GB2312" w:cs="仿宋_GB2312"/>
          <w:b/>
          <w:bCs/>
          <w:color w:val="000000"/>
          <w:sz w:val="32"/>
          <w:szCs w:val="32"/>
          <w:lang w:eastAsia="zh-CN"/>
        </w:rPr>
        <w:t>万元</w:t>
      </w:r>
      <w:r>
        <w:rPr>
          <w:rFonts w:hint="eastAsia" w:ascii="仿宋_GB2312" w:hAnsi="仿宋_GB2312" w:eastAsia="仿宋_GB2312" w:cs="仿宋_GB2312"/>
          <w:color w:val="000000"/>
          <w:sz w:val="32"/>
          <w:szCs w:val="32"/>
        </w:rPr>
        <w:t>。全年按规定更新购置公务用车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辆，其中：轿车0辆、金额</w:t>
      </w:r>
      <w:r>
        <w:rPr>
          <w:rFonts w:hint="eastAsia" w:ascii="仿宋_GB2312" w:hAnsi="仿宋_GB2312" w:eastAsia="仿宋_GB2312" w:cs="仿宋_GB2312"/>
          <w:color w:val="000000"/>
          <w:sz w:val="32"/>
          <w:szCs w:val="32"/>
          <w:lang w:eastAsia="zh-CN"/>
        </w:rPr>
        <w:t>0</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szCs w:val="32"/>
          <w:lang w:eastAsia="zh-CN"/>
        </w:rPr>
        <w:t>万元</w:t>
      </w:r>
      <w:r>
        <w:rPr>
          <w:rFonts w:hint="eastAsia" w:ascii="仿宋_GB2312" w:hAnsi="仿宋_GB2312" w:eastAsia="仿宋_GB2312" w:cs="仿宋_GB2312"/>
          <w:color w:val="000000"/>
          <w:sz w:val="32"/>
          <w:szCs w:val="32"/>
        </w:rPr>
        <w:t>，越野车0辆、金额</w:t>
      </w:r>
      <w:r>
        <w:rPr>
          <w:rFonts w:hint="eastAsia" w:ascii="仿宋_GB2312" w:hAnsi="仿宋_GB2312" w:eastAsia="仿宋_GB2312" w:cs="仿宋_GB2312"/>
          <w:color w:val="000000"/>
          <w:sz w:val="32"/>
          <w:szCs w:val="32"/>
          <w:lang w:eastAsia="zh-CN"/>
        </w:rPr>
        <w:t>0</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szCs w:val="32"/>
          <w:lang w:eastAsia="zh-CN"/>
        </w:rPr>
        <w:t>万元</w:t>
      </w:r>
      <w:r>
        <w:rPr>
          <w:rFonts w:hint="eastAsia" w:ascii="仿宋_GB2312" w:hAnsi="仿宋_GB2312" w:eastAsia="仿宋_GB2312" w:cs="仿宋_GB2312"/>
          <w:color w:val="000000"/>
          <w:sz w:val="32"/>
          <w:szCs w:val="32"/>
        </w:rPr>
        <w:t>，载客汽车0辆、金额</w:t>
      </w:r>
      <w:r>
        <w:rPr>
          <w:rFonts w:hint="eastAsia" w:ascii="仿宋_GB2312" w:hAnsi="仿宋_GB2312" w:eastAsia="仿宋_GB2312" w:cs="仿宋_GB2312"/>
          <w:color w:val="000000"/>
          <w:sz w:val="32"/>
          <w:szCs w:val="32"/>
          <w:lang w:eastAsia="zh-CN"/>
        </w:rPr>
        <w:t>0</w:t>
      </w:r>
      <w:r>
        <w:rPr>
          <w:rFonts w:hint="eastAsia" w:ascii="仿宋_GB2312" w:hAnsi="仿宋_GB2312" w:eastAsia="仿宋_GB2312" w:cs="仿宋_GB2312"/>
          <w:color w:val="000000"/>
          <w:sz w:val="32"/>
          <w:szCs w:val="32"/>
          <w:lang w:val="en-US" w:eastAsia="zh-CN"/>
        </w:rPr>
        <w:t>.00</w:t>
      </w:r>
      <w:r>
        <w:rPr>
          <w:rFonts w:hint="eastAsia" w:ascii="仿宋_GB2312" w:hAnsi="仿宋_GB2312" w:eastAsia="仿宋_GB2312" w:cs="仿宋_GB2312"/>
          <w:color w:val="000000"/>
          <w:sz w:val="32"/>
          <w:szCs w:val="32"/>
          <w:lang w:eastAsia="zh-CN"/>
        </w:rPr>
        <w:t>万元、其他车型</w:t>
      </w:r>
      <w:r>
        <w:rPr>
          <w:rFonts w:hint="eastAsia" w:ascii="仿宋_GB2312" w:hAnsi="仿宋_GB2312" w:eastAsia="仿宋_GB2312" w:cs="仿宋_GB2312"/>
          <w:color w:val="000000"/>
          <w:sz w:val="32"/>
          <w:szCs w:val="32"/>
          <w:lang w:val="en-US" w:eastAsia="zh-CN"/>
        </w:rPr>
        <w:t>0辆</w:t>
      </w:r>
      <w:r>
        <w:rPr>
          <w:rFonts w:hint="eastAsia" w:ascii="仿宋_GB2312" w:hAnsi="仿宋_GB2312" w:eastAsia="仿宋_GB2312" w:cs="仿宋_GB2312"/>
          <w:color w:val="000000"/>
          <w:sz w:val="32"/>
          <w:szCs w:val="32"/>
        </w:rPr>
        <w:t>。截至202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w:t>
      </w:r>
      <w:r>
        <w:rPr>
          <w:rFonts w:hint="eastAsia" w:ascii="仿宋_GB2312" w:hAnsi="仿宋_GB2312" w:eastAsia="仿宋_GB2312" w:cs="仿宋_GB2312"/>
          <w:color w:val="000000"/>
          <w:sz w:val="32"/>
          <w:szCs w:val="32"/>
          <w:lang w:val="en-US" w:eastAsia="zh-CN"/>
        </w:rPr>
        <w:t>31日</w:t>
      </w:r>
      <w:r>
        <w:rPr>
          <w:rFonts w:hint="eastAsia" w:ascii="仿宋_GB2312" w:hAnsi="仿宋_GB2312" w:eastAsia="仿宋_GB2312" w:cs="仿宋_GB2312"/>
          <w:color w:val="000000"/>
          <w:sz w:val="32"/>
          <w:szCs w:val="32"/>
        </w:rPr>
        <w:t>，单位共有公务用</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辆，其中：轿车</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辆、越野车0辆、载客汽车0辆</w:t>
      </w:r>
      <w:r>
        <w:rPr>
          <w:rFonts w:hint="eastAsia" w:ascii="仿宋_GB2312" w:hAnsi="仿宋_GB2312" w:eastAsia="仿宋_GB2312" w:cs="仿宋_GB2312"/>
          <w:color w:val="000000"/>
          <w:sz w:val="32"/>
          <w:szCs w:val="32"/>
          <w:lang w:eastAsia="zh-CN"/>
        </w:rPr>
        <w:t>、其他车型</w:t>
      </w:r>
      <w:r>
        <w:rPr>
          <w:rFonts w:hint="eastAsia" w:ascii="仿宋_GB2312" w:hAnsi="仿宋_GB2312" w:eastAsia="仿宋_GB2312" w:cs="仿宋_GB2312"/>
          <w:color w:val="000000"/>
          <w:sz w:val="32"/>
          <w:szCs w:val="32"/>
          <w:lang w:val="en-US" w:eastAsia="zh-CN"/>
        </w:rPr>
        <w:t>1辆。</w:t>
      </w:r>
    </w:p>
    <w:p w14:paraId="0B135893">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hAnsi="仿宋_GB2312" w:eastAsia="仿宋_GB2312" w:cs="仿宋_GB2312"/>
          <w:color w:val="000000"/>
          <w:sz w:val="32"/>
          <w:u w:color="auto"/>
        </w:rPr>
      </w:pPr>
      <w:r>
        <w:rPr>
          <w:rFonts w:hint="eastAsia" w:ascii="仿宋" w:hAnsi="仿宋" w:eastAsia="仿宋" w:cs="仿宋"/>
          <w:b/>
          <w:bCs/>
          <w:color w:val="000000"/>
          <w:sz w:val="32"/>
          <w:szCs w:val="32"/>
        </w:rPr>
        <w:t>公务用车运行维护费支出</w:t>
      </w:r>
      <w:r>
        <w:rPr>
          <w:rFonts w:hint="eastAsia" w:ascii="仿宋_GB2312" w:hAnsi="仿宋_GB2312" w:eastAsia="仿宋_GB2312" w:cs="仿宋_GB2312"/>
          <w:b/>
          <w:bCs/>
          <w:sz w:val="32"/>
          <w:szCs w:val="32"/>
          <w:lang w:val="en-US" w:eastAsia="zh-CN"/>
        </w:rPr>
        <w:t>0.00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仿宋_GB2312" w:hAnsi="仿宋_GB2312" w:eastAsia="仿宋_GB2312" w:cs="仿宋_GB2312"/>
          <w:color w:val="000000"/>
          <w:sz w:val="32"/>
          <w:u w:color="auto"/>
        </w:rPr>
        <w:t xml:space="preserve">。 </w:t>
      </w:r>
    </w:p>
    <w:p w14:paraId="1AB4CE9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1" w:firstLineChars="100"/>
        <w:textAlignment w:val="auto"/>
        <w:outlineLvl w:val="1"/>
        <w:rPr>
          <w:rFonts w:hint="eastAsia"/>
        </w:rPr>
      </w:pPr>
      <w:r>
        <w:rPr>
          <w:rFonts w:hint="eastAsia" w:ascii="仿宋_GB2312" w:hAnsi="仿宋_GB2312" w:eastAsia="仿宋_GB2312" w:cs="仿宋_GB2312"/>
          <w:b/>
          <w:bCs/>
          <w:color w:val="auto"/>
          <w:kern w:val="2"/>
          <w:sz w:val="32"/>
          <w:szCs w:val="32"/>
          <w:highlight w:val="none"/>
          <w:lang w:val="en-US" w:eastAsia="zh-CN" w:bidi="ar-SA"/>
        </w:rPr>
        <w:t>3.公务接待费支出0.00万元。</w:t>
      </w:r>
      <w:bookmarkStart w:id="67" w:name="_Toc15396610"/>
      <w:bookmarkStart w:id="68" w:name="_Toc15377218"/>
    </w:p>
    <w:p w14:paraId="02DC71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2"/>
          <w:rFonts w:ascii="Times New Roman" w:hAnsi="Times New Roman" w:eastAsia="黑体"/>
          <w:color w:val="auto"/>
          <w:highlight w:val="none"/>
        </w:rPr>
      </w:pPr>
      <w:bookmarkStart w:id="69" w:name="_Toc11768"/>
      <w:bookmarkStart w:id="70" w:name="_Toc25249"/>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67"/>
      <w:bookmarkEnd w:id="68"/>
      <w:bookmarkEnd w:id="69"/>
      <w:bookmarkEnd w:id="70"/>
    </w:p>
    <w:p w14:paraId="01A7BB87">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2024年度政府性基金预算财政拨款支出0.00万元。</w:t>
      </w:r>
    </w:p>
    <w:p w14:paraId="48EC77C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0" w:leftChars="0"/>
        <w:textAlignment w:val="auto"/>
        <w:outlineLvl w:val="1"/>
        <w:rPr>
          <w:rStyle w:val="32"/>
          <w:rFonts w:ascii="Times New Roman" w:hAnsi="Times New Roman" w:eastAsia="黑体"/>
          <w:b w:val="0"/>
          <w:color w:val="auto"/>
          <w:highlight w:val="none"/>
        </w:rPr>
      </w:pPr>
      <w:bookmarkStart w:id="71" w:name="_Toc14297"/>
      <w:bookmarkStart w:id="72" w:name="_Toc15396611"/>
      <w:bookmarkStart w:id="73" w:name="_Toc15377219"/>
      <w:bookmarkStart w:id="74" w:name="_Toc24735"/>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71"/>
      <w:bookmarkEnd w:id="72"/>
      <w:bookmarkEnd w:id="73"/>
      <w:bookmarkEnd w:id="74"/>
    </w:p>
    <w:p w14:paraId="1DD6902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2024年度国有资本经营预算财政拨款支出0.00万元。</w:t>
      </w:r>
    </w:p>
    <w:p w14:paraId="3734390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0" w:leftChars="0"/>
        <w:textAlignment w:val="auto"/>
        <w:outlineLvl w:val="1"/>
        <w:rPr>
          <w:rStyle w:val="32"/>
          <w:rFonts w:hint="eastAsia" w:ascii="Times New Roman" w:hAnsi="Times New Roman" w:eastAsia="黑体"/>
          <w:b w:val="0"/>
          <w:color w:val="auto"/>
          <w:highlight w:val="none"/>
        </w:rPr>
      </w:pPr>
      <w:bookmarkStart w:id="75" w:name="_Toc1030"/>
      <w:bookmarkStart w:id="76" w:name="_Toc15377221"/>
      <w:bookmarkStart w:id="77" w:name="_Toc9112"/>
      <w:bookmarkStart w:id="78" w:name="_Toc15396612"/>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75"/>
      <w:bookmarkEnd w:id="76"/>
      <w:bookmarkEnd w:id="77"/>
      <w:bookmarkEnd w:id="78"/>
    </w:p>
    <w:p w14:paraId="2ADE27A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79" w:name="_Toc15377222"/>
      <w:r>
        <w:rPr>
          <w:rFonts w:hint="eastAsia" w:ascii="Times New Roman" w:hAnsi="Times New Roman" w:eastAsia="楷体_GB2312" w:cs="楷体_GB2312"/>
          <w:b/>
          <w:color w:val="auto"/>
          <w:sz w:val="32"/>
          <w:szCs w:val="32"/>
          <w:highlight w:val="none"/>
        </w:rPr>
        <w:t>（一）机关运行经费支出情况</w:t>
      </w:r>
      <w:bookmarkEnd w:id="79"/>
    </w:p>
    <w:p w14:paraId="023E66BC">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四川省阿坝藏族羌族自治州</w:t>
      </w:r>
      <w:r>
        <w:rPr>
          <w:rFonts w:hint="eastAsia" w:ascii="仿宋_GB2312" w:hAnsi="仿宋_GB2312" w:eastAsia="仿宋_GB2312" w:cs="仿宋_GB2312"/>
          <w:sz w:val="32"/>
          <w:szCs w:val="32"/>
          <w:lang w:eastAsia="zh-CN"/>
        </w:rPr>
        <w:t>茂县渭门</w:t>
      </w:r>
      <w:r>
        <w:rPr>
          <w:rFonts w:hint="eastAsia" w:ascii="仿宋_GB2312" w:hAnsi="仿宋_GB2312" w:eastAsia="仿宋_GB2312" w:cs="仿宋_GB2312"/>
          <w:sz w:val="32"/>
          <w:szCs w:val="32"/>
        </w:rPr>
        <w:t>镇人民政府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lang w:val="en-US" w:eastAsia="zh-CN"/>
        </w:rPr>
        <w:t>14.84</w:t>
      </w:r>
      <w:r>
        <w:rPr>
          <w:rFonts w:hint="eastAsia" w:ascii="仿宋_GB2312" w:hAnsi="仿宋_GB2312" w:eastAsia="仿宋_GB2312" w:cs="仿宋_GB2312"/>
          <w:color w:val="auto"/>
          <w:kern w:val="2"/>
          <w:sz w:val="32"/>
          <w:szCs w:val="32"/>
          <w:highlight w:val="none"/>
          <w:lang w:val="en-US" w:eastAsia="zh-CN" w:bidi="ar-SA"/>
        </w:rPr>
        <w:t>万元，比2023年度减少0.06万元，下降0.40%。主要原因是</w:t>
      </w:r>
      <w:r>
        <w:rPr>
          <w:rFonts w:hint="eastAsia" w:ascii="仿宋_GB2312" w:hAnsi="仿宋_GB2312" w:eastAsia="仿宋_GB2312" w:cs="仿宋_GB2312"/>
          <w:color w:val="000000"/>
          <w:sz w:val="32"/>
          <w:u w:color="auto"/>
        </w:rPr>
        <w:t>主要原因是</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我镇工作经费支出减少。</w:t>
      </w:r>
    </w:p>
    <w:p w14:paraId="04F0A4D8">
      <w:pPr>
        <w:keepNext w:val="0"/>
        <w:keepLines w:val="0"/>
        <w:pageBreakBefore w:val="0"/>
        <w:widowControl w:val="0"/>
        <w:tabs>
          <w:tab w:val="left" w:pos="8556"/>
        </w:tabs>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lang w:eastAsia="zh-CN"/>
        </w:rPr>
      </w:pPr>
      <w:bookmarkStart w:id="80" w:name="_Toc15377223"/>
      <w:r>
        <w:rPr>
          <w:rFonts w:hint="eastAsia" w:ascii="Times New Roman" w:hAnsi="Times New Roman" w:eastAsia="楷体_GB2312" w:cs="楷体_GB2312"/>
          <w:b/>
          <w:color w:val="auto"/>
          <w:sz w:val="32"/>
          <w:szCs w:val="32"/>
          <w:highlight w:val="none"/>
        </w:rPr>
        <w:t>（二）政府采购支出情况</w:t>
      </w:r>
      <w:bookmarkEnd w:id="80"/>
      <w:r>
        <w:rPr>
          <w:rFonts w:hint="eastAsia" w:eastAsia="楷体_GB2312" w:cs="楷体_GB2312"/>
          <w:b/>
          <w:color w:val="auto"/>
          <w:sz w:val="32"/>
          <w:szCs w:val="32"/>
          <w:highlight w:val="none"/>
          <w:lang w:eastAsia="zh-CN"/>
        </w:rPr>
        <w:tab/>
      </w:r>
    </w:p>
    <w:p w14:paraId="738325DA">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2024年度无政府采购。</w:t>
      </w:r>
    </w:p>
    <w:p w14:paraId="631ABAE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81" w:name="_Toc15377224"/>
      <w:r>
        <w:rPr>
          <w:rFonts w:hint="eastAsia" w:ascii="Times New Roman" w:hAnsi="Times New Roman" w:eastAsia="楷体_GB2312" w:cs="楷体_GB2312"/>
          <w:b/>
          <w:color w:val="auto"/>
          <w:sz w:val="32"/>
          <w:szCs w:val="32"/>
          <w:highlight w:val="none"/>
        </w:rPr>
        <w:t>（三）国有资产占有使用情况</w:t>
      </w:r>
      <w:bookmarkEnd w:id="81"/>
    </w:p>
    <w:p w14:paraId="3CBD761B">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四川省阿坝藏族羌族自治州</w:t>
      </w:r>
      <w:r>
        <w:rPr>
          <w:rFonts w:hint="eastAsia" w:ascii="仿宋_GB2312" w:hAnsi="仿宋_GB2312" w:eastAsia="仿宋_GB2312" w:cs="仿宋_GB2312"/>
          <w:sz w:val="32"/>
          <w:szCs w:val="32"/>
          <w:lang w:eastAsia="zh-CN"/>
        </w:rPr>
        <w:t>茂县渭门</w:t>
      </w:r>
      <w:r>
        <w:rPr>
          <w:rFonts w:hint="eastAsia" w:ascii="仿宋_GB2312" w:hAnsi="仿宋_GB2312" w:eastAsia="仿宋_GB2312" w:cs="仿宋_GB2312"/>
          <w:sz w:val="32"/>
          <w:szCs w:val="32"/>
        </w:rPr>
        <w:t>镇人民政府</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color w:val="auto"/>
          <w:kern w:val="2"/>
          <w:sz w:val="32"/>
          <w:szCs w:val="32"/>
          <w:highlight w:val="none"/>
          <w:lang w:val="en-US" w:eastAsia="zh-CN" w:bidi="ar-SA"/>
        </w:rPr>
        <w:t>共有车辆3辆，其中：主要负责人用车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w:t>
      </w:r>
      <w:r>
        <w:rPr>
          <w:rFonts w:hint="eastAsia" w:ascii="仿宋_GB2312" w:hAnsi="仿宋_GB2312" w:eastAsia="仿宋_GB2312" w:cs="仿宋_GB2312"/>
          <w:color w:val="000000"/>
          <w:sz w:val="32"/>
          <w:szCs w:val="32"/>
        </w:rPr>
        <w:t>其他用车0辆。单价100万元以上专用设备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0台（套）。</w:t>
      </w:r>
    </w:p>
    <w:p w14:paraId="52B8880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ADD0EF5">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eastAsia="仿宋_GB2312"/>
          <w:lang w:val="en-US" w:eastAsia="zh-CN"/>
        </w:rPr>
      </w:pPr>
      <w:r>
        <w:rPr>
          <w:rFonts w:hint="eastAsia" w:ascii="仿宋_GB2312" w:hAnsi="仿宋_GB2312" w:eastAsia="仿宋_GB2312" w:cs="仿宋_GB2312"/>
          <w:sz w:val="32"/>
          <w:szCs w:val="32"/>
        </w:rPr>
        <w:t>根据预算绩效管理要求，本单位在202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年度（事业）预算编制阶段，组织对0个项目开展了预算事前绩效评估，对0个项目编制了绩效目标，预算执行过程中，选取0个项目开展绩效监控，组织对0个项目开展绩效自评</w:t>
      </w:r>
      <w:bookmarkStart w:id="82" w:name="_Toc111208509"/>
      <w:bookmarkStart w:id="83" w:name="_Toc7186"/>
      <w:bookmarkStart w:id="84" w:name="_Toc30512"/>
      <w:bookmarkStart w:id="85" w:name="_Toc15377226"/>
      <w:r>
        <w:rPr>
          <w:rFonts w:hint="eastAsia" w:ascii="仿宋_GB2312" w:hAnsi="仿宋_GB2312" w:eastAsia="仿宋_GB2312" w:cs="仿宋_GB2312"/>
          <w:sz w:val="32"/>
          <w:szCs w:val="32"/>
          <w:lang w:eastAsia="zh-CN"/>
        </w:rPr>
        <w:t>。</w:t>
      </w:r>
    </w:p>
    <w:p w14:paraId="14AD63BF">
      <w:pPr>
        <w:pStyle w:val="3"/>
        <w:jc w:val="center"/>
        <w:rPr>
          <w:rFonts w:hint="eastAsia" w:ascii="黑体" w:hAnsi="黑体" w:eastAsia="黑体" w:cs="黑体"/>
          <w:b w:val="0"/>
          <w:bCs w:val="0"/>
        </w:rPr>
      </w:pPr>
    </w:p>
    <w:p w14:paraId="1EBA7986">
      <w:pPr>
        <w:pStyle w:val="3"/>
        <w:jc w:val="center"/>
        <w:rPr>
          <w:rFonts w:hint="eastAsia" w:ascii="黑体" w:hAnsi="黑体" w:eastAsia="黑体" w:cs="黑体"/>
          <w:b w:val="0"/>
          <w:bCs w:val="0"/>
        </w:rPr>
      </w:pPr>
    </w:p>
    <w:p w14:paraId="46D4BA22">
      <w:pPr>
        <w:pStyle w:val="3"/>
        <w:jc w:val="center"/>
        <w:rPr>
          <w:rFonts w:hint="eastAsia" w:ascii="黑体" w:hAnsi="黑体" w:eastAsia="黑体" w:cs="黑体"/>
          <w:b w:val="0"/>
          <w:bCs w:val="0"/>
        </w:rPr>
      </w:pPr>
    </w:p>
    <w:p w14:paraId="531AD3E8">
      <w:pPr>
        <w:pStyle w:val="3"/>
        <w:jc w:val="center"/>
        <w:rPr>
          <w:rFonts w:hint="eastAsia" w:ascii="黑体" w:hAnsi="黑体" w:eastAsia="黑体" w:cs="黑体"/>
          <w:b w:val="0"/>
          <w:bCs w:val="0"/>
        </w:rPr>
      </w:pPr>
    </w:p>
    <w:p w14:paraId="4124261D">
      <w:pPr>
        <w:pStyle w:val="3"/>
        <w:jc w:val="center"/>
        <w:rPr>
          <w:rFonts w:hint="eastAsia" w:ascii="黑体" w:hAnsi="黑体" w:eastAsia="黑体" w:cs="黑体"/>
          <w:b w:val="0"/>
          <w:bCs w:val="0"/>
        </w:rPr>
      </w:pPr>
    </w:p>
    <w:p w14:paraId="12905830">
      <w:pPr>
        <w:pStyle w:val="3"/>
        <w:jc w:val="center"/>
        <w:rPr>
          <w:rFonts w:hint="eastAsia" w:ascii="黑体" w:hAnsi="黑体" w:eastAsia="黑体" w:cs="黑体"/>
          <w:b w:val="0"/>
          <w:bCs w:val="0"/>
        </w:rPr>
      </w:pPr>
    </w:p>
    <w:p w14:paraId="5FFFC2D1">
      <w:pPr>
        <w:pStyle w:val="3"/>
        <w:jc w:val="center"/>
        <w:rPr>
          <w:rFonts w:hint="eastAsia" w:ascii="黑体" w:hAnsi="黑体" w:eastAsia="黑体" w:cs="黑体"/>
          <w:b w:val="0"/>
          <w:bCs w:val="0"/>
        </w:rPr>
      </w:pPr>
    </w:p>
    <w:p w14:paraId="552E1EDF">
      <w:pPr>
        <w:pStyle w:val="3"/>
        <w:jc w:val="center"/>
        <w:rPr>
          <w:rFonts w:hint="eastAsia" w:ascii="黑体" w:hAnsi="黑体" w:eastAsia="黑体" w:cs="黑体"/>
          <w:b w:val="0"/>
          <w:bCs w:val="0"/>
        </w:rPr>
      </w:pPr>
    </w:p>
    <w:p w14:paraId="67FD0D34">
      <w:pPr>
        <w:pStyle w:val="3"/>
        <w:jc w:val="center"/>
        <w:rPr>
          <w:rFonts w:hint="eastAsia" w:ascii="黑体" w:hAnsi="黑体" w:eastAsia="黑体" w:cs="黑体"/>
          <w:b w:val="0"/>
          <w:bCs w:val="0"/>
        </w:rPr>
      </w:pPr>
    </w:p>
    <w:p w14:paraId="2671DCD1">
      <w:pPr>
        <w:pStyle w:val="3"/>
        <w:jc w:val="center"/>
        <w:rPr>
          <w:rFonts w:hint="eastAsia" w:ascii="黑体" w:hAnsi="黑体" w:eastAsia="黑体" w:cs="黑体"/>
          <w:b w:val="0"/>
          <w:bCs w:val="0"/>
        </w:rPr>
      </w:pPr>
    </w:p>
    <w:p w14:paraId="37471E26">
      <w:pPr>
        <w:pStyle w:val="3"/>
        <w:jc w:val="center"/>
        <w:rPr>
          <w:rFonts w:hint="eastAsia" w:ascii="黑体" w:hAnsi="黑体" w:eastAsia="黑体" w:cs="黑体"/>
          <w:b w:val="0"/>
          <w:bCs w:val="0"/>
        </w:rPr>
      </w:pPr>
    </w:p>
    <w:p w14:paraId="5646D56D">
      <w:pPr>
        <w:pStyle w:val="3"/>
        <w:jc w:val="center"/>
        <w:rPr>
          <w:rFonts w:hint="eastAsia" w:ascii="黑体" w:hAnsi="黑体" w:eastAsia="黑体" w:cs="黑体"/>
          <w:b w:val="0"/>
          <w:bCs w:val="0"/>
        </w:rPr>
      </w:pPr>
    </w:p>
    <w:p w14:paraId="4FAAD179">
      <w:pPr>
        <w:pStyle w:val="3"/>
        <w:jc w:val="center"/>
        <w:rPr>
          <w:rFonts w:hint="eastAsia" w:ascii="黑体" w:hAnsi="黑体" w:eastAsia="黑体" w:cs="黑体"/>
          <w:b w:val="0"/>
          <w:bCs w:val="0"/>
        </w:rPr>
      </w:pPr>
    </w:p>
    <w:p w14:paraId="0464FEEC">
      <w:pPr>
        <w:pStyle w:val="3"/>
        <w:jc w:val="center"/>
        <w:rPr>
          <w:rFonts w:hint="eastAsia" w:ascii="黑体" w:hAnsi="黑体" w:eastAsia="黑体" w:cs="黑体"/>
          <w:b w:val="0"/>
          <w:bCs w:val="0"/>
        </w:rPr>
      </w:pPr>
      <w:r>
        <w:rPr>
          <w:rFonts w:hint="eastAsia" w:ascii="黑体" w:hAnsi="黑体" w:eastAsia="黑体" w:cs="黑体"/>
          <w:b w:val="0"/>
          <w:bCs w:val="0"/>
        </w:rPr>
        <w:t>第三部分</w:t>
      </w:r>
      <w:r>
        <w:rPr>
          <w:rFonts w:hint="eastAsia" w:ascii="黑体" w:hAnsi="黑体" w:eastAsia="黑体" w:cs="黑体"/>
          <w:b w:val="0"/>
          <w:bCs w:val="0"/>
          <w:lang w:val="en-US" w:eastAsia="zh-CN"/>
        </w:rPr>
        <w:t xml:space="preserve"> </w:t>
      </w:r>
      <w:r>
        <w:rPr>
          <w:rFonts w:hint="eastAsia" w:ascii="黑体" w:hAnsi="黑体" w:eastAsia="黑体" w:cs="黑体"/>
          <w:b w:val="0"/>
          <w:bCs w:val="0"/>
        </w:rPr>
        <w:t>名词解释</w:t>
      </w:r>
      <w:bookmarkEnd w:id="82"/>
      <w:bookmarkEnd w:id="83"/>
      <w:bookmarkEnd w:id="84"/>
    </w:p>
    <w:p w14:paraId="372779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14:paraId="704E41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14:paraId="3CF925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14:paraId="282C67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14:paraId="5BF3A2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5.使用非财政拨款结余（含专用结余）：指事业单位使用以前年度积累的非财政拨款结余弥补当年收支差额的金额。</w:t>
      </w:r>
    </w:p>
    <w:p w14:paraId="6201AF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6.年初结转和结余：指以前年度尚未完成、结转到本年按有关规定继续使用的资金。</w:t>
      </w:r>
    </w:p>
    <w:p w14:paraId="002068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14:paraId="73BFA3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14:paraId="48514E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9.一般公共服务支出（类）人大事务（款）代表工作（项）:反映人大代表开展各类视察等方面的支出。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10.一般公共服务支出（类）政府办公厅（室）及相关机构事务（款）行政运行（项）:反映行政单位（包括实行公务员管理的事业单位）的基本支出。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11.一般公共服务支出（类）政府办公厅（室）及相关机构事务（款）其他政府办公厅（室）及相关机构事务支出（项）:反映除上述项目以外的其他政府办公厅（室）及相关机构事务支岀。</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12.一般公共服务支出（类）民族事务（款）其他民族事务支出（项）:反映除上述项目以外其他用于民族事务方面的支出。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13.社会保障和就业支出（类）民政管理事务（款）基层政权建设和社区治理（项）:反映开展城乡社区治理、城乡社区服务（乡村便民服务）、村（居）民自治、村（居）务公开、乡镇（街道）服务能力建设等基层政权建设和社区治理工作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14.社会保障和就业支出（类）行政事业单位养老支出（款）机关事业单位基本养老保险缴费支出（项）:反映机关事业单位实施养老保险制度由单位缴纳的基本养老保险费支出。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15.社会保障和就业支出（类）行政事业单位养老支出（款）机关事业单位职业年金缴费支出（项）:反映机关事业单位实施养老保险制度由单位实际缴纳的职业年金支出。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16.社会保障和就业支出（类）残疾人事业（款）其他残疾人事业支出（项）:反映除上述项目以外其他用于残疾人事业方面的支出。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18.农林水支出（类）农业农村（款）对高校毕业生到基层任职补助（项）:反映按规定对高校毕业生到基层任职的补助支出。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19.农林水支出（类）巩固脱贫攻坚成果衔接乡村振兴（款）农村基础设施建设（项）:反映用于农村贫困地区乡村道路、住房、基本农田、水利设施、人畜饮水、生态环境保护等生产生活条件改善方面的支出。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20.农林水支出（类）巩固脱贫攻坚成果衔接乡村振兴（款）其他巩固脱贫攻坚成果衔接乡村振兴支出（项）:反映除上述项目以外其他用于扶贫方面的支出。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21.农林水支出（类）农村综合改革（款）对村民委员会和村党支部的补助（项）:反映各级财政对村民委员会和村党支部的补助支出，以及支持建立县级基本财力保障机制安排的村级组织运转奖补资金。</w:t>
      </w:r>
    </w:p>
    <w:p w14:paraId="20F7EA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22.住房保障支出（类）住房改革支出（款）住房公积金（项）:反映行政事业单位按人力资源和社会保障部、财政部规定的基本工资和津贴补贴以及规定比例为职工缴纳的住房公积金。</w:t>
      </w:r>
    </w:p>
    <w:p w14:paraId="5913B4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23.住房保障支出（类）住房改革支出（款）购房补贴（项）:反映按房改政策规定，行政事业单位向符合条件职工（含离退休人员）、军队（含武警）向转役复员离退休人员发放的用于购买住房的补贴。</w:t>
      </w:r>
    </w:p>
    <w:p w14:paraId="3FAE08B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24.基本支出：指为保障机构正常运转、完成日常工作任务而发生的人员支出和公用支出。</w:t>
      </w:r>
    </w:p>
    <w:p w14:paraId="243BEF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25.项目支出：指在基本支出之外为完成特定行政任务和事业发展目标所发生的支出。</w:t>
      </w:r>
    </w:p>
    <w:p w14:paraId="4DDC4E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26.经营支出：指事业单位在专业业务活动及其辅助活动之外开展非独立核算经营活动发生的支出。</w:t>
      </w:r>
    </w:p>
    <w:p w14:paraId="53E08B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331E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293FC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黑体"/>
          <w:color w:val="auto"/>
          <w:kern w:val="0"/>
          <w:sz w:val="32"/>
          <w:szCs w:val="32"/>
          <w:highlight w:val="none"/>
          <w:shd w:val="clear" w:color="auto" w:fill="FFFFFF"/>
          <w:lang w:val="zh-CN"/>
        </w:rPr>
        <w:sectPr>
          <w:footerReference r:id="rId7" w:type="first"/>
          <w:footerReference r:id="rId6" w:type="default"/>
          <w:pgSz w:w="11906" w:h="16838"/>
          <w:pgMar w:top="720" w:right="720" w:bottom="720" w:left="720" w:header="851" w:footer="992" w:gutter="0"/>
          <w:pgNumType w:fmt="decimal" w:start="1"/>
          <w:cols w:space="425" w:num="1"/>
          <w:titlePg/>
          <w:docGrid w:type="lines" w:linePitch="312" w:charSpace="0"/>
        </w:sectPr>
      </w:pPr>
      <w:r>
        <w:rPr>
          <w:rFonts w:hint="eastAsia" w:ascii="仿宋_GB2312" w:hAnsi="仿宋_GB2312" w:eastAsia="仿宋_GB2312" w:cs="仿宋_GB2312"/>
          <w:color w:val="000000"/>
          <w:sz w:val="32"/>
          <w:szCs w:val="32"/>
        </w:rPr>
        <w:t>29.财政应返还额度：为行政事业单位会计核算科目，用于核算实行国库集中支付的行政事业单位应收财政返还的资金额度。</w:t>
      </w:r>
    </w:p>
    <w:p w14:paraId="66D5B77D">
      <w:pPr>
        <w:pStyle w:val="3"/>
        <w:bidi w:val="0"/>
        <w:ind w:firstLine="2209" w:firstLineChars="500"/>
        <w:jc w:val="both"/>
        <w:rPr>
          <w:rFonts w:hint="eastAsia"/>
        </w:rPr>
      </w:pPr>
      <w:bookmarkStart w:id="86" w:name="_Toc15396618"/>
      <w:bookmarkStart w:id="87" w:name="_Toc15650"/>
      <w:r>
        <w:rPr>
          <w:rFonts w:hint="eastAsia"/>
        </w:rPr>
        <w:t>第</w:t>
      </w:r>
      <w:r>
        <w:rPr>
          <w:rFonts w:hint="eastAsia"/>
          <w:lang w:eastAsia="zh-CN"/>
        </w:rPr>
        <w:t>四</w:t>
      </w:r>
      <w:r>
        <w:rPr>
          <w:rFonts w:hint="eastAsia"/>
        </w:rPr>
        <w:t>部分 附表</w:t>
      </w:r>
      <w:bookmarkEnd w:id="85"/>
      <w:bookmarkEnd w:id="86"/>
      <w:bookmarkEnd w:id="87"/>
      <w:bookmarkStart w:id="88" w:name="_Toc15396619"/>
    </w:p>
    <w:p w14:paraId="3692802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单位预算项目支出绩效自评表（202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p>
    <w:p w14:paraId="403AF9F4">
      <w:pPr>
        <w:rPr>
          <w:rFonts w:hint="eastAsia"/>
        </w:rPr>
      </w:pPr>
    </w:p>
    <w:p w14:paraId="046C54DE">
      <w:pPr>
        <w:jc w:val="center"/>
        <w:rPr>
          <w:rFonts w:hint="eastAsia" w:ascii="黑体" w:hAnsi="黑体" w:eastAsia="黑体"/>
          <w:sz w:val="44"/>
          <w:szCs w:val="44"/>
          <w:lang w:eastAsia="zh-CN"/>
        </w:rPr>
      </w:pPr>
      <w:bookmarkStart w:id="89" w:name="_Toc486125078"/>
    </w:p>
    <w:p w14:paraId="751100F5">
      <w:pPr>
        <w:jc w:val="center"/>
        <w:rPr>
          <w:rFonts w:hint="eastAsia" w:ascii="黑体" w:hAnsi="黑体" w:eastAsia="黑体"/>
          <w:sz w:val="44"/>
          <w:szCs w:val="44"/>
          <w:lang w:eastAsia="zh-CN"/>
        </w:rPr>
      </w:pPr>
    </w:p>
    <w:p w14:paraId="0F2345D3">
      <w:pPr>
        <w:jc w:val="center"/>
        <w:rPr>
          <w:rFonts w:hint="eastAsia" w:ascii="黑体" w:hAnsi="黑体" w:eastAsia="黑体"/>
          <w:sz w:val="44"/>
          <w:szCs w:val="44"/>
          <w:lang w:eastAsia="zh-CN"/>
        </w:rPr>
      </w:pPr>
    </w:p>
    <w:p w14:paraId="7375ED32">
      <w:pPr>
        <w:jc w:val="center"/>
        <w:rPr>
          <w:rFonts w:hint="eastAsia" w:ascii="黑体" w:hAnsi="黑体" w:eastAsia="黑体"/>
          <w:sz w:val="44"/>
          <w:szCs w:val="44"/>
          <w:lang w:eastAsia="zh-CN"/>
        </w:rPr>
      </w:pPr>
    </w:p>
    <w:p w14:paraId="16A3576B">
      <w:pPr>
        <w:jc w:val="center"/>
        <w:rPr>
          <w:rFonts w:hint="eastAsia" w:ascii="黑体" w:hAnsi="黑体" w:eastAsia="黑体"/>
          <w:sz w:val="44"/>
          <w:szCs w:val="44"/>
          <w:lang w:eastAsia="zh-CN"/>
        </w:rPr>
      </w:pPr>
    </w:p>
    <w:p w14:paraId="7E1595FD">
      <w:pPr>
        <w:jc w:val="center"/>
        <w:rPr>
          <w:rFonts w:hint="eastAsia" w:ascii="黑体" w:hAnsi="黑体" w:eastAsia="黑体"/>
          <w:sz w:val="44"/>
          <w:szCs w:val="44"/>
          <w:lang w:eastAsia="zh-CN"/>
        </w:rPr>
      </w:pPr>
    </w:p>
    <w:p w14:paraId="7B7B4C66">
      <w:pPr>
        <w:jc w:val="center"/>
        <w:rPr>
          <w:rFonts w:hint="eastAsia" w:ascii="黑体" w:hAnsi="黑体" w:eastAsia="黑体"/>
          <w:sz w:val="44"/>
          <w:szCs w:val="44"/>
          <w:lang w:eastAsia="zh-CN"/>
        </w:rPr>
      </w:pPr>
    </w:p>
    <w:p w14:paraId="08011CC4">
      <w:pPr>
        <w:jc w:val="center"/>
        <w:rPr>
          <w:rFonts w:hint="eastAsia" w:ascii="黑体" w:hAnsi="黑体" w:eastAsia="黑体"/>
          <w:sz w:val="44"/>
          <w:szCs w:val="44"/>
          <w:lang w:eastAsia="zh-CN"/>
        </w:rPr>
      </w:pPr>
    </w:p>
    <w:p w14:paraId="2A4812B3">
      <w:pPr>
        <w:jc w:val="center"/>
        <w:rPr>
          <w:rFonts w:hint="eastAsia" w:ascii="黑体" w:hAnsi="黑体" w:eastAsia="黑体"/>
          <w:sz w:val="44"/>
          <w:szCs w:val="44"/>
          <w:lang w:eastAsia="zh-CN"/>
        </w:rPr>
      </w:pPr>
    </w:p>
    <w:p w14:paraId="330E5081">
      <w:pPr>
        <w:jc w:val="center"/>
        <w:rPr>
          <w:rFonts w:hint="eastAsia" w:ascii="黑体" w:hAnsi="黑体" w:eastAsia="黑体"/>
          <w:sz w:val="44"/>
          <w:szCs w:val="44"/>
          <w:lang w:eastAsia="zh-CN"/>
        </w:rPr>
      </w:pPr>
    </w:p>
    <w:p w14:paraId="4555F79E">
      <w:pPr>
        <w:jc w:val="center"/>
        <w:rPr>
          <w:rFonts w:hint="eastAsia" w:ascii="黑体" w:hAnsi="黑体" w:eastAsia="黑体"/>
          <w:sz w:val="44"/>
          <w:szCs w:val="44"/>
          <w:lang w:eastAsia="zh-CN"/>
        </w:rPr>
      </w:pPr>
    </w:p>
    <w:p w14:paraId="72FB7247">
      <w:pPr>
        <w:jc w:val="center"/>
        <w:rPr>
          <w:rFonts w:hint="eastAsia" w:ascii="黑体" w:hAnsi="黑体" w:eastAsia="黑体"/>
          <w:sz w:val="44"/>
          <w:szCs w:val="44"/>
          <w:lang w:eastAsia="zh-CN"/>
        </w:rPr>
      </w:pPr>
    </w:p>
    <w:p w14:paraId="22D4CF93">
      <w:pPr>
        <w:jc w:val="center"/>
        <w:rPr>
          <w:rFonts w:hint="eastAsia" w:ascii="黑体" w:hAnsi="黑体" w:eastAsia="黑体"/>
          <w:sz w:val="44"/>
          <w:szCs w:val="44"/>
          <w:lang w:eastAsia="zh-CN"/>
        </w:rPr>
      </w:pPr>
    </w:p>
    <w:p w14:paraId="084414C4">
      <w:pPr>
        <w:jc w:val="center"/>
        <w:rPr>
          <w:rFonts w:hint="eastAsia" w:ascii="黑体" w:hAnsi="黑体" w:eastAsia="黑体"/>
          <w:sz w:val="44"/>
          <w:szCs w:val="44"/>
          <w:lang w:eastAsia="zh-CN"/>
        </w:rPr>
      </w:pPr>
    </w:p>
    <w:p w14:paraId="0389B259">
      <w:pPr>
        <w:jc w:val="center"/>
        <w:rPr>
          <w:rFonts w:hint="eastAsia" w:ascii="黑体" w:hAnsi="黑体" w:eastAsia="黑体"/>
          <w:sz w:val="44"/>
          <w:szCs w:val="44"/>
          <w:lang w:eastAsia="zh-CN"/>
        </w:rPr>
      </w:pPr>
    </w:p>
    <w:p w14:paraId="0AF12FF5">
      <w:pPr>
        <w:jc w:val="center"/>
        <w:rPr>
          <w:rFonts w:hint="eastAsia" w:ascii="黑体" w:hAnsi="黑体" w:eastAsia="黑体"/>
          <w:sz w:val="44"/>
          <w:szCs w:val="44"/>
          <w:lang w:eastAsia="zh-CN"/>
        </w:rPr>
      </w:pPr>
    </w:p>
    <w:p w14:paraId="0970CA65">
      <w:pPr>
        <w:jc w:val="center"/>
        <w:rPr>
          <w:rFonts w:hint="eastAsia" w:ascii="黑体" w:hAnsi="黑体" w:eastAsia="黑体"/>
          <w:sz w:val="44"/>
          <w:szCs w:val="44"/>
          <w:lang w:eastAsia="zh-CN"/>
        </w:rPr>
      </w:pPr>
    </w:p>
    <w:p w14:paraId="1B43EA83">
      <w:pPr>
        <w:jc w:val="center"/>
        <w:rPr>
          <w:rFonts w:hint="eastAsia" w:ascii="黑体" w:hAnsi="黑体" w:eastAsia="黑体"/>
          <w:sz w:val="44"/>
          <w:szCs w:val="44"/>
          <w:lang w:eastAsia="zh-CN"/>
        </w:rPr>
      </w:pPr>
    </w:p>
    <w:p w14:paraId="7A682956">
      <w:pPr>
        <w:jc w:val="center"/>
        <w:rPr>
          <w:rStyle w:val="31"/>
          <w:rFonts w:hint="eastAsia" w:ascii="黑体" w:hAnsi="黑体" w:eastAsia="黑体"/>
          <w:b w:val="0"/>
        </w:rPr>
      </w:pPr>
      <w:r>
        <w:rPr>
          <w:rFonts w:hint="eastAsia" w:ascii="黑体" w:hAnsi="黑体" w:eastAsia="黑体"/>
          <w:sz w:val="44"/>
          <w:szCs w:val="44"/>
          <w:lang w:eastAsia="zh-CN"/>
        </w:rPr>
        <w:t>第五部分</w:t>
      </w:r>
      <w:r>
        <w:rPr>
          <w:rFonts w:hint="eastAsia" w:ascii="黑体" w:hAnsi="黑体" w:eastAsia="黑体"/>
          <w:sz w:val="44"/>
          <w:szCs w:val="44"/>
          <w:lang w:val="en-US" w:eastAsia="zh-CN"/>
        </w:rPr>
        <w:t xml:space="preserve">  </w:t>
      </w:r>
      <w:r>
        <w:rPr>
          <w:rStyle w:val="31"/>
          <w:rFonts w:hint="eastAsia" w:ascii="黑体" w:hAnsi="黑体" w:eastAsia="黑体"/>
          <w:b w:val="0"/>
        </w:rPr>
        <w:t>附表</w:t>
      </w:r>
    </w:p>
    <w:p w14:paraId="1ADF39F8">
      <w:pPr>
        <w:pStyle w:val="15"/>
        <w:pageBreakBefore w:val="0"/>
        <w:widowControl w:val="0"/>
        <w:numPr>
          <w:ilvl w:val="0"/>
          <w:numId w:val="0"/>
        </w:numPr>
        <w:kinsoku/>
        <w:wordWrap/>
        <w:overflowPunct/>
        <w:topLinePunct w:val="0"/>
        <w:autoSpaceDE/>
        <w:autoSpaceDN/>
        <w:bidi w:val="0"/>
        <w:adjustRightInd/>
        <w:spacing w:line="576" w:lineRule="exact"/>
        <w:jc w:val="left"/>
        <w:textAlignment w:val="auto"/>
        <w:rPr>
          <w:rFonts w:hint="eastAsia"/>
        </w:rPr>
      </w:pPr>
    </w:p>
    <w:p w14:paraId="2B1DA49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278D02D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734B4BE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63F8994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72058A9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54A70EE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5CED569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1C14BF3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02CEBF9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1352B3A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617746C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14:paraId="0E21604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14:paraId="28A4FBF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14:paraId="6C24FDB3">
      <w:pPr>
        <w:keepNext w:val="0"/>
        <w:keepLines w:val="0"/>
        <w:pageBreakBefore w:val="0"/>
        <w:widowControl w:val="0"/>
        <w:kinsoku/>
        <w:wordWrap/>
        <w:overflowPunct/>
        <w:topLinePunct w:val="0"/>
        <w:autoSpaceDE/>
        <w:autoSpaceDN/>
        <w:bidi w:val="0"/>
        <w:adjustRightInd/>
        <w:snapToGrid/>
        <w:spacing w:line="576" w:lineRule="exact"/>
        <w:textAlignment w:val="auto"/>
      </w:pPr>
    </w:p>
    <w:p w14:paraId="77A6BED8">
      <w:pPr>
        <w:jc w:val="both"/>
        <w:rPr>
          <w:rFonts w:hint="eastAsia" w:ascii="黑体" w:hAnsi="黑体" w:eastAsia="黑体"/>
          <w:sz w:val="44"/>
          <w:szCs w:val="44"/>
          <w:lang w:eastAsia="zh-CN"/>
        </w:rPr>
      </w:pPr>
    </w:p>
    <w:p w14:paraId="6AB88124">
      <w:pPr>
        <w:jc w:val="center"/>
        <w:rPr>
          <w:rFonts w:hint="eastAsia" w:ascii="黑体" w:hAnsi="黑体" w:eastAsia="黑体"/>
          <w:sz w:val="44"/>
          <w:szCs w:val="44"/>
          <w:lang w:eastAsia="zh-CN"/>
        </w:rPr>
      </w:pPr>
    </w:p>
    <w:p w14:paraId="29AC56F1">
      <w:pPr>
        <w:jc w:val="center"/>
        <w:rPr>
          <w:rFonts w:hint="eastAsia" w:ascii="黑体" w:hAnsi="黑体" w:eastAsia="黑体"/>
          <w:sz w:val="44"/>
          <w:szCs w:val="44"/>
          <w:lang w:eastAsia="zh-CN"/>
        </w:rPr>
      </w:pPr>
    </w:p>
    <w:p w14:paraId="720BD193">
      <w:pPr>
        <w:jc w:val="center"/>
        <w:rPr>
          <w:rFonts w:hint="eastAsia" w:ascii="黑体" w:hAnsi="黑体" w:eastAsia="黑体"/>
          <w:sz w:val="44"/>
          <w:szCs w:val="44"/>
          <w:lang w:eastAsia="zh-CN"/>
        </w:rPr>
      </w:pPr>
    </w:p>
    <w:p w14:paraId="77AF86D9">
      <w:pPr>
        <w:jc w:val="center"/>
        <w:rPr>
          <w:rFonts w:hint="eastAsia" w:ascii="黑体" w:hAnsi="黑体" w:eastAsia="黑体"/>
          <w:sz w:val="44"/>
          <w:szCs w:val="44"/>
          <w:lang w:eastAsia="zh-CN"/>
        </w:rPr>
      </w:pPr>
    </w:p>
    <w:bookmarkEnd w:id="88"/>
    <w:bookmarkEnd w:id="89"/>
    <w:p w14:paraId="476EE44D">
      <w:pPr>
        <w:pStyle w:val="4"/>
        <w:bidi w:val="0"/>
        <w:rPr>
          <w:rFonts w:hint="eastAsia" w:ascii="仿宋_GB2312" w:hAnsi="仿宋_GB2312" w:eastAsia="仿宋_GB2312" w:cs="仿宋_GB2312"/>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思源黑体 CN Normal">
    <w:altName w:val="黑体"/>
    <w:panose1 w:val="020B040000000000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9DAA">
    <w:pPr>
      <w:pStyle w:val="12"/>
      <w:jc w:val="center"/>
    </w:pPr>
  </w:p>
  <w:p w14:paraId="605AC4B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C903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90A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190A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79CF1">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557E9">
                          <w:pPr>
                            <w:pStyle w:val="12"/>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D557E9">
                    <w:pPr>
                      <w:pStyle w:val="12"/>
                      <w:rPr>
                        <w:rFonts w:hint="eastAsia" w:eastAsia="宋体"/>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v:textbox>
            </v:shape>
          </w:pict>
        </mc:Fallback>
      </mc:AlternateContent>
    </w:r>
  </w:p>
  <w:p w14:paraId="04697F18">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C9E1">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9B94D">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E9B94D">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8E93">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96601E"/>
    <w:rsid w:val="02105DD0"/>
    <w:rsid w:val="02F91D73"/>
    <w:rsid w:val="02FEBE30"/>
    <w:rsid w:val="03E7371F"/>
    <w:rsid w:val="03EC455F"/>
    <w:rsid w:val="03F60FF6"/>
    <w:rsid w:val="040447B7"/>
    <w:rsid w:val="04916F1E"/>
    <w:rsid w:val="05707C02"/>
    <w:rsid w:val="057460BE"/>
    <w:rsid w:val="05AD1B88"/>
    <w:rsid w:val="061E35DE"/>
    <w:rsid w:val="066E0107"/>
    <w:rsid w:val="06C71C6E"/>
    <w:rsid w:val="07140EE7"/>
    <w:rsid w:val="07373DFF"/>
    <w:rsid w:val="07854B6B"/>
    <w:rsid w:val="07996F6E"/>
    <w:rsid w:val="07DFD8BA"/>
    <w:rsid w:val="085E6777"/>
    <w:rsid w:val="09151F1E"/>
    <w:rsid w:val="09867E8F"/>
    <w:rsid w:val="0A2032A3"/>
    <w:rsid w:val="0AB66FEF"/>
    <w:rsid w:val="0B39053F"/>
    <w:rsid w:val="0B8D66E4"/>
    <w:rsid w:val="0BEA7692"/>
    <w:rsid w:val="0C046A34"/>
    <w:rsid w:val="0C570A13"/>
    <w:rsid w:val="0CA8290A"/>
    <w:rsid w:val="0D35B1ED"/>
    <w:rsid w:val="0D426078"/>
    <w:rsid w:val="0D9771DB"/>
    <w:rsid w:val="0E254B6B"/>
    <w:rsid w:val="0E5A6D61"/>
    <w:rsid w:val="0EF56A7A"/>
    <w:rsid w:val="0F545942"/>
    <w:rsid w:val="0F9022FF"/>
    <w:rsid w:val="0F98263C"/>
    <w:rsid w:val="101860EC"/>
    <w:rsid w:val="101F47CC"/>
    <w:rsid w:val="10C055FF"/>
    <w:rsid w:val="11134B92"/>
    <w:rsid w:val="11694EBD"/>
    <w:rsid w:val="11772AA4"/>
    <w:rsid w:val="118107EC"/>
    <w:rsid w:val="1182211B"/>
    <w:rsid w:val="128A74D9"/>
    <w:rsid w:val="12D9220E"/>
    <w:rsid w:val="12E24EE2"/>
    <w:rsid w:val="13D50BC4"/>
    <w:rsid w:val="142C7CA8"/>
    <w:rsid w:val="14B17F78"/>
    <w:rsid w:val="15F20E8D"/>
    <w:rsid w:val="165E0673"/>
    <w:rsid w:val="16747EC7"/>
    <w:rsid w:val="16A15FC9"/>
    <w:rsid w:val="16B831D5"/>
    <w:rsid w:val="16BB723D"/>
    <w:rsid w:val="16C74F07"/>
    <w:rsid w:val="179B3E23"/>
    <w:rsid w:val="17DE6025"/>
    <w:rsid w:val="17E50567"/>
    <w:rsid w:val="18207E76"/>
    <w:rsid w:val="18636E02"/>
    <w:rsid w:val="186504BB"/>
    <w:rsid w:val="19A445FC"/>
    <w:rsid w:val="19F636A6"/>
    <w:rsid w:val="1BE8440E"/>
    <w:rsid w:val="1BF04F3B"/>
    <w:rsid w:val="1C2D7127"/>
    <w:rsid w:val="1D0D1432"/>
    <w:rsid w:val="1D155CEE"/>
    <w:rsid w:val="1D1638FE"/>
    <w:rsid w:val="1D743260"/>
    <w:rsid w:val="1DEF0B38"/>
    <w:rsid w:val="1E18008F"/>
    <w:rsid w:val="1E312DEB"/>
    <w:rsid w:val="1E4C001E"/>
    <w:rsid w:val="1E740ACF"/>
    <w:rsid w:val="1ED0096A"/>
    <w:rsid w:val="1F134CFA"/>
    <w:rsid w:val="1FA12306"/>
    <w:rsid w:val="1FD6321B"/>
    <w:rsid w:val="1FEE610F"/>
    <w:rsid w:val="1FF35744"/>
    <w:rsid w:val="1FF6BC77"/>
    <w:rsid w:val="20995790"/>
    <w:rsid w:val="20D4606E"/>
    <w:rsid w:val="2186353C"/>
    <w:rsid w:val="21B940AE"/>
    <w:rsid w:val="222F5E0B"/>
    <w:rsid w:val="2297354C"/>
    <w:rsid w:val="23782997"/>
    <w:rsid w:val="23860B96"/>
    <w:rsid w:val="240371BF"/>
    <w:rsid w:val="244F3473"/>
    <w:rsid w:val="24C97D99"/>
    <w:rsid w:val="24D833B0"/>
    <w:rsid w:val="25A718F0"/>
    <w:rsid w:val="25BB59F6"/>
    <w:rsid w:val="260F557C"/>
    <w:rsid w:val="26412A0C"/>
    <w:rsid w:val="267A2A60"/>
    <w:rsid w:val="268921DF"/>
    <w:rsid w:val="26970054"/>
    <w:rsid w:val="27416636"/>
    <w:rsid w:val="275B723E"/>
    <w:rsid w:val="281408E2"/>
    <w:rsid w:val="284303FE"/>
    <w:rsid w:val="286F17BB"/>
    <w:rsid w:val="28CD5F1A"/>
    <w:rsid w:val="29FD04D3"/>
    <w:rsid w:val="2AC84BEB"/>
    <w:rsid w:val="2AFC2AE6"/>
    <w:rsid w:val="2B2007AA"/>
    <w:rsid w:val="2B9769EF"/>
    <w:rsid w:val="2B9F3B9D"/>
    <w:rsid w:val="2BC0369B"/>
    <w:rsid w:val="2BFF7BC6"/>
    <w:rsid w:val="2C8A61B5"/>
    <w:rsid w:val="2CDA73A4"/>
    <w:rsid w:val="2D2B3FE3"/>
    <w:rsid w:val="2DF04E50"/>
    <w:rsid w:val="2E586DFA"/>
    <w:rsid w:val="2E740A1A"/>
    <w:rsid w:val="2E805565"/>
    <w:rsid w:val="2EC1229C"/>
    <w:rsid w:val="2EEC14EB"/>
    <w:rsid w:val="2F040D46"/>
    <w:rsid w:val="2F3B49A4"/>
    <w:rsid w:val="2F6B035B"/>
    <w:rsid w:val="2F806130"/>
    <w:rsid w:val="2FAE5751"/>
    <w:rsid w:val="2FB1A395"/>
    <w:rsid w:val="2FD9A7D8"/>
    <w:rsid w:val="2FDBF714"/>
    <w:rsid w:val="309F5A48"/>
    <w:rsid w:val="30AB6865"/>
    <w:rsid w:val="30AE6631"/>
    <w:rsid w:val="319F7F4E"/>
    <w:rsid w:val="32BD1EF1"/>
    <w:rsid w:val="3304709D"/>
    <w:rsid w:val="339A66C5"/>
    <w:rsid w:val="33A773CB"/>
    <w:rsid w:val="33EF1E1A"/>
    <w:rsid w:val="349D6851"/>
    <w:rsid w:val="34DD5737"/>
    <w:rsid w:val="3570102F"/>
    <w:rsid w:val="358726FB"/>
    <w:rsid w:val="35A40002"/>
    <w:rsid w:val="3612680D"/>
    <w:rsid w:val="36AA5135"/>
    <w:rsid w:val="36BE0DA7"/>
    <w:rsid w:val="376B6AA6"/>
    <w:rsid w:val="376D39B2"/>
    <w:rsid w:val="379B7E94"/>
    <w:rsid w:val="37E16F03"/>
    <w:rsid w:val="37F53A3B"/>
    <w:rsid w:val="38334C40"/>
    <w:rsid w:val="38376F0C"/>
    <w:rsid w:val="389B6C89"/>
    <w:rsid w:val="38D469F0"/>
    <w:rsid w:val="39627CCD"/>
    <w:rsid w:val="397BAF1F"/>
    <w:rsid w:val="39C60E5B"/>
    <w:rsid w:val="39D15C66"/>
    <w:rsid w:val="3AB79AF3"/>
    <w:rsid w:val="3AE834C0"/>
    <w:rsid w:val="3B6C4904"/>
    <w:rsid w:val="3B7EF35A"/>
    <w:rsid w:val="3B9FDB6C"/>
    <w:rsid w:val="3BDA6A36"/>
    <w:rsid w:val="3BF5BC2F"/>
    <w:rsid w:val="3CEBA265"/>
    <w:rsid w:val="3D98207C"/>
    <w:rsid w:val="3DEE7CF3"/>
    <w:rsid w:val="3E740A63"/>
    <w:rsid w:val="3E78745D"/>
    <w:rsid w:val="3EE17838"/>
    <w:rsid w:val="3F55381A"/>
    <w:rsid w:val="3F7F7599"/>
    <w:rsid w:val="3FF4CAE0"/>
    <w:rsid w:val="3FF7B227"/>
    <w:rsid w:val="40322E72"/>
    <w:rsid w:val="422E5823"/>
    <w:rsid w:val="42777177"/>
    <w:rsid w:val="42DF6BC1"/>
    <w:rsid w:val="44E268DA"/>
    <w:rsid w:val="450D13D7"/>
    <w:rsid w:val="45506656"/>
    <w:rsid w:val="45FE72BB"/>
    <w:rsid w:val="479D06AF"/>
    <w:rsid w:val="47C709F1"/>
    <w:rsid w:val="483376F0"/>
    <w:rsid w:val="486A6C7A"/>
    <w:rsid w:val="493C7C96"/>
    <w:rsid w:val="4A627F82"/>
    <w:rsid w:val="4AB34B18"/>
    <w:rsid w:val="4B0E749A"/>
    <w:rsid w:val="4B2477C4"/>
    <w:rsid w:val="4B4F25DA"/>
    <w:rsid w:val="4BB82E19"/>
    <w:rsid w:val="4BE068DB"/>
    <w:rsid w:val="4D001B6A"/>
    <w:rsid w:val="4D577224"/>
    <w:rsid w:val="4D673998"/>
    <w:rsid w:val="4DBF1CEB"/>
    <w:rsid w:val="4DF0007C"/>
    <w:rsid w:val="4E073C92"/>
    <w:rsid w:val="4E4F05A3"/>
    <w:rsid w:val="4E7445BE"/>
    <w:rsid w:val="4EAB630A"/>
    <w:rsid w:val="4ECE2238"/>
    <w:rsid w:val="4F6463E1"/>
    <w:rsid w:val="4F833267"/>
    <w:rsid w:val="4FDF6209"/>
    <w:rsid w:val="4FE3566F"/>
    <w:rsid w:val="4FE9BD67"/>
    <w:rsid w:val="4FFB052F"/>
    <w:rsid w:val="50802158"/>
    <w:rsid w:val="51B90269"/>
    <w:rsid w:val="51FD16F6"/>
    <w:rsid w:val="52081BED"/>
    <w:rsid w:val="537E6D0A"/>
    <w:rsid w:val="53F74C96"/>
    <w:rsid w:val="54DC2EBD"/>
    <w:rsid w:val="54F55D2D"/>
    <w:rsid w:val="55170BA8"/>
    <w:rsid w:val="553218C9"/>
    <w:rsid w:val="561B018E"/>
    <w:rsid w:val="565A0DFB"/>
    <w:rsid w:val="566F64A3"/>
    <w:rsid w:val="567E1AA5"/>
    <w:rsid w:val="56E47B74"/>
    <w:rsid w:val="570A791B"/>
    <w:rsid w:val="57175D52"/>
    <w:rsid w:val="57BD3DD4"/>
    <w:rsid w:val="57F4630A"/>
    <w:rsid w:val="59AF543F"/>
    <w:rsid w:val="59D625D1"/>
    <w:rsid w:val="59E85675"/>
    <w:rsid w:val="5A3D3203"/>
    <w:rsid w:val="5A6C6A91"/>
    <w:rsid w:val="5AF75BA9"/>
    <w:rsid w:val="5AF92295"/>
    <w:rsid w:val="5B250254"/>
    <w:rsid w:val="5B646ECB"/>
    <w:rsid w:val="5BDD79E6"/>
    <w:rsid w:val="5BF561CA"/>
    <w:rsid w:val="5BFF5DFC"/>
    <w:rsid w:val="5CBD3C97"/>
    <w:rsid w:val="5CD71FC4"/>
    <w:rsid w:val="5D1F11B5"/>
    <w:rsid w:val="5D695134"/>
    <w:rsid w:val="5DAE1B18"/>
    <w:rsid w:val="5DDF73E8"/>
    <w:rsid w:val="5DE7D9E5"/>
    <w:rsid w:val="5DEE19D9"/>
    <w:rsid w:val="5E0A2849"/>
    <w:rsid w:val="5E587521"/>
    <w:rsid w:val="5E604B5F"/>
    <w:rsid w:val="5EA87CC6"/>
    <w:rsid w:val="5EC12033"/>
    <w:rsid w:val="5ECEC941"/>
    <w:rsid w:val="5FBF9FF3"/>
    <w:rsid w:val="5FCD4E2C"/>
    <w:rsid w:val="5FEF394A"/>
    <w:rsid w:val="5FF67715"/>
    <w:rsid w:val="606439DF"/>
    <w:rsid w:val="60AC408B"/>
    <w:rsid w:val="61483DB4"/>
    <w:rsid w:val="623C31ED"/>
    <w:rsid w:val="62BF3928"/>
    <w:rsid w:val="633B5253"/>
    <w:rsid w:val="63B3701E"/>
    <w:rsid w:val="6461518D"/>
    <w:rsid w:val="647F5392"/>
    <w:rsid w:val="6599501D"/>
    <w:rsid w:val="65AB6217"/>
    <w:rsid w:val="65DF45BB"/>
    <w:rsid w:val="65E66580"/>
    <w:rsid w:val="6603474E"/>
    <w:rsid w:val="664B1D71"/>
    <w:rsid w:val="664B4E8E"/>
    <w:rsid w:val="67277B67"/>
    <w:rsid w:val="67580AC9"/>
    <w:rsid w:val="67AA3209"/>
    <w:rsid w:val="67D37642"/>
    <w:rsid w:val="68D40478"/>
    <w:rsid w:val="690D5A5A"/>
    <w:rsid w:val="698D0931"/>
    <w:rsid w:val="69DF734D"/>
    <w:rsid w:val="69E45CE7"/>
    <w:rsid w:val="6A7FE5F3"/>
    <w:rsid w:val="6A9C2A7B"/>
    <w:rsid w:val="6B053271"/>
    <w:rsid w:val="6B4469E3"/>
    <w:rsid w:val="6BDD78B3"/>
    <w:rsid w:val="6BF9461A"/>
    <w:rsid w:val="6C4A05C8"/>
    <w:rsid w:val="6C4C5516"/>
    <w:rsid w:val="6C8742B8"/>
    <w:rsid w:val="6CCD628C"/>
    <w:rsid w:val="6D4457C7"/>
    <w:rsid w:val="6D592EA5"/>
    <w:rsid w:val="6DBF5E93"/>
    <w:rsid w:val="6DCC7B1B"/>
    <w:rsid w:val="6DD36B27"/>
    <w:rsid w:val="6DE925CC"/>
    <w:rsid w:val="6DFF077E"/>
    <w:rsid w:val="6E714EF0"/>
    <w:rsid w:val="6E7E3605"/>
    <w:rsid w:val="6E7FDCC7"/>
    <w:rsid w:val="6ED6A62E"/>
    <w:rsid w:val="6EE00B15"/>
    <w:rsid w:val="6F215851"/>
    <w:rsid w:val="6F6FB3EB"/>
    <w:rsid w:val="6F8731EA"/>
    <w:rsid w:val="6FCE6052"/>
    <w:rsid w:val="6FD57C00"/>
    <w:rsid w:val="6FEFFFD8"/>
    <w:rsid w:val="6FF5CC65"/>
    <w:rsid w:val="6FFB47EC"/>
    <w:rsid w:val="6FFF034A"/>
    <w:rsid w:val="70484440"/>
    <w:rsid w:val="70BB7908"/>
    <w:rsid w:val="710D6480"/>
    <w:rsid w:val="712A28F1"/>
    <w:rsid w:val="715C0E4B"/>
    <w:rsid w:val="71992E7C"/>
    <w:rsid w:val="72233669"/>
    <w:rsid w:val="72734D90"/>
    <w:rsid w:val="72966949"/>
    <w:rsid w:val="73160E6D"/>
    <w:rsid w:val="732E6B82"/>
    <w:rsid w:val="7332FE48"/>
    <w:rsid w:val="73AB61DA"/>
    <w:rsid w:val="73AD73D5"/>
    <w:rsid w:val="73B6EB34"/>
    <w:rsid w:val="73FA497D"/>
    <w:rsid w:val="74263628"/>
    <w:rsid w:val="744731E5"/>
    <w:rsid w:val="74BBD01D"/>
    <w:rsid w:val="74ED5379"/>
    <w:rsid w:val="75DEEEC2"/>
    <w:rsid w:val="75E32345"/>
    <w:rsid w:val="76514F30"/>
    <w:rsid w:val="76960CC6"/>
    <w:rsid w:val="76E3355F"/>
    <w:rsid w:val="76FF5125"/>
    <w:rsid w:val="771755E6"/>
    <w:rsid w:val="776F6FFA"/>
    <w:rsid w:val="778769C8"/>
    <w:rsid w:val="77A75DCA"/>
    <w:rsid w:val="77DC22F5"/>
    <w:rsid w:val="78353310"/>
    <w:rsid w:val="783E271A"/>
    <w:rsid w:val="78574AAF"/>
    <w:rsid w:val="78616DE9"/>
    <w:rsid w:val="78E875D7"/>
    <w:rsid w:val="79086DAD"/>
    <w:rsid w:val="79D7FD79"/>
    <w:rsid w:val="79EE5BA4"/>
    <w:rsid w:val="7A894339"/>
    <w:rsid w:val="7AD284E8"/>
    <w:rsid w:val="7AFF7572"/>
    <w:rsid w:val="7B281FF4"/>
    <w:rsid w:val="7B3B18B2"/>
    <w:rsid w:val="7B4A662C"/>
    <w:rsid w:val="7B6C7DFB"/>
    <w:rsid w:val="7BB2023F"/>
    <w:rsid w:val="7BBFBED0"/>
    <w:rsid w:val="7BC3E394"/>
    <w:rsid w:val="7BC930A4"/>
    <w:rsid w:val="7C1F3737"/>
    <w:rsid w:val="7C211032"/>
    <w:rsid w:val="7CBFC87B"/>
    <w:rsid w:val="7CFE0F48"/>
    <w:rsid w:val="7D272ABC"/>
    <w:rsid w:val="7D7EC23E"/>
    <w:rsid w:val="7DC90BC8"/>
    <w:rsid w:val="7E034D49"/>
    <w:rsid w:val="7E247386"/>
    <w:rsid w:val="7E8ADEBF"/>
    <w:rsid w:val="7EEF11D3"/>
    <w:rsid w:val="7EFE4840"/>
    <w:rsid w:val="7F0971A6"/>
    <w:rsid w:val="7F1D62E7"/>
    <w:rsid w:val="7F3F679B"/>
    <w:rsid w:val="7F4FC4EF"/>
    <w:rsid w:val="7F5E4D54"/>
    <w:rsid w:val="7F6E0135"/>
    <w:rsid w:val="7F79F205"/>
    <w:rsid w:val="7FA30C79"/>
    <w:rsid w:val="7FA79C44"/>
    <w:rsid w:val="7FAF8ABF"/>
    <w:rsid w:val="7FB03387"/>
    <w:rsid w:val="7FB7269E"/>
    <w:rsid w:val="7FC96657"/>
    <w:rsid w:val="7FCD6F2A"/>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Normal Indent"/>
    <w:basedOn w:val="1"/>
    <w:unhideWhenUsed/>
    <w:qFormat/>
    <w:uiPriority w:val="99"/>
    <w:pPr>
      <w:ind w:firstLine="680"/>
    </w:p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Header Char"/>
    <w:basedOn w:val="20"/>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20"/>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20"/>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20"/>
    <w:link w:val="3"/>
    <w:qFormat/>
    <w:uiPriority w:val="9"/>
    <w:rPr>
      <w:rFonts w:ascii="Times New Roman" w:hAnsi="Times New Roman"/>
      <w:b/>
      <w:bCs/>
      <w:kern w:val="44"/>
      <w:sz w:val="44"/>
      <w:szCs w:val="44"/>
    </w:rPr>
  </w:style>
  <w:style w:type="character" w:customStyle="1" w:styleId="32">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0"/>
    <w:link w:val="11"/>
    <w:semiHidden/>
    <w:qFormat/>
    <w:uiPriority w:val="99"/>
    <w:rPr>
      <w:rFonts w:ascii="Times New Roman" w:hAnsi="Times New Roman"/>
      <w:kern w:val="2"/>
      <w:sz w:val="18"/>
      <w:szCs w:val="18"/>
    </w:rPr>
  </w:style>
  <w:style w:type="character" w:customStyle="1" w:styleId="35">
    <w:name w:val="标题 3 Char"/>
    <w:basedOn w:val="20"/>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标题 1 字符"/>
    <w:basedOn w:val="20"/>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manualLayout>
          <c:layoutTarget val="inner"/>
          <c:xMode val="edge"/>
          <c:yMode val="edge"/>
          <c:x val="0.0430780381734719"/>
          <c:y val="0.159371015724607"/>
          <c:w val="0.930345494080696"/>
          <c:h val="0.638631534211645"/>
        </c:manualLayout>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369.2</c:v>
                </c:pt>
                <c:pt idx="1">
                  <c:v>305.31</c:v>
                </c:pt>
              </c:numCache>
            </c:numRef>
          </c:val>
        </c:ser>
        <c:dLbls>
          <c:showLegendKey val="0"/>
          <c:showVal val="1"/>
          <c:showCatName val="0"/>
          <c:showSerName val="0"/>
          <c:showPercent val="0"/>
          <c:showBubbleSize val="0"/>
        </c:dLbls>
        <c:gapWidth val="246"/>
        <c:overlap val="-28"/>
        <c:axId val="178398785"/>
        <c:axId val="84385039"/>
      </c:barChart>
      <c:catAx>
        <c:axId val="1783987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385039"/>
        <c:crosses val="autoZero"/>
        <c:auto val="1"/>
        <c:lblAlgn val="ctr"/>
        <c:lblOffset val="100"/>
        <c:noMultiLvlLbl val="0"/>
      </c:catAx>
      <c:valAx>
        <c:axId val="8438503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39878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0f81c1-66fa-4b05-b250-d812a3d0c96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305.31</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117f49-43c2-491e-af7b-24095fff896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577.3</c:v>
                </c:pt>
                <c:pt idx="1">
                  <c:v>329.82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56717bd-97d7-4d98-9143-dcb8d173547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369.2</c:v>
                </c:pt>
                <c:pt idx="1">
                  <c:v>305.31</c:v>
                </c:pt>
              </c:numCache>
            </c:numRef>
          </c:val>
        </c:ser>
        <c:dLbls>
          <c:showLegendKey val="0"/>
          <c:showVal val="1"/>
          <c:showCatName val="0"/>
          <c:showSerName val="0"/>
          <c:showPercent val="0"/>
          <c:showBubbleSize val="0"/>
        </c:dLbls>
        <c:gapWidth val="246"/>
        <c:overlap val="-28"/>
        <c:axId val="521005533"/>
        <c:axId val="501411894"/>
      </c:barChart>
      <c:catAx>
        <c:axId val="5210055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1411894"/>
        <c:crosses val="autoZero"/>
        <c:auto val="1"/>
        <c:lblAlgn val="ctr"/>
        <c:lblOffset val="100"/>
        <c:noMultiLvlLbl val="0"/>
      </c:catAx>
      <c:valAx>
        <c:axId val="50141189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0055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8044d7f-d844-4152-bc4c-8d5909e7dd3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单位：万元</c:v>
                </c:pt>
              </c:strCache>
            </c:strRef>
          </c:cat>
          <c:val>
            <c:numRef>
              <c:f>Sheet1!$B$2</c:f>
              <c:numCache>
                <c:formatCode>General</c:formatCode>
                <c:ptCount val="1"/>
                <c:pt idx="0">
                  <c:v>369.2</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单位：万元</c:v>
                </c:pt>
              </c:strCache>
            </c:strRef>
          </c:cat>
          <c:val>
            <c:numRef>
              <c:f>Sheet1!$C$2</c:f>
              <c:numCache>
                <c:formatCode>General</c:formatCode>
                <c:ptCount val="1"/>
                <c:pt idx="0">
                  <c:v>305.31</c:v>
                </c:pt>
              </c:numCache>
            </c:numRef>
          </c:val>
        </c:ser>
        <c:dLbls>
          <c:showLegendKey val="0"/>
          <c:showVal val="1"/>
          <c:showCatName val="0"/>
          <c:showSerName val="0"/>
          <c:showPercent val="0"/>
          <c:showBubbleSize val="0"/>
        </c:dLbls>
        <c:gapWidth val="246"/>
        <c:overlap val="-28"/>
        <c:axId val="869001064"/>
        <c:axId val="526538067"/>
      </c:barChart>
      <c:catAx>
        <c:axId val="8690010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6538067"/>
        <c:crosses val="autoZero"/>
        <c:auto val="1"/>
        <c:lblAlgn val="ctr"/>
        <c:lblOffset val="100"/>
        <c:noMultiLvlLbl val="0"/>
      </c:catAx>
      <c:valAx>
        <c:axId val="52653806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90010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dad1c3-9e56-4b7e-9678-9b101bedff1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a:t>
            </a:r>
          </a:p>
        </c:rich>
      </c:tx>
      <c:layout/>
      <c:overlay val="0"/>
      <c:spPr>
        <a:noFill/>
        <a:ln>
          <a:noFill/>
        </a:ln>
        <a:effectLst/>
      </c:spPr>
    </c:title>
    <c:autoTitleDeleted val="0"/>
    <c:plotArea>
      <c:layout/>
      <c:pieChart>
        <c:varyColors val="1"/>
        <c:ser>
          <c:idx val="1"/>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1"/>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2"/>
              <c:layout/>
              <c:dLblPos val="inEnd"/>
              <c:showLegendKey val="0"/>
              <c:showVal val="1"/>
              <c:showCatName val="0"/>
              <c:showSerName val="0"/>
              <c:showPercent val="0"/>
              <c:showBubbleSize val="0"/>
              <c:separator>
</c:separator>
              <c:extLst>
                <c:ext xmlns:c15="http://schemas.microsoft.com/office/drawing/2012/chart" uri="{CE6537A1-D6FC-4f65-9D91-7224C49458BB}"/>
              </c:extLst>
            </c:dLbl>
            <c:dLbl>
              <c:idx val="3"/>
              <c:layout/>
              <c:dLblPos val="inEnd"/>
              <c:showLegendKey val="0"/>
              <c:showVal val="1"/>
              <c:showCatName val="0"/>
              <c:showSerName val="0"/>
              <c:showPercent val="0"/>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General</c:formatCode>
                <c:ptCount val="4"/>
                <c:pt idx="0">
                  <c:v>25.18</c:v>
                </c:pt>
                <c:pt idx="1">
                  <c:v>11.37</c:v>
                </c:pt>
                <c:pt idx="2" c:formatCode="#,##0.00">
                  <c:v>252.94</c:v>
                </c:pt>
                <c:pt idx="3">
                  <c:v>15.82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82e5a4f-962e-49fc-8aa1-633afc8b33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4674</Words>
  <Characters>5138</Characters>
  <Lines>61</Lines>
  <Paragraphs>17</Paragraphs>
  <TotalTime>4</TotalTime>
  <ScaleCrop>false</ScaleCrop>
  <LinksUpToDate>false</LinksUpToDate>
  <CharactersWithSpaces>5257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Clover</cp:lastModifiedBy>
  <cp:lastPrinted>2025-08-06T17:34:00Z</cp:lastPrinted>
  <dcterms:modified xsi:type="dcterms:W3CDTF">2025-09-26T01:08:33Z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48CF1C53EDBB40C2B6862B55369D4D79_13</vt:lpwstr>
  </property>
  <property fmtid="{D5CDD505-2E9C-101B-9397-08002B2CF9AE}" pid="4" name="KSOTemplateDocerSaveRecord">
    <vt:lpwstr>eyJoZGlkIjoiYTYyZmNjYjgzZWM3NWU4NDEyZjE5OWFlYTJlNTU1ZWYiLCJ1c2VySWQiOiIyMzQxNTI1ODUifQ==</vt:lpwstr>
  </property>
</Properties>
</file>