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DC537">
      <w:pPr>
        <w:pStyle w:val="8"/>
        <w:jc w:val="center"/>
        <w:rPr>
          <w:rFonts w:hint="eastAsia" w:ascii="Times New Roman" w:hAnsi="Times New Roman" w:eastAsia="方正小标宋简体" w:cs="Times New Roman"/>
          <w:color w:val="auto"/>
          <w:kern w:val="2"/>
          <w:sz w:val="44"/>
          <w:szCs w:val="44"/>
          <w:highlight w:val="none"/>
          <w:lang w:val="en-US" w:eastAsia="zh-CN" w:bidi="ar-SA"/>
        </w:rPr>
      </w:pPr>
      <w:bookmarkStart w:id="0" w:name="_Toc15306267"/>
      <w:bookmarkStart w:id="1" w:name="_Toc15396476"/>
      <w:bookmarkStart w:id="2" w:name="_Toc15377426"/>
      <w:bookmarkStart w:id="3" w:name="_Toc15396598"/>
      <w:bookmarkStart w:id="4" w:name="_Toc15377194"/>
      <w:bookmarkStart w:id="5" w:name="_Toc15378442"/>
    </w:p>
    <w:p w14:paraId="51DDAC85">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6418CF1">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0E9CAB64">
      <w:pPr>
        <w:pStyle w:val="8"/>
        <w:jc w:val="center"/>
        <w:rPr>
          <w:rFonts w:hint="eastAsia" w:ascii="Times New Roman" w:hAnsi="Times New Roman" w:eastAsia="方正小标宋简体" w:cs="Times New Roman"/>
          <w:color w:val="auto"/>
          <w:kern w:val="2"/>
          <w:sz w:val="44"/>
          <w:szCs w:val="44"/>
          <w:highlight w:val="none"/>
          <w:lang w:val="en-US" w:eastAsia="zh-CN" w:bidi="ar-SA"/>
        </w:rPr>
      </w:pPr>
    </w:p>
    <w:p w14:paraId="7E7ACC4F">
      <w:pPr>
        <w:pStyle w:val="8"/>
        <w:jc w:val="center"/>
        <w:rPr>
          <w:rFonts w:hint="eastAsia" w:ascii="Times New Roman" w:eastAsia="方正小标宋简体" w:cs="Times New Roman"/>
          <w:color w:val="auto"/>
          <w:kern w:val="2"/>
          <w:sz w:val="44"/>
          <w:szCs w:val="44"/>
          <w:highlight w:val="none"/>
          <w:lang w:val="en-US" w:eastAsia="zh-CN" w:bidi="ar-SA"/>
        </w:rPr>
      </w:pPr>
      <w:r>
        <w:rPr>
          <w:rFonts w:hint="eastAsia" w:ascii="Times New Roman" w:hAnsi="Times New Roman" w:eastAsia="方正小标宋简体" w:cs="Times New Roman"/>
          <w:color w:val="auto"/>
          <w:kern w:val="2"/>
          <w:sz w:val="44"/>
          <w:szCs w:val="44"/>
          <w:highlight w:val="none"/>
          <w:lang w:val="en-US" w:eastAsia="zh-CN" w:bidi="ar-SA"/>
        </w:rPr>
        <w:t>2024年度四川省</w:t>
      </w:r>
      <w:bookmarkEnd w:id="0"/>
      <w:bookmarkStart w:id="6" w:name="_Toc15306268"/>
      <w:r>
        <w:rPr>
          <w:rFonts w:hint="eastAsia" w:ascii="Times New Roman" w:eastAsia="方正小标宋简体" w:cs="Times New Roman"/>
          <w:color w:val="auto"/>
          <w:kern w:val="2"/>
          <w:sz w:val="44"/>
          <w:szCs w:val="44"/>
          <w:highlight w:val="none"/>
          <w:lang w:val="en-US" w:eastAsia="zh-CN" w:bidi="ar-SA"/>
        </w:rPr>
        <w:t>阿坝州</w:t>
      </w:r>
    </w:p>
    <w:p w14:paraId="357827CD">
      <w:pPr>
        <w:pStyle w:val="8"/>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Times New Roman" w:eastAsia="方正小标宋简体" w:cs="Times New Roman"/>
          <w:color w:val="auto"/>
          <w:kern w:val="2"/>
          <w:sz w:val="44"/>
          <w:szCs w:val="44"/>
          <w:highlight w:val="none"/>
          <w:lang w:val="en-US" w:eastAsia="zh-CN" w:bidi="ar-SA"/>
        </w:rPr>
        <w:t>茂县沟口镇人民政府</w:t>
      </w:r>
      <w:r>
        <w:rPr>
          <w:rFonts w:hint="eastAsia" w:ascii="Times New Roman" w:hAnsi="Times New Roman" w:eastAsia="方正小标宋简体" w:cs="Times New Roman"/>
          <w:color w:val="auto"/>
          <w:kern w:val="2"/>
          <w:sz w:val="44"/>
          <w:szCs w:val="44"/>
          <w:highlight w:val="none"/>
          <w:lang w:val="en-US" w:eastAsia="zh-CN" w:bidi="ar-SA"/>
        </w:rPr>
        <w:t>决算</w:t>
      </w:r>
      <w:bookmarkEnd w:id="1"/>
      <w:bookmarkEnd w:id="2"/>
      <w:bookmarkEnd w:id="3"/>
      <w:bookmarkEnd w:id="4"/>
      <w:bookmarkEnd w:id="5"/>
      <w:bookmarkEnd w:id="6"/>
      <w:r>
        <w:rPr>
          <w:rFonts w:hint="eastAsia" w:ascii="Times New Roman" w:eastAsia="方正小标宋简体" w:cs="Times New Roman"/>
          <w:color w:val="auto"/>
          <w:kern w:val="2"/>
          <w:sz w:val="44"/>
          <w:szCs w:val="44"/>
          <w:highlight w:val="none"/>
          <w:lang w:val="en-US" w:eastAsia="zh-CN" w:bidi="ar-SA"/>
        </w:rPr>
        <w:t>公开报告</w:t>
      </w:r>
    </w:p>
    <w:p w14:paraId="216F7E23">
      <w:pPr>
        <w:widowControl/>
        <w:jc w:val="center"/>
        <w:rPr>
          <w:rFonts w:ascii="Times New Roman" w:hAnsi="Times New Roman" w:eastAsia="黑体" w:cstheme="minorBidi"/>
          <w:color w:val="auto"/>
          <w:sz w:val="28"/>
          <w:szCs w:val="28"/>
          <w:highlight w:val="none"/>
        </w:rPr>
      </w:pPr>
      <w:r>
        <w:rPr>
          <w:rFonts w:ascii="Times New Roman" w:hAnsi="Times New Roman" w:eastAsia="方正小标宋简体"/>
          <w:color w:val="auto"/>
          <w:sz w:val="36"/>
          <w:szCs w:val="36"/>
          <w:highlight w:val="none"/>
        </w:rPr>
        <w:br w:type="page"/>
      </w:r>
      <w:r>
        <w:rPr>
          <w:rFonts w:hint="eastAsia" w:ascii="Times New Roman" w:hAnsi="Times New Roman" w:eastAsia="黑体"/>
          <w:color w:val="auto"/>
          <w:sz w:val="48"/>
          <w:szCs w:val="48"/>
          <w:highlight w:val="none"/>
        </w:rPr>
        <w:t>目录</w:t>
      </w:r>
    </w:p>
    <w:p w14:paraId="14378B4D">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9</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80245"/>
        <w15:color w:val="DBDBDB"/>
        <w:docPartObj>
          <w:docPartGallery w:val="Table of Contents"/>
          <w:docPartUnique/>
        </w:docPartObj>
      </w:sdtPr>
      <w:sdtEndPr>
        <w:rPr>
          <w:rFonts w:ascii="Times New Roman" w:hAnsi="Times New Roman" w:eastAsia="宋体" w:cs="Times New Roman"/>
          <w:kern w:val="2"/>
          <w:sz w:val="18"/>
          <w:szCs w:val="18"/>
          <w:lang w:val="en-US" w:eastAsia="zh-CN" w:bidi="ar-SA"/>
        </w:rPr>
      </w:sdtEndPr>
      <w:sdtContent>
        <w:p w14:paraId="37D8F46B">
          <w:pPr>
            <w:keepNext w:val="0"/>
            <w:keepLines w:val="0"/>
            <w:pageBreakBefore w:val="0"/>
            <w:widowControl w:val="0"/>
            <w:kinsoku/>
            <w:wordWrap/>
            <w:overflowPunct/>
            <w:topLinePunct w:val="0"/>
            <w:autoSpaceDE/>
            <w:autoSpaceDN/>
            <w:bidi w:val="0"/>
            <w:adjustRightInd/>
            <w:spacing w:before="0" w:after="0" w:line="576" w:lineRule="exact"/>
            <w:ind w:left="0" w:leftChars="0" w:right="0" w:rightChars="0" w:firstLine="0" w:firstLineChars="0"/>
            <w:jc w:val="left"/>
            <w:textAlignment w:val="auto"/>
          </w:pPr>
          <w:r>
            <w:rPr>
              <w:rFonts w:hint="eastAsia" w:ascii="宋体" w:hAnsi="宋体" w:cs="Times New Roman"/>
              <w:kern w:val="2"/>
              <w:sz w:val="21"/>
              <w:szCs w:val="24"/>
              <w:lang w:val="en-US" w:eastAsia="zh-CN" w:bidi="ar-SA"/>
            </w:rPr>
            <w:t xml:space="preserve"> </w:t>
          </w:r>
          <w:r>
            <w:fldChar w:fldCharType="begin"/>
          </w:r>
          <w:r>
            <w:instrText xml:space="preserve">TOC \o "1-2" \h \u </w:instrText>
          </w:r>
          <w:r>
            <w:fldChar w:fldCharType="separate"/>
          </w:r>
          <w:r>
            <w:rPr>
              <w:rFonts w:hint="eastAsia" w:ascii="Times New Roman" w:hAnsi="Times New Roman" w:eastAsia="方正小标宋简体" w:cs="方正小标宋简体"/>
              <w:kern w:val="2"/>
              <w:sz w:val="28"/>
              <w:szCs w:val="28"/>
              <w:highlight w:val="none"/>
              <w:lang w:val="en-US" w:eastAsia="zh-CN" w:bidi="ar-SA"/>
            </w:rPr>
            <w:fldChar w:fldCharType="begin"/>
          </w:r>
          <w:r>
            <w:rPr>
              <w:rFonts w:hint="eastAsia" w:ascii="Times New Roman" w:hAnsi="Times New Roman" w:eastAsia="方正小标宋简体" w:cs="方正小标宋简体"/>
              <w:kern w:val="2"/>
              <w:sz w:val="28"/>
              <w:szCs w:val="28"/>
              <w:highlight w:val="none"/>
              <w:lang w:val="en-US" w:eastAsia="zh-CN" w:bidi="ar-SA"/>
            </w:rPr>
            <w:instrText xml:space="preserve"> HYPERLINK \l _Toc32092 </w:instrText>
          </w:r>
          <w:r>
            <w:rPr>
              <w:rFonts w:hint="eastAsia" w:ascii="Times New Roman" w:hAnsi="Times New Roman" w:eastAsia="方正小标宋简体" w:cs="方正小标宋简体"/>
              <w:kern w:val="2"/>
              <w:sz w:val="28"/>
              <w:szCs w:val="28"/>
              <w:highlight w:val="none"/>
              <w:lang w:val="en-US" w:eastAsia="zh-CN" w:bidi="ar-SA"/>
            </w:rPr>
            <w:fldChar w:fldCharType="separate"/>
          </w:r>
          <w:r>
            <w:rPr>
              <w:rFonts w:hint="eastAsia" w:ascii="Times New Roman" w:hAnsi="Times New Roman" w:eastAsia="方正小标宋简体" w:cs="方正小标宋简体"/>
              <w:kern w:val="2"/>
              <w:sz w:val="28"/>
              <w:szCs w:val="28"/>
              <w:highlight w:val="none"/>
              <w:lang w:val="en-US" w:eastAsia="zh-CN" w:bidi="ar-SA"/>
            </w:rPr>
            <w:t>第一部分  部门概况</w:t>
          </w:r>
          <w:r>
            <w:rPr>
              <w:rFonts w:hint="eastAsia" w:ascii="Times New Roman" w:hAnsi="Times New Roman" w:eastAsia="方正小标宋简体" w:cs="方正小标宋简体"/>
              <w:kern w:val="2"/>
              <w:sz w:val="28"/>
              <w:szCs w:val="28"/>
              <w:highlight w:val="none"/>
              <w:lang w:val="en-US" w:eastAsia="zh-CN" w:bidi="ar-SA"/>
            </w:rPr>
            <w:tab/>
          </w:r>
          <w:r>
            <w:rPr>
              <w:rFonts w:hint="eastAsia" w:ascii="Times New Roman" w:hAnsi="Times New Roman" w:eastAsia="方正小标宋简体" w:cs="方正小标宋简体"/>
              <w:kern w:val="2"/>
              <w:sz w:val="28"/>
              <w:szCs w:val="28"/>
              <w:highlight w:val="none"/>
              <w:lang w:val="en-US" w:eastAsia="zh-CN" w:bidi="ar-SA"/>
            </w:rPr>
            <w:t xml:space="preserve">                                   </w:t>
          </w:r>
          <w:r>
            <w:rPr>
              <w:rFonts w:hint="eastAsia" w:ascii="Times New Roman" w:hAnsi="Times New Roman" w:eastAsia="方正小标宋简体" w:cs="方正小标宋简体"/>
              <w:kern w:val="2"/>
              <w:sz w:val="28"/>
              <w:szCs w:val="28"/>
              <w:highlight w:val="none"/>
              <w:lang w:val="en-US" w:eastAsia="zh-CN" w:bidi="ar-SA"/>
            </w:rPr>
            <w:fldChar w:fldCharType="begin"/>
          </w:r>
          <w:r>
            <w:rPr>
              <w:rFonts w:hint="eastAsia" w:ascii="Times New Roman" w:hAnsi="Times New Roman" w:eastAsia="方正小标宋简体" w:cs="方正小标宋简体"/>
              <w:kern w:val="2"/>
              <w:sz w:val="28"/>
              <w:szCs w:val="28"/>
              <w:highlight w:val="none"/>
              <w:lang w:val="en-US" w:eastAsia="zh-CN" w:bidi="ar-SA"/>
            </w:rPr>
            <w:instrText xml:space="preserve"> PAGEREF _Toc32092 \h </w:instrText>
          </w:r>
          <w:r>
            <w:rPr>
              <w:rFonts w:hint="eastAsia" w:ascii="Times New Roman" w:hAnsi="Times New Roman" w:eastAsia="方正小标宋简体" w:cs="方正小标宋简体"/>
              <w:kern w:val="2"/>
              <w:sz w:val="28"/>
              <w:szCs w:val="28"/>
              <w:highlight w:val="none"/>
              <w:lang w:val="en-US" w:eastAsia="zh-CN" w:bidi="ar-SA"/>
            </w:rPr>
            <w:fldChar w:fldCharType="separate"/>
          </w:r>
          <w:r>
            <w:rPr>
              <w:rFonts w:hint="eastAsia" w:ascii="Times New Roman" w:hAnsi="Times New Roman" w:eastAsia="方正小标宋简体" w:cs="方正小标宋简体"/>
              <w:kern w:val="2"/>
              <w:sz w:val="28"/>
              <w:szCs w:val="28"/>
              <w:highlight w:val="none"/>
              <w:lang w:val="en-US" w:eastAsia="zh-CN" w:bidi="ar-SA"/>
            </w:rPr>
            <w:t>- 3 -</w:t>
          </w:r>
          <w:r>
            <w:rPr>
              <w:rFonts w:hint="eastAsia" w:ascii="Times New Roman" w:hAnsi="Times New Roman" w:eastAsia="方正小标宋简体" w:cs="方正小标宋简体"/>
              <w:kern w:val="2"/>
              <w:sz w:val="28"/>
              <w:szCs w:val="28"/>
              <w:highlight w:val="none"/>
              <w:lang w:val="en-US" w:eastAsia="zh-CN" w:bidi="ar-SA"/>
            </w:rPr>
            <w:fldChar w:fldCharType="end"/>
          </w:r>
          <w:r>
            <w:rPr>
              <w:rFonts w:hint="eastAsia" w:ascii="Times New Roman" w:hAnsi="Times New Roman" w:eastAsia="方正小标宋简体" w:cs="方正小标宋简体"/>
              <w:kern w:val="2"/>
              <w:sz w:val="28"/>
              <w:szCs w:val="28"/>
              <w:highlight w:val="none"/>
              <w:lang w:val="en-US" w:eastAsia="zh-CN" w:bidi="ar-SA"/>
            </w:rPr>
            <w:fldChar w:fldCharType="end"/>
          </w:r>
        </w:p>
        <w:p w14:paraId="42CB925D">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_Toc3715 </w:instrText>
          </w:r>
          <w:r>
            <w:fldChar w:fldCharType="separate"/>
          </w:r>
          <w:r>
            <w:rPr>
              <w:rFonts w:hint="eastAsia" w:ascii="Times New Roman" w:hAnsi="Times New Roman" w:eastAsia="黑体"/>
              <w:lang w:eastAsia="zh-CN"/>
            </w:rPr>
            <w:t xml:space="preserve">一、 </w:t>
          </w:r>
          <w:r>
            <w:rPr>
              <w:rFonts w:hint="eastAsia" w:ascii="Times New Roman" w:hAnsi="Times New Roman" w:eastAsia="黑体"/>
              <w:highlight w:val="none"/>
              <w:lang w:eastAsia="zh-CN"/>
            </w:rPr>
            <w:t>部门职责</w:t>
          </w:r>
          <w:r>
            <w:tab/>
          </w:r>
          <w:r>
            <w:fldChar w:fldCharType="begin"/>
          </w:r>
          <w:r>
            <w:instrText xml:space="preserve"> PAGEREF _Toc3715 \h </w:instrText>
          </w:r>
          <w:r>
            <w:fldChar w:fldCharType="separate"/>
          </w:r>
          <w:r>
            <w:t>- 3 -</w:t>
          </w:r>
          <w:r>
            <w:fldChar w:fldCharType="end"/>
          </w:r>
          <w:r>
            <w:fldChar w:fldCharType="end"/>
          </w:r>
        </w:p>
        <w:p w14:paraId="03BEE5AA">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_Toc31591 </w:instrText>
          </w:r>
          <w:r>
            <w:fldChar w:fldCharType="separate"/>
          </w:r>
          <w:r>
            <w:rPr>
              <w:rFonts w:hint="eastAsia" w:ascii="Times New Roman" w:hAnsi="Times New Roman" w:eastAsia="黑体"/>
              <w:highlight w:val="none"/>
            </w:rPr>
            <w:t>二、机</w:t>
          </w:r>
          <w:r>
            <w:rPr>
              <w:rFonts w:hint="eastAsia" w:ascii="Times New Roman" w:hAnsi="Times New Roman" w:eastAsia="黑体"/>
              <w:bCs w:val="0"/>
              <w:highlight w:val="none"/>
            </w:rPr>
            <w:t>构设置</w:t>
          </w:r>
          <w:r>
            <w:tab/>
          </w:r>
          <w:r>
            <w:fldChar w:fldCharType="begin"/>
          </w:r>
          <w:r>
            <w:instrText xml:space="preserve"> PAGEREF _Toc31591 \h </w:instrText>
          </w:r>
          <w:r>
            <w:fldChar w:fldCharType="separate"/>
          </w:r>
          <w:r>
            <w:t>- 4 -</w:t>
          </w:r>
          <w:r>
            <w:fldChar w:fldCharType="end"/>
          </w:r>
          <w:r>
            <w:fldChar w:fldCharType="end"/>
          </w:r>
        </w:p>
        <w:p w14:paraId="17E5108B">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_Toc3874 </w:instrText>
          </w:r>
          <w:r>
            <w:fldChar w:fldCharType="separate"/>
          </w:r>
          <w:r>
            <w:rPr>
              <w:rFonts w:hint="eastAsia" w:ascii="Times New Roman" w:hAnsi="Times New Roman" w:eastAsia="方正小标宋简体" w:cs="方正小标宋简体"/>
              <w:highlight w:val="none"/>
            </w:rPr>
            <w:t>第二部分</w:t>
          </w:r>
          <w:r>
            <w:tab/>
          </w:r>
          <w:r>
            <w:fldChar w:fldCharType="begin"/>
          </w:r>
          <w:r>
            <w:instrText xml:space="preserve"> PAGEREF _Toc3874 \h </w:instrText>
          </w:r>
          <w:r>
            <w:fldChar w:fldCharType="separate"/>
          </w:r>
          <w:r>
            <w:t>- 5 -</w:t>
          </w:r>
          <w:r>
            <w:fldChar w:fldCharType="end"/>
          </w:r>
          <w:r>
            <w:fldChar w:fldCharType="end"/>
          </w:r>
        </w:p>
        <w:p w14:paraId="13234709">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_Toc21098 </w:instrText>
          </w:r>
          <w:r>
            <w:fldChar w:fldCharType="separate"/>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_Toc21098 \h </w:instrText>
          </w:r>
          <w:r>
            <w:fldChar w:fldCharType="separate"/>
          </w:r>
          <w:r>
            <w:t>- 5 -</w:t>
          </w:r>
          <w:r>
            <w:fldChar w:fldCharType="end"/>
          </w:r>
          <w:r>
            <w:fldChar w:fldCharType="end"/>
          </w:r>
        </w:p>
        <w:p w14:paraId="7FEF7440">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_Toc9239 </w:instrText>
          </w:r>
          <w:r>
            <w:fldChar w:fldCharType="separate"/>
          </w:r>
          <w:r>
            <w:rPr>
              <w:rFonts w:hint="eastAsia" w:ascii="Times New Roman" w:hAnsi="Times New Roman" w:eastAsia="黑体"/>
              <w:szCs w:val="32"/>
              <w:highlight w:val="none"/>
              <w:lang w:eastAsia="zh-CN"/>
            </w:rPr>
            <w:t>一、</w:t>
          </w:r>
          <w:r>
            <w:rPr>
              <w:rFonts w:hint="eastAsia" w:ascii="Times New Roman" w:hAnsi="Times New Roman" w:eastAsia="黑体"/>
              <w:szCs w:val="32"/>
              <w:highlight w:val="none"/>
            </w:rPr>
            <w:t>收</w:t>
          </w:r>
          <w:r>
            <w:rPr>
              <w:rFonts w:hint="eastAsia" w:ascii="Times New Roman" w:hAnsi="Times New Roman" w:eastAsia="黑体"/>
              <w:highlight w:val="none"/>
            </w:rPr>
            <w:t>入支出决算总体情况说明</w:t>
          </w:r>
          <w:r>
            <w:tab/>
          </w:r>
          <w:r>
            <w:fldChar w:fldCharType="begin"/>
          </w:r>
          <w:r>
            <w:instrText xml:space="preserve"> PAGEREF _Toc9239 \h </w:instrText>
          </w:r>
          <w:r>
            <w:fldChar w:fldCharType="separate"/>
          </w:r>
          <w:r>
            <w:t>- 5 -</w:t>
          </w:r>
          <w:r>
            <w:fldChar w:fldCharType="end"/>
          </w:r>
          <w:r>
            <w:fldChar w:fldCharType="end"/>
          </w:r>
        </w:p>
        <w:p w14:paraId="4DFBDC37">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_Toc22450 </w:instrText>
          </w:r>
          <w:r>
            <w:fldChar w:fldCharType="separate"/>
          </w:r>
          <w:r>
            <w:rPr>
              <w:rFonts w:hint="eastAsia" w:ascii="Times New Roman" w:hAnsi="Times New Roman" w:eastAsia="黑体"/>
              <w:szCs w:val="32"/>
              <w:highlight w:val="none"/>
              <w:lang w:eastAsia="zh-CN"/>
            </w:rPr>
            <w:t>二、收入决算情况说明</w:t>
          </w:r>
          <w:r>
            <w:tab/>
          </w:r>
          <w:r>
            <w:fldChar w:fldCharType="begin"/>
          </w:r>
          <w:r>
            <w:instrText xml:space="preserve"> PAGEREF _Toc22450 \h </w:instrText>
          </w:r>
          <w:r>
            <w:fldChar w:fldCharType="separate"/>
          </w:r>
          <w:r>
            <w:t>- 5 -</w:t>
          </w:r>
          <w:r>
            <w:fldChar w:fldCharType="end"/>
          </w:r>
          <w:r>
            <w:fldChar w:fldCharType="end"/>
          </w:r>
        </w:p>
        <w:p w14:paraId="6B1AD7F8">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_Toc15169 </w:instrText>
          </w:r>
          <w:r>
            <w:fldChar w:fldCharType="separate"/>
          </w:r>
          <w:r>
            <w:rPr>
              <w:rFonts w:hint="eastAsia" w:ascii="Times New Roman" w:hAnsi="Times New Roman" w:eastAsia="黑体"/>
              <w:szCs w:val="32"/>
              <w:highlight w:val="none"/>
              <w:lang w:eastAsia="zh-CN"/>
            </w:rPr>
            <w:t>三、</w:t>
          </w:r>
          <w:r>
            <w:rPr>
              <w:rFonts w:hint="eastAsia" w:ascii="Times New Roman" w:hAnsi="Times New Roman" w:eastAsia="黑体"/>
              <w:szCs w:val="32"/>
              <w:highlight w:val="none"/>
            </w:rPr>
            <w:t>支</w:t>
          </w:r>
          <w:r>
            <w:rPr>
              <w:rFonts w:hint="eastAsia" w:ascii="Times New Roman" w:hAnsi="Times New Roman" w:eastAsia="黑体"/>
              <w:highlight w:val="none"/>
            </w:rPr>
            <w:t>出决算情况说明</w:t>
          </w:r>
          <w:r>
            <w:tab/>
          </w:r>
          <w:r>
            <w:fldChar w:fldCharType="begin"/>
          </w:r>
          <w:r>
            <w:instrText xml:space="preserve"> PAGEREF _Toc15169 \h </w:instrText>
          </w:r>
          <w:r>
            <w:fldChar w:fldCharType="separate"/>
          </w:r>
          <w:r>
            <w:t>- 6 -</w:t>
          </w:r>
          <w:r>
            <w:fldChar w:fldCharType="end"/>
          </w:r>
          <w:r>
            <w:fldChar w:fldCharType="end"/>
          </w:r>
        </w:p>
        <w:p w14:paraId="772AF031">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_Toc30230 </w:instrText>
          </w:r>
          <w:r>
            <w:fldChar w:fldCharType="separate"/>
          </w:r>
          <w:r>
            <w:rPr>
              <w:rFonts w:hint="eastAsia" w:ascii="Times New Roman" w:hAnsi="Times New Roman" w:eastAsia="黑体"/>
              <w:szCs w:val="32"/>
              <w:highlight w:val="none"/>
            </w:rPr>
            <w:t>四、财</w:t>
          </w:r>
          <w:r>
            <w:rPr>
              <w:rFonts w:hint="eastAsia" w:ascii="Times New Roman" w:hAnsi="Times New Roman" w:eastAsia="黑体"/>
              <w:highlight w:val="none"/>
            </w:rPr>
            <w:t>政拨款收入支出决算总体情况说明</w:t>
          </w:r>
          <w:r>
            <w:tab/>
          </w:r>
          <w:r>
            <w:fldChar w:fldCharType="begin"/>
          </w:r>
          <w:r>
            <w:instrText xml:space="preserve"> PAGEREF _Toc30230 \h </w:instrText>
          </w:r>
          <w:r>
            <w:fldChar w:fldCharType="separate"/>
          </w:r>
          <w:r>
            <w:t>- 7 -</w:t>
          </w:r>
          <w:r>
            <w:fldChar w:fldCharType="end"/>
          </w:r>
          <w:r>
            <w:fldChar w:fldCharType="end"/>
          </w:r>
        </w:p>
        <w:p w14:paraId="2A01C1CB">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_Toc19579 </w:instrText>
          </w:r>
          <w:r>
            <w:fldChar w:fldCharType="separate"/>
          </w:r>
          <w:r>
            <w:rPr>
              <w:rFonts w:hint="eastAsia" w:ascii="Times New Roman" w:hAnsi="Times New Roman" w:eastAsia="黑体"/>
              <w:szCs w:val="32"/>
              <w:highlight w:val="none"/>
            </w:rPr>
            <w:t>五、一</w:t>
          </w:r>
          <w:r>
            <w:rPr>
              <w:rFonts w:hint="eastAsia" w:ascii="Times New Roman" w:hAnsi="Times New Roman" w:eastAsia="黑体"/>
              <w:highlight w:val="none"/>
            </w:rPr>
            <w:t>般公共预算财政拨款支出决算情况说明</w:t>
          </w:r>
          <w:r>
            <w:tab/>
          </w:r>
          <w:r>
            <w:fldChar w:fldCharType="begin"/>
          </w:r>
          <w:r>
            <w:instrText xml:space="preserve"> PAGEREF _Toc19579 \h </w:instrText>
          </w:r>
          <w:r>
            <w:fldChar w:fldCharType="separate"/>
          </w:r>
          <w:r>
            <w:t>- 7 -</w:t>
          </w:r>
          <w:r>
            <w:fldChar w:fldCharType="end"/>
          </w:r>
          <w:r>
            <w:fldChar w:fldCharType="end"/>
          </w:r>
        </w:p>
        <w:p w14:paraId="66C91AB4">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_Toc32164 </w:instrText>
          </w:r>
          <w:r>
            <w:fldChar w:fldCharType="separate"/>
          </w:r>
          <w:r>
            <w:rPr>
              <w:rFonts w:hint="eastAsia" w:ascii="Times New Roman" w:hAnsi="Times New Roman" w:eastAsia="黑体"/>
              <w:szCs w:val="32"/>
              <w:highlight w:val="none"/>
            </w:rPr>
            <w:t>六、一</w:t>
          </w:r>
          <w:r>
            <w:rPr>
              <w:rFonts w:hint="eastAsia" w:ascii="Times New Roman" w:hAnsi="Times New Roman" w:eastAsia="黑体"/>
              <w:highlight w:val="none"/>
            </w:rPr>
            <w:t>般公共预算财政拨款基本支出决算情况说明</w:t>
          </w:r>
          <w:r>
            <w:tab/>
          </w:r>
          <w:r>
            <w:fldChar w:fldCharType="begin"/>
          </w:r>
          <w:r>
            <w:instrText xml:space="preserve"> PAGEREF _Toc32164 \h </w:instrText>
          </w:r>
          <w:r>
            <w:fldChar w:fldCharType="separate"/>
          </w:r>
          <w:r>
            <w:t>- 11 -</w:t>
          </w:r>
          <w:r>
            <w:fldChar w:fldCharType="end"/>
          </w:r>
          <w:r>
            <w:fldChar w:fldCharType="end"/>
          </w:r>
        </w:p>
        <w:p w14:paraId="2CE4F621">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_Toc30288 </w:instrText>
          </w:r>
          <w:r>
            <w:fldChar w:fldCharType="separate"/>
          </w:r>
          <w:r>
            <w:rPr>
              <w:rFonts w:hint="eastAsia" w:ascii="Times New Roman" w:hAnsi="Times New Roman" w:eastAsia="黑体"/>
              <w:szCs w:val="32"/>
              <w:highlight w:val="none"/>
            </w:rPr>
            <w:t>七、</w:t>
          </w:r>
          <w:r>
            <w:rPr>
              <w:rFonts w:hint="eastAsia" w:ascii="Times New Roman" w:hAnsi="Times New Roman" w:eastAsia="黑体"/>
              <w:highlight w:val="none"/>
            </w:rPr>
            <w:t>财政拨款“三公”经费支出决算情况说明</w:t>
          </w:r>
          <w:r>
            <w:tab/>
          </w:r>
          <w:r>
            <w:fldChar w:fldCharType="begin"/>
          </w:r>
          <w:r>
            <w:instrText xml:space="preserve"> PAGEREF _Toc30288 \h </w:instrText>
          </w:r>
          <w:r>
            <w:fldChar w:fldCharType="separate"/>
          </w:r>
          <w:r>
            <w:t>- 12 -</w:t>
          </w:r>
          <w:r>
            <w:fldChar w:fldCharType="end"/>
          </w:r>
          <w:r>
            <w:fldChar w:fldCharType="end"/>
          </w:r>
        </w:p>
        <w:p w14:paraId="018E735A">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_Toc11336 </w:instrText>
          </w:r>
          <w:r>
            <w:fldChar w:fldCharType="separate"/>
          </w:r>
          <w:r>
            <w:rPr>
              <w:rFonts w:hint="eastAsia" w:ascii="Times New Roman" w:hAnsi="Times New Roman" w:eastAsia="黑体"/>
              <w:szCs w:val="32"/>
              <w:highlight w:val="none"/>
            </w:rPr>
            <w:t>八、</w:t>
          </w:r>
          <w:r>
            <w:rPr>
              <w:rFonts w:hint="eastAsia" w:ascii="Times New Roman" w:hAnsi="Times New Roman" w:eastAsia="黑体"/>
              <w:highlight w:val="none"/>
            </w:rPr>
            <w:t>政府性基金预算支出决算情况说明</w:t>
          </w:r>
          <w:r>
            <w:tab/>
          </w:r>
          <w:r>
            <w:fldChar w:fldCharType="begin"/>
          </w:r>
          <w:r>
            <w:instrText xml:space="preserve"> PAGEREF _Toc11336 \h </w:instrText>
          </w:r>
          <w:r>
            <w:fldChar w:fldCharType="separate"/>
          </w:r>
          <w:r>
            <w:t>- 13 -</w:t>
          </w:r>
          <w:r>
            <w:fldChar w:fldCharType="end"/>
          </w:r>
          <w:r>
            <w:fldChar w:fldCharType="end"/>
          </w:r>
        </w:p>
        <w:p w14:paraId="0D29461A">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_Toc7448 </w:instrText>
          </w:r>
          <w:r>
            <w:fldChar w:fldCharType="separate"/>
          </w:r>
          <w:r>
            <w:rPr>
              <w:rFonts w:hint="eastAsia" w:ascii="Times New Roman" w:hAnsi="Times New Roman" w:eastAsia="黑体"/>
              <w:highlight w:val="none"/>
              <w:lang w:eastAsia="zh-CN"/>
            </w:rPr>
            <w:t>九、</w:t>
          </w:r>
          <w:r>
            <w:rPr>
              <w:rFonts w:hint="eastAsia" w:ascii="Times New Roman" w:hAnsi="Times New Roman" w:eastAsia="黑体"/>
              <w:highlight w:val="none"/>
            </w:rPr>
            <w:t>国有资本经营预算支出决算情况说明</w:t>
          </w:r>
          <w:r>
            <w:tab/>
          </w:r>
          <w:r>
            <w:fldChar w:fldCharType="begin"/>
          </w:r>
          <w:r>
            <w:instrText xml:space="preserve"> PAGEREF _Toc7448 \h </w:instrText>
          </w:r>
          <w:r>
            <w:fldChar w:fldCharType="separate"/>
          </w:r>
          <w:r>
            <w:t>- 13 -</w:t>
          </w:r>
          <w:r>
            <w:fldChar w:fldCharType="end"/>
          </w:r>
          <w:r>
            <w:fldChar w:fldCharType="end"/>
          </w:r>
        </w:p>
        <w:p w14:paraId="1FC37D47">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_Toc31341 </w:instrText>
          </w:r>
          <w:r>
            <w:fldChar w:fldCharType="separate"/>
          </w:r>
          <w:r>
            <w:rPr>
              <w:rFonts w:hint="eastAsia" w:ascii="Times New Roman" w:hAnsi="Times New Roman" w:eastAsia="黑体"/>
              <w:highlight w:val="none"/>
              <w:lang w:eastAsia="zh-CN"/>
            </w:rPr>
            <w:t>十、</w:t>
          </w:r>
          <w:r>
            <w:rPr>
              <w:rFonts w:hint="eastAsia" w:ascii="Times New Roman" w:hAnsi="Times New Roman" w:eastAsia="黑体"/>
              <w:highlight w:val="none"/>
            </w:rPr>
            <w:t>其他重要事项的情况说明</w:t>
          </w:r>
          <w:r>
            <w:tab/>
          </w:r>
          <w:r>
            <w:fldChar w:fldCharType="begin"/>
          </w:r>
          <w:r>
            <w:instrText xml:space="preserve"> PAGEREF _Toc31341 \h </w:instrText>
          </w:r>
          <w:r>
            <w:fldChar w:fldCharType="separate"/>
          </w:r>
          <w:r>
            <w:t>- 13 -</w:t>
          </w:r>
          <w:r>
            <w:fldChar w:fldCharType="end"/>
          </w:r>
          <w:r>
            <w:fldChar w:fldCharType="end"/>
          </w:r>
        </w:p>
        <w:p w14:paraId="6AE48455">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_Toc23377 </w:instrText>
          </w:r>
          <w: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_Toc23377 \h </w:instrText>
          </w:r>
          <w:r>
            <w:fldChar w:fldCharType="separate"/>
          </w:r>
          <w:r>
            <w:t>- 15 -</w:t>
          </w:r>
          <w:r>
            <w:fldChar w:fldCharType="end"/>
          </w:r>
          <w:r>
            <w:fldChar w:fldCharType="end"/>
          </w:r>
        </w:p>
        <w:p w14:paraId="1362AD38">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_Toc5182 </w:instrText>
          </w:r>
          <w:r>
            <w:fldChar w:fldCharType="separate"/>
          </w:r>
          <w:r>
            <w:rPr>
              <w:rFonts w:hint="eastAsia"/>
              <w:b/>
              <w:bCs/>
            </w:rPr>
            <w:t>第四部分</w:t>
          </w:r>
          <w:r>
            <w:rPr>
              <w:rFonts w:hint="eastAsia"/>
              <w:b/>
              <w:bCs/>
              <w:lang w:val="en-US" w:eastAsia="zh-CN"/>
            </w:rPr>
            <w:t xml:space="preserve"> </w:t>
          </w:r>
          <w:r>
            <w:rPr>
              <w:rFonts w:hint="eastAsia"/>
              <w:b/>
              <w:bCs/>
            </w:rPr>
            <w:t xml:space="preserve"> 附件</w:t>
          </w:r>
          <w:r>
            <w:tab/>
          </w:r>
          <w:r>
            <w:fldChar w:fldCharType="begin"/>
          </w:r>
          <w:r>
            <w:instrText xml:space="preserve"> PAGEREF _Toc5182 \h </w:instrText>
          </w:r>
          <w:r>
            <w:fldChar w:fldCharType="separate"/>
          </w:r>
          <w:r>
            <w:t>- 20 -</w:t>
          </w:r>
          <w:r>
            <w:fldChar w:fldCharType="end"/>
          </w:r>
          <w:r>
            <w:fldChar w:fldCharType="end"/>
          </w:r>
        </w:p>
        <w:p w14:paraId="7C65EFED">
          <w:pPr>
            <w:pStyle w:val="13"/>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_Toc6260 </w:instrText>
          </w:r>
          <w:r>
            <w:fldChar w:fldCharType="separate"/>
          </w:r>
          <w:r>
            <w:rPr>
              <w:rFonts w:hint="eastAsia" w:ascii="黑体" w:eastAsia="黑体" w:cs="黑体"/>
              <w:bCs w:val="0"/>
            </w:rPr>
            <w:t>第五部分 附表</w:t>
          </w:r>
          <w:r>
            <w:tab/>
          </w:r>
          <w:r>
            <w:fldChar w:fldCharType="begin"/>
          </w:r>
          <w:r>
            <w:instrText xml:space="preserve"> PAGEREF _Toc6260 \h </w:instrText>
          </w:r>
          <w:r>
            <w:fldChar w:fldCharType="separate"/>
          </w:r>
          <w:r>
            <w:t>- 54 -</w:t>
          </w:r>
          <w:r>
            <w:fldChar w:fldCharType="end"/>
          </w:r>
          <w:r>
            <w:fldChar w:fldCharType="end"/>
          </w:r>
        </w:p>
        <w:p w14:paraId="13A3936A">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_Toc10262 </w:instrText>
          </w:r>
          <w:r>
            <w:fldChar w:fldCharType="separate"/>
          </w:r>
          <w:r>
            <w:rPr>
              <w:rFonts w:hint="eastAsia" w:ascii="黑体" w:eastAsia="黑体" w:cs="Times New Roman"/>
              <w:bCs w:val="0"/>
            </w:rPr>
            <w:t>一、收入支出决算总表</w:t>
          </w:r>
          <w:r>
            <w:tab/>
          </w:r>
          <w:r>
            <w:fldChar w:fldCharType="begin"/>
          </w:r>
          <w:r>
            <w:instrText xml:space="preserve"> PAGEREF _Toc10262 \h </w:instrText>
          </w:r>
          <w:r>
            <w:fldChar w:fldCharType="separate"/>
          </w:r>
          <w:r>
            <w:t>- 54 -</w:t>
          </w:r>
          <w:r>
            <w:fldChar w:fldCharType="end"/>
          </w:r>
          <w:r>
            <w:fldChar w:fldCharType="end"/>
          </w:r>
        </w:p>
        <w:p w14:paraId="4B462973">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_Toc1559 </w:instrText>
          </w:r>
          <w:r>
            <w:fldChar w:fldCharType="separate"/>
          </w:r>
          <w:r>
            <w:rPr>
              <w:rFonts w:hint="eastAsia" w:ascii="黑体" w:eastAsia="黑体" w:cs="Times New Roman"/>
              <w:bCs w:val="0"/>
            </w:rPr>
            <w:t>二、收入决算表</w:t>
          </w:r>
          <w:r>
            <w:tab/>
          </w:r>
          <w:r>
            <w:fldChar w:fldCharType="begin"/>
          </w:r>
          <w:r>
            <w:instrText xml:space="preserve"> PAGEREF _Toc1559 \h </w:instrText>
          </w:r>
          <w:r>
            <w:fldChar w:fldCharType="separate"/>
          </w:r>
          <w:r>
            <w:t>- 54 -</w:t>
          </w:r>
          <w:r>
            <w:fldChar w:fldCharType="end"/>
          </w:r>
          <w:r>
            <w:fldChar w:fldCharType="end"/>
          </w:r>
        </w:p>
        <w:p w14:paraId="2A05DEB4">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_Toc21000 </w:instrText>
          </w:r>
          <w:r>
            <w:fldChar w:fldCharType="separate"/>
          </w:r>
          <w:r>
            <w:rPr>
              <w:rFonts w:hint="eastAsia" w:ascii="黑体" w:eastAsia="黑体" w:cs="Times New Roman"/>
              <w:bCs w:val="0"/>
            </w:rPr>
            <w:t>三、支出决算表</w:t>
          </w:r>
          <w:r>
            <w:tab/>
          </w:r>
          <w:r>
            <w:fldChar w:fldCharType="begin"/>
          </w:r>
          <w:r>
            <w:instrText xml:space="preserve"> PAGEREF _Toc21000 \h </w:instrText>
          </w:r>
          <w:r>
            <w:fldChar w:fldCharType="separate"/>
          </w:r>
          <w:r>
            <w:t>- 54 -</w:t>
          </w:r>
          <w:r>
            <w:fldChar w:fldCharType="end"/>
          </w:r>
          <w:r>
            <w:fldChar w:fldCharType="end"/>
          </w:r>
        </w:p>
        <w:p w14:paraId="1F1032BF">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_Toc25926 </w:instrText>
          </w:r>
          <w:r>
            <w:fldChar w:fldCharType="separate"/>
          </w:r>
          <w:r>
            <w:rPr>
              <w:rFonts w:hint="eastAsia" w:ascii="黑体" w:eastAsia="黑体" w:cs="Times New Roman"/>
              <w:bCs w:val="0"/>
            </w:rPr>
            <w:t>四、财政拨款收入支出决算总表</w:t>
          </w:r>
          <w:r>
            <w:tab/>
          </w:r>
          <w:r>
            <w:fldChar w:fldCharType="begin"/>
          </w:r>
          <w:r>
            <w:instrText xml:space="preserve"> PAGEREF _Toc25926 \h </w:instrText>
          </w:r>
          <w:r>
            <w:fldChar w:fldCharType="separate"/>
          </w:r>
          <w:r>
            <w:t>- 54 -</w:t>
          </w:r>
          <w:r>
            <w:fldChar w:fldCharType="end"/>
          </w:r>
          <w:r>
            <w:fldChar w:fldCharType="end"/>
          </w:r>
        </w:p>
        <w:p w14:paraId="3D0E6734">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_Toc2957 </w:instrText>
          </w:r>
          <w:r>
            <w:fldChar w:fldCharType="separate"/>
          </w:r>
          <w:r>
            <w:rPr>
              <w:rFonts w:hint="eastAsia" w:ascii="黑体" w:eastAsia="黑体" w:cs="Times New Roman"/>
              <w:bCs w:val="0"/>
            </w:rPr>
            <w:t>五、财政拨款支出决算明细表</w:t>
          </w:r>
          <w:r>
            <w:tab/>
          </w:r>
          <w:r>
            <w:fldChar w:fldCharType="begin"/>
          </w:r>
          <w:r>
            <w:instrText xml:space="preserve"> PAGEREF _Toc2957 \h </w:instrText>
          </w:r>
          <w:r>
            <w:fldChar w:fldCharType="separate"/>
          </w:r>
          <w:r>
            <w:t>- 54 -</w:t>
          </w:r>
          <w:r>
            <w:fldChar w:fldCharType="end"/>
          </w:r>
          <w:r>
            <w:fldChar w:fldCharType="end"/>
          </w:r>
        </w:p>
        <w:p w14:paraId="2303A929">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_Toc26915 </w:instrText>
          </w:r>
          <w:r>
            <w:fldChar w:fldCharType="separate"/>
          </w:r>
          <w:r>
            <w:rPr>
              <w:rFonts w:hint="eastAsia" w:ascii="黑体" w:eastAsia="黑体" w:cs="Times New Roman"/>
              <w:bCs w:val="0"/>
            </w:rPr>
            <w:t>六、一般公共预算财政拨款支出决算表</w:t>
          </w:r>
          <w:r>
            <w:tab/>
          </w:r>
          <w:r>
            <w:fldChar w:fldCharType="begin"/>
          </w:r>
          <w:r>
            <w:instrText xml:space="preserve"> PAGEREF _Toc26915 \h </w:instrText>
          </w:r>
          <w:r>
            <w:fldChar w:fldCharType="separate"/>
          </w:r>
          <w:r>
            <w:t>- 54 -</w:t>
          </w:r>
          <w:r>
            <w:fldChar w:fldCharType="end"/>
          </w:r>
          <w:r>
            <w:fldChar w:fldCharType="end"/>
          </w:r>
        </w:p>
        <w:p w14:paraId="2CFD6BDA">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_Toc19918 </w:instrText>
          </w:r>
          <w:r>
            <w:fldChar w:fldCharType="separate"/>
          </w:r>
          <w:r>
            <w:rPr>
              <w:rFonts w:hint="eastAsia" w:ascii="黑体" w:eastAsia="黑体" w:cs="Times New Roman"/>
              <w:bCs w:val="0"/>
            </w:rPr>
            <w:t>七、一般公共预算财政拨款支出决算明细表</w:t>
          </w:r>
          <w:r>
            <w:tab/>
          </w:r>
          <w:r>
            <w:fldChar w:fldCharType="begin"/>
          </w:r>
          <w:r>
            <w:instrText xml:space="preserve"> PAGEREF _Toc19918 \h </w:instrText>
          </w:r>
          <w:r>
            <w:fldChar w:fldCharType="separate"/>
          </w:r>
          <w:r>
            <w:t>- 54 -</w:t>
          </w:r>
          <w:r>
            <w:fldChar w:fldCharType="end"/>
          </w:r>
          <w:r>
            <w:fldChar w:fldCharType="end"/>
          </w:r>
        </w:p>
        <w:p w14:paraId="3E9C12C1">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_Toc7031 </w:instrText>
          </w:r>
          <w:r>
            <w:fldChar w:fldCharType="separate"/>
          </w:r>
          <w:r>
            <w:rPr>
              <w:rFonts w:hint="eastAsia" w:ascii="黑体" w:eastAsia="黑体" w:cs="Times New Roman"/>
              <w:bCs w:val="0"/>
            </w:rPr>
            <w:t>八、一般公共预算财政拨款基本支出决算表</w:t>
          </w:r>
          <w:r>
            <w:tab/>
          </w:r>
          <w:r>
            <w:fldChar w:fldCharType="begin"/>
          </w:r>
          <w:r>
            <w:instrText xml:space="preserve"> PAGEREF _Toc7031 \h </w:instrText>
          </w:r>
          <w:r>
            <w:fldChar w:fldCharType="separate"/>
          </w:r>
          <w:r>
            <w:t>- 54 -</w:t>
          </w:r>
          <w:r>
            <w:fldChar w:fldCharType="end"/>
          </w:r>
          <w:r>
            <w:fldChar w:fldCharType="end"/>
          </w:r>
        </w:p>
        <w:p w14:paraId="5AD62958">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_Toc9131 </w:instrText>
          </w:r>
          <w:r>
            <w:fldChar w:fldCharType="separate"/>
          </w:r>
          <w:r>
            <w:rPr>
              <w:rFonts w:hint="eastAsia" w:ascii="黑体" w:eastAsia="黑体" w:cs="Times New Roman"/>
              <w:bCs w:val="0"/>
            </w:rPr>
            <w:t>九、一般公共预算财政拨款项目支出决算表</w:t>
          </w:r>
          <w:r>
            <w:tab/>
          </w:r>
          <w:r>
            <w:fldChar w:fldCharType="begin"/>
          </w:r>
          <w:r>
            <w:instrText xml:space="preserve"> PAGEREF _Toc9131 \h </w:instrText>
          </w:r>
          <w:r>
            <w:fldChar w:fldCharType="separate"/>
          </w:r>
          <w:r>
            <w:t>- 54 -</w:t>
          </w:r>
          <w:r>
            <w:fldChar w:fldCharType="end"/>
          </w:r>
          <w:r>
            <w:fldChar w:fldCharType="end"/>
          </w:r>
        </w:p>
        <w:p w14:paraId="2B18FF9E">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_Toc19190 </w:instrText>
          </w:r>
          <w:r>
            <w:fldChar w:fldCharType="separate"/>
          </w:r>
          <w:r>
            <w:rPr>
              <w:rFonts w:hint="eastAsia" w:ascii="黑体" w:eastAsia="黑体" w:cs="Times New Roman"/>
              <w:bCs w:val="0"/>
            </w:rPr>
            <w:t>十、政府性基金预算财政拨款收入支出决算表</w:t>
          </w:r>
          <w:r>
            <w:tab/>
          </w:r>
          <w:r>
            <w:fldChar w:fldCharType="begin"/>
          </w:r>
          <w:r>
            <w:instrText xml:space="preserve"> PAGEREF _Toc19190 \h </w:instrText>
          </w:r>
          <w:r>
            <w:fldChar w:fldCharType="separate"/>
          </w:r>
          <w:r>
            <w:t>- 54 -</w:t>
          </w:r>
          <w:r>
            <w:fldChar w:fldCharType="end"/>
          </w:r>
          <w:r>
            <w:fldChar w:fldCharType="end"/>
          </w:r>
        </w:p>
        <w:p w14:paraId="4DA7FCDC">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_Toc6932 </w:instrText>
          </w:r>
          <w:r>
            <w:fldChar w:fldCharType="separate"/>
          </w:r>
          <w:r>
            <w:rPr>
              <w:rFonts w:hint="eastAsia" w:ascii="黑体" w:eastAsia="黑体" w:cs="Times New Roman"/>
              <w:bCs w:val="0"/>
            </w:rPr>
            <w:t>十一、国有资本经营预算财政拨款收入支出决算表</w:t>
          </w:r>
          <w:r>
            <w:tab/>
          </w:r>
          <w:r>
            <w:fldChar w:fldCharType="begin"/>
          </w:r>
          <w:r>
            <w:instrText xml:space="preserve"> PAGEREF _Toc6932 \h </w:instrText>
          </w:r>
          <w:r>
            <w:fldChar w:fldCharType="separate"/>
          </w:r>
          <w:r>
            <w:t>- 54 -</w:t>
          </w:r>
          <w:r>
            <w:fldChar w:fldCharType="end"/>
          </w:r>
          <w:r>
            <w:fldChar w:fldCharType="end"/>
          </w:r>
        </w:p>
        <w:p w14:paraId="221478AE">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_Toc1966 </w:instrText>
          </w:r>
          <w:r>
            <w:fldChar w:fldCharType="separate"/>
          </w:r>
          <w:r>
            <w:rPr>
              <w:rFonts w:hint="eastAsia" w:ascii="黑体" w:eastAsia="黑体" w:cs="Times New Roman"/>
              <w:bCs w:val="0"/>
            </w:rPr>
            <w:t>十二、国有资本经营预算财政拨款支出决算表</w:t>
          </w:r>
          <w:r>
            <w:tab/>
          </w:r>
          <w:r>
            <w:fldChar w:fldCharType="begin"/>
          </w:r>
          <w:r>
            <w:instrText xml:space="preserve"> PAGEREF _Toc1966 \h </w:instrText>
          </w:r>
          <w:r>
            <w:fldChar w:fldCharType="separate"/>
          </w:r>
          <w:r>
            <w:t>- 54 -</w:t>
          </w:r>
          <w:r>
            <w:fldChar w:fldCharType="end"/>
          </w:r>
          <w:r>
            <w:fldChar w:fldCharType="end"/>
          </w:r>
        </w:p>
        <w:p w14:paraId="19186B6A">
          <w:pPr>
            <w:pStyle w:val="15"/>
            <w:keepNext w:val="0"/>
            <w:keepLines w:val="0"/>
            <w:pageBreakBefore w:val="0"/>
            <w:widowControl w:val="0"/>
            <w:tabs>
              <w:tab w:val="right" w:leader="dot" w:pos="8306"/>
              <w:tab w:val="clear" w:pos="8296"/>
            </w:tabs>
            <w:kinsoku/>
            <w:wordWrap/>
            <w:overflowPunct/>
            <w:topLinePunct w:val="0"/>
            <w:autoSpaceDE/>
            <w:autoSpaceDN/>
            <w:bidi w:val="0"/>
            <w:adjustRightInd/>
            <w:spacing w:line="576" w:lineRule="exact"/>
            <w:ind w:left="0" w:leftChars="0"/>
            <w:textAlignment w:val="auto"/>
          </w:pPr>
          <w:r>
            <w:fldChar w:fldCharType="begin"/>
          </w:r>
          <w:r>
            <w:instrText xml:space="preserve"> HYPERLINK \l _Toc24118 </w:instrText>
          </w:r>
          <w:r>
            <w:fldChar w:fldCharType="separate"/>
          </w:r>
          <w:r>
            <w:rPr>
              <w:rFonts w:hint="eastAsia" w:ascii="黑体" w:eastAsia="黑体" w:cs="Times New Roman"/>
              <w:bCs w:val="0"/>
            </w:rPr>
            <w:t>十三、财政拨款“三公”经费支出决算表</w:t>
          </w:r>
          <w:r>
            <w:tab/>
          </w:r>
          <w:r>
            <w:fldChar w:fldCharType="begin"/>
          </w:r>
          <w:r>
            <w:instrText xml:space="preserve"> PAGEREF _Toc24118 \h </w:instrText>
          </w:r>
          <w:r>
            <w:fldChar w:fldCharType="separate"/>
          </w:r>
          <w:r>
            <w:t>- 54 -</w:t>
          </w:r>
          <w:r>
            <w:fldChar w:fldCharType="end"/>
          </w:r>
          <w:r>
            <w:fldChar w:fldCharType="end"/>
          </w:r>
        </w:p>
        <w:p w14:paraId="5A96BC07">
          <w:pPr>
            <w:pStyle w:val="2"/>
            <w:keepNext w:val="0"/>
            <w:keepLines w:val="0"/>
            <w:pageBreakBefore w:val="0"/>
            <w:widowControl w:val="0"/>
            <w:kinsoku/>
            <w:wordWrap/>
            <w:overflowPunct/>
            <w:topLinePunct w:val="0"/>
            <w:autoSpaceDE/>
            <w:autoSpaceDN/>
            <w:bidi w:val="0"/>
            <w:adjustRightInd/>
            <w:spacing w:line="576" w:lineRule="exact"/>
            <w:ind w:left="0" w:leftChars="0"/>
            <w:textAlignment w:val="auto"/>
            <w:rPr>
              <w:rFonts w:ascii="Times New Roman" w:hAnsi="Times New Roman" w:eastAsia="宋体" w:cs="Times New Roman"/>
              <w:kern w:val="2"/>
              <w:sz w:val="18"/>
              <w:szCs w:val="18"/>
              <w:lang w:val="en-US" w:eastAsia="zh-CN" w:bidi="ar-SA"/>
            </w:rPr>
          </w:pPr>
          <w:r>
            <w:fldChar w:fldCharType="end"/>
          </w:r>
        </w:p>
      </w:sdtContent>
    </w:sdt>
    <w:p w14:paraId="411165CE">
      <w:pPr>
        <w:pStyle w:val="5"/>
        <w:ind w:firstLine="1760" w:firstLineChars="400"/>
        <w:jc w:val="both"/>
        <w:rPr>
          <w:rFonts w:hint="eastAsia" w:ascii="Times New Roman" w:hAnsi="Times New Roman" w:eastAsia="方正小标宋简体" w:cs="方正小标宋简体"/>
          <w:b w:val="0"/>
          <w:color w:val="auto"/>
          <w:highlight w:val="none"/>
        </w:rPr>
      </w:pPr>
      <w:bookmarkStart w:id="7" w:name="_Toc32092"/>
    </w:p>
    <w:p w14:paraId="7FF92EBF">
      <w:pPr>
        <w:rPr>
          <w:rFonts w:hint="eastAsia" w:ascii="Times New Roman" w:hAnsi="Times New Roman" w:eastAsia="方正小标宋简体" w:cs="方正小标宋简体"/>
          <w:b w:val="0"/>
          <w:color w:val="auto"/>
          <w:highlight w:val="none"/>
        </w:rPr>
      </w:pPr>
    </w:p>
    <w:p w14:paraId="73ED6A13">
      <w:pPr>
        <w:pStyle w:val="2"/>
        <w:rPr>
          <w:rFonts w:hint="eastAsia"/>
        </w:rPr>
      </w:pPr>
    </w:p>
    <w:p w14:paraId="1196BE18">
      <w:pPr>
        <w:pStyle w:val="5"/>
        <w:ind w:firstLine="2200" w:firstLineChars="500"/>
        <w:jc w:val="both"/>
        <w:rPr>
          <w:rFonts w:ascii="Times New Roman" w:hAnsi="Times New Roman" w:eastAsia="黑体"/>
          <w:color w:val="auto"/>
          <w:sz w:val="32"/>
          <w:szCs w:val="32"/>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29"/>
          <w:rFonts w:hint="eastAsia" w:ascii="Times New Roman" w:hAnsi="Times New Roman" w:eastAsia="方正小标宋简体" w:cs="方正小标宋简体"/>
          <w:b w:val="0"/>
          <w:bCs w:val="0"/>
          <w:color w:val="auto"/>
          <w:highlight w:val="none"/>
        </w:rPr>
        <w:t>部门概况</w:t>
      </w:r>
      <w:bookmarkEnd w:id="7"/>
    </w:p>
    <w:p w14:paraId="686EABC5">
      <w:pPr>
        <w:pStyle w:val="6"/>
        <w:pageBreakBefore w:val="0"/>
        <w:widowControl w:val="0"/>
        <w:numPr>
          <w:ilvl w:val="0"/>
          <w:numId w:val="0"/>
        </w:numPr>
        <w:kinsoku/>
        <w:wordWrap/>
        <w:overflowPunct/>
        <w:topLinePunct w:val="0"/>
        <w:autoSpaceDE/>
        <w:autoSpaceDN/>
        <w:bidi w:val="0"/>
        <w:spacing w:before="0" w:after="0" w:line="576" w:lineRule="exact"/>
        <w:ind w:firstLine="640" w:firstLineChars="200"/>
        <w:textAlignment w:val="auto"/>
        <w:rPr>
          <w:rFonts w:hint="eastAsia" w:ascii="Times New Roman" w:hAnsi="Times New Roman" w:eastAsia="黑体"/>
          <w:b w:val="0"/>
          <w:color w:val="auto"/>
          <w:highlight w:val="none"/>
          <w:lang w:eastAsia="zh-CN"/>
        </w:rPr>
      </w:pPr>
      <w:bookmarkStart w:id="8" w:name="_Toc3715"/>
      <w:bookmarkStart w:id="9" w:name="_Toc16363"/>
      <w:r>
        <w:rPr>
          <w:rFonts w:hint="eastAsia" w:ascii="Times New Roman" w:hAnsi="Times New Roman" w:eastAsia="黑体"/>
          <w:b w:val="0"/>
          <w:color w:val="auto"/>
          <w:highlight w:val="none"/>
          <w:lang w:eastAsia="zh-CN"/>
        </w:rPr>
        <w:t>一、部门职责</w:t>
      </w:r>
      <w:bookmarkEnd w:id="8"/>
      <w:bookmarkEnd w:id="9"/>
    </w:p>
    <w:p w14:paraId="4DCB19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贯彻执行党和国家的路线方针政策和上级党委、政府各项决策部署，以及本级党员代表大会（党员大会）、人民代表大会的决议决定。</w:t>
      </w:r>
    </w:p>
    <w:p w14:paraId="1556EA2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14:paraId="216D77E7">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bookmarkStart w:id="10" w:name="_Toc15377199"/>
      <w:bookmarkStart w:id="11" w:name="_Toc15378446"/>
      <w:bookmarkStart w:id="12" w:name="_Toc79163854"/>
      <w:bookmarkStart w:id="13" w:name="_Toc7916360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监督党员干部和其他工作人员严格遵守国家法律法规。</w:t>
      </w:r>
    </w:p>
    <w:p w14:paraId="584A40A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统筹区域发展。落实关于辖区发展的重大决策，制定辖区经济和社会发展规划、公共服务设施布局；负责乡村振兴工作，做好民生保障、扶贫开发、民族宗教等工作，推动辖区经济社会健康、有序、可持续发展</w:t>
      </w:r>
      <w:r>
        <w:rPr>
          <w:rFonts w:hint="eastAsia" w:ascii="仿宋_GB2312" w:hAnsi="仿宋_GB2312" w:eastAsia="仿宋_GB2312" w:cs="仿宋_GB2312"/>
          <w:sz w:val="32"/>
          <w:szCs w:val="32"/>
          <w:lang w:eastAsia="zh-CN"/>
        </w:rPr>
        <w:t>。</w:t>
      </w:r>
    </w:p>
    <w:p w14:paraId="5208A67A">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14:paraId="01A490B1">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黑体" w:hAnsi="黑体" w:eastAsia="黑体" w:cs="黑体"/>
          <w:color w:val="auto"/>
          <w:sz w:val="32"/>
          <w:szCs w:val="32"/>
          <w:highlight w:val="none"/>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优化公共服务。推进服务型政府建设，组织实施并优化教育、卫生健康、文化、民政、社会保障、退役军人事务等各项公共服务。</w:t>
      </w:r>
    </w:p>
    <w:p w14:paraId="2324A0FD">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 xml:space="preserve">）负责本行政区域内的民政、文化教育、卫生、体育等社会公益事业的综合性工作，维护一切经济单位和个人的正当经济权益，取缔非法经济活动，调解和处理民事纠纷，打击刑事犯罪维护社会稳定。 </w:t>
      </w:r>
    </w:p>
    <w:p w14:paraId="77EE8FFC">
      <w:pPr>
        <w:pageBreakBefore w:val="0"/>
        <w:widowControl w:val="0"/>
        <w:kinsoku/>
        <w:wordWrap/>
        <w:overflowPunct/>
        <w:topLinePunct w:val="0"/>
        <w:autoSpaceDE/>
        <w:autoSpaceDN/>
        <w:bidi w:val="0"/>
        <w:spacing w:line="576" w:lineRule="exact"/>
        <w:ind w:firstLine="640" w:firstLineChars="200"/>
        <w:textAlignment w:val="auto"/>
        <w:rPr>
          <w:rFonts w:hint="eastAsia" w:ascii="仿宋" w:eastAsia="仿宋" w:cs="仿宋"/>
          <w:sz w:val="32"/>
          <w:szCs w:val="32"/>
        </w:rPr>
      </w:pPr>
      <w:r>
        <w:rPr>
          <w:rFonts w:hint="eastAsia" w:ascii="仿宋" w:eastAsia="仿宋" w:cs="仿宋"/>
          <w:sz w:val="32"/>
          <w:szCs w:val="32"/>
        </w:rPr>
        <w:t>（</w:t>
      </w:r>
      <w:r>
        <w:rPr>
          <w:rFonts w:hint="eastAsia" w:ascii="仿宋" w:eastAsia="仿宋" w:cs="仿宋"/>
          <w:sz w:val="32"/>
          <w:szCs w:val="32"/>
          <w:lang w:val="en-US" w:eastAsia="zh-CN"/>
        </w:rPr>
        <w:t>8</w:t>
      </w:r>
      <w:r>
        <w:rPr>
          <w:rFonts w:hint="eastAsia" w:ascii="仿宋" w:eastAsia="仿宋" w:cs="仿宋"/>
          <w:sz w:val="32"/>
          <w:szCs w:val="32"/>
        </w:rPr>
        <w:t xml:space="preserve">）抓好精神文明建设，丰富群众文化生活，提倡移风易俗，反对封建迷信，破除陈规陋习，树立社会主义新风尚。 </w:t>
      </w:r>
    </w:p>
    <w:p w14:paraId="12A06053">
      <w:pPr>
        <w:pageBreakBefore w:val="0"/>
        <w:widowControl w:val="0"/>
        <w:kinsoku/>
        <w:wordWrap/>
        <w:overflowPunct/>
        <w:topLinePunct w:val="0"/>
        <w:autoSpaceDE/>
        <w:autoSpaceDN/>
        <w:bidi w:val="0"/>
        <w:spacing w:line="576" w:lineRule="exact"/>
        <w:ind w:firstLine="640" w:firstLineChars="200"/>
        <w:textAlignment w:val="auto"/>
        <w:rPr>
          <w:rFonts w:hint="eastAsia"/>
          <w:lang w:eastAsia="zh-CN"/>
        </w:rPr>
      </w:pPr>
      <w:r>
        <w:rPr>
          <w:rFonts w:hint="eastAsia" w:ascii="仿宋" w:eastAsia="仿宋" w:cs="仿宋"/>
          <w:sz w:val="32"/>
          <w:szCs w:val="32"/>
        </w:rPr>
        <w:t>（</w:t>
      </w:r>
      <w:r>
        <w:rPr>
          <w:rFonts w:hint="eastAsia" w:ascii="仿宋" w:eastAsia="仿宋" w:cs="仿宋"/>
          <w:sz w:val="32"/>
          <w:szCs w:val="32"/>
          <w:lang w:val="en-US" w:eastAsia="zh-CN"/>
        </w:rPr>
        <w:t>9</w:t>
      </w:r>
      <w:r>
        <w:rPr>
          <w:rFonts w:hint="eastAsia" w:ascii="仿宋" w:eastAsia="仿宋" w:cs="仿宋"/>
          <w:sz w:val="32"/>
          <w:szCs w:val="32"/>
        </w:rPr>
        <w:t xml:space="preserve">）完成上级政府交办的其它事项。 </w:t>
      </w:r>
      <w:bookmarkEnd w:id="10"/>
      <w:bookmarkEnd w:id="11"/>
      <w:bookmarkEnd w:id="12"/>
      <w:bookmarkEnd w:id="13"/>
    </w:p>
    <w:p w14:paraId="07ABB0E7">
      <w:pPr>
        <w:pStyle w:val="6"/>
        <w:pageBreakBefore w:val="0"/>
        <w:widowControl w:val="0"/>
        <w:kinsoku/>
        <w:wordWrap/>
        <w:overflowPunct/>
        <w:topLinePunct w:val="0"/>
        <w:autoSpaceDE/>
        <w:autoSpaceDN/>
        <w:bidi w:val="0"/>
        <w:spacing w:before="0" w:after="0" w:line="576" w:lineRule="exact"/>
        <w:ind w:firstLine="640" w:firstLineChars="200"/>
        <w:textAlignment w:val="auto"/>
        <w:rPr>
          <w:rStyle w:val="30"/>
          <w:rFonts w:ascii="Times New Roman" w:hAnsi="Times New Roman"/>
          <w:b w:val="0"/>
          <w:bCs w:val="0"/>
          <w:color w:val="auto"/>
          <w:highlight w:val="none"/>
        </w:rPr>
      </w:pPr>
      <w:bookmarkStart w:id="14" w:name="_Toc15396601"/>
      <w:bookmarkStart w:id="15" w:name="_Toc402"/>
      <w:bookmarkStart w:id="16" w:name="_Toc15377200"/>
      <w:bookmarkStart w:id="17" w:name="_Toc31591"/>
      <w:r>
        <w:rPr>
          <w:rFonts w:hint="eastAsia" w:ascii="Times New Roman" w:hAnsi="Times New Roman" w:eastAsia="黑体"/>
          <w:b w:val="0"/>
          <w:color w:val="auto"/>
          <w:highlight w:val="none"/>
        </w:rPr>
        <w:t>二、机</w:t>
      </w:r>
      <w:r>
        <w:rPr>
          <w:rStyle w:val="30"/>
          <w:rFonts w:hint="eastAsia" w:ascii="Times New Roman" w:hAnsi="Times New Roman" w:eastAsia="黑体"/>
          <w:b w:val="0"/>
          <w:bCs w:val="0"/>
          <w:color w:val="auto"/>
          <w:highlight w:val="none"/>
        </w:rPr>
        <w:t>构设置</w:t>
      </w:r>
      <w:bookmarkEnd w:id="14"/>
      <w:bookmarkEnd w:id="15"/>
      <w:bookmarkEnd w:id="16"/>
      <w:bookmarkEnd w:id="17"/>
    </w:p>
    <w:p w14:paraId="09F40FF7">
      <w:pPr>
        <w:pageBreakBefore w:val="0"/>
        <w:widowControl w:val="0"/>
        <w:kinsoku/>
        <w:wordWrap/>
        <w:overflowPunct/>
        <w:topLinePunct w:val="0"/>
        <w:autoSpaceDE/>
        <w:autoSpaceDN/>
        <w:bidi w:val="0"/>
        <w:spacing w:line="576" w:lineRule="exact"/>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茂县沟口镇人民政府</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1</w:t>
      </w:r>
      <w:r>
        <w:rPr>
          <w:rFonts w:hint="eastAsia" w:ascii="Times New Roman" w:hAnsi="Times New Roman" w:eastAsia="仿宋_GB2312" w:cs="仿宋_GB2312"/>
          <w:color w:val="auto"/>
          <w:sz w:val="32"/>
          <w:szCs w:val="32"/>
          <w:highlight w:val="none"/>
        </w:rPr>
        <w:t>个。</w:t>
      </w:r>
    </w:p>
    <w:p w14:paraId="2A91380F">
      <w:pPr>
        <w:pStyle w:val="8"/>
        <w:pageBreakBefore w:val="0"/>
        <w:widowControl w:val="0"/>
        <w:kinsoku/>
        <w:wordWrap/>
        <w:overflowPunct/>
        <w:topLinePunct w:val="0"/>
        <w:autoSpaceDE/>
        <w:autoSpaceDN/>
        <w:bidi w:val="0"/>
        <w:adjustRightInd w:val="0"/>
        <w:snapToGrid w:val="0"/>
        <w:spacing w:beforeLines="0" w:line="576" w:lineRule="exact"/>
        <w:ind w:firstLine="640" w:firstLineChars="200"/>
        <w:textAlignment w:val="auto"/>
        <w:rPr>
          <w:rFonts w:hint="eastAsia"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纳入</w:t>
      </w:r>
      <w:r>
        <w:rPr>
          <w:sz w:val="32"/>
          <w:szCs w:val="32"/>
        </w:rPr>
        <w:t>茂县沟口镇人民政府</w:t>
      </w:r>
      <w:r>
        <w:rPr>
          <w:rFonts w:hint="eastAsia" w:ascii="Times New Roman" w:hAnsi="Times New Roman" w:eastAsia="仿宋_GB2312" w:cs="仿宋_GB2312"/>
          <w:color w:val="auto"/>
          <w:sz w:val="32"/>
          <w:szCs w:val="32"/>
          <w:highlight w:val="none"/>
          <w:lang w:eastAsia="zh-CN"/>
        </w:rPr>
        <w:t>2024年度</w:t>
      </w:r>
      <w:r>
        <w:rPr>
          <w:rFonts w:hint="eastAsia" w:ascii="Times New Roman" w:hAnsi="Times New Roman" w:eastAsia="仿宋_GB2312" w:cs="仿宋_GB2312"/>
          <w:color w:val="auto"/>
          <w:sz w:val="32"/>
          <w:szCs w:val="32"/>
          <w:highlight w:val="none"/>
        </w:rPr>
        <w:t>部门决算编制范围的二级预算单位包括：</w:t>
      </w:r>
      <w:r>
        <w:rPr>
          <w:rFonts w:hint="eastAsia" w:ascii="Times New Roman" w:cs="仿宋_GB2312"/>
          <w:color w:val="auto"/>
          <w:sz w:val="32"/>
          <w:szCs w:val="32"/>
          <w:highlight w:val="none"/>
          <w:lang w:val="en-US" w:eastAsia="zh-CN"/>
        </w:rPr>
        <w:t>茂县沟口镇便民服务中心。</w:t>
      </w:r>
    </w:p>
    <w:p w14:paraId="4328CC1E">
      <w:pPr>
        <w:pStyle w:val="5"/>
        <w:jc w:val="center"/>
        <w:rPr>
          <w:rFonts w:hint="eastAsia" w:ascii="Times New Roman" w:hAnsi="Times New Roman" w:eastAsia="方正小标宋简体" w:cs="方正小标宋简体"/>
          <w:b w:val="0"/>
          <w:color w:val="auto"/>
          <w:highlight w:val="none"/>
        </w:rPr>
      </w:pPr>
      <w:bookmarkStart w:id="18" w:name="_Toc3874"/>
      <w:bookmarkStart w:id="19" w:name="_Toc25079"/>
      <w:bookmarkStart w:id="20" w:name="_Toc15396602"/>
      <w:bookmarkStart w:id="21" w:name="_Toc15377204"/>
      <w:r>
        <w:rPr>
          <w:rFonts w:hint="eastAsia" w:ascii="Times New Roman" w:hAnsi="Times New Roman" w:eastAsia="方正小标宋简体" w:cs="方正小标宋简体"/>
          <w:b w:val="0"/>
          <w:color w:val="auto"/>
          <w:highlight w:val="none"/>
        </w:rPr>
        <w:t>第二部分</w:t>
      </w:r>
      <w:bookmarkEnd w:id="18"/>
      <w:bookmarkEnd w:id="19"/>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p>
    <w:p w14:paraId="55582A02">
      <w:pPr>
        <w:pStyle w:val="5"/>
        <w:jc w:val="center"/>
        <w:rPr>
          <w:rFonts w:ascii="Times New Roman" w:hAnsi="Times New Roman"/>
          <w:color w:val="auto"/>
          <w:highlight w:val="none"/>
        </w:rPr>
      </w:pPr>
      <w:bookmarkStart w:id="22" w:name="_Toc21098"/>
      <w:bookmarkStart w:id="23" w:name="_Toc3175"/>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0"/>
      <w:bookmarkEnd w:id="21"/>
      <w:bookmarkEnd w:id="22"/>
      <w:bookmarkEnd w:id="23"/>
    </w:p>
    <w:p w14:paraId="1F248D7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24" w:name="_Toc15377205"/>
      <w:bookmarkStart w:id="25" w:name="_Toc14125"/>
      <w:bookmarkStart w:id="26" w:name="_Toc9239"/>
      <w:bookmarkStart w:id="27"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0"/>
          <w:rFonts w:hint="eastAsia" w:ascii="Times New Roman" w:hAnsi="Times New Roman" w:eastAsia="黑体"/>
          <w:b w:val="0"/>
          <w:color w:val="auto"/>
          <w:highlight w:val="none"/>
        </w:rPr>
        <w:t>入支出决算总体情况说明</w:t>
      </w:r>
      <w:bookmarkEnd w:id="24"/>
      <w:bookmarkEnd w:id="25"/>
      <w:bookmarkEnd w:id="26"/>
      <w:bookmarkEnd w:id="27"/>
    </w:p>
    <w:p w14:paraId="56ED86BB">
      <w:pPr>
        <w:spacing w:line="600" w:lineRule="exact"/>
        <w:ind w:firstLine="640" w:firstLineChars="20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ascii="仿宋_GB2312" w:hAnsi="仿宋_GB2312" w:eastAsia="仿宋_GB2312" w:cs="仿宋_GB2312"/>
          <w:sz w:val="32"/>
          <w:szCs w:val="32"/>
          <w:lang w:val="en-US" w:eastAsia="zh-CN"/>
        </w:rPr>
        <w:t>76.42</w:t>
      </w:r>
      <w:r>
        <w:rPr>
          <w:rFonts w:hint="eastAsia" w:ascii="仿宋_GB2312" w:hAnsi="仿宋_GB2312" w:eastAsia="仿宋_GB2312" w:cs="仿宋_GB2312"/>
          <w:sz w:val="32"/>
          <w:szCs w:val="32"/>
        </w:rPr>
        <w:t>万</w:t>
      </w:r>
      <w:r>
        <w:rPr>
          <w:rFonts w:hint="eastAsia" w:ascii="Times New Roman" w:hAnsi="Times New Roman" w:eastAsia="仿宋_GB2312" w:cs="仿宋_GB2312"/>
          <w:color w:val="auto"/>
          <w:sz w:val="32"/>
          <w:szCs w:val="32"/>
          <w:highlight w:val="none"/>
        </w:rPr>
        <w:t>元，增长</w:t>
      </w:r>
      <w:r>
        <w:rPr>
          <w:rFonts w:hint="eastAsia" w:eastAsia="仿宋_GB2312" w:cs="仿宋_GB2312"/>
          <w:color w:val="auto"/>
          <w:sz w:val="32"/>
          <w:szCs w:val="32"/>
          <w:highlight w:val="none"/>
          <w:lang w:val="en-US" w:eastAsia="zh-CN"/>
        </w:rPr>
        <w:t>4.45</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val="en-US" w:eastAsia="zh-CN"/>
        </w:rPr>
        <w:t>:</w:t>
      </w:r>
      <w:r>
        <w:rPr>
          <w:rFonts w:hint="eastAsia" w:ascii="仿宋" w:hAnsi="仿宋" w:eastAsia="仿宋"/>
          <w:color w:val="auto"/>
          <w:sz w:val="32"/>
          <w:szCs w:val="32"/>
          <w:highlight w:val="none"/>
          <w:lang w:eastAsia="zh-CN"/>
        </w:rPr>
        <w:t>项目投资增加。</w:t>
      </w:r>
    </w:p>
    <w:p w14:paraId="0B6D4A4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rPr>
          <w:rFonts w:hint="eastAsia"/>
          <w:lang w:val="en-US" w:eastAsia="zh-CN"/>
        </w:rPr>
        <w:t xml:space="preserve">       </w:t>
      </w:r>
      <w:r>
        <w:drawing>
          <wp:inline distT="0" distB="0" distL="114300" distR="114300">
            <wp:extent cx="3943350" cy="2804795"/>
            <wp:effectExtent l="4445" t="4445" r="14605" b="10160"/>
            <wp:docPr id="14"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0E45E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8" w:name="_Toc15396604"/>
      <w:bookmarkStart w:id="29" w:name="_Toc15377206"/>
      <w:bookmarkStart w:id="30" w:name="_Toc20941"/>
      <w:bookmarkStart w:id="31" w:name="_Toc22450"/>
      <w:r>
        <w:rPr>
          <w:rFonts w:hint="eastAsia" w:ascii="Times New Roman" w:hAnsi="Times New Roman" w:eastAsia="黑体"/>
          <w:color w:val="auto"/>
          <w:sz w:val="32"/>
          <w:szCs w:val="32"/>
          <w:highlight w:val="none"/>
          <w:lang w:eastAsia="zh-CN"/>
        </w:rPr>
        <w:t>二、收入决算情况说明</w:t>
      </w:r>
      <w:bookmarkEnd w:id="28"/>
      <w:bookmarkEnd w:id="29"/>
      <w:bookmarkEnd w:id="30"/>
      <w:bookmarkEnd w:id="31"/>
    </w:p>
    <w:p w14:paraId="6690A712">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bookmarkStart w:id="32" w:name="_Toc15247"/>
      <w:bookmarkStart w:id="33" w:name="_Toc18827"/>
      <w:bookmarkStart w:id="34" w:name="_Toc4462"/>
      <w:bookmarkStart w:id="35" w:name="_Toc19430"/>
      <w:bookmarkStart w:id="36" w:name="_Toc9605"/>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793.31万元，其中：一般公共预算财政拨款收入1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eastAsia="zh-CN"/>
        </w:rPr>
        <w:t>。</w:t>
      </w:r>
      <w:bookmarkEnd w:id="32"/>
      <w:bookmarkEnd w:id="33"/>
      <w:bookmarkEnd w:id="34"/>
      <w:bookmarkEnd w:id="35"/>
      <w:bookmarkEnd w:id="36"/>
    </w:p>
    <w:p w14:paraId="29672782">
      <w:pPr>
        <w:ind w:firstLine="525" w:firstLineChars="250"/>
        <w:rPr>
          <w:rFonts w:hint="eastAsia" w:ascii="Times New Roman" w:hAnsi="Times New Roman" w:eastAsia="仿宋_GB2312" w:cs="仿宋_GB2312"/>
          <w:color w:val="auto"/>
          <w:sz w:val="32"/>
          <w:szCs w:val="32"/>
          <w:highlight w:val="none"/>
          <w:lang w:eastAsia="zh-CN"/>
        </w:rPr>
      </w:pPr>
      <w:r>
        <w:rPr>
          <w:rFonts w:hint="eastAsia"/>
          <w:lang w:val="en-US" w:eastAsia="zh-CN"/>
        </w:rPr>
        <w:t xml:space="preserve">     </w:t>
      </w:r>
      <w:r>
        <w:drawing>
          <wp:inline distT="0" distB="0" distL="114300" distR="114300">
            <wp:extent cx="4125595" cy="1917700"/>
            <wp:effectExtent l="4445" t="4445" r="22860" b="20955"/>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C2E002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0"/>
          <w:rFonts w:hint="eastAsia" w:ascii="Times New Roman" w:hAnsi="Times New Roman" w:eastAsia="黑体"/>
          <w:b w:val="0"/>
          <w:color w:val="auto"/>
          <w:highlight w:val="none"/>
        </w:rPr>
      </w:pPr>
      <w:bookmarkStart w:id="37" w:name="_Toc15396605"/>
      <w:bookmarkStart w:id="38" w:name="_Toc15377207"/>
      <w:bookmarkStart w:id="39" w:name="_Toc8771"/>
      <w:bookmarkStart w:id="40" w:name="_Toc15169"/>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0"/>
          <w:rFonts w:hint="eastAsia" w:ascii="Times New Roman" w:hAnsi="Times New Roman" w:eastAsia="黑体"/>
          <w:b w:val="0"/>
          <w:color w:val="auto"/>
          <w:highlight w:val="none"/>
        </w:rPr>
        <w:t>出决算情况说明</w:t>
      </w:r>
      <w:bookmarkEnd w:id="37"/>
      <w:bookmarkEnd w:id="38"/>
      <w:bookmarkEnd w:id="39"/>
      <w:bookmarkEnd w:id="40"/>
    </w:p>
    <w:p w14:paraId="5980CE9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bookmarkStart w:id="41" w:name="_Toc23626"/>
      <w:bookmarkStart w:id="42" w:name="_Toc31393"/>
      <w:bookmarkStart w:id="43" w:name="_Toc25789"/>
      <w:bookmarkStart w:id="44" w:name="_Toc28885"/>
      <w:bookmarkStart w:id="45" w:name="_Toc11380"/>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874.91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48.78</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918.39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51.21</w:t>
      </w:r>
      <w:r>
        <w:rPr>
          <w:rFonts w:hint="eastAsia" w:ascii="仿宋_GB2312" w:hAnsi="仿宋_GB2312" w:eastAsia="仿宋_GB2312" w:cs="仿宋_GB2312"/>
          <w:color w:val="auto"/>
          <w:sz w:val="32"/>
          <w:szCs w:val="32"/>
          <w:highlight w:val="none"/>
          <w:lang w:eastAsia="zh-CN"/>
        </w:rPr>
        <w:t>%；</w:t>
      </w:r>
      <w:bookmarkEnd w:id="41"/>
      <w:bookmarkEnd w:id="42"/>
      <w:bookmarkEnd w:id="43"/>
      <w:bookmarkEnd w:id="44"/>
      <w:bookmarkEnd w:id="45"/>
    </w:p>
    <w:p w14:paraId="57EFE46A">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1" locked="0" layoutInCell="1" allowOverlap="1">
            <wp:simplePos x="0" y="0"/>
            <wp:positionH relativeFrom="column">
              <wp:posOffset>511810</wp:posOffset>
            </wp:positionH>
            <wp:positionV relativeFrom="paragraph">
              <wp:posOffset>8255</wp:posOffset>
            </wp:positionV>
            <wp:extent cx="4359275" cy="2654935"/>
            <wp:effectExtent l="4445" t="4445" r="17780" b="64770"/>
            <wp:wrapThrough wrapText="bothSides">
              <wp:wrapPolygon>
                <wp:start x="-22" y="-36"/>
                <wp:lineTo x="-22" y="21507"/>
                <wp:lineTo x="21499" y="21507"/>
                <wp:lineTo x="21499" y="-36"/>
                <wp:lineTo x="-22" y="-36"/>
              </wp:wrapPolygon>
            </wp:wrapThrough>
            <wp:docPr id="9"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70DE6A0E">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F8426E9">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0B8ABE0">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14:paraId="3C8D50B8">
      <w:pPr>
        <w:pStyle w:val="28"/>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E1F3746">
      <w:pPr>
        <w:rPr>
          <w:rFonts w:hint="default" w:ascii="Times New Roman" w:hAnsi="Times New Roman" w:eastAsia="仿宋_GB2312" w:cs="仿宋_GB2312"/>
          <w:color w:val="auto"/>
          <w:sz w:val="32"/>
          <w:szCs w:val="32"/>
          <w:highlight w:val="none"/>
          <w:lang w:val="en-US" w:eastAsia="zh-CN"/>
        </w:rPr>
      </w:pPr>
      <w:r>
        <w:rPr>
          <w:rFonts w:hint="eastAsia" w:eastAsia="仿宋_GB2312" w:cs="仿宋_GB2312"/>
          <w:color w:val="auto"/>
          <w:sz w:val="32"/>
          <w:szCs w:val="32"/>
          <w:highlight w:val="none"/>
          <w:lang w:val="en-US" w:eastAsia="zh-CN"/>
        </w:rPr>
        <w:t xml:space="preserve">      </w:t>
      </w:r>
    </w:p>
    <w:p w14:paraId="343EC9DE">
      <w:pPr>
        <w:spacing w:line="600" w:lineRule="exact"/>
        <w:outlineLvl w:val="1"/>
        <w:rPr>
          <w:rFonts w:hint="eastAsia" w:ascii="Times New Roman" w:hAnsi="Times New Roman" w:eastAsia="黑体"/>
          <w:color w:val="auto"/>
          <w:sz w:val="32"/>
          <w:szCs w:val="32"/>
          <w:highlight w:val="none"/>
        </w:rPr>
      </w:pPr>
      <w:bookmarkStart w:id="46" w:name="_Toc30230"/>
      <w:bookmarkStart w:id="47" w:name="_Toc2747"/>
      <w:bookmarkStart w:id="48" w:name="_Toc15377208"/>
      <w:bookmarkStart w:id="49" w:name="_Toc15396606"/>
    </w:p>
    <w:p w14:paraId="224F0E12">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四、财</w:t>
      </w:r>
      <w:r>
        <w:rPr>
          <w:rStyle w:val="30"/>
          <w:rFonts w:hint="eastAsia" w:ascii="Times New Roman" w:hAnsi="Times New Roman" w:eastAsia="黑体"/>
          <w:b w:val="0"/>
          <w:color w:val="auto"/>
          <w:highlight w:val="none"/>
        </w:rPr>
        <w:t>政拨款收入支出决算总体情况说明</w:t>
      </w:r>
      <w:bookmarkEnd w:id="46"/>
      <w:bookmarkEnd w:id="47"/>
      <w:bookmarkEnd w:id="48"/>
      <w:bookmarkEnd w:id="49"/>
    </w:p>
    <w:p w14:paraId="0970DCFD">
      <w:pPr>
        <w:spacing w:line="600" w:lineRule="exact"/>
        <w:ind w:firstLine="640" w:firstLineChars="200"/>
        <w:rPr>
          <w:rFonts w:hint="eastAsia" w:ascii="仿宋" w:hAnsi="仿宋" w:eastAsia="仿宋"/>
          <w:color w:val="auto"/>
          <w:sz w:val="32"/>
          <w:szCs w:val="32"/>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w:t>
      </w:r>
      <w:r>
        <w:rPr>
          <w:rFonts w:hint="eastAsia" w:ascii="Times New Roman" w:hAnsi="Times New Roman" w:eastAsia="仿宋_GB2312" w:cs="仿宋_GB2312"/>
          <w:color w:val="auto"/>
          <w:kern w:val="2"/>
          <w:sz w:val="32"/>
          <w:szCs w:val="32"/>
          <w:highlight w:val="none"/>
          <w:lang w:val="en-US" w:eastAsia="zh-CN" w:bidi="ar-SA"/>
        </w:rPr>
        <w:t>万元。与2023年度相比，财</w:t>
      </w:r>
      <w:r>
        <w:rPr>
          <w:rFonts w:hint="eastAsia" w:ascii="仿宋_GB2312" w:hAnsi="仿宋_GB2312" w:eastAsia="仿宋_GB2312" w:cs="仿宋_GB2312"/>
          <w:sz w:val="32"/>
          <w:szCs w:val="32"/>
          <w:lang w:val="en-US" w:eastAsia="zh-CN"/>
        </w:rPr>
        <w:t>政拨款收入、支出总计各增加76.42万元，增长4.45%。主要变动原因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w:t>
      </w:r>
      <w:r>
        <w:rPr>
          <w:rFonts w:hint="eastAsia" w:ascii="仿宋" w:hAnsi="仿宋" w:eastAsia="仿宋"/>
          <w:color w:val="auto"/>
          <w:sz w:val="32"/>
          <w:szCs w:val="32"/>
          <w:highlight w:val="none"/>
          <w:lang w:eastAsia="zh-CN"/>
        </w:rPr>
        <w:t>项目投资增加。</w:t>
      </w:r>
    </w:p>
    <w:p w14:paraId="71F28A16">
      <w:pPr>
        <w:spacing w:line="600" w:lineRule="exact"/>
        <w:ind w:firstLine="420" w:firstLineChars="20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580390</wp:posOffset>
            </wp:positionH>
            <wp:positionV relativeFrom="paragraph">
              <wp:posOffset>-158115</wp:posOffset>
            </wp:positionV>
            <wp:extent cx="4297680" cy="2886710"/>
            <wp:effectExtent l="4445" t="5080" r="22225" b="22860"/>
            <wp:wrapSquare wrapText="bothSides"/>
            <wp:docPr id="5"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5549070">
      <w:pPr>
        <w:pStyle w:val="14"/>
        <w:ind w:left="0" w:leftChars="0" w:firstLine="0" w:firstLineChars="0"/>
        <w:rPr>
          <w:rFonts w:hint="default"/>
          <w:lang w:val="en-US" w:eastAsia="zh-CN"/>
        </w:rPr>
      </w:pPr>
      <w:r>
        <w:rPr>
          <w:rFonts w:hint="eastAsia"/>
          <w:lang w:val="en-US" w:eastAsia="zh-CN"/>
        </w:rPr>
        <w:t xml:space="preserve">           </w:t>
      </w:r>
    </w:p>
    <w:p w14:paraId="4D871C5F">
      <w:pPr>
        <w:spacing w:line="600" w:lineRule="exact"/>
        <w:ind w:firstLine="640" w:firstLineChars="200"/>
        <w:outlineLvl w:val="1"/>
        <w:rPr>
          <w:rFonts w:hint="eastAsia" w:ascii="Times New Roman" w:hAnsi="Times New Roman" w:eastAsia="黑体"/>
          <w:color w:val="auto"/>
          <w:sz w:val="32"/>
          <w:szCs w:val="32"/>
          <w:highlight w:val="none"/>
        </w:rPr>
      </w:pPr>
      <w:bookmarkStart w:id="50" w:name="_Toc15377209"/>
      <w:bookmarkStart w:id="51" w:name="_Toc442"/>
      <w:bookmarkStart w:id="52" w:name="_Toc19579"/>
      <w:bookmarkStart w:id="53" w:name="_Toc15396607"/>
    </w:p>
    <w:p w14:paraId="5B8B4400">
      <w:pPr>
        <w:spacing w:line="600" w:lineRule="exact"/>
        <w:ind w:firstLine="640" w:firstLineChars="200"/>
        <w:outlineLvl w:val="1"/>
        <w:rPr>
          <w:rFonts w:hint="eastAsia" w:ascii="Times New Roman" w:hAnsi="Times New Roman" w:eastAsia="黑体"/>
          <w:color w:val="auto"/>
          <w:sz w:val="32"/>
          <w:szCs w:val="32"/>
          <w:highlight w:val="none"/>
        </w:rPr>
      </w:pPr>
    </w:p>
    <w:p w14:paraId="4B40186D">
      <w:pPr>
        <w:spacing w:line="600" w:lineRule="exact"/>
        <w:ind w:firstLine="640" w:firstLineChars="200"/>
        <w:outlineLvl w:val="1"/>
        <w:rPr>
          <w:rFonts w:hint="eastAsia" w:ascii="Times New Roman" w:hAnsi="Times New Roman" w:eastAsia="黑体"/>
          <w:color w:val="auto"/>
          <w:sz w:val="32"/>
          <w:szCs w:val="32"/>
          <w:highlight w:val="none"/>
        </w:rPr>
      </w:pPr>
    </w:p>
    <w:p w14:paraId="171B30AC">
      <w:pPr>
        <w:spacing w:line="600" w:lineRule="exact"/>
        <w:ind w:firstLine="640" w:firstLineChars="200"/>
        <w:outlineLvl w:val="1"/>
        <w:rPr>
          <w:rFonts w:hint="eastAsia" w:ascii="Times New Roman" w:hAnsi="Times New Roman" w:eastAsia="黑体"/>
          <w:color w:val="auto"/>
          <w:sz w:val="32"/>
          <w:szCs w:val="32"/>
          <w:highlight w:val="none"/>
        </w:rPr>
      </w:pPr>
    </w:p>
    <w:p w14:paraId="203EC78D">
      <w:pPr>
        <w:spacing w:line="600" w:lineRule="exact"/>
        <w:ind w:firstLine="640" w:firstLineChars="200"/>
        <w:outlineLvl w:val="1"/>
        <w:rPr>
          <w:rFonts w:hint="default" w:ascii="Times New Roman" w:hAnsi="Times New Roman" w:eastAsia="黑体"/>
          <w:color w:val="auto"/>
          <w:sz w:val="32"/>
          <w:szCs w:val="32"/>
          <w:highlight w:val="none"/>
          <w:lang w:val="en-US" w:eastAsia="zh-CN"/>
        </w:rPr>
      </w:pPr>
      <w:r>
        <w:rPr>
          <w:rFonts w:hint="eastAsia" w:eastAsia="黑体"/>
          <w:color w:val="auto"/>
          <w:sz w:val="32"/>
          <w:szCs w:val="32"/>
          <w:highlight w:val="none"/>
          <w:lang w:val="en-US" w:eastAsia="zh-CN"/>
        </w:rPr>
        <w:t xml:space="preserve">  </w:t>
      </w:r>
    </w:p>
    <w:p w14:paraId="037A08B9">
      <w:pPr>
        <w:spacing w:line="600" w:lineRule="exact"/>
        <w:ind w:firstLine="640" w:firstLineChars="200"/>
        <w:outlineLvl w:val="1"/>
        <w:rPr>
          <w:rFonts w:hint="eastAsia" w:ascii="Times New Roman" w:hAnsi="Times New Roman" w:eastAsia="黑体"/>
          <w:color w:val="auto"/>
          <w:sz w:val="32"/>
          <w:szCs w:val="32"/>
          <w:highlight w:val="none"/>
        </w:rPr>
      </w:pPr>
    </w:p>
    <w:p w14:paraId="5E1562FD">
      <w:pPr>
        <w:spacing w:line="600" w:lineRule="exact"/>
        <w:ind w:firstLine="640" w:firstLineChars="200"/>
        <w:outlineLvl w:val="1"/>
        <w:rPr>
          <w:rStyle w:val="30"/>
          <w:rFonts w:ascii="Times New Roman" w:hAnsi="Times New Roman" w:eastAsia="黑体"/>
          <w:b w:val="0"/>
          <w:color w:val="auto"/>
          <w:highlight w:val="none"/>
        </w:rPr>
      </w:pPr>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般公共预算财政拨款支出决算情况说明</w:t>
      </w:r>
      <w:bookmarkEnd w:id="50"/>
      <w:bookmarkEnd w:id="51"/>
      <w:bookmarkEnd w:id="52"/>
      <w:bookmarkEnd w:id="53"/>
    </w:p>
    <w:p w14:paraId="6862D16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54"/>
    </w:p>
    <w:p w14:paraId="2BDAF774">
      <w:pPr>
        <w:spacing w:line="600" w:lineRule="exact"/>
        <w:ind w:firstLine="640" w:firstLineChars="200"/>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%。与2023年度相比，一般公共预算财政拨款支出增加82.42万元，增长4.82%。</w:t>
      </w:r>
      <w:r>
        <w:rPr>
          <w:rFonts w:hint="eastAsia" w:ascii="Times New Roman" w:hAnsi="Times New Roman" w:eastAsia="仿宋_GB2312" w:cs="仿宋_GB2312"/>
          <w:color w:val="auto"/>
          <w:kern w:val="2"/>
          <w:sz w:val="32"/>
          <w:szCs w:val="32"/>
          <w:highlight w:val="none"/>
          <w:lang w:val="en-US" w:eastAsia="zh-CN" w:bidi="ar-SA"/>
        </w:rPr>
        <w:t>主要变动原因</w:t>
      </w:r>
      <w:r>
        <w:rPr>
          <w:rFonts w:hint="eastAsia" w:ascii="Times New Roman" w:hAnsi="Times New Roman" w:eastAsia="仿宋_GB2312" w:cs="仿宋_GB2312"/>
          <w:color w:val="auto"/>
          <w:sz w:val="32"/>
          <w:szCs w:val="32"/>
          <w:highlight w:val="none"/>
        </w:rPr>
        <w:t>是</w:t>
      </w:r>
      <w:r>
        <w:rPr>
          <w:rFonts w:hint="eastAsia" w:eastAsia="仿宋_GB2312" w:cs="仿宋_GB2312"/>
          <w:color w:val="auto"/>
          <w:sz w:val="32"/>
          <w:szCs w:val="32"/>
          <w:highlight w:val="none"/>
          <w:lang w:val="en-US" w:eastAsia="zh-CN"/>
        </w:rPr>
        <w:t>:</w:t>
      </w:r>
      <w:r>
        <w:rPr>
          <w:rFonts w:hint="eastAsia" w:ascii="仿宋" w:hAnsi="仿宋" w:eastAsia="仿宋"/>
          <w:color w:val="auto"/>
          <w:sz w:val="32"/>
          <w:szCs w:val="32"/>
          <w:highlight w:val="none"/>
          <w:lang w:eastAsia="zh-CN"/>
        </w:rPr>
        <w:t>项目投资增加。</w:t>
      </w:r>
    </w:p>
    <w:p w14:paraId="1CFBECE4">
      <w:pPr>
        <w:spacing w:line="600" w:lineRule="exact"/>
        <w:ind w:firstLine="640"/>
      </w:pPr>
      <w:r>
        <w:drawing>
          <wp:anchor distT="0" distB="0" distL="114300" distR="114300" simplePos="0" relativeHeight="251661312" behindDoc="1" locked="0" layoutInCell="1" allowOverlap="1">
            <wp:simplePos x="0" y="0"/>
            <wp:positionH relativeFrom="column">
              <wp:posOffset>1035050</wp:posOffset>
            </wp:positionH>
            <wp:positionV relativeFrom="paragraph">
              <wp:posOffset>114935</wp:posOffset>
            </wp:positionV>
            <wp:extent cx="3883025" cy="2384425"/>
            <wp:effectExtent l="4445" t="4445" r="17780" b="11430"/>
            <wp:wrapThrough wrapText="bothSides">
              <wp:wrapPolygon>
                <wp:start x="-25" y="-40"/>
                <wp:lineTo x="-25" y="21531"/>
                <wp:lineTo x="21487" y="21531"/>
                <wp:lineTo x="21487" y="-40"/>
                <wp:lineTo x="-25" y="-40"/>
              </wp:wrapPolygon>
            </wp:wrapThrough>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4E65C35">
      <w:pPr>
        <w:spacing w:line="600" w:lineRule="exact"/>
        <w:ind w:firstLine="640"/>
      </w:pPr>
    </w:p>
    <w:p w14:paraId="306DAFDB">
      <w:pPr>
        <w:pStyle w:val="14"/>
      </w:pPr>
    </w:p>
    <w:p w14:paraId="4F381BB1">
      <w:pPr>
        <w:spacing w:line="600" w:lineRule="exact"/>
        <w:ind w:firstLine="640"/>
      </w:pPr>
    </w:p>
    <w:p w14:paraId="6A86477B">
      <w:pPr>
        <w:spacing w:line="600" w:lineRule="exact"/>
        <w:ind w:firstLine="640"/>
      </w:pPr>
    </w:p>
    <w:p w14:paraId="335913D5">
      <w:pPr>
        <w:spacing w:line="600" w:lineRule="exact"/>
        <w:ind w:firstLine="640"/>
      </w:pPr>
    </w:p>
    <w:p w14:paraId="05D0B3B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147596C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55"/>
    </w:p>
    <w:p w14:paraId="2C10D2D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w:t>
      </w:r>
      <w:r>
        <w:rPr>
          <w:rFonts w:hint="eastAsia" w:ascii="仿宋_GB2312" w:hAnsi="仿宋_GB2312" w:eastAsia="仿宋_GB2312" w:cs="仿宋_GB2312"/>
          <w:color w:val="auto"/>
          <w:kern w:val="2"/>
          <w:sz w:val="32"/>
          <w:szCs w:val="32"/>
          <w:highlight w:val="none"/>
          <w:lang w:val="en-US" w:eastAsia="zh-CN" w:bidi="ar-SA"/>
        </w:rPr>
        <w:t>万元，主要用于以下方面：一般公共服务支出537.91万元，占30%；文化旅游体育与传媒支出18.46万元，占1.03%；社会保障和就业支出117.02万元，占6.53%；卫生健康支出50.08万元，占2.80%；住房保障支出65.47万元，占3.65%；农林水支出994.36万元，占55.45%；灾害防治及应急管理支出10.00万元，占0.56%。</w:t>
      </w:r>
    </w:p>
    <w:p w14:paraId="74D4ADF8">
      <w:pPr>
        <w:rPr>
          <w:rFonts w:hint="eastAsia" w:ascii="Times New Roman" w:hAnsi="Times New Roman" w:eastAsia="仿宋_GB2312" w:cs="仿宋_GB2312"/>
          <w:color w:val="auto"/>
          <w:kern w:val="2"/>
          <w:sz w:val="32"/>
          <w:szCs w:val="32"/>
          <w:highlight w:val="none"/>
          <w:lang w:val="en-US" w:eastAsia="zh-CN" w:bidi="ar-SA"/>
        </w:rPr>
      </w:pPr>
      <w:r>
        <w:rPr>
          <w:rFonts w:hint="eastAsia"/>
          <w:lang w:val="en-US" w:eastAsia="zh-CN"/>
        </w:rPr>
        <w:t xml:space="preserve">              </w:t>
      </w:r>
      <w:r>
        <w:drawing>
          <wp:inline distT="0" distB="0" distL="114300" distR="114300">
            <wp:extent cx="3353435" cy="2065655"/>
            <wp:effectExtent l="4445" t="4445" r="13970" b="635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1C17E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56"/>
    </w:p>
    <w:p w14:paraId="35182C5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bookmarkStart w:id="57" w:name="_Toc15378460"/>
      <w:bookmarkStart w:id="58" w:name="_Toc15377213"/>
      <w:bookmarkStart w:id="59" w:name="_Toc15377444"/>
      <w:r>
        <w:rPr>
          <w:rFonts w:hint="eastAsia" w:ascii="仿宋_GB2312" w:hAnsi="仿宋_GB2312"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793.31</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，完成预算100%。其中：</w:t>
      </w:r>
      <w:bookmarkEnd w:id="57"/>
      <w:bookmarkEnd w:id="58"/>
      <w:bookmarkEnd w:id="59"/>
    </w:p>
    <w:p w14:paraId="7E5624AF">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1.一般公共服务（201）人大事务（01）代表工作（08）：支出决算为9.98万元，完成预算100%，决算数与预算数持平。</w:t>
      </w:r>
    </w:p>
    <w:p w14:paraId="4AF35A10">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2.一般公共服务（201）政府办公厅（室）及相关机构事务（03）行政运行（01）：支出决算为:417.51万元，完成预算100%，决算数与预算数持平。</w:t>
      </w:r>
    </w:p>
    <w:p w14:paraId="3A8D5D9D">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3.一般公共服务（201）政府办公厅（室）及相关机构事务 </w:t>
      </w:r>
    </w:p>
    <w:p w14:paraId="1E6F8FF3">
      <w:pPr>
        <w:numPr>
          <w:ilvl w:val="0"/>
          <w:numId w:val="0"/>
        </w:numPr>
        <w:spacing w:line="600" w:lineRule="exact"/>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（03）其他政府办公厅（室）及相关机构事务支出（99）：支出决算为110.42万元，完成预算100%，决算数与预算数持平。</w:t>
      </w:r>
    </w:p>
    <w:p w14:paraId="3C652730">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4.文化旅游体育与传媒（207）其他文化旅游体育与传媒支出（99）其他文化旅游体育与传媒支出（99）：支出决算为18.46万元，完成预算100%，决算数与预算数持平。</w:t>
      </w:r>
    </w:p>
    <w:p w14:paraId="7B7464EB">
      <w:pPr>
        <w:numPr>
          <w:ilvl w:val="0"/>
          <w:numId w:val="0"/>
        </w:num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5.社会保障和就业（208）行政事业单位养老支出（05）机关事业单位基本养老保险缴费支出（05）：支出决算为74.28万元，完成预算100%，决算数与预算数持平。</w:t>
      </w:r>
    </w:p>
    <w:p w14:paraId="4534EC0D">
      <w:pPr>
        <w:numPr>
          <w:ilvl w:val="0"/>
          <w:numId w:val="0"/>
        </w:numPr>
        <w:spacing w:line="600" w:lineRule="exact"/>
        <w:ind w:firstLine="42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color w:val="auto"/>
          <w:kern w:val="2"/>
          <w:sz w:val="32"/>
          <w:szCs w:val="32"/>
          <w:highlight w:val="none"/>
          <w:lang w:val="en-US" w:eastAsia="zh-CN" w:bidi="ar-SA"/>
        </w:rPr>
        <w:t>6.社会保障和就业（208）行政事业单位养老支出（05）机关事业单位职业年金缴费支出（06）：支出决算为37.14万元，完成预算100%，决算数与预算数持平。</w:t>
      </w:r>
    </w:p>
    <w:p w14:paraId="3101C426">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7.社会保障和就业（208）就业补助（07）公益性岗位补贴（05）：支出决算为5.60万元，完成预算100%，决算数与预算数持平。</w:t>
      </w:r>
    </w:p>
    <w:p w14:paraId="65D632D5">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8.卫生健康（210）行政事业单位医疗（11）行政单位医疗（01）：支出决算为31.63万元，完成预算100%，决算数与预算数持平。</w:t>
      </w:r>
    </w:p>
    <w:p w14:paraId="2894266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9.卫生健康（210）行政事业单位医疗（11）事业单位医疗（02）：支出决算为18.46万元，完成预算100%，决算数与预算数持平。</w:t>
      </w:r>
    </w:p>
    <w:p w14:paraId="0152115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10.农林水支出（213）农业农村（01）事业运行（04）：支出决算为230.42万元，完成预算100%，决算数与预算数持平。</w:t>
      </w:r>
    </w:p>
    <w:p w14:paraId="703B76CE">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11.农林水支出（213）农业农村（01）其他农业农村支出（99）：支出决算为5.82万元，完成预算100%，决算数与预算数持平。</w:t>
      </w:r>
    </w:p>
    <w:p w14:paraId="5E6153F9">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12.农林水支出（213）巩固脱贫攻坚成果衔接乡村振兴（05）其他巩固脱贫攻坚成果衔接乡村振兴支出（99）：支出决算为525.77万元，完成预算100%，决算数与预算数持平。</w:t>
      </w:r>
    </w:p>
    <w:p w14:paraId="5C22E442">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13.农林水支出（213）农村综合改革（07）对村民委员会和村党支部的补助（05）：支出决算为232.35万元，完成预算100%，决算数与预算数持平。</w:t>
      </w:r>
    </w:p>
    <w:p w14:paraId="19A15D89">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14.住房保障支出（221）住房改革支出（02）住房公积金（01）：支出决算为64.27万元，完成预算100%，决算数与预算数持平。</w:t>
      </w:r>
    </w:p>
    <w:p w14:paraId="19416D59">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15.住房保障支出（221）住房改革支出（02）购房补贴（03）：支出决算为1.20万元，完成预算100%，决算数与预算数持平。</w:t>
      </w:r>
    </w:p>
    <w:p w14:paraId="2081CD0F">
      <w:pPr>
        <w:spacing w:line="600" w:lineRule="exact"/>
        <w:ind w:firstLine="640" w:firstLineChars="20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16.灾害防治及应急管理支出（224）自然灾害救灾及恢复重建支出（07）其他自然灾害救灾及恢复重建支出（99）：支出决算为10.00万元，完成预算100%，决算数与预算数持平。</w:t>
      </w:r>
    </w:p>
    <w:p w14:paraId="436D7FC0">
      <w:pPr>
        <w:tabs>
          <w:tab w:val="right" w:pos="8306"/>
        </w:tabs>
        <w:spacing w:line="600" w:lineRule="exact"/>
        <w:ind w:firstLine="640"/>
        <w:outlineLvl w:val="1"/>
        <w:rPr>
          <w:rStyle w:val="30"/>
          <w:rFonts w:ascii="Times New Roman" w:hAnsi="Times New Roman"/>
          <w:color w:val="auto"/>
          <w:highlight w:val="none"/>
        </w:rPr>
      </w:pPr>
      <w:bookmarkStart w:id="60" w:name="_Toc11479"/>
      <w:bookmarkStart w:id="61" w:name="_Toc15396608"/>
      <w:bookmarkStart w:id="62" w:name="_Toc32164"/>
      <w:bookmarkStart w:id="63"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0"/>
          <w:rFonts w:hint="eastAsia" w:ascii="Times New Roman" w:hAnsi="Times New Roman" w:eastAsia="黑体"/>
          <w:b w:val="0"/>
          <w:color w:val="auto"/>
          <w:highlight w:val="none"/>
        </w:rPr>
        <w:t>般公共预算财政拨款基本支出决算情况说明</w:t>
      </w:r>
      <w:bookmarkEnd w:id="60"/>
      <w:bookmarkEnd w:id="61"/>
      <w:bookmarkEnd w:id="62"/>
      <w:bookmarkEnd w:id="63"/>
      <w:r>
        <w:rPr>
          <w:rStyle w:val="30"/>
          <w:rFonts w:ascii="Times New Roman" w:hAnsi="Times New Roman" w:eastAsia="黑体"/>
          <w:b w:val="0"/>
          <w:color w:val="auto"/>
          <w:highlight w:val="none"/>
        </w:rPr>
        <w:tab/>
      </w:r>
    </w:p>
    <w:p w14:paraId="2C96BA3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874.91</w:t>
      </w:r>
      <w:r>
        <w:rPr>
          <w:rFonts w:hint="eastAsia" w:ascii="仿宋_GB2312" w:hAnsi="仿宋_GB2312" w:eastAsia="仿宋_GB2312" w:cs="仿宋_GB2312"/>
          <w:color w:val="auto"/>
          <w:kern w:val="2"/>
          <w:sz w:val="32"/>
          <w:szCs w:val="32"/>
          <w:highlight w:val="none"/>
          <w:lang w:val="en-US" w:eastAsia="zh-CN" w:bidi="ar-SA"/>
        </w:rPr>
        <w:t>万元，其中：</w:t>
      </w:r>
    </w:p>
    <w:p w14:paraId="69A6891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836.52</w:t>
      </w:r>
      <w:r>
        <w:rPr>
          <w:rFonts w:hint="eastAsia" w:ascii="仿宋_GB2312" w:hAnsi="仿宋_GB2312" w:eastAsia="仿宋_GB2312" w:cs="仿宋_GB2312"/>
          <w:color w:val="auto"/>
          <w:kern w:val="2"/>
          <w:sz w:val="32"/>
          <w:szCs w:val="32"/>
          <w:highlight w:val="none"/>
          <w:lang w:val="en-US" w:eastAsia="zh-CN" w:bidi="ar-SA"/>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ascii="仿宋_GB2312" w:hAnsi="仿宋_GB2312" w:eastAsia="仿宋_GB2312" w:cs="仿宋_GB2312"/>
          <w:color w:val="auto"/>
          <w:kern w:val="2"/>
          <w:sz w:val="32"/>
          <w:szCs w:val="32"/>
          <w:highlight w:val="none"/>
          <w:lang w:val="en-US" w:eastAsia="zh-CN" w:bidi="ar-SA"/>
        </w:rPr>
        <w:br w:type="textWrapping"/>
      </w:r>
      <w:r>
        <w:rPr>
          <w:rFonts w:hint="eastAsia" w:ascii="仿宋_GB2312" w:hAnsi="仿宋_GB2312"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38.39</w:t>
      </w:r>
      <w:r>
        <w:rPr>
          <w:rFonts w:hint="eastAsia" w:ascii="仿宋_GB2312" w:hAnsi="仿宋_GB2312" w:eastAsia="仿宋_GB2312" w:cs="仿宋_GB2312"/>
          <w:color w:val="auto"/>
          <w:kern w:val="2"/>
          <w:sz w:val="32"/>
          <w:szCs w:val="32"/>
          <w:highlight w:val="none"/>
          <w:lang w:val="en-US" w:eastAsia="zh-CN" w:bidi="ar-SA"/>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B8D17C1">
      <w:pPr>
        <w:spacing w:line="600" w:lineRule="exact"/>
        <w:ind w:firstLine="640"/>
        <w:outlineLvl w:val="1"/>
        <w:rPr>
          <w:rStyle w:val="30"/>
          <w:rFonts w:ascii="Times New Roman" w:hAnsi="Times New Roman" w:eastAsia="黑体"/>
          <w:b w:val="0"/>
          <w:color w:val="auto"/>
          <w:highlight w:val="none"/>
        </w:rPr>
      </w:pPr>
      <w:bookmarkStart w:id="64" w:name="_Toc30288"/>
      <w:bookmarkStart w:id="65" w:name="_Toc15377215"/>
      <w:bookmarkStart w:id="66" w:name="_Toc15396609"/>
      <w:bookmarkStart w:id="67" w:name="_Toc614"/>
      <w:r>
        <w:rPr>
          <w:rFonts w:hint="eastAsia" w:ascii="Times New Roman" w:hAnsi="Times New Roman" w:eastAsia="黑体"/>
          <w:color w:val="auto"/>
          <w:sz w:val="32"/>
          <w:szCs w:val="32"/>
          <w:highlight w:val="none"/>
        </w:rPr>
        <w:t>七、</w:t>
      </w:r>
      <w:r>
        <w:rPr>
          <w:rStyle w:val="30"/>
          <w:rFonts w:hint="eastAsia" w:ascii="Times New Roman" w:hAnsi="Times New Roman" w:eastAsia="黑体"/>
          <w:b w:val="0"/>
          <w:color w:val="auto"/>
          <w:highlight w:val="none"/>
        </w:rPr>
        <w:t>财政拨款</w:t>
      </w:r>
      <w:r>
        <w:rPr>
          <w:rStyle w:val="30"/>
          <w:rFonts w:hint="eastAsia" w:ascii="Times New Roman" w:hAnsi="Times New Roman" w:eastAsia="黑体"/>
          <w:color w:val="auto"/>
          <w:highlight w:val="none"/>
        </w:rPr>
        <w:t>“</w:t>
      </w:r>
      <w:r>
        <w:rPr>
          <w:rStyle w:val="30"/>
          <w:rFonts w:hint="eastAsia" w:ascii="Times New Roman" w:hAnsi="Times New Roman" w:eastAsia="黑体"/>
          <w:b w:val="0"/>
          <w:color w:val="auto"/>
          <w:highlight w:val="none"/>
        </w:rPr>
        <w:t>三公”经费支出决算情况说明</w:t>
      </w:r>
      <w:bookmarkEnd w:id="64"/>
      <w:bookmarkEnd w:id="65"/>
      <w:bookmarkEnd w:id="66"/>
      <w:bookmarkEnd w:id="67"/>
    </w:p>
    <w:p w14:paraId="3CD53E0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68"/>
    </w:p>
    <w:p w14:paraId="42DF12F9">
      <w:pPr>
        <w:spacing w:line="600" w:lineRule="exact"/>
        <w:ind w:firstLine="64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%，与2023年相比无变化。</w:t>
      </w:r>
    </w:p>
    <w:p w14:paraId="65BF4F2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6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69"/>
    </w:p>
    <w:p w14:paraId="79A0624F">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万元，占100%；公务接待费支出决算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4A24E5B0">
      <w:pPr>
        <w:pStyle w:val="14"/>
        <w:rPr>
          <w:rFonts w:hint="eastAsia"/>
          <w:lang w:val="en-US" w:eastAsia="zh-CN"/>
        </w:rPr>
      </w:pPr>
    </w:p>
    <w:p w14:paraId="6B6649D1">
      <w:pPr>
        <w:pStyle w:val="14"/>
        <w:ind w:left="0" w:leftChars="0" w:firstLine="1680" w:firstLineChars="800"/>
        <w:rPr>
          <w:rFonts w:hint="eastAsia" w:ascii="Times New Roman" w:hAnsi="Times New Roman" w:eastAsia="仿宋_GB2312" w:cs="仿宋_GB2312"/>
          <w:color w:val="auto"/>
          <w:kern w:val="2"/>
          <w:sz w:val="32"/>
          <w:szCs w:val="32"/>
          <w:highlight w:val="none"/>
          <w:lang w:val="en-US" w:eastAsia="zh-CN" w:bidi="ar-SA"/>
        </w:rPr>
      </w:pPr>
      <w:r>
        <w:object>
          <v:shape id="_x0000_i1025" o:spt="75" type="#_x0000_t75" style="height:185.5pt;width:324.75pt;" o:ole="t" filled="f" o:preferrelative="t" stroked="f" coordsize="21600,21600" o:gfxdata="UEsDBAoAAAAAAIdO4kAAAAAAAAAAAAAAAAAEAAAAZHJzL1BLAwQUAAAACACHTuJA0WykzNIAAAAF&#10;AQAADwAAAGRycy9kb3ducmV2LnhtbE2PwU7DMBBE70j8g7VI3KidFAgKcXqoxAGJCwkf4MbbOCJe&#10;R7bbhr9n4QKXkUazmnnb7FY/izPGNAXSUGwUCKQh2IlGDR/9y90TiJQNWTMHQg1fmGDXXl81prbh&#10;Qu947vIouIRSbTS4nJdayjQ49CZtwoLE2TFEbzLbOEobzYXL/SxLpR6lNxPxgjML7h0On93Ja/DB&#10;da9Fnvry2K+yrN4q6/ZR69ubQj2DyLjmv2P4wWd0aJnpEE5kk5g18CP5Vzmryi3bg4b77YMC2Tby&#10;P337DVBLAwQUAAAACACHTuJApnaTMQcBAACGAgAADgAAAGRycy9lMm9Eb2MueG1srZLPasMwDMbv&#10;g72D0X11UrIyQpJeQmGnXbYH0Gw5MSS2kd1le/uZ/hndTqXs9kmCn75PqNl+zpP4II7WuxbKVQGC&#10;nPLauqGFt9fdwxOImNBpnLyjFr4owra7v2uWUNPaj37SxCJDXKyX0MKYUqiljGqkGePKB3J5aDzP&#10;mHLJg9SMS6bPk1wXxUYunnVgryjG3O2PQzgR+RqgN8Yq6r3az+TSkco0YcqR4mhDhO7g1hhS6cWY&#10;SElMLVRV9QginUVeVVabIrfez0p2DdYDYxitOhnCawz9STijddnCD6rHhGLP9gaUGpFTZqn6oE6m&#10;1M2k/z2z4NrqFvhZl5BvJ38lvqyzvnyf7htQSwMECgAAAAAAh07iQAAAAAAAAAAAAAAAAA8AAABk&#10;cnMvZW1iZWRkaW5ncy9QSwMEFAAAAAgAh07iQLpAAQyXDwAA2xEAAB0AAABkcnMvZW1iZWRkaW5n&#10;cy9Xb3JrYm9vazEueGxzeH2XeTyU79fHR8i+ZIuxlazJ2CkUya4xQ3ZFY8luMHZf2SJ72UZkJntI&#10;1kiI7FvITkIZlLEMw1iyPeP7fZ4nv57n27lfr/u+/rjPdV/3+zrXOecD1SUlYwFQUlICxPVBJoBT&#10;xkwcW9yCu3nZuXlZGfq72yHugfxcXV4n9+q1SjCq72gdhC+4staXAx5l+DTbUN1LYZDYzqvApim5&#10;OR6jtc3rVATODKayDnwJdNPAdLssc0+paHDe6itreyZNqQDkRMoGWyiZ+GbC9JuFz5OO/EXRZT/c&#10;G9ttnQbgKCIdaxATmNaNriMvg7aRhV4Gf7Rk/flRNz3Fskiga3ljVwPLTv3IILU/HCL05FNhteiK&#10;o+74Pj8Hl+d2OXzFVNZE5Noro+y6L2Sb8QbclGEpQQw1ct+igLVK2j8uK5PS15kAwTVnJ+4u4HOU&#10;vLtfJ5v60ENpLTK72J93OEnol13XJiug7blPA21gDhwelNi7tGgkrjLJ+9ae3mPrWD1hh93kO/qm&#10;L3WZC/tcsh/aRtU8jzYYsl4tgqrTsSV7N/Gtmzfa9hBnFelGRfeM2WVS+dWSEFSXgnJ5Te6BNAkA&#10;kEYKAED/lTkNkbmVp50LQhx0cn+d1KdDKskYggvDMS7O9NWERclM6Z4LYC5ikBCsUl4RZE7SfwuH&#10;M7KIVm99lUxOhzdyPHiffpg3I7wQGh5qZxSec3+SLlt6vSHY9EtoT1jzt7ZQWi7h1oJ3jebKg48M&#10;YjyV20qoBWxJ32s1jCtMoZUWYy5F4Ic98cIL6QrcgwkTiZajhNd6yhyfuCRH+zm0FN+SVSur1T3q&#10;c1U0/VwZRGCZV4u14oiIK7okKQH5iRrebVEyJqf++aYX65nW9H0ETcZN7dQbzSaZiuW/Nbn8NsFm&#10;37RlTxqT+akvGPT4QfbXLpRJC3tT3NYgnQzvCSLoX3rNWCKA22f+hIiR+IYt3AbqCXdHiMPc3U9i&#10;Egy5DiHG5HTiLkPiTodeSCRfJyuTNVmkhIQREuEoNumLDMpqKeuUIOvYef1y5zt7BkNXO3NCjnOq&#10;A4C7j+dJrh+KR/5tjoiLR00oo8YGlfpK30LEw+6UC1WPh0aor+RelXypKBKrePNN/mspY7tsLjGT&#10;Z0+SkO2Kfhd2eEjMtnVcBTI53CP9k8dUYVtkkuS999EP57LJB8xL89BRrs/+Isu9/P5M0AuD9X7P&#10;6zYzP2LpB5piD7N+rj2Qp51aPipejkQhj1HmRyjJ2RMKXLaMn7uI/8hEDJZ/D5RzpynYwD3tTjC4&#10;Jt5zbr3AEomj2Gdo3ldLjqvQsYZxvjeHlcelTkejCyod1FyHD/bTP9mtYPB+PLyziJIx+2kBIXdL&#10;QoGGvwb0jMaWQXqNRlmf4Ptb0QxftGYIZ51kwjSdfYKMqHTVcV8nCWx3oV+THaTQ1Ba5tyiR1ivt&#10;JDI7Zvy3XdYCX/pH5TtXLMyFvw2hUXWriPwgwMAFaRkBaXjp61QIrw56V6lQ03I7SDRjlHo35Dk/&#10;OB7jIt5VPbUvY3Nij3QRtgcJ9my47W9JPYakphecD5mQ8egMmuhYWGHt2k/kvl5LfXz9BZRCSFYs&#10;NTHdtAeb9BRL86LtgkycHGjnFcH4hpIcZxu1QYqIWf4e+Ba1jvGbj7OiBxYfFikePjy7T3aCdfvg&#10;qJmdiHTyj1iBRKx+LuL/HEFfuKezNRzufIL2n+P4tC+mRYXxEa6lsfXTDliTYZlPryHq6as2CnZB&#10;FO/tB5FL20JwXHlOyVcYQ6BT8fOj4kLCogI99nZiIE7mYxUXy7Xl5ZlqIP3o2iYnS6xHNUfDJTpm&#10;SZeYJ5MBkPDErbZ7vKYCMTZ0KC3Ti5WrDjKZeyqge0BezUvaHWzhFZrDTCD8AQ0GfpZF/LbRGNDa&#10;bOCm0Z2spvKg4S1kzQxawxPfcUb8Bs+7S0lkshUCg+t3JY/i7JCFIbjWK0fStL0yeXIvtNd+wp6I&#10;k5+XPyHCUwrf6CH+b9EfidD9QwTh5e9ihzghMf28NwGjxhK5o9UQvsB2RcNrH2gVkCSzAQZSMQ7J&#10;MNHkIW0UHZ1dTMpRgrC+BIGBkIkKNB0nOiLRj7ZngV+v7k7C8LA3kySyA1TfH9xYhyqu/Xz4XD3D&#10;nUHfsk2Yc30otQuhz5Yl0V9AelRvgRv6+i5nq+oTBMpGt2tnuC7fClFeOr8gFT0zo6nfDYsuYV/f&#10;sbtWz/aIr/aJQVOtapVwK0RQGHLIJLRZBP2I72KI7REGk5mxyF4kYOLKWEuHs2K1sN9xi1W9gHzp&#10;prhOD6Y03ZxqpJlW8bGhSHw4F6uDgSVMlwQs6MF4nVyK/M46KVo3fFl+mHbh6GpzhGDMQfmLvjvi&#10;YjQglc0SrvX3fWKlN95TebBi2fMWq/Wj4tsH/GDwG0Hys9w7e08Qho1H+zs/D2Lqd+fmVBuY2hXX&#10;CMOPle/W3CgdSCMsLUbO7+ETcrPYUdDPV+lvcalI8F5SunwsuobX/1nIB+RTD9b86wW+prQcS9J6&#10;RGYH1nwqobR0aRwntXVn0Wiga1phttzq4OP1XapGAQyJ8caeo+Hs3vr3suMDgoW3eO3O5pknBQq5&#10;OUzB1XsPEwECwt/xS34fAtGOsaOM93PiIwQSOd6O2eSvxnt9v7q64fFznlcxCMXV+aNTE4+5gZDz&#10;nr1ncZGiPqBshHCeXbeDx7X7Dnh6z291JtZheFkdViIuOTbL25mwiishmHVkGK9eUu8qyiDM8U9+&#10;DIhpGfeNDGpgEs1V2nQPs7g3C7L3y+hbz6kYu7hHP49ePDJICpymo05pg6lLVvuK9o65psl8xd7M&#10;jBjka6EheQ0aQ85p/qyUHQ/HL/iX2n1WaZzHhmzIYo0oDLk/1ziq7hU3NO96uphs8hc2fptIIMf0&#10;Vit1kwCtSrF+IMPA+Lvjd0I+93qAKQoHLCJd6y9DAx2RsCWVVbvaYvIReZcpNtQ5aOBSwjJQ5fCT&#10;TwAbdFYiEDmnQohPLEpXWag00pQPtS4TiFfjLKQHT/pwFVb3deFpGTrSsBxJCwACXYVQsUrj7d7K&#10;ABVEzEUnLKWDWLH5pamxkJ/Zbk7YwcYuqmN2zlylOPyiQF5bGY5uX1tGpCKIB4J7hYh+kMpsiBRu&#10;Pw9bgegvCqU+rm6vEdC0XGPYxd/o98PqimT31OEHB8PmBa5y07n3y/pqxiogdqQiHW7o5XSG9YkW&#10;BOUrOWy+yaQAb6dsZYHHKw0CVOtfOE1ED1VhvayYq8d/kMS6HRa8l2MwbVDjOIbb2LzIFDDplLT7&#10;UvnDuEMsPIE48MuWDH1PhuOpd1z0LHDTqFsYVfZPr3M07hrwGh7jszAavVbpXTIzSo4mCRfWnjGO&#10;mYVkODK+AglaWATbYsSn7s69Q3ib9ZYwHbkgr2hqK/UNOYhhypJHz/pzUIwGDgKEcjMlQIK7Ta6P&#10;gA6x6rI3YXo4bXMRY8Us/upt0TLerzL+H5JUC/SFn7JQx6tG5EEdWa4rtNexinm+1G7iMnqikT9Y&#10;ZLtoCIyP2SgchMyP/5g3gVniFqV/FvZk6jA5mipwv+rkchZ9xulFHx9EgNpcX74WCZzx5VpecQ4B&#10;fvNVod2+MHKhidQaTUMZfuMmCurDBY+Uab2cpccnGPRGqpDxsgbzmN7Hiygqih9DbyJIvTw+t5DU&#10;Kbl+c0g/uHnNHJmXxSX2ih6agDSiEO5Mb7vDIYc2CBbtKt9I6SfhhCxx/XnQk52prWTUz4++vIIR&#10;2bONpgyShnTqryXibJ2on5l0zdsUMjOzCwlJQMD3o4QE7zeZVE0WXHwup1iv8bz+LmF8g/SodX/n&#10;+GiDZkBM0DnKPzPFw/jlo9U+3hIOUEYQL/5NSSP3F0KYbIvD3EAy3mfT/YP8uJUmTAmyAC6FYygM&#10;Sz1lx62MFN2Z9qrOZe9RI3b/7qfoNZfGCsgBgN5rf+okGP5J8KeLXXxi00mL3+HLP9OM19ssE8nT&#10;MaAiyaGxDvGR28ivwE4kriZt3zNlf+pHKjhzlp8nXDfnwsSztcb6Tcgsari9ETl/Lo7V3E7m2W5K&#10;yGWZ807Jg/v1r5KldUpsYqSLWG23AEgQHpP7ZvTBfhYBeUFlMs64XxYxUKVOLlvFPB3SolcE7uPS&#10;qdpwsQnxsCCpNQ/Ixg00ZFCpU7R8OXic3WvA4p4de4+uh46RNOnaG7jooGnGy/yn5UA5vhJHN9P4&#10;xp0kpu6S+vkWkgGHOIO36y/v+/Tt6WmxaM8/HukddmtODRlbVN73SVoZV/WYnmtWVZqAGZ6LqRkY&#10;D6unnhrmT+j8LBsFXpBSiGduCg9s+nFo1KFlCN/bXF3AHC4t73krxGJ+sBxnO4MGeRYfgCQkdXm2&#10;CjeCmm09nLXO1zXfZxO8OQKJO9qEn1RYmGPWWTVidd38Y4Vl/7UBCAc7Oy+E+N8P+ZNiG59i4Tyl&#10;whgxS3PI0Ns4VWdWM2ZKD075pEKTv7TgLxZfIjC0VqmYgEEe7STkXa29St70w+cZvH+S401dwJr5&#10;Nlm/aC6CB3yrXyWtwCDg+SZudk2Qw54nv9TWWWb+AIC2ej3bZLEaH7hFB5Dic3ixeXYQFP4hjc5r&#10;CBJPDtZxvSuUaDkttz4WWhKZU0o3J5FJgTLMePIov/4RDGueCn3mOR7acW4uK1XrKCi3RHkI/SrW&#10;LzU5sCdgC2FdwZ5qYimjiPEu9up4DnyZv2RZgnrJErorZG9iaV2SvOZhL0RWw+KWax7xuBkTfdFf&#10;r+5L0pVryz0Lh8acQvJifT4X8IRiA6+aQ1UJCu9+ZTUl07JILC/19tF8evYXJRUaAVX1qVazJlZO&#10;G57ADfSNiCBHd+NAebLDOVPy6i/Vu6MrymGf5bSeTsro7enXSq5CjGDJiMGyxa/uZtzU6wLxL3aH&#10;hYO8TbRSOt0wVa4OjvqpI0VyQE1NWgbkkBPCZqt3cYdS9O26Wd3rIXQ1lGGdHOV7daByT/Vj7lXw&#10;VURu71t+GR/GIS1bvmjpxAJ99s5MV9qcpZkxIJC21jI2Iuq7WUrUtW59KQt3vMt68FwshuIDys7Y&#10;3J0Be76d6f2Zgd1ujLu94kvPI0WQWpKYW5mQY9IVwSprpJ5a0l1Iqb16EihGopGunTfj0OfxSNL1&#10;7hq47mO7eOWERAeM932KsuAQgtVJfKEnNO8DiWJJg+zkgJOcYQH8UvKn9eaJkv9P+390/e8TnFZj&#10;J7L0l3kRw/mUSP3d8bSAYfzlRRylEdf6u3T73ft0n37uP7xRROX8v97/I3l+dz/d1J40879siwjp&#10;31v73+c5nTtPWuBfdvbs3/P8aoh/dz196k+S6y/7TuRIXMLpVPu78+ktPUkMv8yBuIz/dv4/aQKq&#10;S05cFQBASbwOibvT9fd3/wtQSwMECgAAAAAAh07iQAAAAAAAAAAAAAAAAAsAAABkcnMvY2hhcnRz&#10;L1BLAwQUAAAACACHTuJAGBtdeHMHAADtHgAAFQAAAGRycy9jaGFydHMvY2hhcnQxLnhtbO0ZTW8b&#10;RfSOxH9YrQSnJvY6dhIvdarYrlFFaKO4Lefx7theZXZnOzPOV9UTKtCCAIkiDr1QBIgDKkj0ALSF&#10;P9N83PgLvDezu147cZqmjdpUjRV7dvbNm/c172vOntsImbVGhQx4VLOd6aJt0cjjfhD1avaVy62p&#10;eduSikQ+YTyiNXuTSvvcwttvnfVcr0+EasfEoxYgiaTr1ey+UrFbKEivT0Mip3lMI3jX5SIkCh5F&#10;r+ALsg7IQ1YoFYuzBY3EThCQYyAISRCl68VR1vNuN/Bok3uDkEbKUCEoIwokIPtBLO0FYM4nijrV&#10;YtlaI6xmF+0CTjIS9czEVn+qcdFMCj6IfOo3uIhAjDn40HMXmaIiAlQNHinYLeEzPJKkQiJWB/GU&#10;x8MYiOsELFCbmlwgEHA3+hz4sFbotUEgqKzZnlNOBQHDfaIIA09wybtqGjAWjBRSbSDaucJ8oZTo&#10;A5h1yq5Um4wahpxiCbktZPtqElqEsQ7xVlE2OeAMdPgeF44LA1dp9eNABYpRPdjAbxF4/YWzxO1w&#10;f3NZWIIrVIIlY68VCKmWiFTLRIC9wCRYr7oEX13G12s2ZQx0GEgzD1LgYsu21gWJa7a8NiCC2haJ&#10;PJgGiSmRPjQUPDvII3GZVG1kXT/EOBMvC/zxaXcFqEEzqNnGBCy5BevKRaCjo6kJ9PegZkdwXvDs&#10;iGAVzk3E23pkW6tgEbAEJA5LiKQswHNVBKUSV3IW+K2AMf0gep0GE0YB1Rn8aB2MgaHlRpbajGkX&#10;jmLNvhyEVFoX6bq1wkMCZyMmEZe4RQk+s8WZYqVYhv8SjMqGYUpy67fvf/7k8TcjyxxYVgRwJ/3Y&#10;FipOUtDKlFPS+iauJ3NYlgZe4BOrTSKZEG2EBzaUiVPLVIwJVAtdLTz589b2zV93H3619+CvnTu/&#10;bX/69/Ynf+ze/27n298Rg9J4NAIa+WgK44pBa4Wd4Du1JhgobVyMbPKBAgDP5WA38Jg7tWDJibYj&#10;jprQ9LAIFZJNAGKcAYQGFjGn9ksGil/GhyZlVFF/BHXMuFoUlODWOSrigDbQmeL0GhGbDc546kq0&#10;TcJGFJj13MDfGEHIhU8TC0l8lGERzG6FdnFF93BRIgBAAXyDgNPGcawa4NKU2SfZPlYWbG3MFGh8&#10;Gs41LZwYtZTHbR40YSgyrYxU2pNNv9yad+rNA03/cLV4Lt0AiWNoGxGav6wlPS7LzqDTYXSmOQL7&#10;fORZ4JAgilSedrpb+u8gFmPwdk0i+4YoLaQEbNwCE67GmUsUeEzmGugsJsj+FWBOex7PPSZz1Xq9&#10;XqkeJHUWvQzmljpM4gH0YYC/mYEmOsx5DHN2TjZKsgsRZBUz8w5GKqUfjC1bIv+mk3/zoiNr9cQD&#10;61wRPwcawWsZWEGb7zx3BI0GYStUlsnrG9yH7OJ9CukvYZDx8IHw6FIQrVIfA4aOs6kbzUKoiaD7&#10;YypxabdLPbUkMUBjwNDRGKOFycFOJiN8Y+unM4nMUjxjHsZ3LvOkDOtQqVqBSkywz9eXaA/SxQ/o&#10;WMIHb64SKIOx1EvzLZhrEHWRhEkFlBoyzLepOHB+mYLhp4lTDr6uE4t2sDWKim6glaOjh5E1EFA5&#10;XG+cn63MzC06U83ZVmOq3J2tTFWbVWdqrlQqN8rVcmW+Xr8xrPIqz1rlOWmFZw5XSgKcszTopL9Z&#10;8ElirK/T2ZyMcmveuAOIkG9C38uvKU+zO5DaPxGo5yB2QgWf90bpOX0prgI8lFPJlavwcAitCEoz&#10;LjI3o2N5ykbiOnSy6xHtAvMF6/V3rw24eg/q/+3b93bv/LL3+Oe9f7/eu/fF7sMHO7d/hI6AATiT&#10;h9v58qftf27ue3f3e0QD3YO7j/979Nn2Dx//9+hWBnQDE4zD61/dcsGaeLT+PYQ2xDmsf4dLHejw&#10;4BuzNCN3EngpBZ/Aweg62HNYwpuHtMxOBAzmhPuDq84aA9fnp2edM8UzxaEc4HXWBxhmdwtJcqfF&#10;pXu5mPMhupFewQRZ4S6j1O4XSnESQCqGMQBgcUiqeUj51YyiCEzHBOOZNjRjs69Q/J98iID6jOwu&#10;9jvbDFq9i2nz2VQrIMRc2+jICTZKRqfUMBhpR+nUCHXK9GiYRJn0KVd8vpim2Umn9KcvHr9+Pd6x&#10;eAwmZ4xLuw7ohV4N5KWIJdl4knn7gYzr0GJflYtJEOyReJjCN/E8Y7v/Q5JvhQLq7C4hPQs9QXQz&#10;Ha8PPgpUv90nMVSq6IiJ25M6+caBFXNodCQ9unzTPWnLIThhcZ8kMRl64dCWwNAGrXgDr8c98DND&#10;fHNwKXAAzmb9fKVlSHh2nPMzLx4nNAQORHq+1Sq3qlpWRyUU5JGJFa41ICWGe5IKygHbONIjDFsC&#10;Ws8ImqgHhWYabrMz0Cm1PLyq6cK1BgzDGBbIqAfpNevBtYkHNzYIP7lb3KriJ9VO/j5lQiuVuPoG&#10;z6hzpKk67qEA5DiXQ5r5I14OHf1CSAs1s8I8n6f1QmjMWehcF29PWZMoYgloh9ZsccE3eRRes1yJ&#10;8ZbWHMo0JkKKma3ROaf2CvqWeu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EQAAAGRycy9j&#10;aGFydHMvX3JlbHMvUEsDBBQAAAAIAIdO4kAjLTpWvwAAAC8BAAAgAAAAZHJzL2NoYXJ0cy9fcmVs&#10;cy9jaGFydDEueG1sLnJlbHOFjz1rAzEQRPtA/oPYPto7FyGE07kJAbfBJrUs7X1wJ63QKub8760U&#10;gRgCKYdh3mO6/RZWdaEsM0cDrW5AUXTs5zgaOB3fn15ASbHR25UjGbiSwL5/fOg+aLWljmSak6hK&#10;iWJgKiW9IoqbKFjRnCjWZuAcbKkxj5isW+xIuGuaZ8y/GdDfMdXBG8gH34I6XlM1/8/mYZgdvbH7&#10;ChTLH4ofe0XaPFIxoDVSOJP//iv4yXk5My+t3lbZAPsO7272N1BLAwQKAAAAAACHTuJAAAAAAAAA&#10;AAAAAAAACgAAAGRycy9fcmVscy9QSwMEFAAAAAgAh07iQKsWzUazAAAAIgEAABkAAABkcnMvX3Jl&#10;bHMvZTJvRG9jLnhtbC5yZWxzhY/NCsIwEITvgu8Q9m7TehCRJr2I0KvUB1jS7Q+2SchGsW9v0IuC&#10;4HF2mG92yuoxT+JOgUdnFRRZDoKsce1oewWX5rTZg+CItsXJWVKwEEOl16vyTBPGFOJh9CwSxbKC&#10;IUZ/kJLNQDNy5jzZ5HQuzBiTDL30aK7Yk9zm+U6GTwboL6aoWwWhbgsQzeJT83+267rR0NGZ20w2&#10;/qiQZsAQExBDT1HBS/L7WmTpU5C6lF/L9BNQSwMEFAAAAAgAh07iQK1q6YciAQAAyQIAABMAAABb&#10;Q29udGVudF9UeXBlc10ueG1slVJLTwIxEL6b+B+aXg0tcDDGsHBw8ajG4A9o2tlH6Cudsiz/3mFZ&#10;LkZETs10+r1mulj1zrIOErbBF3wmppyB18G0vi741+Z18sQZZuWNssFDwQ+AfLW8v1tsDhGQEdpj&#10;wZuc47OUqBtwCkWI4KlTheRUpjLVMiq9VTXI+XT6KHXwGXye5CMHXy5KqNTOZrbu6frkpLfYc/Zy&#10;enjUKriK0bZaZXIqO29+qExCVbUaTNA7R9wCYwJlsAHIzorh5PJXqQQWb5MawwhCDnawaSM+UOIL&#10;CsfO5Swj7p22kFoD7EOl/KYcJZYmodQN1eMxE39TXR+LSWpPu6WRDLxn05fETdj7BN0/ZB2OGxBl&#10;wpJgn9BdY4d5KIO+lXw9oM7ccviIy29QSwECFAAUAAAACACHTuJArWrphyIBAADJAgAAEwAAAAAA&#10;AAABACAAAAB+HQAAW0NvbnRlbnRfVHlwZXNdLnhtbFBLAQIUAAoAAAAAAIdO4kAAAAAAAAAAAAAA&#10;AAAGAAAAAAAAAAAAEAAAACIaAABfcmVscy9QSwECFAAUAAAACACHTuJAihRmPNEAAACUAQAACwAA&#10;AAAAAAABACAAAABGGgAAX3JlbHMvLnJlbHNQSwECFAAKAAAAAACHTuJAAAAAAAAAAAAAAAAABAAA&#10;AAAAAAAAABAAAAAAAAAAZHJzL1BLAQIUAAoAAAAAAIdO4kAAAAAAAAAAAAAAAAAKAAAAAAAAAAAA&#10;EAAAAGwcAABkcnMvX3JlbHMvUEsBAhQAFAAAAAgAh07iQKsWzUazAAAAIgEAABkAAAAAAAAAAQAg&#10;AAAAlBwAAGRycy9fcmVscy9lMm9Eb2MueG1sLnJlbHNQSwECFAAKAAAAAACHTuJAAAAAAAAAAAAA&#10;AAAACwAAAAAAAAAAABAAAABTEgAAZHJzL2NoYXJ0cy9QSwECFAAKAAAAAACHTuJAAAAAAAAAAAAA&#10;AAAAEQAAAAAAAAAAABAAAABAGwAAZHJzL2NoYXJ0cy9fcmVscy9QSwECFAAUAAAACACHTuJAIy06&#10;Vr8AAAAvAQAAIAAAAAAAAAABACAAAABvGwAAZHJzL2NoYXJ0cy9fcmVscy9jaGFydDEueG1sLnJl&#10;bHNQSwECFAAUAAAACACHTuJAGBtdeHMHAADtHgAAFQAAAAAAAAABACAAAAB8EgAAZHJzL2NoYXJ0&#10;cy9jaGFydDEueG1sUEsBAhQAFAAAAAgAh07iQNFspMzSAAAABQEAAA8AAAAAAAAAAQAgAAAAIgAA&#10;AGRycy9kb3ducmV2LnhtbFBLAQIUABQAAAAIAIdO4kCmdpMxBwEAAIYCAAAOAAAAAAAAAAEAIAAA&#10;ACEBAABkcnMvZTJvRG9jLnhtbFBLAQIUAAoAAAAAAIdO4kAAAAAAAAAAAAAAAAAPAAAAAAAAAAAA&#10;EAAAAFQCAABkcnMvZW1iZWRkaW5ncy9QSwECFAAUAAAACACHTuJAukABDJcPAADbEQAAHQAAAAAA&#10;AAABACAAAACBAgAAZHJzL2VtYmVkZGluZ3MvV29ya2Jvb2sxLnhsc3hQSwUGAAAAAA4ADgBpAwAA&#10;0R4AAAAA&#10;">
            <v:path/>
            <v:fill on="f" focussize="0,0"/>
            <v:stroke on="f"/>
            <v:imagedata r:id="rId14" o:title=""/>
            <o:lock v:ext="edit" aspectratio="t"/>
            <w10:wrap type="none"/>
            <w10:anchorlock/>
          </v:shape>
          <o:OLEObject Type="Embed" ProgID="excel.sheet.8" ShapeID="_x0000_i1025" DrawAspect="Content" ObjectID="_1468075725" r:id="rId13">
            <o:LockedField>false</o:LockedField>
          </o:OLEObject>
        </w:object>
      </w:r>
    </w:p>
    <w:p w14:paraId="69D8A63B">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b/>
          <w:bCs/>
          <w:color w:val="auto"/>
          <w:kern w:val="2"/>
          <w:sz w:val="32"/>
          <w:szCs w:val="32"/>
          <w:highlight w:val="none"/>
          <w:lang w:val="en-US" w:eastAsia="zh-CN" w:bidi="ar-SA"/>
        </w:rPr>
        <w:t>1.</w:t>
      </w:r>
      <w:r>
        <w:rPr>
          <w:rFonts w:hint="eastAsia" w:ascii="Times New Roman" w:hAnsi="Times New Roman" w:eastAsia="仿宋_GB2312" w:cs="仿宋_GB2312"/>
          <w:b/>
          <w:bCs/>
          <w:color w:val="auto"/>
          <w:kern w:val="2"/>
          <w:sz w:val="32"/>
          <w:szCs w:val="32"/>
          <w:highlight w:val="none"/>
          <w:lang w:val="en-US" w:eastAsia="zh-CN" w:bidi="ar-SA"/>
        </w:rPr>
        <w:t>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1FF6886A">
      <w:pPr>
        <w:numPr>
          <w:ilvl w:val="0"/>
          <w:numId w:val="0"/>
        </w:numPr>
        <w:spacing w:line="600" w:lineRule="exact"/>
        <w:ind w:firstLine="643"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4.00万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相比无变化。</w:t>
      </w:r>
    </w:p>
    <w:p w14:paraId="43197728">
      <w:pPr>
        <w:spacing w:line="600" w:lineRule="exact"/>
        <w:ind w:firstLine="640" w:firstLineChars="20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kern w:val="2"/>
          <w:sz w:val="32"/>
          <w:szCs w:val="32"/>
          <w:highlight w:val="none"/>
          <w:lang w:val="en-US" w:eastAsia="zh-CN" w:bidi="ar-SA"/>
        </w:rPr>
        <w:t>其中：公务用车购置支出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万元。截至2024年12月31日，单位共有公务用车2辆，</w:t>
      </w:r>
      <w:r>
        <w:rPr>
          <w:rFonts w:hint="eastAsia" w:ascii="仿宋_GB2312" w:hAnsi="仿宋_GB2312" w:eastAsia="仿宋_GB2312" w:cs="仿宋_GB2312"/>
          <w:color w:val="auto"/>
          <w:sz w:val="32"/>
          <w:szCs w:val="32"/>
          <w:highlight w:val="none"/>
        </w:rPr>
        <w:t>其中：轿车</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rPr>
        <w:t>辆</w:t>
      </w:r>
      <w:r>
        <w:rPr>
          <w:rFonts w:hint="eastAsia" w:ascii="仿宋_GB2312" w:hAnsi="仿宋_GB2312" w:eastAsia="仿宋_GB2312" w:cs="仿宋_GB2312"/>
          <w:color w:val="auto"/>
          <w:sz w:val="32"/>
          <w:szCs w:val="32"/>
          <w:highlight w:val="none"/>
          <w:lang w:eastAsia="zh-CN"/>
        </w:rPr>
        <w:t>，消防用车</w:t>
      </w:r>
      <w:r>
        <w:rPr>
          <w:rFonts w:hint="eastAsia" w:ascii="仿宋_GB2312" w:hAnsi="仿宋_GB2312" w:eastAsia="仿宋_GB2312" w:cs="仿宋_GB2312"/>
          <w:color w:val="auto"/>
          <w:sz w:val="32"/>
          <w:szCs w:val="32"/>
          <w:highlight w:val="none"/>
          <w:lang w:val="en-US" w:eastAsia="zh-CN"/>
        </w:rPr>
        <w:t>1 辆。</w:t>
      </w:r>
    </w:p>
    <w:p w14:paraId="3A09600E">
      <w:pP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公务用车运行维护费支出</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.00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仿宋_GB2312" w:hAnsi="仿宋_GB2312" w:eastAsia="仿宋_GB2312" w:cs="仿宋_GB2312"/>
          <w:color w:val="auto"/>
          <w:sz w:val="32"/>
          <w:szCs w:val="32"/>
          <w:highlight w:val="none"/>
        </w:rPr>
        <w:t>主要用于</w:t>
      </w:r>
      <w:r>
        <w:rPr>
          <w:rFonts w:hint="eastAsia" w:ascii="仿宋_GB2312" w:hAnsi="仿宋_GB2312" w:eastAsia="仿宋_GB2312" w:cs="仿宋_GB2312"/>
          <w:color w:val="auto"/>
          <w:sz w:val="32"/>
          <w:szCs w:val="32"/>
          <w:highlight w:val="none"/>
          <w:lang w:eastAsia="zh-CN"/>
        </w:rPr>
        <w:t>职工干部</w:t>
      </w:r>
      <w:r>
        <w:rPr>
          <w:rFonts w:hint="eastAsia" w:ascii="仿宋_GB2312" w:hAnsi="仿宋_GB2312" w:eastAsia="仿宋_GB2312" w:cs="仿宋_GB2312"/>
          <w:color w:val="000000"/>
          <w:sz w:val="32"/>
          <w:szCs w:val="32"/>
          <w:lang w:eastAsia="zh-CN"/>
        </w:rPr>
        <w:t>森林防火、产业发展、下乡扶贫</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auto"/>
          <w:sz w:val="32"/>
          <w:szCs w:val="32"/>
          <w:highlight w:val="none"/>
        </w:rPr>
        <w:t>所需的公务用车燃料费、维修费、过路过桥费、保险费等支出。</w:t>
      </w:r>
    </w:p>
    <w:p w14:paraId="38E00A5D">
      <w:pPr>
        <w:numPr>
          <w:ilvl w:val="0"/>
          <w:numId w:val="0"/>
        </w:numPr>
        <w:spacing w:line="600" w:lineRule="exact"/>
        <w:ind w:firstLine="643" w:firstLineChars="200"/>
        <w:rPr>
          <w:rFonts w:hint="eastAsia" w:ascii="仿宋_GB2312" w:hAnsi="仿宋_GB2312" w:eastAsia="仿宋_GB2312" w:cs="仿宋_GB2312"/>
          <w:color w:val="000000"/>
          <w:sz w:val="32"/>
          <w:szCs w:val="32"/>
          <w:lang w:val="en-US" w:eastAsia="zh-CN"/>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eastAsia="zh-CN"/>
        </w:rPr>
        <w:t>万元，完成预算</w:t>
      </w:r>
      <w:r>
        <w:rPr>
          <w:rFonts w:hint="eastAsia" w:ascii="仿宋_GB2312" w:hAnsi="仿宋_GB2312" w:eastAsia="仿宋_GB2312" w:cs="仿宋_GB2312"/>
          <w:color w:val="000000"/>
          <w:sz w:val="32"/>
          <w:szCs w:val="32"/>
          <w:lang w:val="en-US" w:eastAsia="zh-CN"/>
        </w:rPr>
        <w:t>100</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公务接待费支出决算与2023年度相比无变化。</w:t>
      </w:r>
      <w:bookmarkStart w:id="70" w:name="_Toc15396610"/>
      <w:bookmarkStart w:id="71" w:name="_Toc15377218"/>
    </w:p>
    <w:p w14:paraId="78BEAA9C">
      <w:pPr>
        <w:spacing w:line="600" w:lineRule="exact"/>
        <w:ind w:firstLine="640"/>
        <w:outlineLvl w:val="1"/>
        <w:rPr>
          <w:rStyle w:val="30"/>
          <w:rFonts w:ascii="Times New Roman" w:hAnsi="Times New Roman" w:eastAsia="黑体"/>
          <w:color w:val="auto"/>
          <w:highlight w:val="none"/>
        </w:rPr>
      </w:pPr>
      <w:bookmarkStart w:id="72" w:name="_Toc10097"/>
      <w:bookmarkStart w:id="73" w:name="_Toc11336"/>
      <w:r>
        <w:rPr>
          <w:rFonts w:hint="eastAsia" w:ascii="Times New Roman" w:hAnsi="Times New Roman" w:eastAsia="黑体"/>
          <w:color w:val="auto"/>
          <w:sz w:val="32"/>
          <w:szCs w:val="32"/>
          <w:highlight w:val="none"/>
        </w:rPr>
        <w:t>八、</w:t>
      </w:r>
      <w:r>
        <w:rPr>
          <w:rStyle w:val="30"/>
          <w:rFonts w:hint="eastAsia" w:ascii="Times New Roman" w:hAnsi="Times New Roman" w:eastAsia="黑体"/>
          <w:b w:val="0"/>
          <w:color w:val="auto"/>
          <w:highlight w:val="none"/>
        </w:rPr>
        <w:t>政府性基金预算支出决算情况说明</w:t>
      </w:r>
      <w:bookmarkEnd w:id="70"/>
      <w:bookmarkEnd w:id="71"/>
      <w:bookmarkEnd w:id="72"/>
      <w:bookmarkEnd w:id="73"/>
    </w:p>
    <w:p w14:paraId="681A3528">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%。与2023年度相比政府性基金预算财政拨款支出减少6.00万元，下降100%。主要变动原因是：2024年度无政府性基金财政拨款支出。</w:t>
      </w:r>
    </w:p>
    <w:p w14:paraId="228BFC78">
      <w:pPr>
        <w:numPr>
          <w:ilvl w:val="0"/>
          <w:numId w:val="0"/>
        </w:numPr>
        <w:spacing w:line="600" w:lineRule="exact"/>
        <w:ind w:left="630" w:leftChars="0"/>
        <w:outlineLvl w:val="1"/>
        <w:rPr>
          <w:rStyle w:val="30"/>
          <w:rFonts w:ascii="Times New Roman" w:hAnsi="Times New Roman" w:eastAsia="黑体"/>
          <w:b w:val="0"/>
          <w:color w:val="auto"/>
          <w:highlight w:val="none"/>
        </w:rPr>
      </w:pPr>
      <w:bookmarkStart w:id="74" w:name="_Toc7448"/>
      <w:bookmarkStart w:id="75" w:name="_Toc2008"/>
      <w:bookmarkStart w:id="76" w:name="_Toc15396611"/>
      <w:bookmarkStart w:id="77" w:name="_Toc15377219"/>
      <w:r>
        <w:rPr>
          <w:rStyle w:val="30"/>
          <w:rFonts w:hint="eastAsia" w:ascii="Times New Roman" w:hAnsi="Times New Roman" w:eastAsia="黑体"/>
          <w:b w:val="0"/>
          <w:color w:val="auto"/>
          <w:highlight w:val="none"/>
          <w:lang w:eastAsia="zh-CN"/>
        </w:rPr>
        <w:t>九、</w:t>
      </w:r>
      <w:r>
        <w:rPr>
          <w:rStyle w:val="30"/>
          <w:rFonts w:hint="eastAsia" w:ascii="Times New Roman" w:hAnsi="Times New Roman" w:eastAsia="黑体"/>
          <w:b w:val="0"/>
          <w:color w:val="auto"/>
          <w:highlight w:val="none"/>
        </w:rPr>
        <w:t>国有资本经营预算支出决算情况说明</w:t>
      </w:r>
      <w:bookmarkEnd w:id="74"/>
      <w:bookmarkEnd w:id="75"/>
      <w:bookmarkEnd w:id="76"/>
      <w:bookmarkEnd w:id="77"/>
    </w:p>
    <w:p w14:paraId="7721506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%。与2023年度相比，国有资本经营预算财政拨款支出无变化。</w:t>
      </w:r>
    </w:p>
    <w:p w14:paraId="305613CB">
      <w:pPr>
        <w:numPr>
          <w:ilvl w:val="0"/>
          <w:numId w:val="0"/>
        </w:numPr>
        <w:spacing w:line="600" w:lineRule="exact"/>
        <w:ind w:left="630" w:leftChars="0"/>
        <w:outlineLvl w:val="1"/>
        <w:rPr>
          <w:rStyle w:val="30"/>
          <w:rFonts w:hint="eastAsia" w:ascii="Times New Roman" w:hAnsi="Times New Roman" w:eastAsia="黑体"/>
          <w:b w:val="0"/>
          <w:color w:val="auto"/>
          <w:highlight w:val="none"/>
          <w:lang w:eastAsia="zh-CN"/>
        </w:rPr>
      </w:pPr>
      <w:bookmarkStart w:id="78" w:name="_Toc15396612"/>
      <w:bookmarkStart w:id="79" w:name="_Toc31341"/>
      <w:bookmarkStart w:id="80" w:name="_Toc30205"/>
      <w:bookmarkStart w:id="81" w:name="_Toc15377221"/>
      <w:r>
        <w:rPr>
          <w:rStyle w:val="30"/>
          <w:rFonts w:hint="eastAsia" w:ascii="Times New Roman" w:hAnsi="Times New Roman" w:eastAsia="黑体"/>
          <w:b w:val="0"/>
          <w:color w:val="auto"/>
          <w:highlight w:val="none"/>
          <w:lang w:eastAsia="zh-CN"/>
        </w:rPr>
        <w:t>十、其他重要事项的情况说明</w:t>
      </w:r>
      <w:bookmarkEnd w:id="78"/>
      <w:bookmarkEnd w:id="79"/>
      <w:bookmarkEnd w:id="80"/>
      <w:bookmarkEnd w:id="81"/>
    </w:p>
    <w:p w14:paraId="5E38F7E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2" w:name="_Toc15377222"/>
      <w:r>
        <w:rPr>
          <w:rFonts w:hint="eastAsia" w:ascii="Times New Roman" w:hAnsi="Times New Roman" w:eastAsia="楷体_GB2312" w:cs="楷体_GB2312"/>
          <w:b/>
          <w:color w:val="auto"/>
          <w:sz w:val="32"/>
          <w:szCs w:val="32"/>
          <w:highlight w:val="none"/>
        </w:rPr>
        <w:t>（一）机关运行经费支出情况</w:t>
      </w:r>
      <w:bookmarkEnd w:id="82"/>
    </w:p>
    <w:p w14:paraId="1C6364C5">
      <w:pPr>
        <w:pageBreakBefore w:val="0"/>
        <w:widowControl w:val="0"/>
        <w:kinsoku/>
        <w:wordWrap/>
        <w:overflowPunct/>
        <w:topLinePunct w:val="0"/>
        <w:spacing w:line="560" w:lineRule="atLeas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茂县沟口镇人民政府</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25.17</w:t>
      </w:r>
      <w:r>
        <w:rPr>
          <w:rFonts w:hint="eastAsia" w:ascii="仿宋_GB2312" w:hAnsi="仿宋_GB2312" w:eastAsia="仿宋_GB2312" w:cs="仿宋_GB2312"/>
          <w:color w:val="auto"/>
          <w:kern w:val="2"/>
          <w:sz w:val="32"/>
          <w:szCs w:val="32"/>
          <w:highlight w:val="none"/>
          <w:lang w:val="en-US" w:eastAsia="zh-CN" w:bidi="ar-SA"/>
        </w:rPr>
        <w:t>万元，与2023年度相比减少0.09万元，下降0.36%。主要原因是：人员减少，机关运行经费支出减少</w:t>
      </w:r>
      <w:r>
        <w:rPr>
          <w:rFonts w:hint="eastAsia" w:ascii="仿宋_GB2312" w:eastAsia="仿宋_GB2312"/>
          <w:color w:val="auto"/>
          <w:sz w:val="32"/>
          <w:szCs w:val="32"/>
          <w:highlight w:val="none"/>
          <w:lang w:eastAsia="zh-CN"/>
        </w:rPr>
        <w:t>。</w:t>
      </w:r>
    </w:p>
    <w:p w14:paraId="7CD643F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3" w:name="_Toc15377223"/>
      <w:r>
        <w:rPr>
          <w:rFonts w:hint="eastAsia" w:ascii="Times New Roman" w:hAnsi="Times New Roman" w:eastAsia="楷体_GB2312" w:cs="楷体_GB2312"/>
          <w:b/>
          <w:color w:val="auto"/>
          <w:sz w:val="32"/>
          <w:szCs w:val="32"/>
          <w:highlight w:val="none"/>
        </w:rPr>
        <w:t>（二）政府采购支出情况</w:t>
      </w:r>
      <w:bookmarkEnd w:id="83"/>
    </w:p>
    <w:p w14:paraId="00B9B81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茂县沟口镇人民政府</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181B6D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84" w:name="_Toc15377224"/>
      <w:r>
        <w:rPr>
          <w:rFonts w:hint="eastAsia" w:ascii="Times New Roman" w:hAnsi="Times New Roman" w:eastAsia="楷体_GB2312" w:cs="楷体_GB2312"/>
          <w:b/>
          <w:color w:val="auto"/>
          <w:sz w:val="32"/>
          <w:szCs w:val="32"/>
          <w:highlight w:val="none"/>
        </w:rPr>
        <w:t>（三）国有资产占有使用情况</w:t>
      </w:r>
      <w:bookmarkEnd w:id="84"/>
    </w:p>
    <w:p w14:paraId="0ED7032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茂县沟口镇人民政府</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2</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2F1C5DB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1197CDD">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根据预算绩效管理要求，茂县沟口镇人民政府在2024年度预算编制阶段，组织对茂县沟口大桥桥梁建设等34个项目开展了预算事前绩效评估，对34个项目编制了绩效目标，预算执行过程中，选取34个项目开展绩效监控。</w:t>
      </w:r>
    </w:p>
    <w:p w14:paraId="4BEBFDCA">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茂县沟口镇人民政府部门整体（含部门预算项目）绩效自评报告、茂县沟口大桥桥梁建设等专项预算项目绩效自评报告，其中，茂县沟口镇人民政府部门整体（含部门预算项目）绩效自评得分为94分，绩效自评综述整体实施优秀；茂县沟口镇专项预算项目绩效自评得分为95分，绩效自评综述整体实施优秀。茂县沟口镇基层政权建设补助资金—办公楼及宿舍楼安全维修绩效自评得分为95分，绩效自评综述整体实施优秀。水若村文化休闲居家养老建改项目自评得分为93分，绩效自评综述整体实施优秀。沟口镇产业结构调整示范点项目自评得分为93分，绩效自评综述整体实施优秀。</w:t>
      </w:r>
    </w:p>
    <w:p w14:paraId="10894DF3">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绩效自评报告详见附件。</w:t>
      </w:r>
      <w:bookmarkStart w:id="85" w:name="_Toc15377225"/>
      <w:bookmarkStart w:id="86" w:name="_Toc15396613"/>
    </w:p>
    <w:p w14:paraId="64407788">
      <w:pPr>
        <w:numPr>
          <w:ilvl w:val="0"/>
          <w:numId w:val="0"/>
        </w:numPr>
        <w:spacing w:line="600" w:lineRule="exact"/>
        <w:jc w:val="center"/>
        <w:outlineLvl w:val="0"/>
        <w:rPr>
          <w:rFonts w:ascii="Times New Roman" w:hAnsi="Times New Roman"/>
          <w:b/>
          <w:color w:val="auto"/>
          <w:sz w:val="44"/>
          <w:szCs w:val="44"/>
          <w:highlight w:val="none"/>
        </w:rPr>
      </w:pPr>
      <w:bookmarkStart w:id="87" w:name="_Toc23377"/>
      <w:bookmarkStart w:id="88" w:name="_Toc17324"/>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85"/>
      <w:bookmarkEnd w:id="86"/>
      <w:bookmarkEnd w:id="87"/>
      <w:bookmarkEnd w:id="88"/>
    </w:p>
    <w:p w14:paraId="405562CA">
      <w:pPr>
        <w:pStyle w:val="27"/>
        <w:spacing w:line="560" w:lineRule="exact"/>
        <w:ind w:firstLine="880" w:firstLineChars="200"/>
        <w:outlineLvl w:val="1"/>
        <w:rPr>
          <w:rFonts w:ascii="仿宋_GB2312" w:eastAsia="仿宋_GB2312"/>
          <w:color w:val="auto"/>
          <w:sz w:val="44"/>
          <w:szCs w:val="44"/>
          <w:highlight w:val="none"/>
        </w:rPr>
      </w:pPr>
      <w:bookmarkStart w:id="89" w:name="_Toc12880"/>
    </w:p>
    <w:p w14:paraId="1371227E">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bookmarkStart w:id="90" w:name="_Toc23056"/>
      <w:bookmarkStart w:id="91" w:name="_Toc2237"/>
      <w:bookmarkStart w:id="92" w:name="_Toc32699"/>
      <w:bookmarkStart w:id="93" w:name="_Toc30061"/>
      <w:bookmarkStart w:id="94" w:name="_Toc14111"/>
      <w:r>
        <w:rPr>
          <w:rFonts w:hint="eastAsia" w:ascii="仿宋_GB2312" w:hAnsi="Times New Roman" w:eastAsia="仿宋_GB2312" w:cs="仿宋_GB2312"/>
          <w:color w:val="000000"/>
          <w:kern w:val="0"/>
          <w:sz w:val="32"/>
          <w:szCs w:val="32"/>
          <w:lang w:val="en-US" w:eastAsia="zh-CN" w:bidi="ar-SA"/>
        </w:rPr>
        <w:t>1.财政拨款收入：指单位从同级财政部门取得的财政预算资金。</w:t>
      </w:r>
      <w:bookmarkEnd w:id="89"/>
      <w:bookmarkEnd w:id="90"/>
      <w:bookmarkEnd w:id="91"/>
      <w:bookmarkEnd w:id="92"/>
      <w:bookmarkEnd w:id="93"/>
      <w:bookmarkEnd w:id="94"/>
    </w:p>
    <w:p w14:paraId="5316E017">
      <w:pPr>
        <w:pStyle w:val="27"/>
        <w:spacing w:line="560" w:lineRule="exac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2.事业收入：指事业单位开展专业业务活动及辅助活动取得的收入。</w:t>
      </w:r>
    </w:p>
    <w:p w14:paraId="5CFD825D">
      <w:pPr>
        <w:pStyle w:val="27"/>
        <w:spacing w:line="560" w:lineRule="exac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3.经营收入：指事业单位在专业业务活动及其辅助活动之外开展非独立核算经营活动取得的收入。</w:t>
      </w:r>
    </w:p>
    <w:p w14:paraId="038D195B">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bookmarkStart w:id="95" w:name="_Toc14963"/>
      <w:bookmarkStart w:id="96" w:name="_Toc29469"/>
      <w:bookmarkStart w:id="97" w:name="_Toc28467"/>
      <w:bookmarkStart w:id="98" w:name="_Toc21558"/>
      <w:bookmarkStart w:id="99" w:name="_Toc21486"/>
      <w:bookmarkStart w:id="100" w:name="_Toc1732"/>
      <w:r>
        <w:rPr>
          <w:rFonts w:hint="eastAsia" w:ascii="仿宋_GB2312" w:hAnsi="Times New Roman" w:eastAsia="仿宋_GB2312" w:cs="仿宋_GB2312"/>
          <w:color w:val="000000"/>
          <w:kern w:val="0"/>
          <w:sz w:val="32"/>
          <w:szCs w:val="32"/>
          <w:lang w:val="en-US" w:eastAsia="zh-CN" w:bidi="ar-SA"/>
        </w:rPr>
        <w:t>4.其他收入：指单位取得的除上述收入以外的各项收入。</w:t>
      </w:r>
      <w:bookmarkEnd w:id="95"/>
      <w:bookmarkEnd w:id="96"/>
      <w:bookmarkEnd w:id="97"/>
      <w:bookmarkEnd w:id="98"/>
      <w:bookmarkEnd w:id="99"/>
      <w:bookmarkEnd w:id="100"/>
      <w:r>
        <w:rPr>
          <w:rFonts w:hint="eastAsia" w:ascii="仿宋_GB2312" w:hAnsi="Times New Roman" w:eastAsia="仿宋_GB2312" w:cs="仿宋_GB2312"/>
          <w:color w:val="000000"/>
          <w:kern w:val="0"/>
          <w:sz w:val="32"/>
          <w:szCs w:val="32"/>
          <w:lang w:val="en-US" w:eastAsia="zh-CN" w:bidi="ar-SA"/>
        </w:rPr>
        <w:t xml:space="preserve"> </w:t>
      </w:r>
    </w:p>
    <w:p w14:paraId="1EBEE18A">
      <w:pPr>
        <w:pStyle w:val="27"/>
        <w:spacing w:line="560" w:lineRule="exac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 xml:space="preserve">5.使用非财政拨款结余（含专用结余）：指事业单位使用以前年度积累的非财政拨款结余弥补当年收支差额的金额。 </w:t>
      </w:r>
    </w:p>
    <w:p w14:paraId="46F5254A">
      <w:pPr>
        <w:pStyle w:val="27"/>
        <w:spacing w:line="560" w:lineRule="exac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 xml:space="preserve">6.年初结转和结余：指以前年度尚未完成、结转到本年按有关规定继续使用的资金。 </w:t>
      </w:r>
    </w:p>
    <w:p w14:paraId="7056BD8E">
      <w:pPr>
        <w:pStyle w:val="27"/>
        <w:spacing w:line="560" w:lineRule="exac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7.结余分配：指事业单位按照会计制度规定缴纳的所得税、提取的专用结余以及转入非财政拨款结余的金额等。</w:t>
      </w:r>
    </w:p>
    <w:p w14:paraId="421A3607">
      <w:pPr>
        <w:pStyle w:val="27"/>
        <w:spacing w:line="560" w:lineRule="exac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8.年末结转和结余：指单位按有关规定结转到下年或以后年度继续使用的资金。</w:t>
      </w:r>
    </w:p>
    <w:p w14:paraId="30A7C1CC">
      <w:pPr>
        <w:spacing w:line="576" w:lineRule="atLeas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9.一般公共服务（类）人大事务（款）代表工作（项）：指单位人大召开人民代表大会等专门会议的支出。</w:t>
      </w:r>
    </w:p>
    <w:p w14:paraId="4C6B1ED7">
      <w:pPr>
        <w:spacing w:line="576" w:lineRule="atLeast"/>
        <w:ind w:firstLine="640" w:firstLineChars="200"/>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10.一般公共服务（类）政府办公厅（室）及相关机构事务（款）行政运行（项）：指单位（包括实行公务员管理的事业单位）的基本支出。</w:t>
      </w:r>
    </w:p>
    <w:p w14:paraId="6CE15A55">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11.一般公共服务（类）政府办公厅（室）及相关机构事务（款）其他政府办公厅（室）及相关机构事务支出（项）：指单位用于保障机构正常运行、开展日常工作的基本支出。</w:t>
      </w:r>
    </w:p>
    <w:p w14:paraId="2CBE1412">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12.文化旅游体育与传媒（类）其他文化旅游体育与传媒支出（款）其他文化旅游体育与传媒支出（项）：指单位用于安排的其他文化旅游体育与传媒支出。</w:t>
      </w:r>
    </w:p>
    <w:p w14:paraId="5C514808">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13.社会保障和就业（类）行政事业单位养老支出（款）机关事业单位基本养老保险缴费支出（项）：指单位实施养老保险制度由单位缴纳的养老保险费的支出。</w:t>
      </w:r>
    </w:p>
    <w:p w14:paraId="75BA3E68">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14.文社会保障和就业（类）行政事业单位养老支出（款）机关事业单位职业年金缴费支出（项）：指单位实施养老保险制度由单位缴纳的职业年金的支出。</w:t>
      </w:r>
    </w:p>
    <w:p w14:paraId="1FF5276C">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15.社会保障和就业（类）就业补助（款）公益性岗位补贴（项）：指单位对符合条件的就业困难人员在公益性岗位就业给与的岗位补贴支出。</w:t>
      </w:r>
    </w:p>
    <w:p w14:paraId="0F142408">
      <w:pPr>
        <w:pStyle w:val="27"/>
        <w:spacing w:line="560" w:lineRule="exact"/>
        <w:ind w:firstLine="640" w:firstLineChars="200"/>
        <w:outlineLvl w:val="1"/>
        <w:rPr>
          <w:rFonts w:hint="eastAsia" w:ascii="仿宋_GB2312" w:hAnsi="Times New Roman" w:eastAsia="仿宋_GB2312" w:cs="仿宋_GB2312"/>
          <w:color w:val="000000"/>
          <w:kern w:val="0"/>
          <w:sz w:val="32"/>
          <w:szCs w:val="32"/>
          <w:lang w:val="en-US" w:eastAsia="zh-CN" w:bidi="ar-SA"/>
        </w:rPr>
      </w:pPr>
      <w:r>
        <w:rPr>
          <w:rFonts w:hint="eastAsia" w:ascii="仿宋_GB2312" w:hAnsi="Times New Roman" w:eastAsia="仿宋_GB2312" w:cs="仿宋_GB2312"/>
          <w:color w:val="000000"/>
          <w:kern w:val="0"/>
          <w:sz w:val="32"/>
          <w:szCs w:val="32"/>
          <w:lang w:val="en-US" w:eastAsia="zh-CN" w:bidi="ar-SA"/>
        </w:rPr>
        <w:t>16.卫生健康（类）行政事业单位医疗（款）行政单位医疗（项）：指单位安排的行政单位（包括公务员管理的事业单位，同下）基本医疗保险缴纳经费，未参加医疗保险的行政单位的公费医疗经费，按国家规定享受离休人员、红军老战士待遇人员的医疗经费。</w:t>
      </w:r>
    </w:p>
    <w:p w14:paraId="26258CED">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Fonts w:hint="eastAsia" w:ascii="仿宋_GB2312" w:hAnsi="Times New Roman" w:eastAsia="仿宋_GB2312" w:cs="仿宋_GB2312"/>
          <w:color w:val="000000"/>
          <w:kern w:val="0"/>
          <w:sz w:val="32"/>
          <w:szCs w:val="32"/>
          <w:lang w:val="en-US" w:eastAsia="zh-CN" w:bidi="ar-SA"/>
        </w:rPr>
        <w:t>17.卫生健康（类）行政事业单位医疗（款）事业单位医疗（项）：</w:t>
      </w:r>
      <w:r>
        <w:rPr>
          <w:rStyle w:val="18"/>
          <w:rFonts w:hint="eastAsia" w:ascii="仿宋_GB2312" w:eastAsia="仿宋_GB2312" w:cs="仿宋_GB2312"/>
          <w:b w:val="0"/>
          <w:color w:val="000000"/>
          <w:sz w:val="32"/>
          <w:szCs w:val="32"/>
        </w:rPr>
        <w:t>指</w:t>
      </w:r>
      <w:r>
        <w:rPr>
          <w:rFonts w:hint="eastAsia" w:ascii="仿宋_GB2312" w:eastAsia="仿宋_GB2312" w:cs="仿宋_GB2312"/>
          <w:color w:val="000000"/>
          <w:kern w:val="0"/>
          <w:sz w:val="32"/>
          <w:szCs w:val="32"/>
        </w:rPr>
        <w:t>单位</w:t>
      </w:r>
      <w:r>
        <w:rPr>
          <w:rFonts w:hint="eastAsia" w:ascii="仿宋_GB2312" w:eastAsia="仿宋_GB2312" w:cs="仿宋_GB2312"/>
          <w:color w:val="000000"/>
          <w:kern w:val="0"/>
          <w:sz w:val="32"/>
          <w:szCs w:val="32"/>
          <w:lang w:eastAsia="zh-CN"/>
        </w:rPr>
        <w:t>安排的事业单位基本医疗保险缴纳经费，未参加</w:t>
      </w:r>
      <w:r>
        <w:rPr>
          <w:rStyle w:val="18"/>
          <w:rFonts w:hint="eastAsia" w:ascii="仿宋_GB2312" w:hAnsi="Times New Roman" w:eastAsia="仿宋_GB2312" w:cs="仿宋_GB2312"/>
          <w:b w:val="0"/>
          <w:color w:val="000000"/>
          <w:sz w:val="32"/>
          <w:szCs w:val="32"/>
          <w:lang w:eastAsia="zh-CN"/>
        </w:rPr>
        <w:t>医疗保险的行政单位的公费医疗经费，按国家规定享受离休人员的医疗经费。</w:t>
      </w:r>
    </w:p>
    <w:p w14:paraId="5EB7BBFC">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18.农林水支出（类）农业农村（款）事业运行（项）：</w:t>
      </w:r>
      <w:r>
        <w:rPr>
          <w:rStyle w:val="18"/>
          <w:rFonts w:hint="eastAsia" w:ascii="仿宋_GB2312" w:hAnsi="Times New Roman" w:eastAsia="仿宋_GB2312" w:cs="仿宋_GB2312"/>
          <w:b w:val="0"/>
          <w:color w:val="000000"/>
          <w:sz w:val="32"/>
          <w:szCs w:val="32"/>
        </w:rPr>
        <w:t>指用于农业事业单位基本支出，事业单位设施、系统运行与资产维护等方面的支出。</w:t>
      </w:r>
    </w:p>
    <w:p w14:paraId="702514CC">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农林水支出（类）农业农村（款）其他农业农村支出（项）：</w:t>
      </w:r>
      <w:r>
        <w:rPr>
          <w:rStyle w:val="18"/>
          <w:rFonts w:hint="eastAsia" w:ascii="仿宋_GB2312" w:hAnsi="Times New Roman" w:eastAsia="仿宋_GB2312" w:cs="仿宋_GB2312"/>
          <w:b w:val="0"/>
          <w:color w:val="000000"/>
          <w:sz w:val="32"/>
          <w:szCs w:val="32"/>
        </w:rPr>
        <w:t>指用于</w:t>
      </w:r>
      <w:r>
        <w:rPr>
          <w:rStyle w:val="18"/>
          <w:rFonts w:hint="eastAsia" w:ascii="仿宋_GB2312" w:hAnsi="Times New Roman" w:eastAsia="仿宋_GB2312" w:cs="仿宋_GB2312"/>
          <w:b w:val="0"/>
          <w:color w:val="000000"/>
          <w:sz w:val="32"/>
          <w:szCs w:val="32"/>
          <w:lang w:eastAsia="zh-CN"/>
        </w:rPr>
        <w:t>上述项目以外的其他用于农业农村方面的支出。</w:t>
      </w:r>
    </w:p>
    <w:p w14:paraId="0F3495BE">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农林水支出（类）巩固脱贫攻坚成果衔接乡村振兴（款）其他巩固脱贫攻坚成果衔接乡村振兴支出（项）：</w:t>
      </w:r>
      <w:r>
        <w:rPr>
          <w:rStyle w:val="18"/>
          <w:rFonts w:hint="eastAsia" w:ascii="仿宋_GB2312" w:hAnsi="Times New Roman" w:eastAsia="仿宋_GB2312" w:cs="仿宋_GB2312"/>
          <w:b w:val="0"/>
          <w:color w:val="000000"/>
          <w:sz w:val="32"/>
          <w:szCs w:val="32"/>
        </w:rPr>
        <w:t>指用于</w:t>
      </w:r>
      <w:r>
        <w:rPr>
          <w:rStyle w:val="18"/>
          <w:rFonts w:hint="eastAsia" w:ascii="仿宋_GB2312" w:hAnsi="Times New Roman" w:eastAsia="仿宋_GB2312" w:cs="仿宋_GB2312"/>
          <w:b w:val="0"/>
          <w:color w:val="000000"/>
          <w:sz w:val="32"/>
          <w:szCs w:val="32"/>
          <w:lang w:eastAsia="zh-CN"/>
        </w:rPr>
        <w:t>上述项目以外的其他用于巩固拓展脱贫攻坚成果同乡村振兴有效衔接方面的支出。</w:t>
      </w:r>
    </w:p>
    <w:p w14:paraId="6623BA36">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21.农林水支出（类）农村综合改革（款）对村民委员会和村党支部的补助（项）：</w:t>
      </w:r>
      <w:r>
        <w:rPr>
          <w:rStyle w:val="18"/>
          <w:rFonts w:hint="eastAsia" w:ascii="仿宋_GB2312" w:hAnsi="Times New Roman" w:eastAsia="仿宋_GB2312" w:cs="仿宋_GB2312"/>
          <w:b w:val="0"/>
          <w:color w:val="000000"/>
          <w:sz w:val="32"/>
          <w:szCs w:val="32"/>
        </w:rPr>
        <w:t>指对村民委员会和对村党支部的补助支出，以及支持建立县级基本财力保障机制安排的村级组织运转奖补资金。</w:t>
      </w:r>
    </w:p>
    <w:p w14:paraId="69026865">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rPr>
      </w:pPr>
      <w:r>
        <w:rPr>
          <w:rStyle w:val="18"/>
          <w:rFonts w:hint="eastAsia" w:ascii="仿宋_GB2312" w:hAnsi="Times New Roman" w:eastAsia="仿宋_GB2312" w:cs="仿宋_GB2312"/>
          <w:b w:val="0"/>
          <w:color w:val="000000"/>
          <w:sz w:val="32"/>
          <w:szCs w:val="32"/>
          <w:lang w:val="en-US" w:eastAsia="zh-CN"/>
        </w:rPr>
        <w:t>22.住房保障支出（类）住房改革支出（款）住房公积金（项）：</w:t>
      </w:r>
      <w:r>
        <w:rPr>
          <w:rStyle w:val="18"/>
          <w:rFonts w:hint="eastAsia" w:ascii="仿宋_GB2312" w:hAnsi="Times New Roman" w:eastAsia="仿宋_GB2312" w:cs="仿宋_GB2312"/>
          <w:b w:val="0"/>
          <w:color w:val="000000"/>
          <w:sz w:val="32"/>
          <w:szCs w:val="32"/>
        </w:rPr>
        <w:t>指反映行政事业单位按规定为职工缴纳的住房公积金。</w:t>
      </w:r>
    </w:p>
    <w:p w14:paraId="41711D77">
      <w:pPr>
        <w:pStyle w:val="27"/>
        <w:spacing w:line="560" w:lineRule="exact"/>
        <w:ind w:firstLine="640" w:firstLineChars="200"/>
        <w:outlineLvl w:val="1"/>
        <w:rPr>
          <w:rFonts w:hint="eastAsia" w:ascii="Times New Roman" w:hAnsi="Times New Roman" w:eastAsia="仿宋_GB2312" w:cs="仿宋_GB2312"/>
          <w:color w:val="auto"/>
          <w:kern w:val="2"/>
          <w:sz w:val="32"/>
          <w:szCs w:val="32"/>
          <w:highlight w:val="none"/>
          <w:lang w:val="en-US" w:eastAsia="zh-CN" w:bidi="ar-SA"/>
        </w:rPr>
      </w:pPr>
      <w:r>
        <w:rPr>
          <w:rStyle w:val="18"/>
          <w:rFonts w:hint="eastAsia" w:ascii="仿宋_GB2312" w:hAnsi="Times New Roman" w:eastAsia="仿宋_GB2312" w:cs="仿宋_GB2312"/>
          <w:b w:val="0"/>
          <w:color w:val="000000"/>
          <w:sz w:val="32"/>
          <w:szCs w:val="32"/>
          <w:lang w:val="en-US" w:eastAsia="zh-CN"/>
        </w:rPr>
        <w:t>23.住房保障支出（类）住房改革支出（款）购房补贴（项）：指按房改政策规定，行政事业单位向符合条件的职工（含离退休人员）、军队（含武警）向转役复员离退休人员发放的用于购买</w:t>
      </w:r>
      <w:r>
        <w:rPr>
          <w:rFonts w:hint="eastAsia" w:eastAsia="仿宋_GB2312" w:cs="仿宋_GB2312"/>
          <w:color w:val="auto"/>
          <w:kern w:val="2"/>
          <w:sz w:val="32"/>
          <w:szCs w:val="32"/>
          <w:highlight w:val="none"/>
          <w:lang w:val="en-US" w:eastAsia="zh-CN" w:bidi="ar-SA"/>
        </w:rPr>
        <w:t>住房的补贴。</w:t>
      </w:r>
    </w:p>
    <w:p w14:paraId="4E685490">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24.灾害防治及应急管理支出（类）自然灾害救灾及恢复重建支出（款）其他自然灾害救灾及恢复重建支出（项）：指除上述项目以外的其他用于自然灾害救灾、灾后恢复重建等方面的支出。</w:t>
      </w:r>
    </w:p>
    <w:p w14:paraId="608BE637">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25.基本支出：指为保障机构正常运转、完成日常工作任务而发生的人员支出和公用支出。</w:t>
      </w:r>
    </w:p>
    <w:p w14:paraId="65A5CD1F">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 xml:space="preserve">26.项目支出：指在基本支出之外为完成特定行政任务和事业发展目标所发生的支出。 </w:t>
      </w:r>
    </w:p>
    <w:p w14:paraId="06370125">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27.经营支出：指事业单位在专业业务活动及其辅助活动之外开展非独立核算经营活动发生的支出。</w:t>
      </w:r>
    </w:p>
    <w:p w14:paraId="038B1806">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28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B8B3798">
      <w:pPr>
        <w:pStyle w:val="27"/>
        <w:spacing w:line="560" w:lineRule="exact"/>
        <w:ind w:firstLine="640" w:firstLineChars="200"/>
        <w:outlineLvl w:val="1"/>
        <w:rPr>
          <w:rStyle w:val="18"/>
          <w:rFonts w:hint="eastAsia" w:ascii="仿宋_GB2312" w:hAnsi="Times New Roman" w:eastAsia="仿宋_GB2312" w:cs="仿宋_GB2312"/>
          <w:b w:val="0"/>
          <w:color w:val="000000"/>
          <w:sz w:val="32"/>
          <w:szCs w:val="32"/>
          <w:lang w:val="en-US" w:eastAsia="zh-CN"/>
        </w:rPr>
      </w:pPr>
      <w:r>
        <w:rPr>
          <w:rStyle w:val="18"/>
          <w:rFonts w:hint="eastAsia" w:ascii="仿宋_GB2312" w:hAnsi="Times New Roman" w:eastAsia="仿宋_GB2312" w:cs="仿宋_GB2312"/>
          <w:b w:val="0"/>
          <w:color w:val="000000"/>
          <w:sz w:val="32"/>
          <w:szCs w:val="32"/>
          <w:lang w:val="en-US" w:eastAsia="zh-CN"/>
        </w:rPr>
        <w:t>29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01" w:name="_Toc15396614"/>
      <w:bookmarkStart w:id="102" w:name="_Toc15377226"/>
    </w:p>
    <w:p w14:paraId="473194B8">
      <w:pPr>
        <w:pStyle w:val="2"/>
        <w:rPr>
          <w:rFonts w:hint="eastAsia" w:ascii="Times New Roman" w:hAnsi="Times New Roman" w:eastAsia="黑体"/>
          <w:color w:val="auto"/>
          <w:sz w:val="44"/>
          <w:szCs w:val="44"/>
          <w:highlight w:val="none"/>
        </w:rPr>
      </w:pPr>
    </w:p>
    <w:p w14:paraId="36B76289">
      <w:pPr>
        <w:pStyle w:val="3"/>
        <w:rPr>
          <w:rFonts w:hint="eastAsia"/>
        </w:rPr>
      </w:pPr>
    </w:p>
    <w:p w14:paraId="32289EC0">
      <w:pPr>
        <w:pStyle w:val="5"/>
        <w:bidi w:val="0"/>
        <w:ind w:firstLine="3092" w:firstLineChars="700"/>
        <w:rPr>
          <w:rFonts w:hint="eastAsia" w:ascii="方正小标宋简体" w:hAnsi="方正小标宋简体" w:eastAsia="方正小标宋简体" w:cs="方正小标宋简体"/>
          <w:b w:val="0"/>
          <w:bCs/>
          <w:sz w:val="44"/>
          <w:szCs w:val="44"/>
          <w:highlight w:val="none"/>
          <w:shd w:val="clear" w:color="auto" w:fill="FFFFFF"/>
          <w:lang w:eastAsia="zh-CN"/>
        </w:rPr>
      </w:pPr>
      <w:bookmarkStart w:id="103" w:name="_Toc5182"/>
      <w:r>
        <w:rPr>
          <w:rFonts w:hint="eastAsia"/>
        </w:rPr>
        <w:t>第四部分</w:t>
      </w:r>
      <w:r>
        <w:rPr>
          <w:rFonts w:hint="eastAsia"/>
          <w:lang w:val="en-US" w:eastAsia="zh-CN"/>
        </w:rPr>
        <w:t xml:space="preserve"> </w:t>
      </w:r>
      <w:r>
        <w:rPr>
          <w:rFonts w:hint="eastAsia"/>
        </w:rPr>
        <w:t xml:space="preserve"> 附件</w:t>
      </w:r>
      <w:bookmarkEnd w:id="101"/>
      <w:bookmarkEnd w:id="103"/>
    </w:p>
    <w:p w14:paraId="20D7E44E">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方正小标宋简体" w:hAnsi="方正小标宋简体" w:eastAsia="方正小标宋简体" w:cs="方正小标宋简体"/>
          <w:b w:val="0"/>
          <w:bCs/>
          <w:sz w:val="44"/>
          <w:szCs w:val="44"/>
          <w:highlight w:val="none"/>
          <w:shd w:val="clear" w:color="auto" w:fill="FFFFFF"/>
          <w:lang w:eastAsia="zh-CN"/>
        </w:rPr>
      </w:pPr>
      <w:r>
        <w:rPr>
          <w:rFonts w:hint="eastAsia" w:ascii="方正小标宋简体" w:hAnsi="方正小标宋简体" w:eastAsia="方正小标宋简体" w:cs="方正小标宋简体"/>
          <w:b w:val="0"/>
          <w:bCs/>
          <w:sz w:val="44"/>
          <w:szCs w:val="44"/>
          <w:highlight w:val="none"/>
          <w:shd w:val="clear" w:color="auto" w:fill="FFFFFF"/>
          <w:lang w:eastAsia="zh-CN"/>
        </w:rPr>
        <w:t>茂县沟口镇人民政府</w:t>
      </w:r>
    </w:p>
    <w:p w14:paraId="4614951A">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eastAsia" w:ascii="Times New Roman" w:hAnsi="Times New Roman" w:eastAsia="方正小标宋简体" w:cs="Times New Roman"/>
          <w:color w:val="000000"/>
          <w:kern w:val="0"/>
          <w:sz w:val="24"/>
          <w:szCs w:val="32"/>
          <w:highlight w:val="none"/>
          <w:shd w:val="clear" w:color="auto" w:fill="FFFFFF"/>
          <w:lang w:eastAsia="zh-CN"/>
        </w:rPr>
      </w:pPr>
      <w:r>
        <w:rPr>
          <w:rFonts w:hint="eastAsia" w:ascii="方正小标宋简体" w:hAnsi="方正小标宋简体" w:eastAsia="方正小标宋简体" w:cs="方正小标宋简体"/>
          <w:b w:val="0"/>
          <w:bCs/>
          <w:sz w:val="44"/>
          <w:szCs w:val="44"/>
          <w:highlight w:val="none"/>
          <w:shd w:val="clear" w:color="auto" w:fill="FFFFFF"/>
        </w:rPr>
        <w:t>部门</w:t>
      </w:r>
      <w:r>
        <w:rPr>
          <w:rFonts w:hint="eastAsia" w:ascii="方正小标宋简体" w:hAnsi="方正小标宋简体" w:eastAsia="方正小标宋简体" w:cs="方正小标宋简体"/>
          <w:b w:val="0"/>
          <w:bCs/>
          <w:sz w:val="44"/>
          <w:szCs w:val="44"/>
          <w:highlight w:val="none"/>
          <w:shd w:val="clear" w:color="auto" w:fill="FFFFFF"/>
          <w:lang w:eastAsia="zh-CN"/>
        </w:rPr>
        <w:t>预算</w:t>
      </w:r>
      <w:r>
        <w:rPr>
          <w:rFonts w:hint="eastAsia" w:ascii="方正小标宋简体" w:hAnsi="方正小标宋简体" w:eastAsia="方正小标宋简体" w:cs="方正小标宋简体"/>
          <w:b w:val="0"/>
          <w:bCs/>
          <w:sz w:val="44"/>
          <w:szCs w:val="44"/>
          <w:highlight w:val="none"/>
          <w:shd w:val="clear" w:color="auto" w:fill="FFFFFF"/>
        </w:rPr>
        <w:t>绩效</w:t>
      </w:r>
      <w:r>
        <w:rPr>
          <w:rFonts w:hint="eastAsia" w:ascii="方正小标宋简体" w:hAnsi="方正小标宋简体" w:eastAsia="方正小标宋简体" w:cs="方正小标宋简体"/>
          <w:b w:val="0"/>
          <w:bCs/>
          <w:sz w:val="44"/>
          <w:szCs w:val="44"/>
          <w:highlight w:val="none"/>
          <w:shd w:val="clear" w:color="auto" w:fill="FFFFFF"/>
          <w:lang w:eastAsia="zh-CN"/>
        </w:rPr>
        <w:t>评价</w:t>
      </w:r>
      <w:r>
        <w:rPr>
          <w:rFonts w:hint="eastAsia" w:ascii="方正小标宋简体" w:hAnsi="方正小标宋简体" w:eastAsia="方正小标宋简体" w:cs="方正小标宋简体"/>
          <w:b w:val="0"/>
          <w:bCs/>
          <w:sz w:val="44"/>
          <w:szCs w:val="44"/>
          <w:highlight w:val="none"/>
          <w:shd w:val="clear" w:color="auto" w:fill="FFFFFF"/>
        </w:rPr>
        <w:t>报告</w:t>
      </w:r>
    </w:p>
    <w:p w14:paraId="0DF64167">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黑体" w:cs="Times New Roman"/>
          <w:color w:val="000000"/>
          <w:kern w:val="0"/>
          <w:sz w:val="32"/>
          <w:szCs w:val="32"/>
          <w:highlight w:val="none"/>
          <w:shd w:val="clear" w:color="auto" w:fill="FFFFFF"/>
          <w:lang w:val="zh-CN"/>
        </w:rPr>
      </w:pPr>
    </w:p>
    <w:p w14:paraId="63ED98F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default" w:ascii="Times New Roman" w:hAnsi="Times New Roman" w:eastAsia="黑体" w:cs="Times New Roman"/>
          <w:color w:val="000000"/>
          <w:kern w:val="0"/>
          <w:sz w:val="32"/>
          <w:szCs w:val="32"/>
          <w:highlight w:val="none"/>
          <w:shd w:val="clear" w:color="auto" w:fill="FFFFFF"/>
          <w:lang w:val="zh-CN"/>
        </w:rPr>
        <w:t>部门（单位）基本情况</w:t>
      </w:r>
    </w:p>
    <w:p w14:paraId="463ED602">
      <w:pPr>
        <w:widowControl/>
        <w:adjustRightInd w:val="0"/>
        <w:snapToGrid w:val="0"/>
        <w:spacing w:line="580" w:lineRule="exact"/>
        <w:ind w:firstLine="643" w:firstLineChars="200"/>
        <w:contextualSpacing/>
        <w:jc w:val="left"/>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仿宋_GB2312" w:eastAsia="仿宋_GB2312" w:cs="仿宋_GB2312"/>
          <w:sz w:val="32"/>
          <w:szCs w:val="32"/>
          <w:lang w:val="zh-CN"/>
        </w:rPr>
        <w:t>沟口镇内设行政办公室</w:t>
      </w:r>
      <w:r>
        <w:rPr>
          <w:rFonts w:ascii="仿宋_GB2312" w:eastAsia="仿宋_GB2312" w:cs="仿宋_GB2312"/>
          <w:sz w:val="32"/>
          <w:szCs w:val="32"/>
          <w:lang w:val="zh-CN"/>
        </w:rPr>
        <w:t>2</w:t>
      </w:r>
      <w:r>
        <w:rPr>
          <w:rFonts w:hint="eastAsia" w:ascii="仿宋_GB2312" w:eastAsia="仿宋_GB2312" w:cs="仿宋_GB2312"/>
          <w:sz w:val="32"/>
          <w:szCs w:val="32"/>
          <w:lang w:val="zh-CN"/>
        </w:rPr>
        <w:t>个、财政所</w:t>
      </w:r>
      <w:r>
        <w:rPr>
          <w:rFonts w:ascii="仿宋_GB2312" w:eastAsia="仿宋_GB2312" w:cs="仿宋_GB2312"/>
          <w:sz w:val="32"/>
          <w:szCs w:val="32"/>
          <w:lang w:val="zh-CN"/>
        </w:rPr>
        <w:t>1</w:t>
      </w:r>
      <w:r>
        <w:rPr>
          <w:rFonts w:hint="eastAsia" w:ascii="仿宋_GB2312" w:eastAsia="仿宋_GB2312" w:cs="仿宋_GB2312"/>
          <w:sz w:val="32"/>
          <w:szCs w:val="32"/>
          <w:lang w:val="zh-CN"/>
        </w:rPr>
        <w:t>个、事业机构</w:t>
      </w:r>
      <w:r>
        <w:rPr>
          <w:rFonts w:ascii="仿宋_GB2312" w:eastAsia="仿宋_GB2312" w:cs="仿宋_GB2312"/>
          <w:sz w:val="32"/>
          <w:szCs w:val="32"/>
          <w:lang w:val="zh-CN"/>
        </w:rPr>
        <w:t>6</w:t>
      </w:r>
      <w:r>
        <w:rPr>
          <w:rFonts w:hint="eastAsia" w:ascii="仿宋_GB2312" w:eastAsia="仿宋_GB2312" w:cs="仿宋_GB2312"/>
          <w:sz w:val="32"/>
          <w:szCs w:val="32"/>
          <w:lang w:val="zh-CN"/>
        </w:rPr>
        <w:t>个，分别是：党政办公室、综合发展办公室、财政所、经济发展中心、社会事业服务中心、就业社会保障服务中心、综合文化服务中心、农技站、兽防站。</w:t>
      </w:r>
    </w:p>
    <w:p w14:paraId="6D644B8A">
      <w:pPr>
        <w:widowControl/>
        <w:numPr>
          <w:ilvl w:val="0"/>
          <w:numId w:val="0"/>
        </w:numPr>
        <w:adjustRightInd w:val="0"/>
        <w:snapToGrid w:val="0"/>
        <w:spacing w:line="580" w:lineRule="exact"/>
        <w:ind w:firstLine="643" w:firstLineChars="200"/>
        <w:contextualSpacing/>
        <w:jc w:val="left"/>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仿宋_GB2312" w:eastAsia="仿宋_GB2312" w:cs="仿宋_GB2312"/>
          <w:sz w:val="32"/>
          <w:szCs w:val="32"/>
          <w:lang w:val="zh-CN"/>
        </w:rPr>
        <w:t>负责调查了解农业产业结构状况及市场走向，及时提供农业结构调整参考信息；努力提高人口素质；负责组织军烈属慰问、民政救灾救济工作；宣传贯彻国土管理、城建规划的法律法规，拟定全镇国土、城建管理规划措施；宣传教育、文化、科技、卫生等方面的政策、知识；严格按规定做好财务管理工作。</w:t>
      </w:r>
    </w:p>
    <w:p w14:paraId="7D8B9E28">
      <w:pPr>
        <w:widowControl/>
        <w:numPr>
          <w:ilvl w:val="0"/>
          <w:numId w:val="0"/>
        </w:numPr>
        <w:adjustRightInd w:val="0"/>
        <w:snapToGrid w:val="0"/>
        <w:spacing w:line="580" w:lineRule="exact"/>
        <w:ind w:firstLine="643" w:firstLineChars="200"/>
        <w:contextualSpacing/>
        <w:jc w:val="left"/>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cs="仿宋_GB2312"/>
          <w:sz w:val="32"/>
          <w:szCs w:val="32"/>
          <w:lang w:val="zh-CN" w:eastAsia="zh-CN"/>
        </w:rPr>
        <w:t>截至</w:t>
      </w:r>
      <w:r>
        <w:rPr>
          <w:rFonts w:hint="eastAsia" w:ascii="仿宋_GB2312" w:eastAsia="仿宋_GB2312" w:cs="仿宋_GB2312"/>
          <w:sz w:val="32"/>
          <w:szCs w:val="32"/>
          <w:lang w:val="en-US" w:eastAsia="zh-CN"/>
        </w:rPr>
        <w:t>2024年末，</w:t>
      </w:r>
      <w:r>
        <w:rPr>
          <w:rFonts w:hint="eastAsia" w:ascii="仿宋_GB2312" w:eastAsia="仿宋_GB2312" w:cs="仿宋_GB2312"/>
          <w:sz w:val="32"/>
          <w:szCs w:val="32"/>
          <w:lang w:val="zh-CN"/>
        </w:rPr>
        <w:t>沟口镇总编制51个,其中:行政编制27个,行政工勤编制4个，事业编制20个。在职人员</w:t>
      </w:r>
      <w:r>
        <w:rPr>
          <w:rFonts w:hint="eastAsia" w:ascii="仿宋_GB2312" w:eastAsia="仿宋_GB2312" w:cs="仿宋_GB2312"/>
          <w:sz w:val="32"/>
          <w:szCs w:val="32"/>
          <w:lang w:val="en-US" w:eastAsia="zh-CN"/>
        </w:rPr>
        <w:t>39</w:t>
      </w:r>
      <w:r>
        <w:rPr>
          <w:rFonts w:hint="eastAsia" w:ascii="仿宋_GB2312" w:eastAsia="仿宋_GB2312" w:cs="仿宋_GB2312"/>
          <w:sz w:val="32"/>
          <w:szCs w:val="32"/>
          <w:lang w:val="zh-CN"/>
        </w:rPr>
        <w:t>人（其中公务员</w:t>
      </w:r>
      <w:r>
        <w:rPr>
          <w:rFonts w:hint="eastAsia" w:ascii="仿宋_GB2312" w:eastAsia="仿宋_GB2312" w:cs="仿宋_GB2312"/>
          <w:sz w:val="32"/>
          <w:szCs w:val="32"/>
          <w:lang w:val="en-US" w:eastAsia="zh-CN"/>
        </w:rPr>
        <w:t>22</w:t>
      </w:r>
      <w:r>
        <w:rPr>
          <w:rFonts w:hint="eastAsia" w:ascii="仿宋_GB2312" w:eastAsia="仿宋_GB2312" w:cs="仿宋_GB2312"/>
          <w:sz w:val="32"/>
          <w:szCs w:val="32"/>
          <w:lang w:val="zh-CN"/>
        </w:rPr>
        <w:t>人，机关工勤人员</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rPr>
        <w:t>人，事业人员</w:t>
      </w:r>
      <w:r>
        <w:rPr>
          <w:rFonts w:hint="eastAsia" w:ascii="仿宋_GB2312" w:eastAsia="仿宋_GB2312" w:cs="仿宋_GB2312"/>
          <w:sz w:val="32"/>
          <w:szCs w:val="32"/>
          <w:lang w:val="en-US" w:eastAsia="zh-CN"/>
        </w:rPr>
        <w:t>15</w:t>
      </w:r>
      <w:r>
        <w:rPr>
          <w:rFonts w:hint="eastAsia" w:ascii="仿宋_GB2312" w:eastAsia="仿宋_GB2312" w:cs="仿宋_GB2312"/>
          <w:sz w:val="32"/>
          <w:szCs w:val="32"/>
          <w:lang w:val="zh-CN"/>
        </w:rPr>
        <w:t>人）；退休人员</w:t>
      </w:r>
      <w:r>
        <w:rPr>
          <w:rFonts w:hint="eastAsia" w:ascii="仿宋_GB2312" w:eastAsia="仿宋_GB2312" w:cs="仿宋_GB2312"/>
          <w:sz w:val="32"/>
          <w:szCs w:val="32"/>
          <w:lang w:val="en-US" w:eastAsia="zh-CN"/>
        </w:rPr>
        <w:t>12</w:t>
      </w:r>
      <w:r>
        <w:rPr>
          <w:rFonts w:hint="eastAsia" w:ascii="仿宋_GB2312" w:eastAsia="仿宋_GB2312" w:cs="仿宋_GB2312"/>
          <w:sz w:val="32"/>
          <w:szCs w:val="32"/>
          <w:lang w:val="zh-CN"/>
        </w:rPr>
        <w:t>人；遗属3人。</w:t>
      </w:r>
    </w:p>
    <w:p w14:paraId="006D237B">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二、部门资金收支情况</w:t>
      </w:r>
    </w:p>
    <w:p w14:paraId="1D958783">
      <w:pPr>
        <w:spacing w:line="576" w:lineRule="atLeast"/>
        <w:ind w:firstLine="643" w:firstLineChars="200"/>
        <w:rPr>
          <w:rFonts w:ascii="仿宋_GB2312" w:eastAsia="仿宋_GB2312" w:cs="宋体"/>
          <w:color w:val="000000"/>
          <w:kern w:val="0"/>
          <w:sz w:val="32"/>
          <w:szCs w:val="32"/>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ascii="仿宋_GB2312" w:eastAsia="仿宋_GB2312" w:cs="仿宋_GB2312"/>
          <w:sz w:val="32"/>
          <w:szCs w:val="32"/>
        </w:rPr>
        <w:t>20</w:t>
      </w:r>
      <w:r>
        <w:rPr>
          <w:rFonts w:hint="eastAsia" w:ascii="仿宋_GB2312" w:eastAsia="仿宋_GB2312" w:cs="仿宋_GB2312"/>
          <w:sz w:val="32"/>
          <w:szCs w:val="32"/>
        </w:rPr>
        <w:t>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年本部门财政拨款收入决算总额为1,793.31</w:t>
      </w:r>
      <w:r>
        <w:rPr>
          <w:rFonts w:hint="eastAsia" w:ascii="仿宋_GB2312" w:eastAsia="仿宋_GB2312" w:cs="仿宋_GB2312"/>
          <w:sz w:val="32"/>
          <w:szCs w:val="32"/>
          <w:lang w:eastAsia="zh-CN"/>
        </w:rPr>
        <w:t>万</w:t>
      </w:r>
      <w:r>
        <w:rPr>
          <w:rFonts w:hint="eastAsia" w:ascii="仿宋_GB2312" w:eastAsia="仿宋_GB2312" w:cs="仿宋_GB2312"/>
          <w:sz w:val="32"/>
          <w:szCs w:val="32"/>
        </w:rPr>
        <w:t>元，其中：当年财政拨款收入</w:t>
      </w:r>
      <w:r>
        <w:rPr>
          <w:rFonts w:hint="eastAsia" w:ascii="仿宋_GB2312" w:eastAsia="仿宋_GB2312" w:cs="仿宋_GB2312"/>
          <w:sz w:val="32"/>
          <w:szCs w:val="32"/>
          <w:lang w:val="en-US" w:eastAsia="zh-CN"/>
        </w:rPr>
        <w:t>1,793.31</w:t>
      </w:r>
      <w:r>
        <w:rPr>
          <w:rFonts w:hint="eastAsia" w:ascii="仿宋_GB2312" w:eastAsia="仿宋_GB2312" w:cs="仿宋_GB2312"/>
          <w:sz w:val="32"/>
          <w:szCs w:val="32"/>
          <w:lang w:eastAsia="zh-CN"/>
        </w:rPr>
        <w:t>万</w:t>
      </w:r>
      <w:r>
        <w:rPr>
          <w:rFonts w:hint="eastAsia" w:ascii="仿宋_GB2312" w:eastAsia="仿宋_GB2312" w:cs="仿宋_GB2312"/>
          <w:sz w:val="32"/>
          <w:szCs w:val="32"/>
        </w:rPr>
        <w:t>元</w:t>
      </w:r>
      <w:r>
        <w:rPr>
          <w:rFonts w:ascii="仿宋_GB2312" w:eastAsia="仿宋_GB2312" w:cs="仿宋_GB2312"/>
          <w:sz w:val="32"/>
          <w:szCs w:val="32"/>
        </w:rPr>
        <w:t>,</w:t>
      </w:r>
      <w:r>
        <w:rPr>
          <w:rFonts w:hint="eastAsia" w:ascii="仿宋_GB2312" w:eastAsia="仿宋_GB2312" w:cs="仿宋_GB2312"/>
          <w:sz w:val="32"/>
          <w:szCs w:val="32"/>
        </w:rPr>
        <w:t>均为一般公共预算财政拨款。</w:t>
      </w:r>
    </w:p>
    <w:p w14:paraId="70BF3DAF">
      <w:pPr>
        <w:spacing w:line="600" w:lineRule="exact"/>
        <w:ind w:firstLine="640"/>
        <w:rPr>
          <w:rFonts w:hint="eastAsia" w:ascii="仿宋_GB2312" w:eastAsia="仿宋_GB2312" w:cs="仿宋_GB2312"/>
          <w:sz w:val="32"/>
          <w:szCs w:val="32"/>
          <w:lang w:val="en-US"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仿宋_GB2312" w:eastAsia="仿宋_GB2312" w:cs="仿宋_GB2312"/>
          <w:sz w:val="32"/>
          <w:szCs w:val="32"/>
          <w:lang w:val="en-US" w:eastAsia="zh-CN"/>
        </w:rPr>
        <w:t>2024年度一般公共预算财政拨款支出</w:t>
      </w:r>
      <w:r>
        <w:rPr>
          <w:rFonts w:hint="eastAsia" w:ascii="仿宋_GB2312" w:eastAsia="仿宋_GB2312" w:cs="仿宋_GB2312"/>
          <w:sz w:val="32"/>
          <w:szCs w:val="32"/>
        </w:rPr>
        <w:t>1</w:t>
      </w:r>
      <w:r>
        <w:rPr>
          <w:rFonts w:hint="eastAsia" w:ascii="仿宋_GB2312" w:eastAsia="仿宋_GB2312" w:cs="仿宋_GB2312"/>
          <w:sz w:val="32"/>
          <w:szCs w:val="32"/>
          <w:lang w:val="en-US" w:eastAsia="zh-CN"/>
        </w:rPr>
        <w:t>,</w:t>
      </w:r>
      <w:r>
        <w:rPr>
          <w:rFonts w:hint="eastAsia" w:ascii="仿宋_GB2312" w:eastAsia="仿宋_GB2312" w:cs="仿宋_GB2312"/>
          <w:sz w:val="32"/>
          <w:szCs w:val="32"/>
        </w:rPr>
        <w:t>793.31</w:t>
      </w:r>
      <w:r>
        <w:rPr>
          <w:rFonts w:hint="eastAsia" w:ascii="仿宋_GB2312" w:eastAsia="仿宋_GB2312" w:cs="仿宋_GB2312"/>
          <w:sz w:val="32"/>
          <w:szCs w:val="32"/>
          <w:lang w:val="en-US" w:eastAsia="zh-CN"/>
        </w:rPr>
        <w:t>万元，主要用于以下方面：一般公共服务支出537.91万元；文化旅游体育与传媒支出18.46万元；社会保障和就业支出117.02万元；卫生健康支出50.08万元；住房保障支出65.47万元；农林水支出994.36万元；灾害防治及应急管理支出10.00万元。</w:t>
      </w:r>
    </w:p>
    <w:p w14:paraId="4242C9CD">
      <w:pPr>
        <w:widowControl/>
        <w:numPr>
          <w:ilvl w:val="0"/>
          <w:numId w:val="0"/>
        </w:numPr>
        <w:adjustRightInd w:val="0"/>
        <w:snapToGrid w:val="0"/>
        <w:spacing w:line="578" w:lineRule="exact"/>
        <w:ind w:leftChars="200"/>
        <w:contextualSpacing/>
        <w:jc w:val="left"/>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p>
    <w:p w14:paraId="3227B190">
      <w:pPr>
        <w:widowControl/>
        <w:numPr>
          <w:ilvl w:val="0"/>
          <w:numId w:val="0"/>
        </w:numPr>
        <w:adjustRightInd w:val="0"/>
        <w:snapToGrid w:val="0"/>
        <w:spacing w:line="578" w:lineRule="exact"/>
        <w:ind w:leftChars="200"/>
        <w:contextualSpacing/>
        <w:jc w:val="left"/>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eastAsia" w:ascii="仿宋_GB2312" w:eastAsia="仿宋_GB2312" w:cs="仿宋_GB2312"/>
          <w:sz w:val="32"/>
          <w:szCs w:val="32"/>
        </w:rPr>
        <w:t>202</w:t>
      </w:r>
      <w:r>
        <w:rPr>
          <w:rFonts w:hint="eastAsia" w:ascii="仿宋_GB2312" w:eastAsia="仿宋_GB2312" w:cs="仿宋_GB2312"/>
          <w:sz w:val="32"/>
          <w:szCs w:val="32"/>
          <w:lang w:val="en-US" w:eastAsia="zh-CN"/>
        </w:rPr>
        <w:t>4</w:t>
      </w:r>
      <w:r>
        <w:rPr>
          <w:rFonts w:hint="eastAsia" w:ascii="仿宋_GB2312" w:eastAsia="仿宋_GB2312" w:cs="仿宋_GB2312"/>
          <w:sz w:val="32"/>
          <w:szCs w:val="32"/>
        </w:rPr>
        <w:t>年决算报表</w:t>
      </w:r>
      <w:r>
        <w:rPr>
          <w:rFonts w:hint="eastAsia" w:ascii="仿宋_GB2312" w:eastAsia="仿宋_GB2312" w:cs="仿宋_GB2312"/>
          <w:sz w:val="32"/>
          <w:szCs w:val="32"/>
          <w:lang w:eastAsia="zh-CN"/>
        </w:rPr>
        <w:t>无</w:t>
      </w:r>
      <w:r>
        <w:rPr>
          <w:rFonts w:hint="eastAsia" w:ascii="仿宋_GB2312" w:eastAsia="仿宋_GB2312" w:cs="仿宋_GB2312"/>
          <w:sz w:val="32"/>
          <w:szCs w:val="32"/>
        </w:rPr>
        <w:t>结转结余情况</w:t>
      </w:r>
      <w:r>
        <w:rPr>
          <w:rFonts w:hint="eastAsia" w:ascii="仿宋_GB2312" w:eastAsia="仿宋_GB2312" w:cs="仿宋_GB2312"/>
          <w:sz w:val="32"/>
          <w:szCs w:val="32"/>
          <w:lang w:eastAsia="zh-CN"/>
        </w:rPr>
        <w:t>。</w:t>
      </w:r>
    </w:p>
    <w:p w14:paraId="3D58C124">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三、部门预算绩效分析</w:t>
      </w:r>
    </w:p>
    <w:p w14:paraId="1B1C9EE0">
      <w:pPr>
        <w:spacing w:line="600" w:lineRule="exact"/>
        <w:ind w:firstLine="64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部门预算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p>
    <w:p w14:paraId="46334557">
      <w:pPr>
        <w:spacing w:line="600" w:lineRule="exact"/>
        <w:ind w:firstLine="64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en-US" w:eastAsia="zh-CN"/>
        </w:rPr>
        <w:t>1.</w:t>
      </w:r>
      <w:r>
        <w:rPr>
          <w:rFonts w:hint="eastAsia" w:ascii="仿宋" w:hAnsi="仿宋" w:eastAsia="仿宋" w:cs="Times New Roman"/>
          <w:color w:val="auto"/>
          <w:sz w:val="32"/>
          <w:szCs w:val="32"/>
          <w:highlight w:val="none"/>
          <w:lang w:val="zh-CN"/>
        </w:rPr>
        <w:t>履职效能。工作成果方面：项目工作人员能够按时完成任务并达到预期目标；财务人员能够按照项目合同资金支付要求，对验收合格的项目按时足额支付项目资金。工作质量方面</w:t>
      </w:r>
      <w:r>
        <w:rPr>
          <w:rFonts w:hint="eastAsia" w:ascii="仿宋" w:hAnsi="仿宋" w:eastAsia="仿宋" w:cs="Times New Roman"/>
          <w:color w:val="auto"/>
          <w:sz w:val="32"/>
          <w:szCs w:val="32"/>
          <w:highlight w:val="none"/>
          <w:lang w:val="en-US" w:eastAsia="zh-CN"/>
        </w:rPr>
        <w:t>:</w:t>
      </w:r>
      <w:r>
        <w:rPr>
          <w:rFonts w:hint="eastAsia" w:ascii="仿宋" w:hAnsi="仿宋" w:eastAsia="仿宋" w:cs="Times New Roman"/>
          <w:color w:val="auto"/>
          <w:sz w:val="32"/>
          <w:szCs w:val="32"/>
          <w:highlight w:val="none"/>
          <w:lang w:val="zh-CN"/>
        </w:rPr>
        <w:t>项目工作人员注重细节，保证工作的准确性和可靠性。执行力方面</w:t>
      </w:r>
      <w:r>
        <w:rPr>
          <w:rFonts w:hint="eastAsia" w:ascii="仿宋" w:hAnsi="仿宋" w:eastAsia="仿宋" w:cs="Times New Roman"/>
          <w:color w:val="auto"/>
          <w:sz w:val="32"/>
          <w:szCs w:val="32"/>
          <w:highlight w:val="none"/>
          <w:lang w:val="en-US" w:eastAsia="zh-CN"/>
        </w:rPr>
        <w:t>:</w:t>
      </w:r>
      <w:r>
        <w:rPr>
          <w:rFonts w:hint="eastAsia" w:ascii="仿宋" w:hAnsi="仿宋" w:eastAsia="仿宋" w:cs="Times New Roman"/>
          <w:color w:val="auto"/>
          <w:sz w:val="32"/>
          <w:szCs w:val="32"/>
          <w:highlight w:val="none"/>
          <w:lang w:val="zh-CN"/>
        </w:rPr>
        <w:t>项目工作人员能够按照项目要求主动、迅速地执行工作。</w:t>
      </w:r>
    </w:p>
    <w:p w14:paraId="6E609D00">
      <w:pPr>
        <w:spacing w:line="600" w:lineRule="exact"/>
        <w:ind w:firstLine="64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lang w:val="en-US" w:eastAsia="zh-CN"/>
        </w:rPr>
        <w:t>2.</w:t>
      </w:r>
      <w:r>
        <w:rPr>
          <w:rFonts w:hint="eastAsia" w:ascii="仿宋" w:hAnsi="仿宋" w:eastAsia="仿宋" w:cs="Times New Roman"/>
          <w:color w:val="auto"/>
          <w:sz w:val="32"/>
          <w:szCs w:val="32"/>
          <w:highlight w:val="none"/>
          <w:lang w:val="zh-CN"/>
        </w:rPr>
        <w:t>预算管理。我镇严格按照县级部门预算编制通知和有关要求，按时完成基础库、项目库报送工作，按时完成20</w:t>
      </w:r>
      <w:r>
        <w:rPr>
          <w:rFonts w:hint="eastAsia" w:ascii="仿宋" w:hAnsi="仿宋" w:eastAsia="仿宋" w:cs="Times New Roman"/>
          <w:color w:val="auto"/>
          <w:sz w:val="32"/>
          <w:szCs w:val="32"/>
          <w:highlight w:val="none"/>
        </w:rPr>
        <w:t>2</w:t>
      </w:r>
      <w:r>
        <w:rPr>
          <w:rFonts w:hint="eastAsia" w:ascii="仿宋" w:hAnsi="仿宋" w:eastAsia="仿宋" w:cs="Times New Roman"/>
          <w:color w:val="auto"/>
          <w:sz w:val="32"/>
          <w:szCs w:val="32"/>
          <w:highlight w:val="none"/>
          <w:lang w:val="en-US" w:eastAsia="zh-CN"/>
        </w:rPr>
        <w:t>4</w:t>
      </w:r>
      <w:r>
        <w:rPr>
          <w:rFonts w:hint="eastAsia" w:ascii="仿宋" w:hAnsi="仿宋" w:eastAsia="仿宋" w:cs="Times New Roman"/>
          <w:color w:val="auto"/>
          <w:sz w:val="32"/>
          <w:szCs w:val="32"/>
          <w:highlight w:val="none"/>
          <w:lang w:val="zh-CN"/>
        </w:rPr>
        <w:t>年预算编制工作，并按时提交部门预算草案。按规定编制政府采购预算，预算编制全面、科学。</w:t>
      </w:r>
    </w:p>
    <w:p w14:paraId="3C10F91B">
      <w:pPr>
        <w:spacing w:line="600" w:lineRule="exact"/>
        <w:ind w:firstLine="640"/>
        <w:rPr>
          <w:rFonts w:hint="eastAsia" w:ascii="仿宋" w:hAnsi="仿宋" w:eastAsia="仿宋" w:cs="Times New Roman"/>
          <w:color w:val="auto"/>
          <w:sz w:val="32"/>
          <w:szCs w:val="32"/>
          <w:highlight w:val="none"/>
          <w:lang w:val="zh-CN"/>
        </w:rPr>
      </w:pPr>
      <w:r>
        <w:rPr>
          <w:rFonts w:hint="eastAsia" w:ascii="仿宋" w:hAnsi="仿宋" w:eastAsia="仿宋" w:cs="Times New Roman"/>
          <w:color w:val="auto"/>
          <w:sz w:val="32"/>
          <w:szCs w:val="32"/>
          <w:highlight w:val="none"/>
        </w:rPr>
        <w:t>3.</w:t>
      </w:r>
      <w:r>
        <w:rPr>
          <w:rFonts w:hint="eastAsia" w:ascii="仿宋" w:hAnsi="仿宋" w:eastAsia="仿宋" w:cs="Times New Roman"/>
          <w:color w:val="auto"/>
          <w:sz w:val="32"/>
          <w:szCs w:val="32"/>
          <w:highlight w:val="none"/>
          <w:lang w:val="zh-CN"/>
        </w:rPr>
        <w:t>财务管理。在办公室下设财务室，副镇长为财务负责人，下设会计、出纳各一名，负责本单位日常收支。健全单位财务管理制度，成立财务联审会签制度。各项支出按照批准的预算和有关规定审核办理，防止无计划开支。基本支出必须坚持节约的原则，严格执行规定的开支范围及开支标准。专项支出按照计划或预算批准的项目和用途使用。保障项目资金安全，确保资金专款专用。</w:t>
      </w:r>
    </w:p>
    <w:p w14:paraId="2C014473">
      <w:pPr>
        <w:spacing w:line="600" w:lineRule="exact"/>
        <w:ind w:firstLine="640"/>
        <w:rPr>
          <w:rFonts w:hint="eastAsia" w:ascii="仿宋" w:hAnsi="仿宋" w:eastAsia="仿宋" w:cs="Times New Roman"/>
          <w:color w:val="auto"/>
          <w:sz w:val="32"/>
          <w:szCs w:val="32"/>
          <w:highlight w:val="none"/>
          <w:lang w:val="zh-CN" w:eastAsia="zh-CN"/>
        </w:rPr>
      </w:pPr>
      <w:r>
        <w:rPr>
          <w:rFonts w:hint="eastAsia" w:ascii="仿宋" w:hAnsi="仿宋" w:eastAsia="仿宋" w:cs="Times New Roman"/>
          <w:color w:val="auto"/>
          <w:sz w:val="32"/>
          <w:szCs w:val="32"/>
          <w:highlight w:val="none"/>
        </w:rPr>
        <w:t>4.</w:t>
      </w:r>
      <w:r>
        <w:rPr>
          <w:rFonts w:hint="eastAsia" w:ascii="仿宋" w:hAnsi="仿宋" w:eastAsia="仿宋" w:cs="Times New Roman"/>
          <w:color w:val="auto"/>
          <w:sz w:val="32"/>
          <w:szCs w:val="32"/>
          <w:highlight w:val="none"/>
          <w:lang w:val="zh-CN"/>
        </w:rPr>
        <w:t>资产管理。</w:t>
      </w:r>
      <w:r>
        <w:rPr>
          <w:rFonts w:hint="eastAsia" w:ascii="仿宋" w:hAnsi="仿宋" w:eastAsia="仿宋" w:cs="Times New Roman"/>
          <w:color w:val="auto"/>
          <w:sz w:val="32"/>
          <w:szCs w:val="32"/>
          <w:highlight w:val="none"/>
        </w:rPr>
        <w:t>加强对固定资产的管理，规范机关固定资产的配置、使用和管理，强化固定资产的管理责任，建立节约型机关</w:t>
      </w:r>
      <w:r>
        <w:rPr>
          <w:rFonts w:hint="eastAsia" w:ascii="仿宋" w:hAnsi="仿宋" w:eastAsia="仿宋" w:cs="Times New Roman"/>
          <w:color w:val="auto"/>
          <w:sz w:val="32"/>
          <w:szCs w:val="32"/>
          <w:highlight w:val="none"/>
          <w:lang w:eastAsia="zh-CN"/>
        </w:rPr>
        <w:t>。</w:t>
      </w:r>
    </w:p>
    <w:p w14:paraId="2CBD3586">
      <w:pPr>
        <w:spacing w:line="600" w:lineRule="exact"/>
        <w:ind w:firstLine="640"/>
        <w:rPr>
          <w:rFonts w:hint="eastAsia" w:ascii="Times New Roman" w:hAnsi="Times New Roman" w:eastAsia="仿宋_GB2312" w:cs="仿宋_GB2312"/>
          <w:color w:val="auto"/>
          <w:kern w:val="2"/>
          <w:sz w:val="32"/>
          <w:szCs w:val="32"/>
          <w:highlight w:val="none"/>
          <w:lang w:val="zh-CN" w:eastAsia="zh-CN" w:bidi="ar-SA"/>
        </w:rPr>
      </w:pPr>
      <w:r>
        <w:rPr>
          <w:rFonts w:hint="eastAsia" w:ascii="仿宋" w:hAnsi="仿宋" w:eastAsia="仿宋" w:cs="Times New Roman"/>
          <w:color w:val="auto"/>
          <w:sz w:val="32"/>
          <w:szCs w:val="32"/>
          <w:highlight w:val="none"/>
        </w:rPr>
        <w:t>5.</w:t>
      </w:r>
      <w:r>
        <w:rPr>
          <w:rFonts w:hint="eastAsia" w:ascii="仿宋" w:hAnsi="仿宋" w:eastAsia="仿宋" w:cs="Times New Roman"/>
          <w:color w:val="auto"/>
          <w:sz w:val="32"/>
          <w:szCs w:val="32"/>
          <w:highlight w:val="none"/>
          <w:lang w:val="zh-CN"/>
        </w:rPr>
        <w:t>采购管理。</w:t>
      </w:r>
      <w:r>
        <w:rPr>
          <w:rFonts w:hint="eastAsia" w:ascii="仿宋" w:hAnsi="仿宋" w:eastAsia="仿宋" w:cs="Times New Roman"/>
          <w:color w:val="auto"/>
          <w:sz w:val="32"/>
          <w:szCs w:val="32"/>
          <w:highlight w:val="none"/>
        </w:rPr>
        <w:t>确保办理采购业务的不相容岗位相互分离制约和监督，并根据具体情况对办理采购业务的人员定期进行岗位轮换。加强采购业务的记录控制。由档案室负责妥善保管采购业务的相关文件。对于大宗设备、物资或重大服务采购业务需求，由单位领导班子集体研究决定，并成立由单位内部资产、财会、审计、纪检监察等部门人员组成的采购工作小组，形成各部门相互协调、相互制约的机制， 加强对采购业务各个环节的控制。</w:t>
      </w:r>
    </w:p>
    <w:p w14:paraId="0CCFA5D6">
      <w:pPr>
        <w:keepNext w:val="0"/>
        <w:keepLines w:val="0"/>
        <w:pageBreakBefore w:val="0"/>
        <w:kinsoku/>
        <w:wordWrap/>
        <w:overflowPunct/>
        <w:topLinePunct w:val="0"/>
        <w:autoSpaceDE/>
        <w:autoSpaceDN/>
        <w:bidi w:val="0"/>
        <w:adjustRightInd/>
        <w:snapToGrid/>
        <w:spacing w:line="576" w:lineRule="exact"/>
        <w:ind w:left="0" w:firstLine="723" w:firstLineChars="225"/>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（二）部门预算项目绩效分析</w:t>
      </w:r>
    </w:p>
    <w:p w14:paraId="54E889C4">
      <w:pPr>
        <w:keepNext w:val="0"/>
        <w:keepLines w:val="0"/>
        <w:pageBreakBefore w:val="0"/>
        <w:kinsoku/>
        <w:wordWrap/>
        <w:overflowPunct/>
        <w:topLinePunct w:val="0"/>
        <w:autoSpaceDE/>
        <w:autoSpaceDN/>
        <w:bidi w:val="0"/>
        <w:adjustRightInd/>
        <w:snapToGrid/>
        <w:spacing w:line="576" w:lineRule="exact"/>
        <w:ind w:left="0" w:firstLine="720" w:firstLineChars="225"/>
        <w:textAlignment w:val="auto"/>
        <w:rPr>
          <w:rFonts w:hint="eastAsia" w:ascii="仿宋" w:hAnsi="仿宋" w:eastAsia="仿宋" w:cs="Times New Roman"/>
          <w:sz w:val="32"/>
          <w:szCs w:val="32"/>
          <w:highlight w:val="none"/>
          <w:lang w:val="zh-CN" w:eastAsia="zh-CN"/>
        </w:rPr>
      </w:pPr>
      <w:r>
        <w:rPr>
          <w:rFonts w:hint="eastAsia" w:ascii="仿宋" w:hAnsi="仿宋" w:eastAsia="仿宋" w:cs="Times New Roman"/>
          <w:sz w:val="32"/>
          <w:szCs w:val="32"/>
          <w:highlight w:val="none"/>
          <w:lang w:val="zh-CN" w:eastAsia="zh-CN"/>
        </w:rPr>
        <w:t>常年项目绩效分析。该类项目总数</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lang w:val="zh-CN" w:eastAsia="zh-CN"/>
        </w:rPr>
        <w:t>个，涉及预算总金额</w:t>
      </w:r>
      <w:r>
        <w:rPr>
          <w:rFonts w:hint="eastAsia" w:ascii="仿宋" w:hAnsi="仿宋" w:eastAsia="仿宋" w:cs="Times New Roman"/>
          <w:sz w:val="32"/>
          <w:szCs w:val="32"/>
          <w:highlight w:val="none"/>
          <w:lang w:val="en-US" w:eastAsia="zh-CN"/>
        </w:rPr>
        <w:t>189.54</w:t>
      </w:r>
      <w:r>
        <w:rPr>
          <w:rFonts w:hint="eastAsia" w:ascii="仿宋" w:hAnsi="仿宋" w:eastAsia="仿宋" w:cs="Times New Roman"/>
          <w:sz w:val="32"/>
          <w:szCs w:val="32"/>
          <w:highlight w:val="none"/>
          <w:lang w:val="zh-CN" w:eastAsia="zh-CN"/>
        </w:rPr>
        <w:t>万元，1—12月预算执行总体进度为</w:t>
      </w:r>
      <w:r>
        <w:rPr>
          <w:rFonts w:hint="eastAsia" w:ascii="仿宋" w:hAnsi="仿宋" w:eastAsia="仿宋" w:cs="Times New Roman"/>
          <w:sz w:val="32"/>
          <w:szCs w:val="32"/>
          <w:highlight w:val="none"/>
          <w:lang w:val="en-US" w:eastAsia="zh-CN"/>
        </w:rPr>
        <w:t>100</w:t>
      </w:r>
      <w:r>
        <w:rPr>
          <w:rFonts w:hint="eastAsia" w:ascii="仿宋" w:hAnsi="仿宋" w:eastAsia="仿宋" w:cs="Times New Roman"/>
          <w:sz w:val="32"/>
          <w:szCs w:val="32"/>
          <w:highlight w:val="none"/>
          <w:lang w:val="zh-CN" w:eastAsia="zh-CN"/>
        </w:rPr>
        <w:t xml:space="preserve"> %，其中：预算结余率大于10%的项目共计</w:t>
      </w:r>
      <w:r>
        <w:rPr>
          <w:rFonts w:hint="eastAsia" w:ascii="仿宋" w:hAnsi="仿宋" w:eastAsia="仿宋" w:cs="Times New Roman"/>
          <w:sz w:val="32"/>
          <w:szCs w:val="32"/>
          <w:highlight w:val="none"/>
          <w:lang w:val="en-US" w:eastAsia="zh-CN"/>
        </w:rPr>
        <w:t>0</w:t>
      </w:r>
      <w:r>
        <w:rPr>
          <w:rFonts w:hint="eastAsia" w:ascii="仿宋" w:hAnsi="仿宋" w:eastAsia="仿宋" w:cs="Times New Roman"/>
          <w:sz w:val="32"/>
          <w:szCs w:val="32"/>
          <w:highlight w:val="none"/>
          <w:lang w:val="zh-CN" w:eastAsia="zh-CN"/>
        </w:rPr>
        <w:t>个。</w:t>
      </w:r>
    </w:p>
    <w:p w14:paraId="0CFA6E07">
      <w:pPr>
        <w:keepNext w:val="0"/>
        <w:keepLines w:val="0"/>
        <w:pageBreakBefore w:val="0"/>
        <w:kinsoku/>
        <w:wordWrap/>
        <w:overflowPunct/>
        <w:topLinePunct w:val="0"/>
        <w:autoSpaceDE/>
        <w:autoSpaceDN/>
        <w:bidi w:val="0"/>
        <w:adjustRightInd/>
        <w:snapToGrid/>
        <w:spacing w:line="576" w:lineRule="exact"/>
        <w:ind w:left="0" w:firstLine="720" w:firstLineChars="225"/>
        <w:textAlignment w:val="auto"/>
        <w:rPr>
          <w:rFonts w:hint="eastAsia" w:ascii="仿宋" w:hAnsi="仿宋" w:eastAsia="仿宋" w:cs="Times New Roman"/>
          <w:sz w:val="32"/>
          <w:szCs w:val="32"/>
          <w:highlight w:val="none"/>
          <w:lang w:val="zh-CN" w:eastAsia="zh-CN"/>
        </w:rPr>
      </w:pPr>
      <w:r>
        <w:rPr>
          <w:rFonts w:hint="eastAsia" w:ascii="仿宋" w:hAnsi="仿宋" w:eastAsia="仿宋" w:cs="Times New Roman"/>
          <w:sz w:val="32"/>
          <w:szCs w:val="32"/>
          <w:highlight w:val="none"/>
          <w:lang w:val="zh-CN" w:eastAsia="zh-CN"/>
        </w:rPr>
        <w:t xml:space="preserve">阶段（一次性）项目绩效分析。该类项目总数 </w:t>
      </w:r>
      <w:r>
        <w:rPr>
          <w:rFonts w:hint="eastAsia" w:ascii="仿宋" w:hAnsi="仿宋" w:eastAsia="仿宋" w:cs="Times New Roman"/>
          <w:sz w:val="32"/>
          <w:szCs w:val="32"/>
          <w:highlight w:val="none"/>
          <w:lang w:val="en-US" w:eastAsia="zh-CN"/>
        </w:rPr>
        <w:t>30</w:t>
      </w:r>
      <w:r>
        <w:rPr>
          <w:rFonts w:hint="eastAsia" w:ascii="仿宋" w:hAnsi="仿宋" w:eastAsia="仿宋" w:cs="Times New Roman"/>
          <w:sz w:val="32"/>
          <w:szCs w:val="32"/>
          <w:highlight w:val="none"/>
          <w:lang w:val="zh-CN" w:eastAsia="zh-CN"/>
        </w:rPr>
        <w:t xml:space="preserve">个，涉及预算总金额 </w:t>
      </w:r>
      <w:r>
        <w:rPr>
          <w:rFonts w:hint="eastAsia" w:ascii="仿宋" w:hAnsi="仿宋" w:eastAsia="仿宋" w:cs="Times New Roman"/>
          <w:color w:val="auto"/>
          <w:sz w:val="32"/>
          <w:szCs w:val="32"/>
          <w:highlight w:val="none"/>
          <w:lang w:val="en-US" w:eastAsia="zh-CN"/>
        </w:rPr>
        <w:t>854.23</w:t>
      </w:r>
      <w:r>
        <w:rPr>
          <w:rFonts w:hint="eastAsia" w:ascii="仿宋" w:hAnsi="仿宋" w:eastAsia="仿宋" w:cs="Times New Roman"/>
          <w:sz w:val="32"/>
          <w:szCs w:val="32"/>
          <w:highlight w:val="none"/>
          <w:lang w:val="zh-CN" w:eastAsia="zh-CN"/>
        </w:rPr>
        <w:t>万元，1—12月预算执行总体进度为</w:t>
      </w:r>
      <w:r>
        <w:rPr>
          <w:rFonts w:hint="eastAsia" w:ascii="仿宋" w:hAnsi="仿宋" w:eastAsia="仿宋" w:cs="Times New Roman"/>
          <w:sz w:val="32"/>
          <w:szCs w:val="32"/>
          <w:highlight w:val="none"/>
          <w:lang w:val="en-US" w:eastAsia="zh-CN"/>
        </w:rPr>
        <w:t>95.26</w:t>
      </w:r>
      <w:r>
        <w:rPr>
          <w:rFonts w:hint="eastAsia" w:ascii="仿宋" w:hAnsi="仿宋" w:eastAsia="仿宋" w:cs="Times New Roman"/>
          <w:sz w:val="32"/>
          <w:szCs w:val="32"/>
          <w:highlight w:val="none"/>
          <w:lang w:val="zh-CN" w:eastAsia="zh-CN"/>
        </w:rPr>
        <w:t xml:space="preserve"> %，其中：预算结余率大于10%的项目共计</w:t>
      </w:r>
      <w:r>
        <w:rPr>
          <w:rFonts w:hint="eastAsia" w:ascii="仿宋" w:hAnsi="仿宋" w:eastAsia="仿宋" w:cs="Times New Roman"/>
          <w:sz w:val="32"/>
          <w:szCs w:val="32"/>
          <w:highlight w:val="none"/>
          <w:lang w:val="en-US" w:eastAsia="zh-CN"/>
        </w:rPr>
        <w:t>7</w:t>
      </w:r>
      <w:r>
        <w:rPr>
          <w:rFonts w:hint="eastAsia" w:ascii="仿宋" w:hAnsi="仿宋" w:eastAsia="仿宋" w:cs="Times New Roman"/>
          <w:sz w:val="32"/>
          <w:szCs w:val="32"/>
          <w:highlight w:val="none"/>
          <w:lang w:val="zh-CN" w:eastAsia="zh-CN"/>
        </w:rPr>
        <w:t>个。</w:t>
      </w:r>
    </w:p>
    <w:p w14:paraId="6C455AA6">
      <w:pPr>
        <w:keepNext w:val="0"/>
        <w:keepLines w:val="0"/>
        <w:pageBreakBefore w:val="0"/>
        <w:kinsoku/>
        <w:wordWrap/>
        <w:overflowPunct/>
        <w:topLinePunct w:val="0"/>
        <w:autoSpaceDE/>
        <w:autoSpaceDN/>
        <w:bidi w:val="0"/>
        <w:adjustRightInd/>
        <w:snapToGrid/>
        <w:spacing w:line="576" w:lineRule="exact"/>
        <w:ind w:left="0" w:firstLine="720" w:firstLineChars="225"/>
        <w:textAlignment w:val="auto"/>
        <w:rPr>
          <w:rFonts w:hint="eastAsia" w:ascii="Times New Roman" w:hAnsi="Times New Roman" w:eastAsia="仿宋_GB2312" w:cs="Times New Roman"/>
          <w:sz w:val="32"/>
          <w:szCs w:val="32"/>
          <w:highlight w:val="none"/>
          <w:lang w:val="zh-CN" w:eastAsia="zh-CN"/>
        </w:rPr>
      </w:pPr>
      <w:r>
        <w:rPr>
          <w:rFonts w:hint="eastAsia" w:ascii="仿宋" w:hAnsi="仿宋" w:eastAsia="仿宋" w:cs="Times New Roman"/>
          <w:sz w:val="32"/>
          <w:szCs w:val="32"/>
          <w:highlight w:val="none"/>
          <w:lang w:val="zh-CN" w:eastAsia="zh-CN"/>
        </w:rPr>
        <w:t>1.项目决策。采购、施工、服务类项目采用政府集采、</w:t>
      </w:r>
      <w:r>
        <w:rPr>
          <w:rFonts w:hint="eastAsia" w:ascii="Times New Roman" w:hAnsi="Times New Roman" w:eastAsia="仿宋_GB2312" w:cs="Times New Roman"/>
          <w:sz w:val="32"/>
          <w:szCs w:val="32"/>
          <w:highlight w:val="none"/>
          <w:lang w:val="zh-CN" w:eastAsia="zh-CN"/>
        </w:rPr>
        <w:t xml:space="preserve">签订合同（协议）方式实施。按程序确定承接机构，通过制定实施方案、图纸设计、财评、项目立项等程序，项目由沟口镇组织实施，由具体项目实施单位承办，项目实施完成后，经验收合格，项目资金支付到具体项目实施单位账户。全部项目实施过程中，我镇负责指导和监督。 </w:t>
      </w:r>
    </w:p>
    <w:p w14:paraId="53425CF6">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zh-CN" w:eastAsia="zh-CN"/>
        </w:rPr>
        <w:t>2.项目执行。结合项目特点，按照相关法律法规、项目管理制度，按程序进行实施。在项目建设管理中严格按照相关管理制度执行有关建设标准及规范，严格执行招投标、政府采购、项目公示制等相关规定，加强项目质量与安全管理，切实发挥资金投资效益。</w:t>
      </w:r>
    </w:p>
    <w:p w14:paraId="007944F4">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zh-CN" w:eastAsia="zh-CN"/>
        </w:rPr>
        <w:t>3.目标实现。</w:t>
      </w:r>
      <w:r>
        <w:rPr>
          <w:rFonts w:hint="eastAsia" w:ascii="Times New Roman" w:hAnsi="Times New Roman" w:eastAsia="仿宋_GB2312" w:cs="Times New Roman"/>
          <w:sz w:val="32"/>
          <w:szCs w:val="32"/>
          <w:highlight w:val="none"/>
          <w:lang w:val="en-US" w:eastAsia="zh-CN"/>
        </w:rPr>
        <w:t>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年沟口镇项目工作符合年初绩效总体目标，未偏离原定计划。下一步工作将继续按照总体绩效目标要求，不断完善制度，落实政策，保障群众利益。</w:t>
      </w:r>
    </w:p>
    <w:p w14:paraId="0C2880F1">
      <w:pPr>
        <w:keepNext w:val="0"/>
        <w:keepLines w:val="0"/>
        <w:pageBreakBefore w:val="0"/>
        <w:widowControl w:val="0"/>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eastAsia" w:ascii="Times New Roman" w:hAnsi="Times New Roman" w:eastAsia="仿宋_GB2312" w:cs="Times New Roman"/>
          <w:sz w:val="32"/>
          <w:szCs w:val="32"/>
          <w:highlight w:val="none"/>
          <w:lang w:val="zh-CN" w:eastAsia="zh-CN"/>
        </w:rPr>
      </w:pPr>
      <w:r>
        <w:rPr>
          <w:rFonts w:hint="eastAsia" w:ascii="Times New Roman" w:hAnsi="Times New Roman" w:eastAsia="仿宋_GB2312" w:cs="Times New Roman"/>
          <w:sz w:val="32"/>
          <w:szCs w:val="32"/>
          <w:highlight w:val="none"/>
          <w:lang w:val="en-US" w:eastAsia="zh-CN"/>
        </w:rPr>
        <w:t>我镇202</w:t>
      </w:r>
      <w:r>
        <w:rPr>
          <w:rFonts w:hint="eastAsia"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lang w:val="en-US" w:eastAsia="zh-CN"/>
        </w:rPr>
        <w:t>年度不涉及国有资本经营预算、社会保险基金预算。</w:t>
      </w:r>
    </w:p>
    <w:p w14:paraId="468602B2">
      <w:pPr>
        <w:keepNext w:val="0"/>
        <w:keepLines w:val="0"/>
        <w:pageBreakBefore w:val="0"/>
        <w:kinsoku/>
        <w:wordWrap/>
        <w:overflowPunct/>
        <w:topLinePunct w:val="0"/>
        <w:autoSpaceDE/>
        <w:autoSpaceDN/>
        <w:bidi w:val="0"/>
        <w:adjustRightInd/>
        <w:snapToGrid/>
        <w:spacing w:line="576" w:lineRule="exact"/>
        <w:ind w:left="0" w:firstLine="723" w:firstLineChars="225"/>
        <w:textAlignment w:val="auto"/>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default" w:ascii="Times New Roman" w:hAnsi="Times New Roman" w:eastAsia="楷体_GB2312" w:cs="Times New Roman"/>
          <w:b/>
          <w:bCs/>
          <w:color w:val="000000"/>
          <w:kern w:val="0"/>
          <w:sz w:val="32"/>
          <w:szCs w:val="32"/>
          <w:highlight w:val="none"/>
          <w:shd w:val="clear" w:color="auto" w:fill="FFFFFF"/>
          <w:lang w:val="zh-CN" w:eastAsia="zh-CN"/>
        </w:rPr>
        <w:t>重点领域</w:t>
      </w:r>
      <w:r>
        <w:rPr>
          <w:rFonts w:hint="default" w:ascii="Times New Roman" w:hAnsi="Times New Roman" w:eastAsia="楷体_GB2312" w:cs="Times New Roman"/>
          <w:b/>
          <w:bCs/>
          <w:color w:val="000000"/>
          <w:kern w:val="0"/>
          <w:sz w:val="32"/>
          <w:szCs w:val="32"/>
          <w:highlight w:val="none"/>
          <w:shd w:val="clear" w:color="auto" w:fill="FFFFFF"/>
          <w:lang w:val="zh-CN"/>
        </w:rPr>
        <w:t>绩效分析</w:t>
      </w:r>
    </w:p>
    <w:p w14:paraId="44568D28">
      <w:pPr>
        <w:pStyle w:val="36"/>
        <w:keepNext w:val="0"/>
        <w:keepLines w:val="0"/>
        <w:pageBreakBefore w:val="0"/>
        <w:numPr>
          <w:ilvl w:val="0"/>
          <w:numId w:val="0"/>
        </w:numPr>
        <w:kinsoku/>
        <w:wordWrap/>
        <w:overflowPunct/>
        <w:topLinePunct w:val="0"/>
        <w:autoSpaceDE/>
        <w:autoSpaceDN/>
        <w:bidi w:val="0"/>
        <w:adjustRightInd/>
        <w:snapToGrid/>
        <w:spacing w:line="576" w:lineRule="exact"/>
        <w:ind w:firstLine="643" w:firstLineChars="200"/>
        <w:textAlignment w:val="auto"/>
        <w:rPr>
          <w:rFonts w:hint="eastAsia" w:ascii="楷体" w:hAnsi="楷体" w:eastAsia="楷体" w:cs="楷体"/>
          <w:b/>
          <w:bCs/>
          <w:kern w:val="2"/>
          <w:sz w:val="32"/>
          <w:szCs w:val="32"/>
          <w:lang w:val="en-US" w:eastAsia="zh-CN" w:bidi="ar-SA"/>
        </w:rPr>
      </w:pPr>
      <w:r>
        <w:rPr>
          <w:rFonts w:hint="eastAsia" w:ascii="楷体" w:hAnsi="楷体" w:eastAsia="楷体" w:cs="楷体"/>
          <w:b/>
          <w:bCs/>
          <w:kern w:val="2"/>
          <w:sz w:val="32"/>
          <w:szCs w:val="32"/>
          <w:lang w:val="en-US" w:eastAsia="zh-CN" w:bidi="ar-SA"/>
        </w:rPr>
        <w:t>1.资产整体情况</w:t>
      </w:r>
    </w:p>
    <w:p w14:paraId="70D2E78F">
      <w:pPr>
        <w:pStyle w:val="3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茂县沟口镇202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单位资产合计金额为</w:t>
      </w:r>
      <w:r>
        <w:rPr>
          <w:rFonts w:hint="eastAsia" w:ascii="仿宋_GB2312" w:hAnsi="仿宋_GB2312" w:eastAsia="仿宋_GB2312" w:cs="仿宋_GB2312"/>
          <w:sz w:val="32"/>
          <w:szCs w:val="32"/>
          <w:lang w:val="en-US" w:eastAsia="zh-CN"/>
        </w:rPr>
        <w:t>2,616.40万</w:t>
      </w:r>
      <w:r>
        <w:rPr>
          <w:rFonts w:hint="eastAsia" w:ascii="仿宋_GB2312" w:hAnsi="仿宋_GB2312" w:eastAsia="仿宋_GB2312" w:cs="仿宋_GB2312"/>
          <w:sz w:val="32"/>
          <w:szCs w:val="32"/>
        </w:rPr>
        <w:t>元，其中流动资产</w:t>
      </w:r>
      <w:r>
        <w:rPr>
          <w:rFonts w:hint="eastAsia" w:ascii="仿宋_GB2312" w:hAnsi="仿宋_GB2312" w:eastAsia="仿宋_GB2312" w:cs="仿宋_GB2312"/>
          <w:sz w:val="32"/>
          <w:szCs w:val="32"/>
          <w:lang w:val="en-US" w:eastAsia="zh-CN"/>
        </w:rPr>
        <w:t>39.05万</w:t>
      </w:r>
      <w:r>
        <w:rPr>
          <w:rFonts w:hint="eastAsia" w:ascii="仿宋_GB2312" w:hAnsi="仿宋_GB2312" w:eastAsia="仿宋_GB2312" w:cs="仿宋_GB2312"/>
          <w:sz w:val="32"/>
          <w:szCs w:val="32"/>
        </w:rPr>
        <w:t>元，占总资产的</w:t>
      </w:r>
      <w:r>
        <w:rPr>
          <w:rFonts w:hint="eastAsia" w:ascii="仿宋_GB2312" w:hAnsi="仿宋_GB2312" w:eastAsia="仿宋_GB2312" w:cs="仿宋_GB2312"/>
          <w:sz w:val="32"/>
          <w:szCs w:val="32"/>
          <w:lang w:val="en-US" w:eastAsia="zh-CN"/>
        </w:rPr>
        <w:t xml:space="preserve">1.50 </w:t>
      </w:r>
      <w:r>
        <w:rPr>
          <w:rFonts w:hint="eastAsia" w:ascii="仿宋_GB2312" w:hAnsi="仿宋_GB2312" w:eastAsia="仿宋_GB2312" w:cs="仿宋_GB2312"/>
          <w:sz w:val="32"/>
          <w:szCs w:val="32"/>
        </w:rPr>
        <w:t>%；非流动资产</w:t>
      </w:r>
      <w:r>
        <w:rPr>
          <w:rFonts w:hint="eastAsia" w:ascii="仿宋_GB2312" w:hAnsi="仿宋_GB2312" w:eastAsia="仿宋_GB2312" w:cs="仿宋_GB2312"/>
          <w:sz w:val="32"/>
          <w:szCs w:val="32"/>
          <w:lang w:val="en-US" w:eastAsia="zh-CN"/>
        </w:rPr>
        <w:t>2,577.35万</w:t>
      </w:r>
      <w:r>
        <w:rPr>
          <w:rFonts w:hint="eastAsia" w:ascii="仿宋_GB2312" w:hAnsi="仿宋_GB2312" w:eastAsia="仿宋_GB2312" w:cs="仿宋_GB2312"/>
          <w:sz w:val="32"/>
          <w:szCs w:val="32"/>
        </w:rPr>
        <w:t>元，占总资产的</w:t>
      </w:r>
      <w:r>
        <w:rPr>
          <w:rFonts w:hint="eastAsia" w:ascii="仿宋_GB2312" w:hAnsi="仿宋_GB2312" w:eastAsia="仿宋_GB2312" w:cs="仿宋_GB2312"/>
          <w:sz w:val="32"/>
          <w:szCs w:val="32"/>
          <w:lang w:val="en-US" w:eastAsia="zh-CN"/>
        </w:rPr>
        <w:t>98.51</w:t>
      </w:r>
      <w:r>
        <w:rPr>
          <w:rFonts w:hint="eastAsia" w:ascii="仿宋_GB2312" w:hAnsi="仿宋_GB2312" w:eastAsia="仿宋_GB2312" w:cs="仿宋_GB2312"/>
          <w:sz w:val="32"/>
          <w:szCs w:val="32"/>
        </w:rPr>
        <w:t>%；本单位并未拥有无形资产、长期投资、在建工程等其他资产。</w:t>
      </w:r>
    </w:p>
    <w:p w14:paraId="71763BF0">
      <w:pPr>
        <w:keepNext w:val="0"/>
        <w:keepLines w:val="0"/>
        <w:pageBreakBefore w:val="0"/>
        <w:numPr>
          <w:ilvl w:val="0"/>
          <w:numId w:val="0"/>
        </w:numPr>
        <w:kinsoku/>
        <w:wordWrap/>
        <w:overflowPunct/>
        <w:topLinePunct w:val="0"/>
        <w:autoSpaceDE/>
        <w:autoSpaceDN/>
        <w:bidi w:val="0"/>
        <w:adjustRightInd/>
        <w:snapToGrid/>
        <w:spacing w:line="576" w:lineRule="exact"/>
        <w:ind w:left="640" w:leftChars="0"/>
        <w:textAlignment w:val="auto"/>
        <w:rPr>
          <w:rFonts w:hint="eastAsia" w:ascii="楷体" w:hAnsi="楷体" w:eastAsia="楷体" w:cs="楷体"/>
          <w:b/>
          <w:bCs/>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固定资产情况</w:t>
      </w:r>
    </w:p>
    <w:p w14:paraId="77EF6842">
      <w:pPr>
        <w:pStyle w:val="36"/>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经盘点统计，截至2024年底本单位固定资产原值为1,135.88万元，累计折旧为404.92万元，固定资产净值为730.96万元。其中：房屋为951.39万元，占固定资产总额的83.76%；设备为139.10万元，占固定资产总额的12.25%；图书档案0.19万元，占固定资产总额的0.02 %；家具、用具、装具及动植物45.21万元，占固定资产总额的3.98%。公共基础设施为11,86.13万元，</w:t>
      </w:r>
      <w:r>
        <w:rPr>
          <w:rFonts w:hint="eastAsia" w:ascii="仿宋_GB2312" w:hAnsi="仿宋_GB2312" w:eastAsia="仿宋_GB2312" w:cs="仿宋_GB2312"/>
          <w:sz w:val="32"/>
          <w:szCs w:val="32"/>
        </w:rPr>
        <w:t>占非流动资产总额的</w:t>
      </w:r>
      <w:r>
        <w:rPr>
          <w:rFonts w:hint="eastAsia" w:ascii="仿宋_GB2312" w:hAnsi="仿宋_GB2312" w:eastAsia="仿宋_GB2312" w:cs="仿宋_GB2312"/>
          <w:sz w:val="32"/>
          <w:szCs w:val="32"/>
          <w:lang w:val="en-US" w:eastAsia="zh-CN"/>
        </w:rPr>
        <w:t>46.02</w:t>
      </w:r>
      <w:r>
        <w:rPr>
          <w:rFonts w:hint="eastAsia" w:ascii="仿宋_GB2312" w:hAnsi="仿宋_GB2312" w:eastAsia="仿宋_GB2312" w:cs="仿宋_GB2312"/>
          <w:sz w:val="32"/>
          <w:szCs w:val="32"/>
        </w:rPr>
        <w:t>%，为原飞虹乡水草坪村道路硬化和安保。本单位有</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辆公车，净值</w:t>
      </w:r>
      <w:r>
        <w:rPr>
          <w:rFonts w:hint="eastAsia" w:ascii="仿宋_GB2312" w:hAnsi="仿宋_GB2312" w:eastAsia="仿宋_GB2312" w:cs="仿宋_GB2312"/>
          <w:sz w:val="32"/>
          <w:szCs w:val="32"/>
          <w:lang w:val="en-US" w:eastAsia="zh-CN"/>
        </w:rPr>
        <w:t>22.37万</w:t>
      </w:r>
      <w:r>
        <w:rPr>
          <w:rFonts w:hint="eastAsia" w:ascii="仿宋_GB2312" w:hAnsi="仿宋_GB2312" w:eastAsia="仿宋_GB2312" w:cs="仿宋_GB2312"/>
          <w:sz w:val="32"/>
          <w:szCs w:val="32"/>
        </w:rPr>
        <w:t>元。单位无单价50万元（含）以上的通用设备及单价100万元（含）以上的专用设备。</w:t>
      </w:r>
    </w:p>
    <w:p w14:paraId="7D58E359">
      <w:pPr>
        <w:widowControl/>
        <w:numPr>
          <w:ilvl w:val="0"/>
          <w:numId w:val="1"/>
        </w:numPr>
        <w:adjustRightInd w:val="0"/>
        <w:snapToGrid w:val="0"/>
        <w:spacing w:line="540" w:lineRule="exact"/>
        <w:ind w:left="0" w:leftChars="0" w:firstLine="643" w:firstLineChars="200"/>
        <w:jc w:val="left"/>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绩效结果应用情况</w:t>
      </w:r>
    </w:p>
    <w:p w14:paraId="79EAE197">
      <w:pPr>
        <w:keepNext w:val="0"/>
        <w:keepLines w:val="0"/>
        <w:pageBreakBefore w:val="0"/>
        <w:widowControl/>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我镇对部门预算绩效管理工作开展情况认真进行了自查自评。绩效评价自查开展覆盖下属单位及重点支出，将评价结果作为预算安排的重要依据，参照项目年度预算执行情况、“三年滚动规划”执行情况统筹项目支出需求，保障重点支出，调整支出结构，优化财政资金配置，不断强化绩效理念，推动我镇整体绩效管理水平不断提升。</w:t>
      </w:r>
    </w:p>
    <w:p w14:paraId="21CB6AC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eastAsia="zh-CN"/>
        </w:rPr>
        <w:t>四、</w:t>
      </w:r>
      <w:r>
        <w:rPr>
          <w:rFonts w:hint="default" w:ascii="Times New Roman" w:hAnsi="Times New Roman" w:eastAsia="黑体" w:cs="Times New Roman"/>
          <w:color w:val="000000"/>
          <w:kern w:val="0"/>
          <w:sz w:val="32"/>
          <w:szCs w:val="32"/>
          <w:highlight w:val="none"/>
          <w:shd w:val="clear" w:color="auto" w:fill="FFFFFF"/>
          <w:lang w:val="zh-CN"/>
        </w:rPr>
        <w:t>评价结论及建议</w:t>
      </w:r>
    </w:p>
    <w:p w14:paraId="381112B0">
      <w:pPr>
        <w:spacing w:line="576" w:lineRule="atLeast"/>
        <w:ind w:firstLine="643" w:firstLineChars="200"/>
        <w:rPr>
          <w:rFonts w:hint="default" w:ascii="Times New Roman" w:hAnsi="Times New Roman" w:eastAsia="仿宋_GB2312" w:cs="Times New Roman"/>
          <w:sz w:val="32"/>
          <w:szCs w:val="32"/>
          <w:u w:val="none"/>
          <w:lang w:val="en-US" w:eastAsia="zh-CN" w:bidi="ar"/>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r>
        <w:rPr>
          <w:rFonts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rPr>
        <w:t>2</w:t>
      </w:r>
      <w:r>
        <w:rPr>
          <w:rFonts w:hint="eastAsia" w:ascii="仿宋_GB2312" w:hAnsi="仿宋_GB2312" w:eastAsia="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年我单位部门整体支出绩效评价自查自评结果良好，全年基本支出保证了部门的正常运行和日常工作的正常开展，项目支出保障了重点工作的开展，达到预期绩效目标。</w:t>
      </w:r>
    </w:p>
    <w:p w14:paraId="2A971E7F">
      <w:pPr>
        <w:spacing w:line="576" w:lineRule="atLeas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154BD208">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属于公务卡结算目录内的费用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应加大使用公务卡结算比例。</w:t>
      </w:r>
    </w:p>
    <w:p w14:paraId="6DE18D4C">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需严格报账审批，切实履行各自职能职责，保障会计资料的真实性、完整性。</w:t>
      </w:r>
    </w:p>
    <w:p w14:paraId="2F9A5EBD">
      <w:pPr>
        <w:spacing w:line="576" w:lineRule="atLeast"/>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财务核算和档案管理需进一步规范。</w:t>
      </w:r>
    </w:p>
    <w:p w14:paraId="00835127">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财务人员工作量大、业务水平要求更高，需要进一步提高会计业务水平。</w:t>
      </w:r>
    </w:p>
    <w:p w14:paraId="079F49A1">
      <w:pPr>
        <w:spacing w:line="576" w:lineRule="atLeast"/>
        <w:ind w:firstLine="643" w:firstLineChars="200"/>
        <w:rPr>
          <w:rFonts w:hint="default"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eastAsia="zh-CN"/>
        </w:rPr>
        <w:t>（三）改进建议</w:t>
      </w:r>
      <w:bookmarkStart w:id="104" w:name="_Hlk110546638"/>
    </w:p>
    <w:p w14:paraId="3BAE0B1E">
      <w:pPr>
        <w:spacing w:line="576" w:lineRule="atLeast"/>
        <w:ind w:firstLine="640" w:firstLineChars="200"/>
        <w:rPr>
          <w:rFonts w:ascii="仿宋_GB2312" w:hAnsi="仿宋_GB2312" w:eastAsia="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进一步加强单位预算编制、支出执行、决算编制等工作的管理，特别是应加快专项资金的预算执行进度。</w:t>
      </w:r>
    </w:p>
    <w:p w14:paraId="4343C1A9">
      <w:pPr>
        <w:spacing w:line="576" w:lineRule="atLeast"/>
        <w:ind w:firstLine="640" w:firstLineChars="200"/>
        <w:rPr>
          <w:rFonts w:hint="eastAsia" w:hAnsi="Times New Roman" w:cs="Times New Roman"/>
          <w:color w:val="auto"/>
          <w:sz w:val="32"/>
          <w:szCs w:val="32"/>
          <w:highlight w:val="none"/>
          <w:lang w:val="zh-CN" w:eastAsia="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在会计核算过程中，严格按照单位内控制度、财务管理制度，加强票据审核，报销凭证应为真实、合法、有效的票据；严禁超范围、超标准进行报销。</w:t>
      </w:r>
      <w:r>
        <w:rPr>
          <w:rFonts w:ascii="仿宋_GB2312" w:hAnsi="仿宋_GB2312" w:eastAsia="仿宋_GB2312"/>
          <w:sz w:val="32"/>
          <w:szCs w:val="32"/>
        </w:rPr>
        <w:tab/>
      </w:r>
    </w:p>
    <w:bookmarkEnd w:id="104"/>
    <w:p w14:paraId="68BB01C4">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eastAsia="仿宋_GB2312" w:cs="Times New Roman"/>
          <w:kern w:val="2"/>
          <w:sz w:val="32"/>
          <w:szCs w:val="32"/>
          <w:u w:val="none"/>
          <w:lang w:val="zh-CN" w:eastAsia="zh-CN" w:bidi="ar"/>
        </w:rPr>
      </w:pPr>
    </w:p>
    <w:p w14:paraId="1718C519">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3A605EDD">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b w:val="0"/>
          <w:bCs w:val="0"/>
          <w:color w:val="000000"/>
          <w:kern w:val="0"/>
          <w:sz w:val="32"/>
          <w:szCs w:val="32"/>
          <w:highlight w:val="none"/>
          <w:shd w:val="clear" w:color="auto" w:fill="FFFFFF"/>
          <w:lang w:val="zh-CN"/>
        </w:rPr>
      </w:pPr>
    </w:p>
    <w:p w14:paraId="750F608B">
      <w:pPr>
        <w:keepNext w:val="0"/>
        <w:keepLines w:val="0"/>
        <w:pageBreakBefore w:val="0"/>
        <w:kinsoku/>
        <w:wordWrap/>
        <w:overflowPunct/>
        <w:topLinePunct w:val="0"/>
        <w:autoSpaceDE/>
        <w:autoSpaceDN/>
        <w:bidi w:val="0"/>
        <w:adjustRightInd/>
        <w:snapToGrid/>
        <w:spacing w:line="576" w:lineRule="exact"/>
        <w:textAlignment w:val="auto"/>
        <w:rPr>
          <w:rFonts w:hint="eastAsia" w:ascii="黑体" w:hAnsi="黑体" w:eastAsia="黑体" w:cs="黑体"/>
          <w:b w:val="0"/>
          <w:bCs w:val="0"/>
          <w:color w:val="000000"/>
          <w:kern w:val="0"/>
          <w:sz w:val="32"/>
          <w:szCs w:val="32"/>
          <w:highlight w:val="none"/>
          <w:shd w:val="clear" w:color="auto" w:fill="FFFFFF"/>
          <w:lang w:val="zh-CN"/>
        </w:rPr>
      </w:pPr>
      <w:r>
        <w:rPr>
          <w:rFonts w:hint="eastAsia" w:ascii="黑体" w:hAnsi="黑体" w:eastAsia="黑体" w:cs="黑体"/>
          <w:b w:val="0"/>
          <w:bCs w:val="0"/>
          <w:color w:val="000000"/>
          <w:kern w:val="0"/>
          <w:sz w:val="32"/>
          <w:szCs w:val="32"/>
          <w:highlight w:val="none"/>
          <w:shd w:val="clear" w:color="auto" w:fill="FFFFFF"/>
          <w:lang w:val="zh-CN"/>
        </w:rPr>
        <w:t>附表</w:t>
      </w:r>
    </w:p>
    <w:p w14:paraId="3140E6B2">
      <w:pPr>
        <w:widowControl/>
        <w:spacing w:line="600" w:lineRule="exact"/>
        <w:jc w:val="center"/>
        <w:textAlignment w:val="center"/>
        <w:rPr>
          <w:rFonts w:eastAsia="方正小标宋简体"/>
          <w:color w:val="000000"/>
          <w:kern w:val="0"/>
          <w:sz w:val="44"/>
          <w:szCs w:val="44"/>
          <w:lang w:bidi="ar"/>
        </w:rPr>
      </w:pPr>
      <w:r>
        <w:rPr>
          <w:rFonts w:hint="eastAsia" w:eastAsia="方正小标宋简体"/>
          <w:color w:val="000000"/>
          <w:kern w:val="0"/>
          <w:sz w:val="44"/>
          <w:szCs w:val="44"/>
          <w:lang w:bidi="ar"/>
        </w:rPr>
        <w:t>部门预算绩效自评打分表</w:t>
      </w:r>
    </w:p>
    <w:tbl>
      <w:tblPr>
        <w:tblStyle w:val="16"/>
        <w:tblW w:w="10819" w:type="dxa"/>
        <w:jc w:val="center"/>
        <w:tblLayout w:type="fixed"/>
        <w:tblCellMar>
          <w:top w:w="0" w:type="dxa"/>
          <w:left w:w="108" w:type="dxa"/>
          <w:bottom w:w="0" w:type="dxa"/>
          <w:right w:w="108" w:type="dxa"/>
        </w:tblCellMar>
      </w:tblPr>
      <w:tblGrid>
        <w:gridCol w:w="1252"/>
        <w:gridCol w:w="1214"/>
        <w:gridCol w:w="1665"/>
        <w:gridCol w:w="720"/>
        <w:gridCol w:w="4734"/>
        <w:gridCol w:w="756"/>
        <w:gridCol w:w="478"/>
      </w:tblGrid>
      <w:tr w14:paraId="7E14B751">
        <w:tblPrEx>
          <w:tblCellMar>
            <w:top w:w="0" w:type="dxa"/>
            <w:left w:w="108" w:type="dxa"/>
            <w:bottom w:w="0" w:type="dxa"/>
            <w:right w:w="108" w:type="dxa"/>
          </w:tblCellMar>
        </w:tblPrEx>
        <w:trPr>
          <w:trHeight w:val="23" w:hRule="atLeast"/>
          <w:jc w:val="center"/>
        </w:trPr>
        <w:tc>
          <w:tcPr>
            <w:tcW w:w="4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641E089">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绩效评价指标指标分值</w:t>
            </w:r>
          </w:p>
        </w:tc>
        <w:tc>
          <w:tcPr>
            <w:tcW w:w="47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2C03D">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指标解释</w:t>
            </w:r>
          </w:p>
        </w:tc>
        <w:tc>
          <w:tcPr>
            <w:tcW w:w="756" w:type="dxa"/>
            <w:vMerge w:val="restart"/>
            <w:tcBorders>
              <w:top w:val="single" w:color="000000" w:sz="4" w:space="0"/>
              <w:left w:val="single" w:color="000000" w:sz="4" w:space="0"/>
              <w:right w:val="single" w:color="000000" w:sz="4" w:space="0"/>
            </w:tcBorders>
            <w:shd w:val="clear" w:color="auto" w:fill="auto"/>
            <w:vAlign w:val="center"/>
          </w:tcPr>
          <w:p w14:paraId="22D56EB6">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自评得分</w:t>
            </w:r>
          </w:p>
        </w:tc>
        <w:tc>
          <w:tcPr>
            <w:tcW w:w="478" w:type="dxa"/>
            <w:vMerge w:val="restart"/>
            <w:tcBorders>
              <w:top w:val="single" w:color="000000" w:sz="4" w:space="0"/>
              <w:left w:val="single" w:color="000000" w:sz="4" w:space="0"/>
              <w:right w:val="single" w:color="000000" w:sz="4" w:space="0"/>
            </w:tcBorders>
            <w:shd w:val="clear" w:color="auto" w:fill="auto"/>
            <w:vAlign w:val="center"/>
          </w:tcPr>
          <w:p w14:paraId="4C0D8702">
            <w:pPr>
              <w:widowControl/>
              <w:spacing w:line="240" w:lineRule="exact"/>
              <w:jc w:val="center"/>
              <w:textAlignment w:val="center"/>
              <w:rPr>
                <w:rFonts w:ascii="黑体" w:hAnsi="宋体" w:eastAsia="黑体" w:cs="黑体"/>
                <w:color w:val="000000"/>
                <w:kern w:val="0"/>
                <w:sz w:val="24"/>
                <w:lang w:bidi="ar"/>
              </w:rPr>
            </w:pPr>
            <w:r>
              <w:rPr>
                <w:rFonts w:hint="eastAsia" w:ascii="黑体" w:hAnsi="宋体" w:eastAsia="黑体" w:cs="黑体"/>
                <w:color w:val="000000"/>
                <w:kern w:val="0"/>
                <w:sz w:val="24"/>
                <w:lang w:bidi="ar"/>
              </w:rPr>
              <w:t>备注</w:t>
            </w:r>
          </w:p>
        </w:tc>
      </w:tr>
      <w:tr w14:paraId="6F947BFD">
        <w:tblPrEx>
          <w:tblCellMar>
            <w:top w:w="0" w:type="dxa"/>
            <w:left w:w="108" w:type="dxa"/>
            <w:bottom w:w="0" w:type="dxa"/>
            <w:right w:w="108" w:type="dxa"/>
          </w:tblCellMar>
        </w:tblPrEx>
        <w:trPr>
          <w:trHeight w:val="23" w:hRule="atLeast"/>
          <w:jc w:val="center"/>
        </w:trPr>
        <w:tc>
          <w:tcPr>
            <w:tcW w:w="1252" w:type="dxa"/>
            <w:tcBorders>
              <w:top w:val="single" w:color="000000" w:sz="4" w:space="0"/>
              <w:left w:val="single" w:color="000000" w:sz="4" w:space="0"/>
              <w:bottom w:val="single" w:color="000000" w:sz="4" w:space="0"/>
              <w:right w:val="nil"/>
            </w:tcBorders>
            <w:shd w:val="clear" w:color="auto" w:fill="auto"/>
            <w:vAlign w:val="center"/>
          </w:tcPr>
          <w:p w14:paraId="70D67DA4">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一级指标</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A882">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二级指标</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22027">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三级指标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EC13">
            <w:pPr>
              <w:widowControl/>
              <w:spacing w:line="240" w:lineRule="exact"/>
              <w:jc w:val="center"/>
              <w:textAlignment w:val="center"/>
              <w:rPr>
                <w:rFonts w:ascii="黑体" w:hAnsi="宋体" w:eastAsia="黑体" w:cs="黑体"/>
                <w:color w:val="000000"/>
                <w:sz w:val="24"/>
              </w:rPr>
            </w:pPr>
            <w:r>
              <w:rPr>
                <w:rFonts w:hint="eastAsia" w:ascii="黑体" w:hAnsi="宋体" w:eastAsia="黑体" w:cs="黑体"/>
                <w:color w:val="000000"/>
                <w:kern w:val="0"/>
                <w:sz w:val="24"/>
                <w:lang w:bidi="ar"/>
              </w:rPr>
              <w:t>指标</w:t>
            </w:r>
            <w:r>
              <w:rPr>
                <w:rFonts w:hint="eastAsia" w:ascii="黑体" w:hAnsi="宋体" w:eastAsia="黑体" w:cs="黑体"/>
                <w:color w:val="000000"/>
                <w:kern w:val="0"/>
                <w:sz w:val="24"/>
                <w:lang w:bidi="ar"/>
              </w:rPr>
              <w:br w:type="textWrapping"/>
            </w:r>
            <w:r>
              <w:rPr>
                <w:rFonts w:hint="eastAsia" w:ascii="黑体" w:hAnsi="宋体" w:eastAsia="黑体" w:cs="黑体"/>
                <w:color w:val="000000"/>
                <w:kern w:val="0"/>
                <w:sz w:val="24"/>
                <w:lang w:bidi="ar"/>
              </w:rPr>
              <w:t>分值</w:t>
            </w:r>
          </w:p>
        </w:tc>
        <w:tc>
          <w:tcPr>
            <w:tcW w:w="47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9808">
            <w:pPr>
              <w:widowControl/>
              <w:spacing w:line="240" w:lineRule="exact"/>
              <w:jc w:val="center"/>
              <w:rPr>
                <w:rFonts w:ascii="黑体" w:hAnsi="宋体" w:eastAsia="黑体" w:cs="黑体"/>
                <w:color w:val="000000"/>
                <w:sz w:val="24"/>
              </w:rPr>
            </w:pPr>
          </w:p>
        </w:tc>
        <w:tc>
          <w:tcPr>
            <w:tcW w:w="756" w:type="dxa"/>
            <w:vMerge w:val="continue"/>
            <w:tcBorders>
              <w:left w:val="single" w:color="000000" w:sz="4" w:space="0"/>
              <w:bottom w:val="single" w:color="000000" w:sz="4" w:space="0"/>
              <w:right w:val="single" w:color="000000" w:sz="4" w:space="0"/>
            </w:tcBorders>
            <w:shd w:val="clear" w:color="auto" w:fill="auto"/>
            <w:vAlign w:val="center"/>
          </w:tcPr>
          <w:p w14:paraId="5C4C4451">
            <w:pPr>
              <w:widowControl/>
              <w:spacing w:line="240" w:lineRule="exact"/>
              <w:jc w:val="center"/>
              <w:rPr>
                <w:rFonts w:ascii="黑体" w:hAnsi="宋体" w:eastAsia="黑体" w:cs="黑体"/>
                <w:color w:val="000000"/>
                <w:sz w:val="24"/>
              </w:rPr>
            </w:pPr>
          </w:p>
        </w:tc>
        <w:tc>
          <w:tcPr>
            <w:tcW w:w="478" w:type="dxa"/>
            <w:vMerge w:val="continue"/>
            <w:tcBorders>
              <w:left w:val="single" w:color="000000" w:sz="4" w:space="0"/>
              <w:bottom w:val="single" w:color="000000" w:sz="4" w:space="0"/>
              <w:right w:val="single" w:color="000000" w:sz="4" w:space="0"/>
            </w:tcBorders>
            <w:shd w:val="clear" w:color="auto" w:fill="auto"/>
            <w:vAlign w:val="center"/>
          </w:tcPr>
          <w:p w14:paraId="4413F794">
            <w:pPr>
              <w:widowControl/>
              <w:spacing w:line="240" w:lineRule="exact"/>
              <w:jc w:val="center"/>
              <w:rPr>
                <w:rFonts w:ascii="黑体" w:hAnsi="宋体" w:eastAsia="黑体" w:cs="黑体"/>
                <w:color w:val="000000"/>
                <w:sz w:val="24"/>
              </w:rPr>
            </w:pPr>
          </w:p>
        </w:tc>
      </w:tr>
      <w:tr w14:paraId="1DE8B276">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3B4B8">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总体绩效</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（65分）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6F817">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履职效能</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4BFB">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XX履职效果</w:t>
            </w:r>
          </w:p>
        </w:tc>
        <w:tc>
          <w:tcPr>
            <w:tcW w:w="720" w:type="dxa"/>
            <w:tcBorders>
              <w:top w:val="nil"/>
              <w:left w:val="single" w:color="000000" w:sz="4" w:space="0"/>
              <w:bottom w:val="single" w:color="000000" w:sz="4" w:space="0"/>
              <w:right w:val="single" w:color="000000" w:sz="4" w:space="0"/>
            </w:tcBorders>
            <w:shd w:val="clear" w:color="auto" w:fill="auto"/>
            <w:vAlign w:val="center"/>
          </w:tcPr>
          <w:p w14:paraId="5BDBD4F5">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15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6A866">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部门整体绩效目标中选定3-5个核心职能目标，反映该项职能目标完成效果情况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723F">
            <w:pPr>
              <w:widowControl/>
              <w:spacing w:line="24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15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CECB">
            <w:pPr>
              <w:widowControl/>
              <w:spacing w:line="240" w:lineRule="exact"/>
              <w:jc w:val="left"/>
              <w:textAlignment w:val="center"/>
              <w:rPr>
                <w:rFonts w:ascii="宋体" w:hAnsi="宋体" w:eastAsia="宋体" w:cs="宋体"/>
                <w:color w:val="000000"/>
                <w:kern w:val="0"/>
                <w:sz w:val="21"/>
                <w:szCs w:val="21"/>
                <w:lang w:bidi="ar"/>
              </w:rPr>
            </w:pPr>
          </w:p>
        </w:tc>
      </w:tr>
      <w:tr w14:paraId="3DF6B8FB">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145C7">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21905">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预算管理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（25分）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9880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预算编制质量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0514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8</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9B5B">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部门是否严格按要求编制年初部门预算，年初预算编制的科学性和准确性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D209">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8</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ACD">
            <w:pPr>
              <w:widowControl/>
              <w:spacing w:line="240" w:lineRule="exact"/>
              <w:jc w:val="left"/>
              <w:textAlignment w:val="center"/>
              <w:rPr>
                <w:rFonts w:ascii="宋体" w:hAnsi="宋体" w:eastAsia="宋体" w:cs="宋体"/>
                <w:color w:val="000000"/>
                <w:kern w:val="0"/>
                <w:sz w:val="21"/>
                <w:szCs w:val="21"/>
                <w:lang w:bidi="ar"/>
              </w:rPr>
            </w:pPr>
          </w:p>
        </w:tc>
      </w:tr>
      <w:tr w14:paraId="1FE780FF">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1646">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8A6B">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6F6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单位收入统筹</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275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5CB">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部门统筹自有收入程度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60A8">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7D6E">
            <w:pPr>
              <w:widowControl/>
              <w:spacing w:line="240" w:lineRule="exact"/>
              <w:jc w:val="left"/>
              <w:textAlignment w:val="center"/>
              <w:rPr>
                <w:rFonts w:ascii="宋体" w:hAnsi="宋体" w:eastAsia="宋体" w:cs="宋体"/>
                <w:color w:val="000000"/>
                <w:kern w:val="0"/>
                <w:sz w:val="21"/>
                <w:szCs w:val="21"/>
                <w:lang w:bidi="ar"/>
              </w:rPr>
            </w:pPr>
          </w:p>
        </w:tc>
      </w:tr>
      <w:tr w14:paraId="0C1DBCAE">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D2C9A">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6210B">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6D1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支出执行进度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89F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6</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1F0C">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部门1至6月、1至10月预算执行情况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F4B7B">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6</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EEA8">
            <w:pPr>
              <w:widowControl/>
              <w:spacing w:line="240" w:lineRule="exact"/>
              <w:jc w:val="left"/>
              <w:textAlignment w:val="center"/>
              <w:rPr>
                <w:rFonts w:ascii="宋体" w:hAnsi="宋体" w:eastAsia="宋体" w:cs="宋体"/>
                <w:color w:val="000000"/>
                <w:kern w:val="0"/>
                <w:sz w:val="21"/>
                <w:szCs w:val="21"/>
                <w:lang w:bidi="ar"/>
              </w:rPr>
            </w:pPr>
          </w:p>
        </w:tc>
      </w:tr>
      <w:tr w14:paraId="25391CB4">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787E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CD46E">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E6E">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预算年终结余</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B1B93">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C14D">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部门整体年终预算结余情况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19A6">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F3C3">
            <w:pPr>
              <w:widowControl/>
              <w:spacing w:line="240" w:lineRule="exact"/>
              <w:jc w:val="left"/>
              <w:textAlignment w:val="center"/>
              <w:rPr>
                <w:rFonts w:ascii="宋体" w:hAnsi="宋体" w:eastAsia="宋体" w:cs="宋体"/>
                <w:color w:val="000000"/>
                <w:kern w:val="0"/>
                <w:sz w:val="21"/>
                <w:szCs w:val="21"/>
                <w:lang w:bidi="ar"/>
              </w:rPr>
            </w:pPr>
          </w:p>
        </w:tc>
      </w:tr>
      <w:tr w14:paraId="4F45D759">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83B6E">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E6029">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D75E">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严控一般性支出</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63C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5</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E3B51">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部门严控“三公”经费、会议、培训、差旅、办节办展、办公设备购置、信息网络及软件购置更新、课题经费等8项一般性支出情况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7FD64">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5</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5811">
            <w:pPr>
              <w:widowControl/>
              <w:spacing w:line="240" w:lineRule="exact"/>
              <w:jc w:val="left"/>
              <w:textAlignment w:val="center"/>
              <w:rPr>
                <w:rFonts w:ascii="宋体" w:hAnsi="宋体" w:eastAsia="宋体" w:cs="宋体"/>
                <w:color w:val="000000"/>
                <w:kern w:val="0"/>
                <w:sz w:val="21"/>
                <w:szCs w:val="21"/>
                <w:lang w:bidi="ar"/>
              </w:rPr>
            </w:pPr>
          </w:p>
        </w:tc>
      </w:tr>
      <w:tr w14:paraId="04665662">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9CA9">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DC56A">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财务管理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（10分）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6CC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财务管理制度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5544F">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12591">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部门财务管理制度建立情况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E2D2">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A221">
            <w:pPr>
              <w:widowControl/>
              <w:spacing w:line="240" w:lineRule="exact"/>
              <w:jc w:val="left"/>
              <w:textAlignment w:val="center"/>
              <w:rPr>
                <w:rFonts w:ascii="宋体" w:hAnsi="宋体" w:eastAsia="宋体" w:cs="宋体"/>
                <w:color w:val="000000"/>
                <w:kern w:val="0"/>
                <w:sz w:val="21"/>
                <w:szCs w:val="21"/>
                <w:lang w:bidi="ar"/>
              </w:rPr>
            </w:pPr>
          </w:p>
        </w:tc>
      </w:tr>
      <w:tr w14:paraId="5C0589F3">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C925D">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B985E">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E2E7">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财务岗位设置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D48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2</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034">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部门财务岗位设置是否符合相关财务管理制度要求</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243B">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2</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7CC0">
            <w:pPr>
              <w:widowControl/>
              <w:spacing w:line="240" w:lineRule="exact"/>
              <w:jc w:val="left"/>
              <w:textAlignment w:val="center"/>
              <w:rPr>
                <w:rFonts w:ascii="宋体" w:hAnsi="宋体" w:eastAsia="宋体" w:cs="宋体"/>
                <w:color w:val="000000"/>
                <w:kern w:val="0"/>
                <w:sz w:val="21"/>
                <w:szCs w:val="21"/>
                <w:lang w:bidi="ar"/>
              </w:rPr>
            </w:pPr>
          </w:p>
        </w:tc>
      </w:tr>
      <w:tr w14:paraId="17FEAD69">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8F610">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2400B">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5FA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资金使用规范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40C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28998">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部门资金使用是否符合相关财务管理制度规定</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901C1">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EC7C0">
            <w:pPr>
              <w:widowControl/>
              <w:spacing w:line="240" w:lineRule="exact"/>
              <w:jc w:val="left"/>
              <w:textAlignment w:val="center"/>
              <w:rPr>
                <w:rFonts w:ascii="宋体" w:hAnsi="宋体" w:eastAsia="宋体" w:cs="宋体"/>
                <w:color w:val="000000"/>
                <w:kern w:val="0"/>
                <w:sz w:val="21"/>
                <w:szCs w:val="21"/>
                <w:lang w:bidi="ar"/>
              </w:rPr>
            </w:pPr>
          </w:p>
        </w:tc>
      </w:tr>
      <w:tr w14:paraId="7644BE0E">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43ED0">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A3136">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资产管理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8499">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人均资产变化率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08E04">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36FF">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部门人均资产变化情况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BFE00">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9584">
            <w:pPr>
              <w:widowControl/>
              <w:spacing w:line="240" w:lineRule="exact"/>
              <w:jc w:val="left"/>
              <w:textAlignment w:val="center"/>
              <w:rPr>
                <w:rFonts w:ascii="宋体" w:hAnsi="宋体" w:eastAsia="宋体" w:cs="宋体"/>
                <w:color w:val="000000"/>
                <w:kern w:val="0"/>
                <w:sz w:val="21"/>
                <w:szCs w:val="21"/>
                <w:lang w:bidi="ar"/>
              </w:rPr>
            </w:pPr>
          </w:p>
        </w:tc>
      </w:tr>
      <w:tr w14:paraId="04D8A7D3">
        <w:tblPrEx>
          <w:tblCellMar>
            <w:top w:w="0" w:type="dxa"/>
            <w:left w:w="108" w:type="dxa"/>
            <w:bottom w:w="0" w:type="dxa"/>
            <w:right w:w="108" w:type="dxa"/>
          </w:tblCellMar>
        </w:tblPrEx>
        <w:trPr>
          <w:trHeight w:val="202"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DAA07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CBB4D">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5300">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资产利用率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2D8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0356">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部门资产超最低使用年限情况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943">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F1F4">
            <w:pPr>
              <w:widowControl/>
              <w:spacing w:line="240" w:lineRule="exact"/>
              <w:jc w:val="left"/>
              <w:textAlignment w:val="center"/>
              <w:rPr>
                <w:rFonts w:ascii="宋体" w:hAnsi="宋体" w:eastAsia="宋体" w:cs="宋体"/>
                <w:color w:val="000000"/>
                <w:kern w:val="0"/>
                <w:sz w:val="21"/>
                <w:szCs w:val="21"/>
                <w:lang w:bidi="ar"/>
              </w:rPr>
            </w:pPr>
          </w:p>
        </w:tc>
      </w:tr>
      <w:tr w14:paraId="4C6BD0F5">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A4522C">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总体绩效</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（65分）</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80C64">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资产管理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（9分）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CBA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资产盘活率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488D3">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9859">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部门闲置一年以上的资产盘活情况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FA11">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68A9">
            <w:pPr>
              <w:widowControl/>
              <w:spacing w:line="240" w:lineRule="exact"/>
              <w:jc w:val="left"/>
              <w:textAlignment w:val="center"/>
              <w:rPr>
                <w:rFonts w:ascii="宋体" w:hAnsi="宋体" w:eastAsia="宋体" w:cs="宋体"/>
                <w:color w:val="000000"/>
                <w:kern w:val="0"/>
                <w:sz w:val="21"/>
                <w:szCs w:val="21"/>
                <w:lang w:bidi="ar"/>
              </w:rPr>
            </w:pPr>
          </w:p>
        </w:tc>
      </w:tr>
      <w:tr w14:paraId="61D5C3C7">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BEC7E">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D09BE">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采购管理</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（6分）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E56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支持中小企业发展</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C34B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634A">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部门是否严格执行政府采购促进中小企业发展相关管理办法</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D9AFB">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18A9">
            <w:pPr>
              <w:widowControl/>
              <w:spacing w:line="240" w:lineRule="exact"/>
              <w:jc w:val="left"/>
              <w:textAlignment w:val="center"/>
              <w:rPr>
                <w:rFonts w:ascii="宋体" w:hAnsi="宋体" w:eastAsia="宋体" w:cs="宋体"/>
                <w:color w:val="000000"/>
                <w:kern w:val="0"/>
                <w:sz w:val="21"/>
                <w:szCs w:val="21"/>
                <w:lang w:bidi="ar"/>
              </w:rPr>
            </w:pPr>
          </w:p>
        </w:tc>
      </w:tr>
      <w:tr w14:paraId="60B7E604">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8CB0C">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180DD">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CEF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采购执行率</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BA8B">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B68B9">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部门政府采购项目资金支付比例情况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27095">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6C9A">
            <w:pPr>
              <w:widowControl/>
              <w:spacing w:line="240" w:lineRule="exact"/>
              <w:jc w:val="left"/>
              <w:textAlignment w:val="center"/>
              <w:rPr>
                <w:rFonts w:ascii="宋体" w:hAnsi="宋体" w:eastAsia="宋体" w:cs="宋体"/>
                <w:color w:val="000000"/>
                <w:kern w:val="0"/>
                <w:sz w:val="21"/>
                <w:szCs w:val="21"/>
                <w:lang w:bidi="ar"/>
              </w:rPr>
            </w:pPr>
          </w:p>
        </w:tc>
      </w:tr>
      <w:tr w14:paraId="1D21EF90">
        <w:tblPrEx>
          <w:tblCellMar>
            <w:top w:w="0" w:type="dxa"/>
            <w:left w:w="108" w:type="dxa"/>
            <w:bottom w:w="0" w:type="dxa"/>
            <w:right w:w="108" w:type="dxa"/>
          </w:tblCellMar>
        </w:tblPrEx>
        <w:trPr>
          <w:trHeight w:val="23" w:hRule="atLeast"/>
          <w:jc w:val="center"/>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2FF93">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项目绩效</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（35分）</w:t>
            </w:r>
          </w:p>
        </w:tc>
        <w:tc>
          <w:tcPr>
            <w:tcW w:w="1214" w:type="dxa"/>
            <w:vMerge w:val="restart"/>
            <w:tcBorders>
              <w:top w:val="single" w:color="000000" w:sz="4" w:space="0"/>
              <w:left w:val="single" w:color="000000" w:sz="4" w:space="0"/>
              <w:bottom w:val="nil"/>
              <w:right w:val="single" w:color="000000" w:sz="4" w:space="0"/>
            </w:tcBorders>
            <w:shd w:val="clear" w:color="auto" w:fill="auto"/>
            <w:vAlign w:val="center"/>
          </w:tcPr>
          <w:p w14:paraId="23D2AB05">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项目决策</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B92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决策程序</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D2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320B6">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部门预算项目设立是否按规定履行评估论证、申报程序</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23C3">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739E">
            <w:pPr>
              <w:widowControl/>
              <w:spacing w:line="240" w:lineRule="exact"/>
              <w:jc w:val="left"/>
              <w:textAlignment w:val="center"/>
              <w:rPr>
                <w:rFonts w:ascii="宋体" w:hAnsi="宋体" w:eastAsia="宋体" w:cs="宋体"/>
                <w:color w:val="000000"/>
                <w:kern w:val="0"/>
                <w:sz w:val="21"/>
                <w:szCs w:val="21"/>
                <w:lang w:bidi="ar"/>
              </w:rPr>
            </w:pPr>
          </w:p>
        </w:tc>
      </w:tr>
      <w:tr w14:paraId="16FBBB30">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15A57">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1825146F">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E7E1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目标设置</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7460">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9CAC">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部门预算项目绩效目标与计划期内的任务量、预算安排的资金量匹配情况，绩效目标设置是否科学合理、规范完整、量化细化、预算匹配</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DC7F">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34E1">
            <w:pPr>
              <w:widowControl/>
              <w:spacing w:line="240" w:lineRule="exact"/>
              <w:jc w:val="left"/>
              <w:textAlignment w:val="center"/>
              <w:rPr>
                <w:rFonts w:ascii="宋体" w:hAnsi="宋体" w:eastAsia="宋体" w:cs="宋体"/>
                <w:color w:val="000000"/>
                <w:kern w:val="0"/>
                <w:sz w:val="21"/>
                <w:szCs w:val="21"/>
                <w:lang w:bidi="ar"/>
              </w:rPr>
            </w:pPr>
          </w:p>
        </w:tc>
      </w:tr>
      <w:tr w14:paraId="75D6FEF9">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0E92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75E6E791">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BB85">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项目入库</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585A">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80C02">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部门预算项目是否在规定时间完成项目入库</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9DDC">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F520">
            <w:pPr>
              <w:widowControl/>
              <w:spacing w:line="240" w:lineRule="exact"/>
              <w:jc w:val="left"/>
              <w:textAlignment w:val="center"/>
              <w:rPr>
                <w:rFonts w:ascii="宋体" w:hAnsi="宋体" w:eastAsia="宋体" w:cs="宋体"/>
                <w:color w:val="000000"/>
                <w:kern w:val="0"/>
                <w:sz w:val="21"/>
                <w:szCs w:val="21"/>
                <w:lang w:bidi="ar"/>
              </w:rPr>
            </w:pPr>
          </w:p>
        </w:tc>
      </w:tr>
      <w:tr w14:paraId="2AD4FBC4">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66BCA">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nil"/>
              <w:right w:val="single" w:color="000000" w:sz="4" w:space="0"/>
            </w:tcBorders>
            <w:shd w:val="clear" w:color="auto" w:fill="auto"/>
            <w:vAlign w:val="center"/>
          </w:tcPr>
          <w:p w14:paraId="120145AF">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项目执行</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（12分）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7AA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执行同向</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23F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6AC7">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部门预算项目实际列支内容是否与绩效目标设置方向相符</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8EC8">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2C859">
            <w:pPr>
              <w:widowControl/>
              <w:spacing w:line="240" w:lineRule="exact"/>
              <w:jc w:val="left"/>
              <w:textAlignment w:val="center"/>
              <w:rPr>
                <w:rFonts w:ascii="宋体" w:hAnsi="宋体" w:eastAsia="宋体" w:cs="宋体"/>
                <w:color w:val="000000"/>
                <w:kern w:val="0"/>
                <w:sz w:val="21"/>
                <w:szCs w:val="21"/>
                <w:lang w:bidi="ar"/>
              </w:rPr>
            </w:pPr>
          </w:p>
        </w:tc>
      </w:tr>
      <w:tr w14:paraId="27F060D7">
        <w:tblPrEx>
          <w:tblCellMar>
            <w:top w:w="0" w:type="dxa"/>
            <w:left w:w="108" w:type="dxa"/>
            <w:bottom w:w="0" w:type="dxa"/>
            <w:right w:w="108" w:type="dxa"/>
          </w:tblCellMar>
        </w:tblPrEx>
        <w:trPr>
          <w:trHeight w:val="51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0A4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091FFF34">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nil"/>
              <w:right w:val="single" w:color="000000" w:sz="4" w:space="0"/>
            </w:tcBorders>
            <w:shd w:val="clear" w:color="auto" w:fill="auto"/>
            <w:vAlign w:val="center"/>
          </w:tcPr>
          <w:p w14:paraId="031DC1B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项目调整</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4FD7B">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8664">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部门预算项目是否采取对应调整措施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F7B2">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8860">
            <w:pPr>
              <w:widowControl/>
              <w:spacing w:line="240" w:lineRule="exact"/>
              <w:jc w:val="left"/>
              <w:textAlignment w:val="center"/>
              <w:rPr>
                <w:rFonts w:ascii="宋体" w:hAnsi="宋体" w:eastAsia="宋体" w:cs="宋体"/>
                <w:color w:val="000000"/>
                <w:kern w:val="0"/>
                <w:sz w:val="21"/>
                <w:szCs w:val="21"/>
                <w:lang w:bidi="ar"/>
              </w:rPr>
            </w:pPr>
          </w:p>
        </w:tc>
      </w:tr>
      <w:tr w14:paraId="70D58ABD">
        <w:tblPrEx>
          <w:tblCellMar>
            <w:top w:w="0" w:type="dxa"/>
            <w:left w:w="108" w:type="dxa"/>
            <w:bottom w:w="0" w:type="dxa"/>
            <w:right w:w="108" w:type="dxa"/>
          </w:tblCellMar>
        </w:tblPrEx>
        <w:trPr>
          <w:trHeight w:val="249"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6E77">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nil"/>
              <w:right w:val="single" w:color="000000" w:sz="4" w:space="0"/>
            </w:tcBorders>
            <w:shd w:val="clear" w:color="auto" w:fill="auto"/>
            <w:vAlign w:val="center"/>
          </w:tcPr>
          <w:p w14:paraId="3FEEB246">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3A5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执行结果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E6D7">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008C">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部门预算项目预算执行情况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317A">
            <w:pPr>
              <w:widowControl/>
              <w:spacing w:line="24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64B3">
            <w:pPr>
              <w:widowControl/>
              <w:spacing w:line="240" w:lineRule="exact"/>
              <w:jc w:val="left"/>
              <w:textAlignment w:val="center"/>
              <w:rPr>
                <w:rFonts w:ascii="宋体" w:hAnsi="宋体" w:eastAsia="宋体" w:cs="宋体"/>
                <w:color w:val="000000"/>
                <w:kern w:val="0"/>
                <w:sz w:val="21"/>
                <w:szCs w:val="21"/>
                <w:lang w:bidi="ar"/>
              </w:rPr>
            </w:pPr>
          </w:p>
        </w:tc>
      </w:tr>
      <w:tr w14:paraId="132F879E">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BDD5">
            <w:pPr>
              <w:widowControl/>
              <w:spacing w:line="240" w:lineRule="exact"/>
              <w:jc w:val="center"/>
              <w:rPr>
                <w:rFonts w:ascii="宋体" w:hAnsi="宋体" w:eastAsia="宋体" w:cs="宋体"/>
                <w:b/>
                <w:color w:val="000000"/>
                <w:sz w:val="21"/>
                <w:szCs w:val="21"/>
              </w:rPr>
            </w:pPr>
          </w:p>
        </w:tc>
        <w:tc>
          <w:tcPr>
            <w:tcW w:w="12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06480F">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目标实现</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（11分）</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84E9">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目标完成</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4B3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35C2">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部门预算项目绩效目标数量指标完成情况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DB93">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204">
            <w:pPr>
              <w:widowControl/>
              <w:spacing w:line="240" w:lineRule="exact"/>
              <w:jc w:val="left"/>
              <w:textAlignment w:val="center"/>
              <w:rPr>
                <w:rFonts w:ascii="宋体" w:hAnsi="宋体" w:eastAsia="宋体" w:cs="宋体"/>
                <w:color w:val="000000"/>
                <w:kern w:val="0"/>
                <w:sz w:val="21"/>
                <w:szCs w:val="21"/>
                <w:lang w:bidi="ar"/>
              </w:rPr>
            </w:pPr>
          </w:p>
        </w:tc>
      </w:tr>
      <w:tr w14:paraId="0A8D7228">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97BF8">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3D1E">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C836">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目标偏离</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573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4</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290F">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部门预算项目绩效目标数量指标实现程度与预期目标的偏离情况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EB7EC">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D4E8">
            <w:pPr>
              <w:widowControl/>
              <w:spacing w:line="240" w:lineRule="exact"/>
              <w:jc w:val="left"/>
              <w:textAlignment w:val="center"/>
              <w:rPr>
                <w:rFonts w:ascii="宋体" w:hAnsi="宋体" w:eastAsia="宋体" w:cs="宋体"/>
                <w:color w:val="000000"/>
                <w:kern w:val="0"/>
                <w:sz w:val="21"/>
                <w:szCs w:val="21"/>
                <w:lang w:bidi="ar"/>
              </w:rPr>
            </w:pPr>
          </w:p>
        </w:tc>
      </w:tr>
      <w:tr w14:paraId="5A235E80">
        <w:tblPrEx>
          <w:tblCellMar>
            <w:top w:w="0" w:type="dxa"/>
            <w:left w:w="108" w:type="dxa"/>
            <w:bottom w:w="0" w:type="dxa"/>
            <w:right w:w="108" w:type="dxa"/>
          </w:tblCellMar>
        </w:tblPrEx>
        <w:trPr>
          <w:trHeight w:val="23" w:hRule="atLeast"/>
          <w:jc w:val="center"/>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62A1">
            <w:pPr>
              <w:widowControl/>
              <w:spacing w:line="240" w:lineRule="exact"/>
              <w:jc w:val="center"/>
              <w:rPr>
                <w:rFonts w:ascii="宋体" w:hAnsi="宋体" w:eastAsia="宋体" w:cs="宋体"/>
                <w:b/>
                <w:color w:val="000000"/>
                <w:sz w:val="21"/>
                <w:szCs w:val="21"/>
              </w:rPr>
            </w:pPr>
          </w:p>
        </w:tc>
        <w:tc>
          <w:tcPr>
            <w:tcW w:w="12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B15C7">
            <w:pPr>
              <w:widowControl/>
              <w:spacing w:line="240" w:lineRule="exact"/>
              <w:jc w:val="center"/>
              <w:rPr>
                <w:rFonts w:ascii="宋体" w:hAnsi="宋体" w:eastAsia="宋体" w:cs="宋体"/>
                <w:b/>
                <w:color w:val="000000"/>
                <w:sz w:val="21"/>
                <w:szCs w:val="21"/>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5662">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实现效果</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539C">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3</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B5B0">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部门预算项目绩效目标效益指标实施效果</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3AD0">
            <w:pPr>
              <w:widowControl/>
              <w:spacing w:line="240" w:lineRule="exact"/>
              <w:jc w:val="left"/>
              <w:textAlignment w:val="center"/>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3</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CA6E">
            <w:pPr>
              <w:widowControl/>
              <w:spacing w:line="240" w:lineRule="exact"/>
              <w:jc w:val="left"/>
              <w:textAlignment w:val="center"/>
              <w:rPr>
                <w:rFonts w:ascii="宋体" w:hAnsi="宋体" w:eastAsia="宋体" w:cs="宋体"/>
                <w:color w:val="000000"/>
                <w:kern w:val="0"/>
                <w:sz w:val="21"/>
                <w:szCs w:val="21"/>
                <w:lang w:bidi="ar"/>
              </w:rPr>
            </w:pPr>
          </w:p>
        </w:tc>
      </w:tr>
      <w:tr w14:paraId="00CD7B04">
        <w:tblPrEx>
          <w:tblCellMar>
            <w:top w:w="0" w:type="dxa"/>
            <w:left w:w="108" w:type="dxa"/>
            <w:bottom w:w="0" w:type="dxa"/>
            <w:right w:w="108" w:type="dxa"/>
          </w:tblCellMar>
        </w:tblPrEx>
        <w:trPr>
          <w:trHeight w:val="47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10E0">
            <w:pPr>
              <w:widowControl/>
              <w:spacing w:line="240" w:lineRule="exact"/>
              <w:jc w:val="center"/>
              <w:textAlignment w:val="center"/>
              <w:rPr>
                <w:rFonts w:ascii="宋体" w:hAnsi="宋体" w:eastAsia="宋体" w:cs="宋体"/>
                <w:b/>
                <w:color w:val="000000"/>
                <w:sz w:val="21"/>
                <w:szCs w:val="21"/>
              </w:rPr>
            </w:pPr>
            <w:r>
              <w:rPr>
                <w:rFonts w:hint="eastAsia" w:ascii="宋体" w:hAnsi="宋体" w:eastAsia="宋体" w:cs="宋体"/>
                <w:b/>
                <w:color w:val="000000"/>
                <w:kern w:val="0"/>
                <w:sz w:val="21"/>
                <w:szCs w:val="21"/>
                <w:lang w:bidi="ar"/>
              </w:rPr>
              <w:t>扣分项</w:t>
            </w:r>
            <w:r>
              <w:rPr>
                <w:rFonts w:hint="eastAsia" w:ascii="宋体" w:hAnsi="宋体" w:eastAsia="宋体" w:cs="宋体"/>
                <w:b/>
                <w:color w:val="000000"/>
                <w:kern w:val="0"/>
                <w:sz w:val="21"/>
                <w:szCs w:val="21"/>
                <w:lang w:bidi="ar"/>
              </w:rPr>
              <w:br w:type="textWrapping"/>
            </w:r>
            <w:r>
              <w:rPr>
                <w:rFonts w:hint="eastAsia" w:ascii="宋体" w:hAnsi="宋体" w:eastAsia="宋体" w:cs="宋体"/>
                <w:b/>
                <w:color w:val="000000"/>
                <w:kern w:val="0"/>
                <w:sz w:val="21"/>
                <w:szCs w:val="21"/>
                <w:lang w:bidi="ar"/>
              </w:rPr>
              <w:t>（10分）</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350D8">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被评价部门配合度</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21BD">
            <w:pPr>
              <w:widowControl/>
              <w:spacing w:line="240" w:lineRule="exact"/>
              <w:jc w:val="center"/>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w:t>
            </w: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E6B4">
            <w:pPr>
              <w:widowControl/>
              <w:spacing w:line="240" w:lineRule="exact"/>
              <w:jc w:val="left"/>
              <w:textAlignment w:val="center"/>
              <w:rPr>
                <w:rFonts w:ascii="宋体" w:hAnsi="宋体" w:eastAsia="宋体" w:cs="宋体"/>
                <w:color w:val="000000"/>
                <w:sz w:val="21"/>
                <w:szCs w:val="21"/>
              </w:rPr>
            </w:pPr>
            <w:r>
              <w:rPr>
                <w:rFonts w:hint="eastAsia" w:ascii="宋体" w:hAnsi="宋体" w:eastAsia="宋体" w:cs="宋体"/>
                <w:color w:val="000000"/>
                <w:kern w:val="0"/>
                <w:sz w:val="21"/>
                <w:szCs w:val="21"/>
                <w:lang w:bidi="ar"/>
              </w:rPr>
              <w:t>被评价对象工作配合情况</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B232">
            <w:pPr>
              <w:widowControl/>
              <w:spacing w:line="240" w:lineRule="exact"/>
              <w:jc w:val="left"/>
              <w:textAlignment w:val="center"/>
              <w:rPr>
                <w:rFonts w:ascii="宋体" w:hAnsi="宋体" w:eastAsia="宋体" w:cs="宋体"/>
                <w:color w:val="000000"/>
                <w:kern w:val="0"/>
                <w:sz w:val="21"/>
                <w:szCs w:val="21"/>
                <w:lang w:bidi="ar"/>
              </w:rPr>
            </w:pP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8EA1C">
            <w:pPr>
              <w:widowControl/>
              <w:spacing w:line="240" w:lineRule="exact"/>
              <w:jc w:val="left"/>
              <w:textAlignment w:val="center"/>
              <w:rPr>
                <w:rFonts w:ascii="宋体" w:hAnsi="宋体" w:eastAsia="宋体" w:cs="宋体"/>
                <w:color w:val="000000"/>
                <w:kern w:val="0"/>
                <w:sz w:val="21"/>
                <w:szCs w:val="21"/>
                <w:lang w:bidi="ar"/>
              </w:rPr>
            </w:pPr>
          </w:p>
        </w:tc>
      </w:tr>
      <w:tr w14:paraId="5EDC6757">
        <w:tblPrEx>
          <w:tblCellMar>
            <w:top w:w="0" w:type="dxa"/>
            <w:left w:w="108" w:type="dxa"/>
            <w:bottom w:w="0" w:type="dxa"/>
            <w:right w:w="108" w:type="dxa"/>
          </w:tblCellMar>
        </w:tblPrEx>
        <w:trPr>
          <w:trHeight w:val="69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4E0B">
            <w:pPr>
              <w:widowControl/>
              <w:spacing w:line="240" w:lineRule="exact"/>
              <w:jc w:val="center"/>
              <w:textAlignment w:val="center"/>
              <w:rPr>
                <w:rFonts w:hint="eastAsia" w:ascii="宋体" w:hAnsi="宋体" w:eastAsia="宋体" w:cs="宋体"/>
                <w:b/>
                <w:color w:val="000000"/>
                <w:kern w:val="0"/>
                <w:sz w:val="21"/>
                <w:szCs w:val="21"/>
                <w:lang w:val="en-US" w:eastAsia="zh-CN" w:bidi="ar"/>
              </w:rPr>
            </w:pPr>
            <w:r>
              <w:rPr>
                <w:rFonts w:hint="eastAsia" w:ascii="宋体" w:hAnsi="宋体" w:cs="宋体"/>
                <w:b/>
                <w:color w:val="000000"/>
                <w:kern w:val="0"/>
                <w:sz w:val="21"/>
                <w:szCs w:val="21"/>
                <w:lang w:val="en-US" w:eastAsia="zh-CN" w:bidi="ar"/>
              </w:rPr>
              <w:t>合计</w:t>
            </w:r>
          </w:p>
        </w:tc>
        <w:tc>
          <w:tcPr>
            <w:tcW w:w="2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1AF127">
            <w:pPr>
              <w:widowControl/>
              <w:spacing w:line="240" w:lineRule="exact"/>
              <w:jc w:val="center"/>
              <w:textAlignment w:val="center"/>
              <w:rPr>
                <w:rFonts w:hint="eastAsia" w:ascii="宋体" w:hAnsi="宋体" w:eastAsia="宋体" w:cs="宋体"/>
                <w:color w:val="000000"/>
                <w:kern w:val="0"/>
                <w:sz w:val="21"/>
                <w:szCs w:val="21"/>
                <w:lang w:bidi="ar"/>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6A7B">
            <w:pPr>
              <w:widowControl/>
              <w:spacing w:line="240" w:lineRule="exact"/>
              <w:jc w:val="center"/>
              <w:textAlignment w:val="center"/>
              <w:rPr>
                <w:rFonts w:hint="eastAsia" w:ascii="宋体" w:hAnsi="宋体" w:eastAsia="宋体" w:cs="宋体"/>
                <w:color w:val="000000"/>
                <w:kern w:val="0"/>
                <w:sz w:val="21"/>
                <w:szCs w:val="21"/>
                <w:lang w:bidi="ar"/>
              </w:rPr>
            </w:pPr>
          </w:p>
        </w:tc>
        <w:tc>
          <w:tcPr>
            <w:tcW w:w="47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B157C">
            <w:pPr>
              <w:widowControl/>
              <w:spacing w:line="240" w:lineRule="exact"/>
              <w:jc w:val="left"/>
              <w:textAlignment w:val="center"/>
              <w:rPr>
                <w:rFonts w:hint="eastAsia" w:ascii="宋体" w:hAnsi="宋体" w:eastAsia="宋体" w:cs="宋体"/>
                <w:color w:val="000000"/>
                <w:kern w:val="0"/>
                <w:sz w:val="21"/>
                <w:szCs w:val="21"/>
                <w:lang w:bidi="ar"/>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3C37">
            <w:pPr>
              <w:widowControl/>
              <w:spacing w:line="240" w:lineRule="exact"/>
              <w:jc w:val="left"/>
              <w:textAlignment w:val="center"/>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94</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5E9F">
            <w:pPr>
              <w:widowControl/>
              <w:spacing w:line="240" w:lineRule="exact"/>
              <w:jc w:val="left"/>
              <w:textAlignment w:val="center"/>
              <w:rPr>
                <w:rFonts w:ascii="宋体" w:hAnsi="宋体" w:eastAsia="宋体" w:cs="宋体"/>
                <w:color w:val="000000"/>
                <w:kern w:val="0"/>
                <w:sz w:val="21"/>
                <w:szCs w:val="21"/>
                <w:lang w:bidi="ar"/>
              </w:rPr>
            </w:pPr>
          </w:p>
        </w:tc>
      </w:tr>
    </w:tbl>
    <w:p w14:paraId="6094C1C6">
      <w:pPr>
        <w:pStyle w:val="3"/>
        <w:keepNext w:val="0"/>
        <w:keepLines w:val="0"/>
        <w:pageBreakBefore w:val="0"/>
        <w:numPr>
          <w:ilvl w:val="0"/>
          <w:numId w:val="0"/>
        </w:numPr>
        <w:kinsoku/>
        <w:wordWrap/>
        <w:overflowPunct/>
        <w:topLinePunct w:val="0"/>
        <w:autoSpaceDE/>
        <w:autoSpaceDN/>
        <w:bidi w:val="0"/>
        <w:spacing w:line="560" w:lineRule="exact"/>
        <w:textAlignment w:val="auto"/>
        <w:rPr>
          <w:rFonts w:hint="eastAsia" w:ascii="黑体" w:hAnsi="黑体" w:eastAsia="黑体" w:cs="黑体"/>
          <w:b w:val="0"/>
          <w:bCs w:val="0"/>
          <w:kern w:val="2"/>
          <w:sz w:val="32"/>
          <w:szCs w:val="32"/>
          <w:u w:val="none"/>
          <w:lang w:val="zh-CN" w:eastAsia="zh-CN" w:bidi="ar"/>
        </w:rPr>
      </w:pPr>
      <w:r>
        <w:rPr>
          <w:rFonts w:hint="eastAsia" w:ascii="黑体" w:hAnsi="黑体" w:eastAsia="黑体" w:cs="黑体"/>
          <w:b w:val="0"/>
          <w:bCs w:val="0"/>
          <w:kern w:val="2"/>
          <w:sz w:val="32"/>
          <w:szCs w:val="32"/>
          <w:u w:val="none"/>
          <w:lang w:val="zh-CN" w:eastAsia="zh-CN" w:bidi="ar"/>
        </w:rPr>
        <w:t>附表</w:t>
      </w:r>
    </w:p>
    <w:tbl>
      <w:tblPr>
        <w:tblStyle w:val="16"/>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14:paraId="73639F3A">
        <w:tblPrEx>
          <w:tblCellMar>
            <w:top w:w="15" w:type="dxa"/>
            <w:left w:w="15" w:type="dxa"/>
            <w:bottom w:w="15" w:type="dxa"/>
            <w:right w:w="15" w:type="dxa"/>
          </w:tblCellMar>
        </w:tblPrEx>
        <w:trPr>
          <w:trHeight w:val="762" w:hRule="exact"/>
          <w:jc w:val="center"/>
        </w:trPr>
        <w:tc>
          <w:tcPr>
            <w:tcW w:w="10560" w:type="dxa"/>
            <w:gridSpan w:val="9"/>
            <w:noWrap w:val="0"/>
            <w:vAlign w:val="center"/>
          </w:tcPr>
          <w:p w14:paraId="6967B49D">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00E9577A">
        <w:tblPrEx>
          <w:tblCellMar>
            <w:top w:w="15" w:type="dxa"/>
            <w:left w:w="15" w:type="dxa"/>
            <w:bottom w:w="15" w:type="dxa"/>
            <w:right w:w="15" w:type="dxa"/>
          </w:tblCellMar>
        </w:tblPrEx>
        <w:trPr>
          <w:trHeight w:val="23" w:hRule="atLeast"/>
          <w:jc w:val="center"/>
        </w:trPr>
        <w:tc>
          <w:tcPr>
            <w:tcW w:w="10560" w:type="dxa"/>
            <w:gridSpan w:val="9"/>
            <w:noWrap w:val="0"/>
            <w:vAlign w:val="center"/>
          </w:tcPr>
          <w:p w14:paraId="2C373A7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bidi="ar"/>
              </w:rPr>
              <w:t>（202</w:t>
            </w:r>
            <w:r>
              <w:rPr>
                <w:rFonts w:hint="eastAsia" w:ascii="仿宋_GB2312" w:hAnsi="仿宋_GB2312" w:eastAsia="仿宋_GB2312" w:cs="仿宋_GB2312"/>
                <w:color w:val="000000"/>
                <w:kern w:val="0"/>
                <w:sz w:val="28"/>
                <w:szCs w:val="28"/>
                <w:lang w:val="en-US" w:eastAsia="zh-CN" w:bidi="ar"/>
              </w:rPr>
              <w:t>4</w:t>
            </w:r>
            <w:r>
              <w:rPr>
                <w:rFonts w:hint="eastAsia" w:ascii="仿宋_GB2312" w:hAnsi="仿宋_GB2312" w:eastAsia="仿宋_GB2312" w:cs="仿宋_GB2312"/>
                <w:color w:val="000000"/>
                <w:kern w:val="0"/>
                <w:sz w:val="28"/>
                <w:szCs w:val="28"/>
                <w:lang w:bidi="ar"/>
              </w:rPr>
              <w:t>年度）</w:t>
            </w:r>
          </w:p>
        </w:tc>
      </w:tr>
      <w:tr w14:paraId="606E33A0">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noWrap w:val="0"/>
            <w:vAlign w:val="center"/>
          </w:tcPr>
          <w:p w14:paraId="259471C1">
            <w:pPr>
              <w:keepNext w:val="0"/>
              <w:keepLines w:val="0"/>
              <w:pageBreakBefore w:val="0"/>
              <w:widowControl/>
              <w:kinsoku/>
              <w:wordWrap/>
              <w:overflowPunct/>
              <w:topLinePunct w:val="0"/>
              <w:autoSpaceDE/>
              <w:autoSpaceDN/>
              <w:bidi w:val="0"/>
              <w:adjustRightInd/>
              <w:snapToGrid/>
              <w:spacing w:line="260" w:lineRule="exact"/>
              <w:jc w:val="righ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单位：万元</w:t>
            </w:r>
          </w:p>
        </w:tc>
      </w:tr>
      <w:tr w14:paraId="34BEB331">
        <w:tblPrEx>
          <w:tblCellMar>
            <w:top w:w="15" w:type="dxa"/>
            <w:left w:w="15" w:type="dxa"/>
            <w:bottom w:w="15" w:type="dxa"/>
            <w:right w:w="15" w:type="dxa"/>
          </w:tblCellMar>
        </w:tblPrEx>
        <w:trPr>
          <w:trHeight w:val="245"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noWrap w:val="0"/>
            <w:vAlign w:val="center"/>
          </w:tcPr>
          <w:p w14:paraId="135A1D5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7A47109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kern w:val="0"/>
                <w:sz w:val="18"/>
                <w:szCs w:val="18"/>
                <w:lang w:eastAsia="zh-CN" w:bidi="ar"/>
              </w:rPr>
              <w:t>茂县沟口镇人民政府</w:t>
            </w:r>
          </w:p>
        </w:tc>
      </w:tr>
      <w:tr w14:paraId="0C15977B">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03F9C4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0653A5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2563CD0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1E07A8D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其他资金</w:t>
            </w:r>
          </w:p>
        </w:tc>
      </w:tr>
      <w:tr w14:paraId="58CECE33">
        <w:tblPrEx>
          <w:tblCellMar>
            <w:top w:w="15" w:type="dxa"/>
            <w:left w:w="15" w:type="dxa"/>
            <w:bottom w:w="15" w:type="dxa"/>
            <w:right w:w="15" w:type="dxa"/>
          </w:tblCellMar>
        </w:tblPrEx>
        <w:trPr>
          <w:trHeight w:val="329"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1F404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1F3C52A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en-US" w:eastAsia="zh-CN" w:bidi="ar"/>
              </w:rPr>
              <w:t>1793.31</w:t>
            </w:r>
          </w:p>
        </w:tc>
        <w:tc>
          <w:tcPr>
            <w:tcW w:w="2245" w:type="dxa"/>
            <w:gridSpan w:val="2"/>
            <w:tcBorders>
              <w:top w:val="single" w:color="000000" w:sz="4" w:space="0"/>
              <w:left w:val="single" w:color="000000" w:sz="4" w:space="0"/>
              <w:bottom w:val="single" w:color="000000" w:sz="4" w:space="0"/>
              <w:right w:val="single" w:color="000000" w:sz="4" w:space="0"/>
            </w:tcBorders>
            <w:noWrap w:val="0"/>
            <w:vAlign w:val="center"/>
          </w:tcPr>
          <w:p w14:paraId="22A4495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val="en-US"/>
              </w:rPr>
            </w:pPr>
            <w:r>
              <w:rPr>
                <w:rFonts w:hint="eastAsia" w:ascii="仿宋_GB2312" w:hAnsi="仿宋_GB2312" w:eastAsia="仿宋_GB2312" w:cs="仿宋_GB2312"/>
                <w:color w:val="000000"/>
                <w:kern w:val="0"/>
                <w:sz w:val="18"/>
                <w:szCs w:val="18"/>
                <w:lang w:val="en-US" w:eastAsia="zh-CN" w:bidi="ar"/>
              </w:rPr>
              <w:t>1793.31</w:t>
            </w:r>
          </w:p>
        </w:tc>
        <w:tc>
          <w:tcPr>
            <w:tcW w:w="4387" w:type="dxa"/>
            <w:gridSpan w:val="4"/>
            <w:tcBorders>
              <w:top w:val="single" w:color="000000" w:sz="4" w:space="0"/>
              <w:left w:val="single" w:color="000000" w:sz="4" w:space="0"/>
              <w:bottom w:val="single" w:color="000000" w:sz="4" w:space="0"/>
              <w:right w:val="single" w:color="000000" w:sz="4" w:space="0"/>
            </w:tcBorders>
            <w:noWrap w:val="0"/>
            <w:vAlign w:val="center"/>
          </w:tcPr>
          <w:p w14:paraId="2BE6419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en-US" w:eastAsia="zh-CN" w:bidi="ar"/>
              </w:rPr>
              <w:t>0</w:t>
            </w:r>
          </w:p>
        </w:tc>
      </w:tr>
      <w:tr w14:paraId="523DB756">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noWrap w:val="0"/>
            <w:vAlign w:val="center"/>
          </w:tcPr>
          <w:p w14:paraId="324C91A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年度总体</w:t>
            </w:r>
          </w:p>
          <w:p w14:paraId="7922586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noWrap w:val="0"/>
            <w:vAlign w:val="center"/>
          </w:tcPr>
          <w:p w14:paraId="0AA0305E">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目标1：贯彻执行上级的各项方针政策，抓好基层党建工作，稳定和完善政府各项决策部署，加强农业基层设施建设，改善农业生产条件，确保各项工作目标任务圆满完成。</w:t>
            </w:r>
          </w:p>
          <w:p w14:paraId="232F692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目标2：抓好</w:t>
            </w:r>
            <w:r>
              <w:rPr>
                <w:rFonts w:hint="eastAsia" w:ascii="仿宋_GB2312" w:hAnsi="仿宋_GB2312" w:eastAsia="仿宋_GB2312" w:cs="仿宋_GB2312"/>
                <w:color w:val="000000"/>
                <w:kern w:val="0"/>
                <w:sz w:val="18"/>
                <w:szCs w:val="18"/>
                <w:lang w:eastAsia="zh-CN" w:bidi="ar"/>
              </w:rPr>
              <w:t>沟口</w:t>
            </w:r>
            <w:r>
              <w:rPr>
                <w:rFonts w:hint="eastAsia" w:ascii="仿宋_GB2312" w:hAnsi="仿宋_GB2312" w:eastAsia="仿宋_GB2312" w:cs="仿宋_GB2312"/>
                <w:color w:val="000000"/>
                <w:kern w:val="0"/>
                <w:sz w:val="18"/>
                <w:szCs w:val="18"/>
                <w:lang w:bidi="ar"/>
              </w:rPr>
              <w:t>镇农业、经济、第三产业的发展、安全生产、经济可持续发展等工作，加强农村各项奖扶政策落实到位。</w:t>
            </w:r>
          </w:p>
          <w:p w14:paraId="5129D16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目标3：抓好</w:t>
            </w:r>
            <w:r>
              <w:rPr>
                <w:rFonts w:hint="eastAsia" w:ascii="仿宋_GB2312" w:hAnsi="仿宋_GB2312" w:eastAsia="仿宋_GB2312" w:cs="仿宋_GB2312"/>
                <w:color w:val="000000"/>
                <w:kern w:val="0"/>
                <w:sz w:val="18"/>
                <w:szCs w:val="18"/>
                <w:lang w:eastAsia="zh-CN" w:bidi="ar"/>
              </w:rPr>
              <w:t>沟口</w:t>
            </w:r>
            <w:r>
              <w:rPr>
                <w:rFonts w:hint="eastAsia" w:ascii="仿宋_GB2312" w:hAnsi="仿宋_GB2312" w:eastAsia="仿宋_GB2312" w:cs="仿宋_GB2312"/>
                <w:color w:val="000000"/>
                <w:kern w:val="0"/>
                <w:sz w:val="18"/>
                <w:szCs w:val="18"/>
                <w:lang w:bidi="ar"/>
              </w:rPr>
              <w:t>镇的行政事业单位和村级财务的管理、集中核算、全面监督，负责农村医疗合作管理、社会养老保险、卫生整治、绿化环保等上级交办的其他各项工作任务。</w:t>
            </w:r>
          </w:p>
          <w:p w14:paraId="26DE622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目标4：严格执行相关政策，保障工资及时发放。</w:t>
            </w:r>
          </w:p>
        </w:tc>
      </w:tr>
      <w:tr w14:paraId="7DDEE3F3">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5E8DF2F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年度主要</w:t>
            </w:r>
          </w:p>
          <w:p w14:paraId="04016C7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40A2E6B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382D28A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主要内容</w:t>
            </w:r>
          </w:p>
        </w:tc>
      </w:tr>
      <w:tr w14:paraId="5C10844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5F014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65C6E4F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抓好基层党建</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69023E6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抓好基层党建工作，稳定和完善政府各项决策部署，加强农业基层设施建设，改善农业生产条件，确保各项工作目标任务圆满完成。</w:t>
            </w:r>
          </w:p>
        </w:tc>
      </w:tr>
      <w:tr w14:paraId="3F63C99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4AEE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2620" w:type="dxa"/>
            <w:gridSpan w:val="2"/>
            <w:tcBorders>
              <w:top w:val="single" w:color="000000" w:sz="4" w:space="0"/>
              <w:left w:val="single" w:color="000000" w:sz="4" w:space="0"/>
              <w:bottom w:val="single" w:color="000000" w:sz="4" w:space="0"/>
              <w:right w:val="single" w:color="000000" w:sz="4" w:space="0"/>
            </w:tcBorders>
            <w:noWrap w:val="0"/>
            <w:vAlign w:val="center"/>
          </w:tcPr>
          <w:p w14:paraId="5D658889">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抓好农村基础设施建设</w:t>
            </w:r>
          </w:p>
        </w:tc>
        <w:tc>
          <w:tcPr>
            <w:tcW w:w="6632" w:type="dxa"/>
            <w:gridSpan w:val="6"/>
            <w:tcBorders>
              <w:top w:val="single" w:color="000000" w:sz="4" w:space="0"/>
              <w:left w:val="single" w:color="000000" w:sz="4" w:space="0"/>
              <w:bottom w:val="single" w:color="000000" w:sz="4" w:space="0"/>
              <w:right w:val="single" w:color="000000" w:sz="4" w:space="0"/>
            </w:tcBorders>
            <w:noWrap w:val="0"/>
            <w:vAlign w:val="center"/>
          </w:tcPr>
          <w:p w14:paraId="341BB6DE">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通过完善基础设施建设，进一步改善了村级的基础设施和公共服务，扩大了农村基层民主，完善了村民自治，密切了党和政府同农民群众的关系，满足了农民群众的需求，也为我镇的村级项目建设起到了示范和引领作用。</w:t>
            </w:r>
          </w:p>
        </w:tc>
      </w:tr>
      <w:tr w14:paraId="0C101FEE">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noWrap w:val="0"/>
            <w:vAlign w:val="center"/>
          </w:tcPr>
          <w:p w14:paraId="2C7CED6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年度绩效</w:t>
            </w:r>
          </w:p>
          <w:p w14:paraId="06F24A7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1603FAF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4C9CBC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7E0EAD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40EBD0B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绩效指标</w:t>
            </w:r>
          </w:p>
          <w:p w14:paraId="0CC45E2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性质</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67791EA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绩效指标值</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37D1BE5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绩效度量单位</w:t>
            </w:r>
          </w:p>
        </w:tc>
        <w:tc>
          <w:tcPr>
            <w:tcW w:w="926" w:type="dxa"/>
            <w:tcBorders>
              <w:top w:val="single" w:color="000000" w:sz="4" w:space="0"/>
              <w:left w:val="single" w:color="000000" w:sz="4" w:space="0"/>
              <w:bottom w:val="single" w:color="000000" w:sz="4" w:space="0"/>
            </w:tcBorders>
            <w:noWrap w:val="0"/>
            <w:vAlign w:val="center"/>
          </w:tcPr>
          <w:p w14:paraId="35A55B4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275C68B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实际完成</w:t>
            </w:r>
          </w:p>
          <w:p w14:paraId="28DDD34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r>
      <w:tr w14:paraId="558CCF0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0F55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restart"/>
            <w:tcBorders>
              <w:top w:val="single" w:color="000000" w:sz="4" w:space="0"/>
              <w:left w:val="single" w:color="000000" w:sz="4" w:space="0"/>
              <w:right w:val="single" w:color="000000" w:sz="4" w:space="0"/>
            </w:tcBorders>
            <w:noWrap w:val="0"/>
            <w:vAlign w:val="center"/>
          </w:tcPr>
          <w:p w14:paraId="703A727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4A0487A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2DA0944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工作成绩突出，质量达标率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7BF777E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063AF33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69D3A20">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473290F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4B978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5A23389F">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22866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1F3654">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74F5A4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36670E2F">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落实</w:t>
            </w:r>
            <w:r>
              <w:rPr>
                <w:rFonts w:hint="eastAsia" w:ascii="仿宋_GB2312" w:hAnsi="仿宋_GB2312" w:eastAsia="仿宋_GB2312" w:cs="仿宋_GB2312"/>
                <w:color w:val="000000"/>
                <w:sz w:val="18"/>
                <w:szCs w:val="18"/>
                <w:lang w:eastAsia="zh-CN"/>
              </w:rPr>
              <w:t>沟口</w:t>
            </w:r>
            <w:r>
              <w:rPr>
                <w:rFonts w:hint="eastAsia" w:ascii="仿宋_GB2312" w:hAnsi="仿宋_GB2312" w:eastAsia="仿宋_GB2312" w:cs="仿宋_GB2312"/>
                <w:color w:val="000000"/>
                <w:sz w:val="18"/>
                <w:szCs w:val="18"/>
              </w:rPr>
              <w:t>镇202</w:t>
            </w:r>
            <w:r>
              <w:rPr>
                <w:rFonts w:hint="eastAsia" w:ascii="仿宋_GB2312" w:hAnsi="仿宋_GB2312" w:eastAsia="仿宋_GB2312" w:cs="仿宋_GB2312"/>
                <w:color w:val="000000"/>
                <w:sz w:val="18"/>
                <w:szCs w:val="18"/>
                <w:lang w:val="en-US" w:eastAsia="zh-CN"/>
              </w:rPr>
              <w:t>4</w:t>
            </w:r>
            <w:r>
              <w:rPr>
                <w:rFonts w:hint="eastAsia" w:ascii="仿宋_GB2312" w:hAnsi="仿宋_GB2312" w:eastAsia="仿宋_GB2312" w:cs="仿宋_GB2312"/>
                <w:color w:val="000000"/>
                <w:sz w:val="18"/>
                <w:szCs w:val="18"/>
              </w:rPr>
              <w:t>年工作目标完成及时率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675A80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2521E80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2024</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034B82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年</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5598DDFB">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0F7D59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4DC20B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A5E2D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restart"/>
            <w:tcBorders>
              <w:top w:val="single" w:color="000000" w:sz="4" w:space="0"/>
              <w:left w:val="single" w:color="000000" w:sz="4" w:space="0"/>
              <w:bottom w:val="single" w:color="000000" w:sz="4" w:space="0"/>
              <w:right w:val="single" w:color="000000" w:sz="4" w:space="0"/>
            </w:tcBorders>
            <w:noWrap w:val="0"/>
            <w:vAlign w:val="center"/>
          </w:tcPr>
          <w:p w14:paraId="5F8A478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73" w:type="dxa"/>
            <w:tcBorders>
              <w:top w:val="single" w:color="000000" w:sz="4" w:space="0"/>
              <w:left w:val="single" w:color="000000" w:sz="4" w:space="0"/>
              <w:right w:val="single" w:color="000000" w:sz="4" w:space="0"/>
            </w:tcBorders>
            <w:noWrap w:val="0"/>
            <w:vAlign w:val="center"/>
          </w:tcPr>
          <w:p w14:paraId="4CF0554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440D776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FB2374B">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社会效益良好</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009E800D">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定性</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44F44050">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优良中低差</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F8C31C4">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3E182E59">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6BCE414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242378B5">
        <w:tblPrEx>
          <w:tblCellMar>
            <w:top w:w="15" w:type="dxa"/>
            <w:left w:w="15" w:type="dxa"/>
            <w:bottom w:w="15" w:type="dxa"/>
            <w:right w:w="15" w:type="dxa"/>
          </w:tblCellMar>
        </w:tblPrEx>
        <w:trPr>
          <w:trHeight w:val="94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AB3ABA">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C2A123">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7556659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生态效益指标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EA3DD33">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环境卫生及国土合理管理，有效地促进生态发展</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C3C74CD">
            <w:pPr>
              <w:keepNext w:val="0"/>
              <w:keepLines w:val="0"/>
              <w:pageBreakBefore w:val="0"/>
              <w:widowControl/>
              <w:kinsoku/>
              <w:wordWrap/>
              <w:overflowPunct/>
              <w:topLinePunct w:val="0"/>
              <w:autoSpaceDE/>
              <w:autoSpaceDN/>
              <w:bidi w:val="0"/>
              <w:adjustRightInd/>
              <w:snapToGrid/>
              <w:spacing w:line="260" w:lineRule="exact"/>
              <w:ind w:firstLine="180" w:firstLineChars="100"/>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56487F1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进一步保障</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2A8D441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6052BEE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7211595E">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68B9123">
        <w:tblPrEx>
          <w:tblCellMar>
            <w:top w:w="15" w:type="dxa"/>
            <w:left w:w="15" w:type="dxa"/>
            <w:bottom w:w="15" w:type="dxa"/>
            <w:right w:w="15" w:type="dxa"/>
          </w:tblCellMar>
        </w:tblPrEx>
        <w:trPr>
          <w:trHeight w:val="94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B9B45">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76ABC07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kern w:val="0"/>
                <w:sz w:val="18"/>
                <w:szCs w:val="18"/>
                <w:lang w:eastAsia="zh-CN" w:bidi="ar"/>
              </w:rPr>
              <w:t>产出指标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B004A8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29B06AA">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能有效控制成本，三公经费控制率</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9382C7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152E6BA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4EC6EEA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17040F72">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FF836EC">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E38C37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CFBE51">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347" w:type="dxa"/>
            <w:tcBorders>
              <w:top w:val="single" w:color="000000" w:sz="4" w:space="0"/>
              <w:left w:val="single" w:color="000000" w:sz="4" w:space="0"/>
              <w:bottom w:val="single" w:color="000000" w:sz="4" w:space="0"/>
              <w:right w:val="single" w:color="000000" w:sz="4" w:space="0"/>
            </w:tcBorders>
            <w:noWrap w:val="0"/>
            <w:vAlign w:val="center"/>
          </w:tcPr>
          <w:p w14:paraId="28B12D8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273" w:type="dxa"/>
            <w:tcBorders>
              <w:top w:val="single" w:color="000000" w:sz="4" w:space="0"/>
              <w:left w:val="single" w:color="000000" w:sz="4" w:space="0"/>
              <w:bottom w:val="single" w:color="000000" w:sz="4" w:space="0"/>
              <w:right w:val="single" w:color="000000" w:sz="4" w:space="0"/>
            </w:tcBorders>
            <w:noWrap w:val="0"/>
            <w:vAlign w:val="center"/>
          </w:tcPr>
          <w:p w14:paraId="0DD4B4A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785C0142">
            <w:pPr>
              <w:keepNext w:val="0"/>
              <w:keepLines w:val="0"/>
              <w:pageBreakBefore w:val="0"/>
              <w:widowControl/>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收益群众满意度</w:t>
            </w:r>
          </w:p>
        </w:tc>
        <w:tc>
          <w:tcPr>
            <w:tcW w:w="1145" w:type="dxa"/>
            <w:tcBorders>
              <w:top w:val="single" w:color="000000" w:sz="4" w:space="0"/>
              <w:left w:val="single" w:color="000000" w:sz="4" w:space="0"/>
              <w:bottom w:val="single" w:color="000000" w:sz="4" w:space="0"/>
              <w:right w:val="single" w:color="000000" w:sz="4" w:space="0"/>
            </w:tcBorders>
            <w:noWrap w:val="0"/>
            <w:vAlign w:val="center"/>
          </w:tcPr>
          <w:p w14:paraId="3C6CCA8F">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1289" w:type="dxa"/>
            <w:tcBorders>
              <w:top w:val="single" w:color="000000" w:sz="4" w:space="0"/>
              <w:left w:val="single" w:color="000000" w:sz="4" w:space="0"/>
              <w:bottom w:val="single" w:color="000000" w:sz="4" w:space="0"/>
              <w:right w:val="single" w:color="000000" w:sz="4" w:space="0"/>
            </w:tcBorders>
            <w:noWrap w:val="0"/>
            <w:vAlign w:val="center"/>
          </w:tcPr>
          <w:p w14:paraId="70D5FB67">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95</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0EEE7206">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26" w:type="dxa"/>
            <w:tcBorders>
              <w:top w:val="single" w:color="000000" w:sz="4" w:space="0"/>
              <w:left w:val="single" w:color="000000" w:sz="4" w:space="0"/>
              <w:bottom w:val="single" w:color="000000" w:sz="4" w:space="0"/>
              <w:right w:val="single" w:color="000000" w:sz="4" w:space="0"/>
            </w:tcBorders>
            <w:noWrap w:val="0"/>
            <w:vAlign w:val="center"/>
          </w:tcPr>
          <w:p w14:paraId="0F20539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noWrap w:val="0"/>
            <w:vAlign w:val="center"/>
          </w:tcPr>
          <w:p w14:paraId="4CC65058">
            <w:pPr>
              <w:keepNext w:val="0"/>
              <w:keepLines w:val="0"/>
              <w:pageBreakBefore w:val="0"/>
              <w:widowControl/>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55A32AA6">
      <w:pPr>
        <w:pStyle w:val="8"/>
        <w:rPr>
          <w:rFonts w:hint="eastAsia"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kern w:val="0"/>
          <w:sz w:val="32"/>
          <w:szCs w:val="32"/>
          <w:highlight w:val="none"/>
          <w:shd w:val="clear" w:color="auto" w:fill="FFFFFF"/>
          <w:lang w:val="zh-CN"/>
        </w:rPr>
        <w:t>附件</w:t>
      </w:r>
      <w:r>
        <w:rPr>
          <w:rFonts w:hint="eastAsia" w:ascii="Times New Roman" w:eastAsia="黑体" w:cs="黑体"/>
          <w:color w:val="auto"/>
          <w:kern w:val="0"/>
          <w:sz w:val="32"/>
          <w:szCs w:val="32"/>
          <w:highlight w:val="none"/>
          <w:shd w:val="clear" w:color="auto" w:fill="FFFFFF"/>
          <w:lang w:val="en-US" w:eastAsia="zh-CN"/>
        </w:rPr>
        <w:t>2</w:t>
      </w:r>
    </w:p>
    <w:p w14:paraId="1A470D6F">
      <w:pPr>
        <w:pStyle w:val="35"/>
        <w:keepNext w:val="0"/>
        <w:keepLines w:val="0"/>
        <w:pageBreakBefore w:val="0"/>
        <w:widowControl w:val="0"/>
        <w:kinsoku/>
        <w:wordWrap/>
        <w:overflowPunct/>
        <w:topLinePunct w:val="0"/>
        <w:autoSpaceDE/>
        <w:autoSpaceDN/>
        <w:bidi w:val="0"/>
        <w:spacing w:line="578" w:lineRule="exact"/>
        <w:ind w:left="0" w:leftChars="0"/>
        <w:jc w:val="center"/>
        <w:textAlignment w:val="auto"/>
        <w:rPr>
          <w:rFonts w:hint="eastAsia" w:ascii="Times New Roman" w:hAnsi="Times New Roman" w:eastAsia="方正小标宋简体" w:cs="方正小标宋简体"/>
          <w:color w:val="auto"/>
          <w:kern w:val="2"/>
          <w:sz w:val="44"/>
          <w:szCs w:val="44"/>
          <w:highlight w:val="none"/>
          <w:lang w:val="en-US" w:eastAsia="zh-CN"/>
        </w:rPr>
      </w:pPr>
    </w:p>
    <w:p w14:paraId="1D4027F5">
      <w:pPr>
        <w:pStyle w:val="3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eastAsia="zh-CN"/>
        </w:rPr>
        <w:t>茂县沟口镇人民政府</w:t>
      </w:r>
    </w:p>
    <w:p w14:paraId="7EEED815">
      <w:pPr>
        <w:pStyle w:val="35"/>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14:paraId="1D526FD4">
      <w:pPr>
        <w:pStyle w:val="35"/>
        <w:spacing w:line="600" w:lineRule="exact"/>
        <w:ind w:firstLine="2570" w:firstLineChars="800"/>
        <w:jc w:val="both"/>
        <w:rPr>
          <w:rFonts w:hint="eastAsia" w:ascii="楷体_GB2312" w:hAnsi="楷体_GB2312" w:eastAsia="楷体_GB2312" w:cs="楷体_GB2312"/>
          <w:b/>
          <w:bCs/>
          <w:color w:val="auto"/>
          <w:kern w:val="2"/>
          <w:sz w:val="32"/>
          <w:szCs w:val="32"/>
        </w:rPr>
      </w:pPr>
      <w:r>
        <w:rPr>
          <w:rFonts w:hint="eastAsia" w:ascii="楷体_GB2312" w:hAnsi="楷体_GB2312" w:eastAsia="楷体_GB2312" w:cs="楷体_GB2312"/>
          <w:b/>
          <w:bCs/>
          <w:color w:val="auto"/>
          <w:kern w:val="2"/>
          <w:sz w:val="32"/>
          <w:szCs w:val="32"/>
        </w:rPr>
        <w:t>（茂县沟口大桥桥梁建设）</w:t>
      </w:r>
    </w:p>
    <w:p w14:paraId="70052B09">
      <w:pPr>
        <w:pStyle w:val="35"/>
        <w:keepNext w:val="0"/>
        <w:keepLines w:val="0"/>
        <w:pageBreakBefore w:val="0"/>
        <w:widowControl w:val="0"/>
        <w:kinsoku/>
        <w:wordWrap/>
        <w:overflowPunct/>
        <w:topLinePunct w:val="0"/>
        <w:autoSpaceDE/>
        <w:autoSpaceDN/>
        <w:bidi w:val="0"/>
        <w:spacing w:line="578" w:lineRule="exact"/>
        <w:jc w:val="both"/>
        <w:textAlignment w:val="auto"/>
        <w:rPr>
          <w:rFonts w:ascii="Times New Roman" w:hAnsi="Times New Roman"/>
          <w:color w:val="auto"/>
          <w:kern w:val="2"/>
          <w:sz w:val="32"/>
          <w:szCs w:val="32"/>
          <w:highlight w:val="none"/>
        </w:rPr>
      </w:pPr>
    </w:p>
    <w:p w14:paraId="771679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Times New Roman" w:hAnsi="Times New Roman" w:eastAsia="黑体"/>
          <w:sz w:val="32"/>
          <w:szCs w:val="32"/>
          <w:highlight w:val="none"/>
          <w:lang w:val="zh-CN"/>
        </w:rPr>
      </w:pPr>
      <w:r>
        <w:rPr>
          <w:rFonts w:hint="eastAsia" w:ascii="Times New Roman" w:hAnsi="Times New Roman" w:eastAsia="黑体"/>
          <w:sz w:val="32"/>
          <w:szCs w:val="32"/>
          <w:highlight w:val="none"/>
        </w:rPr>
        <w:t>一、</w:t>
      </w:r>
      <w:r>
        <w:rPr>
          <w:rFonts w:hint="eastAsia" w:ascii="Times New Roman" w:hAnsi="Times New Roman" w:eastAsia="黑体"/>
          <w:sz w:val="32"/>
          <w:szCs w:val="32"/>
          <w:highlight w:val="none"/>
          <w:lang w:val="zh-CN"/>
        </w:rPr>
        <w:t>项目概况</w:t>
      </w:r>
    </w:p>
    <w:p w14:paraId="231B839E">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left"/>
        <w:textAlignment w:val="auto"/>
        <w:rPr>
          <w:rFonts w:hint="eastAsia" w:ascii="仿宋_GB2312" w:hAnsi="宋体" w:eastAsia="仿宋_GB2312"/>
          <w:color w:val="auto"/>
          <w:kern w:val="2"/>
          <w:sz w:val="32"/>
          <w:szCs w:val="32"/>
          <w:lang w:val="zh-CN"/>
        </w:rPr>
      </w:pPr>
      <w:r>
        <w:rPr>
          <w:rFonts w:hint="eastAsia" w:ascii="Times New Roman" w:hAnsi="Times New Roman" w:eastAsia="楷体_GB2312"/>
          <w:b/>
          <w:color w:val="auto"/>
          <w:sz w:val="32"/>
          <w:szCs w:val="32"/>
          <w:highlight w:val="none"/>
          <w:u w:val="none"/>
          <w:lang w:val="zh-CN"/>
        </w:rPr>
        <w:t>（一）设立背景及基本情况。</w:t>
      </w:r>
      <w:r>
        <w:rPr>
          <w:rFonts w:hint="eastAsia" w:ascii="仿宋_GB2312" w:hAnsi="宋体" w:eastAsia="仿宋_GB2312"/>
          <w:color w:val="auto"/>
          <w:kern w:val="2"/>
          <w:sz w:val="32"/>
          <w:szCs w:val="32"/>
          <w:lang w:val="zh-CN"/>
        </w:rPr>
        <w:t>茂县沟口大桥桥梁建设。新建一座长110米、宽8米大桥，采用10米现浇板+3*30米预制T 梁，引道长约 235米；</w:t>
      </w:r>
      <w:r>
        <w:rPr>
          <w:rFonts w:hint="eastAsia" w:ascii="仿宋_GB2312" w:hAnsi="宋体" w:eastAsia="仿宋_GB2312"/>
          <w:color w:val="auto"/>
          <w:kern w:val="2"/>
          <w:sz w:val="32"/>
          <w:szCs w:val="32"/>
          <w:lang w:val="zh-CN" w:eastAsia="zh-CN"/>
        </w:rPr>
        <w:t>今年完成支付金额</w:t>
      </w:r>
      <w:r>
        <w:rPr>
          <w:rFonts w:hint="eastAsia" w:ascii="仿宋_GB2312" w:hAnsi="宋体" w:eastAsia="仿宋_GB2312"/>
          <w:color w:val="auto"/>
          <w:kern w:val="2"/>
          <w:sz w:val="32"/>
          <w:szCs w:val="32"/>
          <w:lang w:val="zh-CN"/>
        </w:rPr>
        <w:t>：</w:t>
      </w:r>
      <w:r>
        <w:rPr>
          <w:rFonts w:hint="eastAsia" w:ascii="仿宋_GB2312" w:hAnsi="宋体" w:eastAsia="仿宋_GB2312"/>
          <w:color w:val="auto"/>
          <w:kern w:val="2"/>
          <w:sz w:val="32"/>
          <w:szCs w:val="32"/>
          <w:lang w:val="en-US" w:eastAsia="zh-CN"/>
        </w:rPr>
        <w:t>509.90万</w:t>
      </w:r>
      <w:r>
        <w:rPr>
          <w:rFonts w:hint="eastAsia" w:ascii="仿宋_GB2312" w:hAnsi="宋体" w:eastAsia="仿宋_GB2312"/>
          <w:color w:val="auto"/>
          <w:kern w:val="2"/>
          <w:sz w:val="32"/>
          <w:szCs w:val="32"/>
          <w:lang w:val="zh-CN"/>
        </w:rPr>
        <w:t>元 。</w:t>
      </w:r>
    </w:p>
    <w:p w14:paraId="1EBA0CB9">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left"/>
        <w:textAlignment w:val="auto"/>
        <w:rPr>
          <w:rFonts w:eastAsia="楷体_GB2312"/>
          <w:b/>
          <w:lang w:val="zh-CN"/>
        </w:rPr>
      </w:pPr>
      <w:r>
        <w:rPr>
          <w:rFonts w:hint="eastAsia" w:ascii="Times New Roman" w:hAnsi="Times New Roman" w:eastAsia="楷体_GB2312" w:cs="Times New Roman"/>
          <w:b/>
          <w:color w:val="auto"/>
          <w:sz w:val="32"/>
          <w:szCs w:val="32"/>
          <w:highlight w:val="none"/>
          <w:u w:val="none"/>
          <w:lang w:val="zh-CN"/>
        </w:rPr>
        <w:t>（二）实施目的及支持方向。</w:t>
      </w:r>
      <w:r>
        <w:rPr>
          <w:rFonts w:hint="eastAsia" w:ascii="仿宋_GB2312" w:hAnsi="宋体" w:eastAsia="仿宋_GB2312"/>
          <w:color w:val="auto"/>
          <w:kern w:val="2"/>
          <w:sz w:val="32"/>
          <w:szCs w:val="32"/>
        </w:rPr>
        <w:t>该项目有利于乡村党群事业发展，为实现乡村振兴添砖加瓦，为发展经济提供基础指挥平台，能为茂县社会经济带来更多正面影响。</w:t>
      </w:r>
    </w:p>
    <w:p w14:paraId="42A27898">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left"/>
        <w:textAlignment w:val="auto"/>
        <w:rPr>
          <w:rFonts w:hint="default" w:ascii="仿宋_GB2312" w:hAnsi="Times New Roman" w:eastAsia="仿宋_GB2312" w:cs="Times New Roman"/>
          <w:sz w:val="32"/>
          <w:szCs w:val="32"/>
          <w:lang w:val="en-US" w:eastAsia="zh-CN"/>
        </w:rPr>
      </w:pPr>
      <w:r>
        <w:rPr>
          <w:rFonts w:hint="eastAsia" w:ascii="Times New Roman" w:hAnsi="Times New Roman" w:eastAsia="楷体_GB2312" w:cs="Times New Roman"/>
          <w:b/>
          <w:color w:val="auto"/>
          <w:sz w:val="32"/>
          <w:szCs w:val="32"/>
          <w:highlight w:val="none"/>
          <w:u w:val="none"/>
          <w:lang w:val="zh-CN"/>
        </w:rPr>
        <w:t>（三）预算安排及分配管理。</w:t>
      </w:r>
      <w:r>
        <w:rPr>
          <w:rFonts w:hint="eastAsia" w:ascii="仿宋_GB2312" w:hAnsi="Times New Roman" w:eastAsia="仿宋_GB2312" w:cs="Times New Roman"/>
          <w:sz w:val="32"/>
          <w:szCs w:val="32"/>
          <w:lang w:val="zh-CN"/>
        </w:rPr>
        <w:t>我镇</w:t>
      </w:r>
      <w:r>
        <w:rPr>
          <w:rFonts w:hint="eastAsia" w:ascii="仿宋_GB2312" w:hAnsi="Times New Roman" w:eastAsia="仿宋_GB2312" w:cs="Times New Roman"/>
          <w:sz w:val="32"/>
          <w:szCs w:val="32"/>
        </w:rPr>
        <w:t>202</w:t>
      </w:r>
      <w:r>
        <w:rPr>
          <w:rFonts w:hint="eastAsia" w:ascii="仿宋_GB2312" w:cs="Times New Roman"/>
          <w:sz w:val="32"/>
          <w:szCs w:val="32"/>
          <w:lang w:val="en-US" w:eastAsia="zh-CN"/>
        </w:rPr>
        <w:t>4</w:t>
      </w:r>
      <w:r>
        <w:rPr>
          <w:rFonts w:hint="eastAsia" w:ascii="仿宋_GB2312" w:hAnsi="Times New Roman" w:eastAsia="仿宋_GB2312" w:cs="Times New Roman"/>
          <w:sz w:val="32"/>
          <w:szCs w:val="32"/>
        </w:rPr>
        <w:t>年</w:t>
      </w:r>
      <w:r>
        <w:rPr>
          <w:rFonts w:hint="eastAsia" w:ascii="仿宋_GB2312" w:hAnsi="宋体" w:eastAsia="仿宋_GB2312"/>
          <w:color w:val="auto"/>
          <w:kern w:val="2"/>
          <w:sz w:val="32"/>
          <w:szCs w:val="32"/>
          <w:lang w:val="zh-CN"/>
        </w:rPr>
        <w:t>收到财政拨款</w:t>
      </w:r>
      <w:r>
        <w:rPr>
          <w:rFonts w:hint="eastAsia" w:ascii="仿宋_GB2312" w:hAnsi="宋体" w:eastAsia="仿宋_GB2312"/>
          <w:color w:val="auto"/>
          <w:kern w:val="2"/>
          <w:sz w:val="32"/>
          <w:szCs w:val="32"/>
          <w:lang w:val="en-US" w:eastAsia="zh-CN"/>
        </w:rPr>
        <w:t>509.90万</w:t>
      </w:r>
      <w:r>
        <w:rPr>
          <w:rFonts w:hint="eastAsia" w:ascii="仿宋_GB2312" w:hAnsi="宋体" w:eastAsia="仿宋_GB2312"/>
          <w:color w:val="auto"/>
          <w:kern w:val="2"/>
          <w:sz w:val="32"/>
          <w:szCs w:val="32"/>
        </w:rPr>
        <w:t>元，</w:t>
      </w:r>
      <w:r>
        <w:rPr>
          <w:rFonts w:hint="eastAsia" w:ascii="仿宋_GB2312" w:hAnsi="宋体" w:eastAsia="仿宋_GB2312"/>
          <w:color w:val="auto"/>
          <w:kern w:val="2"/>
          <w:sz w:val="32"/>
          <w:szCs w:val="32"/>
          <w:lang w:val="zh-CN"/>
        </w:rPr>
        <w:t>资金到位率100%。实际支出</w:t>
      </w:r>
      <w:r>
        <w:rPr>
          <w:rFonts w:hint="eastAsia" w:ascii="仿宋_GB2312" w:hAnsi="宋体" w:eastAsia="仿宋_GB2312"/>
          <w:color w:val="auto"/>
          <w:kern w:val="2"/>
          <w:sz w:val="32"/>
          <w:szCs w:val="32"/>
          <w:lang w:val="en-US" w:eastAsia="zh-CN"/>
        </w:rPr>
        <w:t>509.90万</w:t>
      </w:r>
      <w:r>
        <w:rPr>
          <w:rFonts w:hint="eastAsia" w:ascii="仿宋_GB2312" w:hAnsi="宋体" w:eastAsia="仿宋_GB2312"/>
          <w:color w:val="auto"/>
          <w:kern w:val="2"/>
          <w:sz w:val="32"/>
          <w:szCs w:val="32"/>
          <w:lang w:val="zh-CN"/>
        </w:rPr>
        <w:t>元，</w:t>
      </w:r>
      <w:r>
        <w:rPr>
          <w:rFonts w:hint="eastAsia" w:ascii="仿宋_GB2312" w:hAnsi="Times New Roman" w:eastAsia="仿宋_GB2312" w:cs="Times New Roman"/>
          <w:sz w:val="32"/>
          <w:szCs w:val="32"/>
          <w:lang w:val="zh-CN"/>
        </w:rPr>
        <w:t>支付</w:t>
      </w:r>
      <w:r>
        <w:rPr>
          <w:rFonts w:hint="eastAsia" w:ascii="仿宋_GB2312" w:eastAsia="仿宋_GB2312" w:cs="Times New Roman"/>
          <w:sz w:val="32"/>
          <w:szCs w:val="32"/>
          <w:lang w:val="zh-CN" w:eastAsia="zh-CN"/>
        </w:rPr>
        <w:t>完成</w:t>
      </w:r>
      <w:r>
        <w:rPr>
          <w:rFonts w:hint="eastAsia" w:ascii="仿宋_GB2312" w:hAnsi="Times New Roman" w:eastAsia="仿宋_GB2312" w:cs="Times New Roman"/>
          <w:sz w:val="32"/>
          <w:szCs w:val="32"/>
          <w:lang w:val="zh-CN"/>
        </w:rPr>
        <w:t>率</w:t>
      </w:r>
      <w:r>
        <w:rPr>
          <w:rFonts w:hint="eastAsia" w:ascii="仿宋_GB2312" w:hAnsi="Times New Roman" w:eastAsia="仿宋_GB2312" w:cs="Times New Roman"/>
          <w:sz w:val="32"/>
          <w:szCs w:val="32"/>
          <w:lang w:val="en-US" w:eastAsia="zh-CN"/>
        </w:rPr>
        <w:t>100%。</w:t>
      </w:r>
    </w:p>
    <w:p w14:paraId="4FEB3FFC">
      <w:pPr>
        <w:keepNext w:val="0"/>
        <w:keepLines w:val="0"/>
        <w:pageBreakBefore w:val="0"/>
        <w:widowControl/>
        <w:numPr>
          <w:ilvl w:val="0"/>
          <w:numId w:val="0"/>
        </w:numPr>
        <w:kinsoku/>
        <w:wordWrap/>
        <w:overflowPunct/>
        <w:topLinePunct w:val="0"/>
        <w:autoSpaceDE/>
        <w:autoSpaceDN/>
        <w:bidi w:val="0"/>
        <w:spacing w:line="560" w:lineRule="exact"/>
        <w:ind w:firstLine="643" w:firstLineChars="200"/>
        <w:jc w:val="left"/>
        <w:textAlignment w:val="auto"/>
        <w:rPr>
          <w:rFonts w:hint="eastAsia" w:ascii="楷体_GB2312" w:hAnsi="宋体" w:eastAsia="楷体_GB2312"/>
          <w:b/>
          <w:lang w:val="zh-CN"/>
        </w:rPr>
      </w:pPr>
      <w:r>
        <w:rPr>
          <w:rFonts w:hint="eastAsia" w:ascii="Times New Roman" w:hAnsi="Times New Roman" w:eastAsia="楷体_GB2312" w:cs="Times New Roman"/>
          <w:b/>
          <w:color w:val="auto"/>
          <w:sz w:val="32"/>
          <w:szCs w:val="32"/>
          <w:highlight w:val="none"/>
          <w:u w:val="none"/>
          <w:lang w:val="zh-CN"/>
        </w:rPr>
        <w:t>（四）项目绩效目标设置。</w:t>
      </w:r>
      <w:r>
        <w:rPr>
          <w:rFonts w:hint="eastAsia" w:ascii="仿宋_GB2312" w:hAnsi="宋体" w:eastAsia="仿宋_GB2312"/>
          <w:color w:val="auto"/>
          <w:kern w:val="2"/>
          <w:sz w:val="32"/>
          <w:szCs w:val="32"/>
          <w:lang w:val="zh-CN"/>
        </w:rPr>
        <w:t>本项目的建设，对加强各村人民直接的经济联系起到了巨大的作用，也为地方经济发展提供了必要的基础设施。有利于各村人民来往，起到了分流的作用，加强各村人民的来往和联系，改善区域人行交通环境。极大缓解周边人民的出行状况，促进社会经济快速发展，对实现城乡统筹协调发展，建设社会主义新农村，实现小康社会有着促进作用。</w:t>
      </w:r>
    </w:p>
    <w:p w14:paraId="10C10C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Times New Roman" w:hAnsi="Times New Roman" w:eastAsia="黑体"/>
          <w:sz w:val="32"/>
          <w:szCs w:val="32"/>
          <w:highlight w:val="none"/>
          <w:lang w:eastAsia="zh-CN"/>
        </w:rPr>
      </w:pPr>
      <w:r>
        <w:rPr>
          <w:rFonts w:hint="eastAsia" w:ascii="Times New Roman" w:hAnsi="Times New Roman" w:eastAsia="黑体"/>
          <w:sz w:val="32"/>
          <w:szCs w:val="32"/>
          <w:highlight w:val="none"/>
        </w:rPr>
        <w:t>二、</w:t>
      </w:r>
      <w:r>
        <w:rPr>
          <w:rFonts w:hint="eastAsia" w:ascii="Times New Roman" w:hAnsi="Times New Roman" w:eastAsia="黑体"/>
          <w:sz w:val="32"/>
          <w:szCs w:val="32"/>
          <w:highlight w:val="none"/>
          <w:lang w:eastAsia="zh-CN"/>
        </w:rPr>
        <w:t>评价实施</w:t>
      </w:r>
    </w:p>
    <w:p w14:paraId="07663850">
      <w:pPr>
        <w:keepNext w:val="0"/>
        <w:keepLines w:val="0"/>
        <w:pageBreakBefore w:val="0"/>
        <w:widowControl w:val="0"/>
        <w:kinsoku/>
        <w:wordWrap/>
        <w:overflowPunct/>
        <w:topLinePunct w:val="0"/>
        <w:autoSpaceDE/>
        <w:autoSpaceDN/>
        <w:bidi w:val="0"/>
        <w:spacing w:line="560" w:lineRule="exact"/>
        <w:ind w:firstLine="643" w:firstLineChars="200"/>
        <w:textAlignment w:val="auto"/>
        <w:outlineLvl w:val="9"/>
        <w:rPr>
          <w:rFonts w:hint="eastAsia" w:ascii="仿宋_GB2312" w:hAnsi="宋体" w:eastAsia="仿宋_GB2312" w:cs="Times New Roman"/>
          <w:color w:val="auto"/>
          <w:kern w:val="2"/>
          <w:sz w:val="32"/>
          <w:szCs w:val="32"/>
          <w:lang w:val="zh-CN"/>
        </w:rPr>
      </w:pPr>
      <w:r>
        <w:rPr>
          <w:rFonts w:hint="eastAsia" w:ascii="Times New Roman" w:hAnsi="Times New Roman" w:eastAsia="楷体_GB2312" w:cs="Times New Roman"/>
          <w:b/>
          <w:color w:val="auto"/>
          <w:sz w:val="32"/>
          <w:szCs w:val="32"/>
          <w:highlight w:val="none"/>
          <w:u w:val="none"/>
          <w:lang w:val="zh-CN"/>
        </w:rPr>
        <w:t>（一）评价目的。</w:t>
      </w:r>
      <w:r>
        <w:rPr>
          <w:rFonts w:hint="eastAsia" w:ascii="仿宋_GB2312" w:hAnsi="宋体" w:eastAsia="仿宋_GB2312" w:cs="Times New Roman"/>
          <w:color w:val="auto"/>
          <w:kern w:val="2"/>
          <w:sz w:val="32"/>
          <w:szCs w:val="32"/>
          <w:lang w:val="zh-CN"/>
        </w:rPr>
        <w:t>通为进一步提升预算管理水平、提高公共服务质量、优化公共资源配置提供决策参考，为以后年度类似项目专项资金安排、政策制度建设、预算绩效的推进提供必要的借鉴。</w:t>
      </w:r>
    </w:p>
    <w:p w14:paraId="3305535D">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仿宋_GB2312" w:hAnsi="宋体" w:eastAsia="仿宋_GB2312" w:cs="Times New Roman"/>
          <w:color w:val="auto"/>
          <w:kern w:val="2"/>
          <w:sz w:val="32"/>
          <w:szCs w:val="32"/>
          <w:lang w:val="zh-CN"/>
        </w:rPr>
      </w:pPr>
      <w:r>
        <w:rPr>
          <w:rFonts w:hint="eastAsia" w:ascii="Times New Roman" w:hAnsi="Times New Roman" w:eastAsia="楷体_GB2312" w:cs="Times New Roman"/>
          <w:b/>
          <w:color w:val="auto"/>
          <w:sz w:val="32"/>
          <w:szCs w:val="32"/>
          <w:highlight w:val="none"/>
          <w:u w:val="none"/>
          <w:lang w:val="zh-CN"/>
        </w:rPr>
        <w:t>（二）预设问题及评价重点。</w:t>
      </w:r>
      <w:r>
        <w:rPr>
          <w:rFonts w:hint="eastAsia" w:ascii="仿宋_GB2312" w:hAnsi="宋体" w:eastAsia="仿宋_GB2312" w:cs="Times New Roman"/>
          <w:color w:val="auto"/>
          <w:kern w:val="2"/>
          <w:sz w:val="32"/>
          <w:szCs w:val="32"/>
          <w:lang w:val="zh-CN" w:eastAsia="zh-CN"/>
        </w:rPr>
        <w:t>重点评价该项目财政专项资金使用的规范性、安全性和有效性及评价项目的社会效益、经济效益、可持续性。</w:t>
      </w:r>
    </w:p>
    <w:p w14:paraId="67736278">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仿宋_GB2312" w:hAnsi="宋体" w:eastAsia="仿宋_GB2312" w:cs="Times New Roman"/>
          <w:color w:val="auto"/>
          <w:kern w:val="2"/>
          <w:sz w:val="32"/>
          <w:szCs w:val="32"/>
          <w:lang w:val="zh-CN" w:eastAsia="zh-CN"/>
        </w:rPr>
      </w:pPr>
      <w:r>
        <w:rPr>
          <w:rFonts w:hint="eastAsia" w:ascii="Times New Roman" w:hAnsi="Times New Roman" w:eastAsia="楷体_GB2312" w:cs="Times New Roman"/>
          <w:b/>
          <w:color w:val="auto"/>
          <w:sz w:val="32"/>
          <w:szCs w:val="32"/>
          <w:highlight w:val="none"/>
          <w:u w:val="none"/>
          <w:lang w:val="zh-CN"/>
        </w:rPr>
        <w:t>（三）评价选点。</w:t>
      </w:r>
      <w:r>
        <w:rPr>
          <w:rFonts w:hint="eastAsia" w:ascii="仿宋_GB2312" w:hAnsi="仿宋_GB2312" w:eastAsia="仿宋_GB2312" w:cs="仿宋_GB2312"/>
          <w:color w:val="000000"/>
          <w:kern w:val="0"/>
          <w:sz w:val="32"/>
          <w:szCs w:val="32"/>
          <w:shd w:val="clear" w:color="auto" w:fill="FFFFFF"/>
        </w:rPr>
        <w:t>项目资金由镇财政所具体管理，按投资计划，对项目资金按项目单独核算</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实行“专款专用、专人管理”，不得挤占</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挪用项目资金</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指派专人对项目的实施定期或不定期的</w:t>
      </w:r>
      <w:r>
        <w:rPr>
          <w:rFonts w:hint="eastAsia" w:ascii="仿宋_GB2312" w:hAnsi="宋体" w:eastAsia="仿宋_GB2312" w:cs="Times New Roman"/>
          <w:color w:val="auto"/>
          <w:kern w:val="2"/>
          <w:sz w:val="32"/>
          <w:szCs w:val="32"/>
          <w:lang w:val="zh-CN" w:eastAsia="zh-CN"/>
        </w:rPr>
        <w:t>进行现场检查和监督，及时协调解决困难和问题，保证工程质量。</w:t>
      </w:r>
    </w:p>
    <w:p w14:paraId="48808E33">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仿宋_GB2312" w:hAnsi="宋体" w:eastAsia="仿宋_GB2312" w:cs="Times New Roman"/>
          <w:color w:val="auto"/>
          <w:kern w:val="2"/>
          <w:sz w:val="32"/>
          <w:szCs w:val="32"/>
          <w:lang w:val="en-US" w:eastAsia="zh-CN"/>
        </w:rPr>
      </w:pPr>
      <w:r>
        <w:rPr>
          <w:rFonts w:hint="eastAsia" w:ascii="Times New Roman" w:hAnsi="Times New Roman" w:eastAsia="楷体_GB2312" w:cs="Times New Roman"/>
          <w:b/>
          <w:color w:val="auto"/>
          <w:sz w:val="32"/>
          <w:szCs w:val="32"/>
          <w:highlight w:val="none"/>
          <w:u w:val="none"/>
          <w:lang w:val="zh-CN" w:eastAsia="zh-CN"/>
        </w:rPr>
        <w:t>（四）评价方法。</w:t>
      </w:r>
      <w:r>
        <w:rPr>
          <w:rFonts w:hint="eastAsia" w:ascii="仿宋_GB2312" w:hAnsi="宋体" w:eastAsia="仿宋_GB2312" w:cs="Times New Roman"/>
          <w:color w:val="auto"/>
          <w:kern w:val="2"/>
          <w:sz w:val="32"/>
          <w:szCs w:val="32"/>
          <w:lang w:val="zh-CN" w:eastAsia="zh-CN"/>
        </w:rPr>
        <w:t>该项目采用单位自评法。</w:t>
      </w:r>
      <w:r>
        <w:rPr>
          <w:rFonts w:hint="eastAsia" w:ascii="仿宋_GB2312" w:hAnsi="宋体" w:eastAsia="仿宋_GB2312" w:cs="Times New Roman"/>
          <w:color w:val="auto"/>
          <w:kern w:val="2"/>
          <w:sz w:val="32"/>
          <w:szCs w:val="32"/>
          <w:lang w:val="en-US" w:eastAsia="zh-CN"/>
        </w:rPr>
        <w:t xml:space="preserve"> </w:t>
      </w:r>
    </w:p>
    <w:p w14:paraId="119DAFD4">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宋体" w:eastAsia="仿宋_GB2312" w:cs="Times New Roman"/>
          <w:color w:val="auto"/>
          <w:kern w:val="2"/>
          <w:sz w:val="32"/>
          <w:szCs w:val="32"/>
          <w:lang w:val="zh-CN" w:eastAsia="zh-CN"/>
        </w:rPr>
        <w:t>1.前期工作：成立项目绩效自评领导小组，安排专人收集整理相关数据档案、拟定实地核查方案</w:t>
      </w:r>
      <w:r>
        <w:rPr>
          <w:rFonts w:hint="eastAsia" w:ascii="仿宋_GB2312" w:hAnsi="仿宋_GB2312" w:eastAsia="仿宋_GB2312" w:cs="仿宋_GB2312"/>
          <w:color w:val="000000"/>
          <w:kern w:val="0"/>
          <w:sz w:val="32"/>
          <w:szCs w:val="32"/>
          <w:shd w:val="clear" w:color="auto" w:fill="FFFFFF"/>
          <w:lang w:val="zh-CN"/>
        </w:rPr>
        <w:t>。</w:t>
      </w:r>
    </w:p>
    <w:p w14:paraId="397F0B4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2.实地核查：自评工作小组，根据评价指标对</w:t>
      </w:r>
      <w:r>
        <w:rPr>
          <w:rFonts w:hint="eastAsia" w:ascii="仿宋_GB2312" w:hAnsi="仿宋_GB2312" w:eastAsia="仿宋_GB2312" w:cs="仿宋_GB2312"/>
          <w:color w:val="000000"/>
          <w:kern w:val="0"/>
          <w:sz w:val="32"/>
          <w:szCs w:val="32"/>
          <w:shd w:val="clear" w:color="auto" w:fill="FFFFFF"/>
          <w:lang w:val="zh-CN" w:eastAsia="zh-CN"/>
        </w:rPr>
        <w:t>资金</w:t>
      </w:r>
      <w:r>
        <w:rPr>
          <w:rFonts w:hint="eastAsia" w:ascii="仿宋_GB2312" w:hAnsi="仿宋_GB2312" w:eastAsia="仿宋_GB2312" w:cs="仿宋_GB2312"/>
          <w:color w:val="000000"/>
          <w:kern w:val="0"/>
          <w:sz w:val="32"/>
          <w:szCs w:val="32"/>
          <w:shd w:val="clear" w:color="auto" w:fill="FFFFFF"/>
          <w:lang w:val="zh-CN"/>
        </w:rPr>
        <w:t>使用情况进行调查核实，沟口镇财经审查办公室对项目资金完善进行自评。</w:t>
      </w:r>
    </w:p>
    <w:p w14:paraId="495EC91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3.分析评价：根据自查结果，对绩效评价指标进行全面的分析形成绩效评价报告。</w:t>
      </w:r>
    </w:p>
    <w:p w14:paraId="661EA140">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Times New Roman" w:hAnsi="Times New Roman" w:eastAsia="楷体_GB2312" w:cs="Times New Roman"/>
          <w:b/>
          <w:color w:val="auto"/>
          <w:sz w:val="32"/>
          <w:szCs w:val="32"/>
          <w:highlight w:val="none"/>
          <w:u w:val="none"/>
          <w:lang w:val="zh-CN"/>
        </w:rPr>
        <w:t>（五）评价组织。</w:t>
      </w:r>
      <w:r>
        <w:rPr>
          <w:rFonts w:hint="eastAsia" w:ascii="仿宋_GB2312" w:hAnsi="仿宋_GB2312" w:eastAsia="仿宋_GB2312" w:cs="仿宋_GB2312"/>
          <w:color w:val="000000"/>
          <w:kern w:val="0"/>
          <w:sz w:val="32"/>
          <w:szCs w:val="32"/>
          <w:shd w:val="clear" w:color="auto" w:fill="FFFFFF"/>
          <w:lang w:val="zh-CN"/>
        </w:rPr>
        <w:t>成立项目绩效自评领导小组，由分管财务副镇长牵头，沟口镇财经审查办公室、沟口镇各驻村工作组组成自评小组，通过数据分析、实地核查、分析评价形成绩效评价报告。</w:t>
      </w:r>
    </w:p>
    <w:p w14:paraId="0DBC687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楷体_GB2312" w:cs="Times New Roman"/>
          <w:b/>
          <w:color w:val="auto"/>
          <w:sz w:val="32"/>
          <w:szCs w:val="32"/>
          <w:highlight w:val="none"/>
          <w:u w:val="none"/>
          <w:lang w:val="zh-CN"/>
        </w:rPr>
      </w:pPr>
      <w:r>
        <w:rPr>
          <w:rFonts w:hint="eastAsia" w:ascii="黑体" w:hAnsi="黑体" w:eastAsia="黑体" w:cs="黑体"/>
          <w:b w:val="0"/>
          <w:bCs w:val="0"/>
          <w:color w:val="000000"/>
          <w:kern w:val="0"/>
          <w:sz w:val="32"/>
          <w:szCs w:val="32"/>
          <w:shd w:val="clear" w:color="auto" w:fill="FFFFFF"/>
          <w:lang w:val="zh-CN"/>
        </w:rPr>
        <w:t>三、</w:t>
      </w:r>
      <w:r>
        <w:rPr>
          <w:rFonts w:hint="eastAsia" w:ascii="黑体" w:hAnsi="黑体" w:eastAsia="黑体" w:cs="黑体"/>
          <w:b w:val="0"/>
          <w:bCs w:val="0"/>
          <w:color w:val="000000"/>
          <w:kern w:val="0"/>
          <w:sz w:val="32"/>
          <w:szCs w:val="32"/>
          <w:shd w:val="clear" w:color="auto" w:fill="FFFFFF"/>
          <w:lang w:val="zh-CN" w:eastAsia="zh-CN"/>
        </w:rPr>
        <w:t>绩效分析</w:t>
      </w:r>
      <w:r>
        <w:rPr>
          <w:rFonts w:hint="eastAsia" w:ascii="仿宋_GB2312" w:hAnsi="仿宋_GB2312" w:eastAsia="仿宋_GB2312" w:cs="仿宋_GB2312"/>
          <w:b/>
          <w:bCs/>
          <w:color w:val="000000"/>
          <w:kern w:val="0"/>
          <w:sz w:val="32"/>
          <w:szCs w:val="32"/>
          <w:shd w:val="clear" w:color="auto" w:fill="FFFFFF"/>
          <w:lang w:val="zh-CN"/>
        </w:rPr>
        <w:tab/>
      </w:r>
    </w:p>
    <w:p w14:paraId="039A28D2">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sz w:val="32"/>
          <w:szCs w:val="32"/>
          <w:highlight w:val="none"/>
          <w:u w:val="none"/>
          <w:lang w:val="zh-CN"/>
        </w:rPr>
        <w:t>（一）通用指标绩效分析</w:t>
      </w:r>
    </w:p>
    <w:p w14:paraId="617F122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1.项目决策。茂县</w:t>
      </w:r>
      <w:r>
        <w:rPr>
          <w:rFonts w:hint="eastAsia" w:ascii="仿宋_GB2312" w:hAnsi="仿宋_GB2312" w:eastAsia="仿宋_GB2312" w:cs="仿宋_GB2312"/>
          <w:color w:val="000000"/>
          <w:kern w:val="0"/>
          <w:sz w:val="32"/>
          <w:szCs w:val="32"/>
          <w:shd w:val="clear" w:color="auto" w:fill="FFFFFF"/>
          <w:lang w:val="zh-CN" w:eastAsia="zh-CN"/>
        </w:rPr>
        <w:t>沟口镇</w:t>
      </w:r>
      <w:r>
        <w:rPr>
          <w:rFonts w:hint="eastAsia" w:ascii="仿宋_GB2312" w:hAnsi="仿宋_GB2312" w:eastAsia="仿宋_GB2312" w:cs="仿宋_GB2312"/>
          <w:color w:val="000000"/>
          <w:kern w:val="0"/>
          <w:sz w:val="32"/>
          <w:szCs w:val="32"/>
          <w:shd w:val="clear" w:color="auto" w:fill="FFFFFF"/>
          <w:lang w:val="zh-CN"/>
        </w:rPr>
        <w:t>人民政府负责</w:t>
      </w:r>
      <w:r>
        <w:rPr>
          <w:rFonts w:hint="eastAsia" w:ascii="仿宋_GB2312" w:hAnsi="仿宋_GB2312" w:eastAsia="仿宋_GB2312" w:cs="仿宋_GB2312"/>
          <w:color w:val="000000"/>
          <w:kern w:val="0"/>
          <w:sz w:val="32"/>
          <w:szCs w:val="32"/>
          <w:shd w:val="clear" w:color="auto" w:fill="FFFFFF"/>
          <w:lang w:val="zh-CN" w:eastAsia="zh-CN"/>
        </w:rPr>
        <w:t>，</w:t>
      </w:r>
      <w:r>
        <w:rPr>
          <w:rFonts w:hint="eastAsia" w:ascii="仿宋_GB2312" w:hAnsi="仿宋_GB2312" w:eastAsia="仿宋_GB2312" w:cs="仿宋_GB2312"/>
          <w:color w:val="000000"/>
          <w:kern w:val="0"/>
          <w:sz w:val="32"/>
          <w:szCs w:val="32"/>
          <w:shd w:val="clear" w:color="auto" w:fill="FFFFFF"/>
          <w:lang w:val="zh-CN"/>
        </w:rPr>
        <w:t>补助资金根据各村人口、幅员面积、地理区位、村集体收入和工作绩效等因素分村确定具体的补助标准，</w:t>
      </w:r>
      <w:r>
        <w:rPr>
          <w:rFonts w:hint="eastAsia" w:ascii="仿宋_GB2312" w:hAnsi="仿宋_GB2312" w:eastAsia="仿宋_GB2312" w:cs="仿宋_GB2312"/>
          <w:color w:val="000000"/>
          <w:kern w:val="0"/>
          <w:sz w:val="32"/>
          <w:szCs w:val="32"/>
          <w:shd w:val="clear" w:color="auto" w:fill="FFFFFF"/>
          <w:lang w:val="zh-CN" w:eastAsia="zh-CN"/>
        </w:rPr>
        <w:t>沟口镇</w:t>
      </w:r>
      <w:r>
        <w:rPr>
          <w:rFonts w:hint="eastAsia" w:ascii="仿宋_GB2312" w:hAnsi="仿宋_GB2312" w:eastAsia="仿宋_GB2312" w:cs="仿宋_GB2312"/>
          <w:color w:val="000000"/>
          <w:kern w:val="0"/>
          <w:sz w:val="32"/>
          <w:szCs w:val="32"/>
          <w:shd w:val="clear" w:color="auto" w:fill="FFFFFF"/>
          <w:lang w:val="zh-CN"/>
        </w:rPr>
        <w:t>驻村工作组对完工内容进行验收，</w:t>
      </w:r>
      <w:r>
        <w:rPr>
          <w:rFonts w:hint="eastAsia" w:ascii="仿宋_GB2312" w:hAnsi="仿宋_GB2312" w:eastAsia="仿宋_GB2312" w:cs="仿宋_GB2312"/>
          <w:color w:val="000000"/>
          <w:kern w:val="0"/>
          <w:sz w:val="32"/>
          <w:szCs w:val="32"/>
          <w:shd w:val="clear" w:color="auto" w:fill="FFFFFF"/>
          <w:lang w:val="zh-CN" w:eastAsia="zh-CN"/>
        </w:rPr>
        <w:t>沟口镇财务室</w:t>
      </w:r>
      <w:r>
        <w:rPr>
          <w:rFonts w:hint="eastAsia" w:ascii="仿宋_GB2312" w:hAnsi="仿宋_GB2312" w:eastAsia="仿宋_GB2312" w:cs="仿宋_GB2312"/>
          <w:color w:val="000000"/>
          <w:kern w:val="0"/>
          <w:sz w:val="32"/>
          <w:szCs w:val="32"/>
          <w:shd w:val="clear" w:color="auto" w:fill="FFFFFF"/>
          <w:lang w:val="zh-CN"/>
        </w:rPr>
        <w:t>支付资金。</w:t>
      </w:r>
    </w:p>
    <w:p w14:paraId="2803055F">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2.项目管理。镇政府统一监督管理，严禁弄虚作假</w:t>
      </w:r>
      <w:r>
        <w:rPr>
          <w:rFonts w:hint="eastAsia" w:ascii="仿宋_GB2312" w:hAnsi="仿宋_GB2312" w:eastAsia="仿宋_GB2312" w:cs="仿宋_GB2312"/>
          <w:color w:val="000000"/>
          <w:kern w:val="0"/>
          <w:sz w:val="32"/>
          <w:szCs w:val="32"/>
          <w:shd w:val="clear" w:color="auto" w:fill="FFFFFF"/>
          <w:lang w:val="zh-CN" w:eastAsia="zh-CN"/>
        </w:rPr>
        <w:t>。</w:t>
      </w:r>
    </w:p>
    <w:p w14:paraId="75DBE7E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3.项目实施。为确保项目的顺利实施，负责建设相关事宜，以确保项目保质保量按时完工。对项目资金按项目单独核算实行“专款专用、专人管理”，不得挤占、挪用项目资金。</w:t>
      </w:r>
    </w:p>
    <w:p w14:paraId="404265ED">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4.项目结果。项目在上级有关部门的关心、帮助下，在镇党委政府的领导下，顺利推进，圆满完成任务。截至20</w:t>
      </w:r>
      <w:r>
        <w:rPr>
          <w:rFonts w:hint="eastAsia" w:ascii="仿宋_GB2312" w:hAnsi="仿宋_GB2312" w:eastAsia="仿宋_GB2312" w:cs="仿宋_GB2312"/>
          <w:color w:val="000000"/>
          <w:kern w:val="0"/>
          <w:sz w:val="32"/>
          <w:szCs w:val="32"/>
          <w:shd w:val="clear" w:color="auto" w:fill="FFFFFF"/>
          <w:lang w:val="en-US" w:eastAsia="zh-CN"/>
        </w:rPr>
        <w:t>24</w:t>
      </w:r>
      <w:r>
        <w:rPr>
          <w:rFonts w:hint="eastAsia" w:ascii="仿宋_GB2312" w:hAnsi="仿宋_GB2312" w:eastAsia="仿宋_GB2312" w:cs="仿宋_GB2312"/>
          <w:color w:val="000000"/>
          <w:kern w:val="0"/>
          <w:sz w:val="32"/>
          <w:szCs w:val="32"/>
          <w:shd w:val="clear" w:color="auto" w:fill="FFFFFF"/>
          <w:lang w:val="zh-CN"/>
        </w:rPr>
        <w:t>年12月，项目已全面完成并验收。</w:t>
      </w:r>
    </w:p>
    <w:p w14:paraId="2FA9BFC1">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outlineLvl w:val="9"/>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sz w:val="32"/>
          <w:szCs w:val="32"/>
          <w:highlight w:val="none"/>
          <w:u w:val="none"/>
          <w:lang w:val="zh-CN"/>
        </w:rPr>
        <w:t>（二）专用指标绩效分析</w:t>
      </w:r>
    </w:p>
    <w:p w14:paraId="350F8348">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eastAsia="zh-CN"/>
        </w:rPr>
      </w:pPr>
      <w:r>
        <w:rPr>
          <w:rFonts w:hint="eastAsia" w:ascii="仿宋_GB2312" w:hAnsi="仿宋_GB2312" w:eastAsia="仿宋_GB2312" w:cs="仿宋_GB2312"/>
          <w:color w:val="000000"/>
          <w:kern w:val="0"/>
          <w:sz w:val="32"/>
          <w:szCs w:val="32"/>
          <w:shd w:val="clear" w:color="auto" w:fill="FFFFFF"/>
          <w:lang w:val="zh-CN"/>
        </w:rPr>
        <w:t>1.产业发展类。通过完善基础设施建设，进一步改善了村级的基础设施和公共服务，扩大了农村基层民主</w:t>
      </w:r>
      <w:r>
        <w:rPr>
          <w:rFonts w:hint="eastAsia" w:ascii="仿宋_GB2312" w:hAnsi="仿宋_GB2312" w:eastAsia="仿宋_GB2312" w:cs="仿宋_GB2312"/>
          <w:color w:val="000000"/>
          <w:kern w:val="0"/>
          <w:sz w:val="32"/>
          <w:szCs w:val="32"/>
          <w:shd w:val="clear" w:color="auto" w:fill="FFFFFF"/>
          <w:lang w:val="zh-CN" w:eastAsia="zh-CN"/>
        </w:rPr>
        <w:t>。</w:t>
      </w:r>
    </w:p>
    <w:p w14:paraId="4DD920F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2.民生保障类。完善了村民自治，密切了党和政府同农民群众的关系，满足了农民群众的需求，也为我镇的村级项目建设起到了示范和引领作用。</w:t>
      </w:r>
    </w:p>
    <w:p w14:paraId="4F0EE9E7">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3.基础设施类。采取专户核算、专款专用、</w:t>
      </w:r>
      <w:r>
        <w:rPr>
          <w:rFonts w:hint="eastAsia" w:ascii="仿宋_GB2312" w:hAnsi="仿宋_GB2312" w:eastAsia="仿宋_GB2312" w:cs="仿宋_GB2312"/>
          <w:color w:val="000000"/>
          <w:kern w:val="0"/>
          <w:sz w:val="32"/>
          <w:szCs w:val="32"/>
          <w:shd w:val="clear" w:color="auto" w:fill="FFFFFF"/>
          <w:lang w:val="en-US" w:eastAsia="zh-CN"/>
        </w:rPr>
        <w:t>建立台账，明确到村保障资金数额，确保保障资金用于村内</w:t>
      </w:r>
      <w:r>
        <w:rPr>
          <w:rFonts w:hint="eastAsia" w:ascii="仿宋_GB2312" w:hAnsi="仿宋_GB2312" w:eastAsia="仿宋_GB2312" w:cs="仿宋_GB2312"/>
          <w:color w:val="000000"/>
          <w:kern w:val="0"/>
          <w:sz w:val="32"/>
          <w:szCs w:val="32"/>
          <w:shd w:val="clear" w:color="auto" w:fill="FFFFFF"/>
          <w:lang w:val="en-US" w:eastAsia="zh-CN"/>
        </w:rPr>
        <w:fldChar w:fldCharType="begin"/>
      </w:r>
      <w:r>
        <w:rPr>
          <w:rFonts w:hint="eastAsia" w:ascii="仿宋_GB2312" w:hAnsi="仿宋_GB2312" w:eastAsia="仿宋_GB2312" w:cs="仿宋_GB2312"/>
          <w:color w:val="000000"/>
          <w:kern w:val="0"/>
          <w:sz w:val="32"/>
          <w:szCs w:val="32"/>
          <w:shd w:val="clear" w:color="auto" w:fill="FFFFFF"/>
          <w:lang w:val="en-US" w:eastAsia="zh-CN"/>
        </w:rPr>
        <w:instrText xml:space="preserve"> HYPERLINK "https://wenwen.sogou.com/s/?w=%E5%85%AC%E5%85%B1%E6%9C%8D%E5%8A%A1%E8%AE%BE%E6%96%BD&amp;ch=ww.xqy.chain" \t "_blank" </w:instrText>
      </w:r>
      <w:r>
        <w:rPr>
          <w:rFonts w:hint="eastAsia" w:ascii="仿宋_GB2312" w:hAnsi="仿宋_GB2312" w:eastAsia="仿宋_GB2312" w:cs="仿宋_GB2312"/>
          <w:color w:val="000000"/>
          <w:kern w:val="0"/>
          <w:sz w:val="32"/>
          <w:szCs w:val="32"/>
          <w:shd w:val="clear" w:color="auto" w:fill="FFFFFF"/>
          <w:lang w:val="en-US" w:eastAsia="zh-CN"/>
        </w:rPr>
        <w:fldChar w:fldCharType="separate"/>
      </w:r>
      <w:r>
        <w:rPr>
          <w:rFonts w:hint="eastAsia" w:ascii="仿宋_GB2312" w:hAnsi="仿宋_GB2312" w:eastAsia="仿宋_GB2312" w:cs="仿宋_GB2312"/>
          <w:color w:val="000000"/>
          <w:kern w:val="0"/>
          <w:sz w:val="32"/>
          <w:szCs w:val="32"/>
          <w:shd w:val="clear" w:color="auto" w:fill="FFFFFF"/>
          <w:lang w:val="en-US" w:eastAsia="zh-CN"/>
        </w:rPr>
        <w:t>公共服务设施</w:t>
      </w:r>
      <w:r>
        <w:rPr>
          <w:rFonts w:hint="eastAsia" w:ascii="仿宋_GB2312" w:hAnsi="仿宋_GB2312" w:eastAsia="仿宋_GB2312" w:cs="仿宋_GB2312"/>
          <w:color w:val="000000"/>
          <w:kern w:val="0"/>
          <w:sz w:val="32"/>
          <w:szCs w:val="32"/>
          <w:shd w:val="clear" w:color="auto" w:fill="FFFFFF"/>
          <w:lang w:val="en-US" w:eastAsia="zh-CN"/>
        </w:rPr>
        <w:fldChar w:fldCharType="end"/>
      </w:r>
      <w:r>
        <w:rPr>
          <w:rFonts w:hint="eastAsia" w:ascii="仿宋_GB2312" w:hAnsi="仿宋_GB2312" w:eastAsia="仿宋_GB2312" w:cs="仿宋_GB2312"/>
          <w:color w:val="000000"/>
          <w:kern w:val="0"/>
          <w:sz w:val="32"/>
          <w:szCs w:val="32"/>
          <w:shd w:val="clear" w:color="auto" w:fill="FFFFFF"/>
          <w:lang w:val="en-US" w:eastAsia="zh-CN"/>
        </w:rPr>
        <w:t>运行维护，防止挪用和平调。</w:t>
      </w:r>
    </w:p>
    <w:p w14:paraId="4D1B6DF4">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4.行政运转类。</w:t>
      </w:r>
      <w:r>
        <w:rPr>
          <w:rFonts w:hint="eastAsia" w:ascii="仿宋_GB2312" w:hAnsi="仿宋_GB2312" w:eastAsia="仿宋_GB2312" w:cs="仿宋_GB2312"/>
          <w:color w:val="000000"/>
          <w:kern w:val="0"/>
          <w:sz w:val="32"/>
          <w:szCs w:val="32"/>
          <w:shd w:val="clear" w:color="auto" w:fill="FFFFFF"/>
          <w:lang w:val="zh-CN" w:eastAsia="zh-CN"/>
        </w:rPr>
        <w:t>项目用途合规、程序合规、标准合规，</w:t>
      </w:r>
      <w:r>
        <w:rPr>
          <w:rFonts w:hint="eastAsia" w:ascii="仿宋_GB2312" w:hAnsi="仿宋_GB2312" w:eastAsia="仿宋_GB2312" w:cs="仿宋_GB2312"/>
          <w:color w:val="000000"/>
          <w:kern w:val="0"/>
          <w:sz w:val="32"/>
          <w:szCs w:val="32"/>
          <w:shd w:val="clear" w:color="auto" w:fill="FFFFFF"/>
          <w:lang w:val="en-US" w:eastAsia="zh-CN"/>
        </w:rPr>
        <w:t>收支合理、手续完备、数字准确、帐目清楚。</w:t>
      </w:r>
    </w:p>
    <w:p w14:paraId="0E1321C2">
      <w:pPr>
        <w:keepNext w:val="0"/>
        <w:keepLines w:val="0"/>
        <w:pageBreakBefore w:val="0"/>
        <w:kinsoku/>
        <w:wordWrap/>
        <w:overflowPunct/>
        <w:topLinePunct w:val="0"/>
        <w:autoSpaceDE/>
        <w:autoSpaceDN/>
        <w:bidi w:val="0"/>
        <w:adjustRightInd w:val="0"/>
        <w:snapToGrid w:val="0"/>
        <w:spacing w:line="560" w:lineRule="exact"/>
        <w:ind w:firstLine="643" w:firstLineChars="200"/>
        <w:textAlignment w:val="auto"/>
        <w:rPr>
          <w:rFonts w:hint="eastAsia" w:ascii="Times New Roman" w:hAnsi="Times New Roman" w:eastAsia="楷体_GB2312" w:cs="Times New Roman"/>
          <w:b/>
          <w:color w:val="auto"/>
          <w:sz w:val="32"/>
          <w:szCs w:val="32"/>
          <w:highlight w:val="none"/>
          <w:u w:val="none"/>
          <w:lang w:val="zh-CN"/>
        </w:rPr>
      </w:pPr>
      <w:r>
        <w:rPr>
          <w:rFonts w:hint="eastAsia" w:ascii="Times New Roman" w:hAnsi="Times New Roman" w:eastAsia="楷体_GB2312" w:cs="Times New Roman"/>
          <w:b/>
          <w:color w:val="auto"/>
          <w:sz w:val="32"/>
          <w:szCs w:val="32"/>
          <w:highlight w:val="none"/>
          <w:u w:val="none"/>
          <w:lang w:val="zh-CN"/>
        </w:rPr>
        <w:t>（三）个性指标绩效分析</w:t>
      </w:r>
    </w:p>
    <w:p w14:paraId="1B340A9E">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en-US" w:eastAsia="zh-CN"/>
        </w:rPr>
        <w:t>时效指标：项目于2024年完成，与计划完成时间相一致。资金支付及时，符合相关工作安排及实施办法要求。</w:t>
      </w:r>
    </w:p>
    <w:p w14:paraId="0E0BF803">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color w:val="000000"/>
          <w:kern w:val="0"/>
          <w:sz w:val="32"/>
          <w:szCs w:val="32"/>
          <w:shd w:val="clear" w:color="auto" w:fill="FFFFFF"/>
          <w:lang w:val="en-US" w:eastAsia="zh-CN"/>
        </w:rPr>
      </w:pPr>
      <w:r>
        <w:rPr>
          <w:rFonts w:hint="eastAsia" w:ascii="黑体" w:hAnsi="黑体" w:eastAsia="黑体" w:cs="黑体"/>
          <w:b w:val="0"/>
          <w:bCs w:val="0"/>
          <w:color w:val="000000"/>
          <w:kern w:val="0"/>
          <w:sz w:val="32"/>
          <w:szCs w:val="32"/>
          <w:shd w:val="clear" w:color="auto" w:fill="FFFFFF"/>
          <w:lang w:val="en-US" w:eastAsia="zh-CN"/>
        </w:rPr>
        <w:t>四、评价结论</w:t>
      </w:r>
    </w:p>
    <w:p w14:paraId="2ACF1FE1">
      <w:pPr>
        <w:keepNext w:val="0"/>
        <w:keepLines w:val="0"/>
        <w:pageBreakBefore w:val="0"/>
        <w:widowControl w:val="0"/>
        <w:kinsoku/>
        <w:wordWrap/>
        <w:overflowPunct/>
        <w:topLinePunct w:val="0"/>
        <w:autoSpaceDE/>
        <w:autoSpaceDN/>
        <w:bidi w:val="0"/>
        <w:spacing w:line="560" w:lineRule="exact"/>
        <w:ind w:firstLine="640"/>
        <w:textAlignment w:val="auto"/>
        <w:outlineLvl w:val="9"/>
        <w:rPr>
          <w:rFonts w:hint="eastAsia" w:ascii="仿宋_GB2312" w:hAnsi="宋体" w:eastAsia="仿宋_GB2312"/>
          <w:color w:val="auto"/>
          <w:kern w:val="2"/>
          <w:sz w:val="32"/>
          <w:szCs w:val="32"/>
          <w:lang w:val="zh-CN"/>
        </w:rPr>
      </w:pPr>
      <w:r>
        <w:rPr>
          <w:rFonts w:hint="eastAsia" w:ascii="仿宋_GB2312" w:hAnsi="宋体" w:eastAsia="仿宋_GB2312"/>
          <w:color w:val="auto"/>
          <w:kern w:val="2"/>
          <w:sz w:val="32"/>
          <w:szCs w:val="32"/>
          <w:lang w:val="zh-CN"/>
        </w:rPr>
        <w:t>本项目的建设，对加强各村人民直接的经济联系起到了巨大的作用，也为地方经济发展提供了必要的基础设施。有利于各村人民来往，起到了分流的作用，也为当地经济发展发展起到了促进作用，极大缓解周边人民的出行状况，促进社会经济快速发展，对实现城乡统筹协调发展，建设社会主义新农村，实现小康社会有着促进作用。</w:t>
      </w:r>
    </w:p>
    <w:p w14:paraId="3C93ED44">
      <w:pPr>
        <w:pStyle w:val="8"/>
        <w:keepNext w:val="0"/>
        <w:keepLines w:val="0"/>
        <w:pageBreakBefore w:val="0"/>
        <w:numPr>
          <w:ilvl w:val="0"/>
          <w:numId w:val="2"/>
        </w:numPr>
        <w:tabs>
          <w:tab w:val="left" w:pos="2160"/>
        </w:tabs>
        <w:kinsoku/>
        <w:wordWrap/>
        <w:overflowPunct/>
        <w:topLinePunct w:val="0"/>
        <w:autoSpaceDE/>
        <w:autoSpaceDN/>
        <w:bidi w:val="0"/>
        <w:spacing w:line="560" w:lineRule="exact"/>
        <w:ind w:left="197" w:leftChars="0" w:firstLine="643" w:firstLineChars="0"/>
        <w:textAlignment w:val="auto"/>
        <w:rPr>
          <w:rFonts w:hint="default"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zh-CN" w:eastAsia="zh-CN" w:bidi="ar-SA"/>
        </w:rPr>
        <w:t>存在主要问题</w:t>
      </w:r>
    </w:p>
    <w:p w14:paraId="511732ED">
      <w:pPr>
        <w:pStyle w:val="8"/>
        <w:keepNext w:val="0"/>
        <w:keepLines w:val="0"/>
        <w:pageBreakBefore w:val="0"/>
        <w:numPr>
          <w:ilvl w:val="0"/>
          <w:numId w:val="0"/>
        </w:numPr>
        <w:tabs>
          <w:tab w:val="left" w:pos="2160"/>
        </w:tabs>
        <w:kinsoku/>
        <w:wordWrap/>
        <w:overflowPunct/>
        <w:topLinePunct w:val="0"/>
        <w:autoSpaceDE/>
        <w:autoSpaceDN/>
        <w:bidi w:val="0"/>
        <w:spacing w:line="560" w:lineRule="exact"/>
        <w:ind w:firstLine="640" w:firstLineChars="200"/>
        <w:textAlignment w:val="auto"/>
        <w:rPr>
          <w:rFonts w:hint="default" w:ascii="仿宋_GB2312" w:hAnsi="宋体" w:eastAsia="仿宋_GB2312" w:cs="Times New Roman"/>
          <w:color w:val="auto"/>
          <w:kern w:val="2"/>
          <w:position w:val="0"/>
          <w:sz w:val="32"/>
          <w:szCs w:val="32"/>
          <w:lang w:val="en-US" w:eastAsia="zh-CN" w:bidi="ar-SA"/>
        </w:rPr>
      </w:pPr>
      <w:r>
        <w:rPr>
          <w:rFonts w:hint="eastAsia" w:hAnsi="宋体" w:cs="Times New Roman"/>
          <w:color w:val="auto"/>
          <w:kern w:val="2"/>
          <w:position w:val="0"/>
          <w:sz w:val="32"/>
          <w:szCs w:val="32"/>
          <w:lang w:val="en-US" w:eastAsia="zh-CN" w:bidi="ar-SA"/>
        </w:rPr>
        <w:t>专项预算项目绩效自评未发现主要问题。</w:t>
      </w:r>
    </w:p>
    <w:p w14:paraId="4DB888CB">
      <w:pPr>
        <w:pStyle w:val="8"/>
        <w:keepNext w:val="0"/>
        <w:keepLines w:val="0"/>
        <w:pageBreakBefore w:val="0"/>
        <w:numPr>
          <w:ilvl w:val="0"/>
          <w:numId w:val="2"/>
        </w:numPr>
        <w:tabs>
          <w:tab w:val="left" w:pos="2160"/>
        </w:tabs>
        <w:kinsoku/>
        <w:wordWrap/>
        <w:overflowPunct/>
        <w:topLinePunct w:val="0"/>
        <w:autoSpaceDE/>
        <w:autoSpaceDN/>
        <w:bidi w:val="0"/>
        <w:spacing w:line="560" w:lineRule="exact"/>
        <w:ind w:left="197" w:leftChars="0" w:firstLine="643" w:firstLineChars="0"/>
        <w:textAlignment w:val="auto"/>
        <w:rPr>
          <w:rFonts w:hint="eastAsia" w:ascii="黑体" w:hAnsi="黑体" w:eastAsia="黑体" w:cs="黑体"/>
          <w:b w:val="0"/>
          <w:bCs w:val="0"/>
          <w:color w:val="000000"/>
          <w:kern w:val="0"/>
          <w:sz w:val="32"/>
          <w:szCs w:val="32"/>
          <w:shd w:val="clear" w:color="auto" w:fill="FFFFFF"/>
          <w:lang w:val="zh-CN" w:eastAsia="zh-CN" w:bidi="ar-SA"/>
        </w:rPr>
      </w:pPr>
      <w:r>
        <w:rPr>
          <w:rFonts w:hint="eastAsia" w:ascii="黑体" w:hAnsi="黑体" w:eastAsia="黑体" w:cs="黑体"/>
          <w:b w:val="0"/>
          <w:bCs w:val="0"/>
          <w:color w:val="000000"/>
          <w:kern w:val="0"/>
          <w:sz w:val="32"/>
          <w:szCs w:val="32"/>
          <w:shd w:val="clear" w:color="auto" w:fill="FFFFFF"/>
          <w:lang w:val="zh-CN" w:eastAsia="zh-CN" w:bidi="ar-SA"/>
        </w:rPr>
        <w:t>改进建议</w:t>
      </w:r>
    </w:p>
    <w:p w14:paraId="3D3D6EAC">
      <w:pPr>
        <w:snapToGrid w:val="0"/>
        <w:spacing w:line="578" w:lineRule="exact"/>
        <w:ind w:firstLine="640" w:firstLineChars="200"/>
        <w:rPr>
          <w:rFonts w:hint="eastAsia" w:ascii="仿宋_GB2312" w:hAnsi="宋体" w:eastAsia="仿宋_GB2312" w:cs="Times New Roman"/>
          <w:color w:val="auto"/>
          <w:kern w:val="2"/>
          <w:position w:val="0"/>
          <w:sz w:val="32"/>
          <w:szCs w:val="32"/>
          <w:lang w:val="en-US" w:eastAsia="zh-CN" w:bidi="ar-SA"/>
        </w:rPr>
      </w:pPr>
      <w:bookmarkStart w:id="105" w:name="_Toc15396618"/>
      <w:r>
        <w:rPr>
          <w:rFonts w:hint="eastAsia" w:ascii="仿宋_GB2312" w:hAnsi="宋体" w:eastAsia="仿宋_GB2312" w:cs="Times New Roman"/>
          <w:color w:val="auto"/>
          <w:kern w:val="2"/>
          <w:position w:val="0"/>
          <w:sz w:val="32"/>
          <w:szCs w:val="32"/>
          <w:lang w:val="en-US" w:eastAsia="zh-CN" w:bidi="ar-SA"/>
        </w:rPr>
        <w:t>专项预算项目在预算安排、完善政策、改进管理等方面的无措施建设。</w:t>
      </w:r>
    </w:p>
    <w:p w14:paraId="7986144E">
      <w:pPr>
        <w:pStyle w:val="2"/>
        <w:rPr>
          <w:rFonts w:hint="eastAsia" w:ascii="仿宋_GB2312" w:hAnsi="宋体" w:eastAsia="仿宋_GB2312" w:cs="Times New Roman"/>
          <w:color w:val="auto"/>
          <w:kern w:val="2"/>
          <w:position w:val="0"/>
          <w:sz w:val="32"/>
          <w:szCs w:val="32"/>
          <w:lang w:val="en-US" w:eastAsia="zh-CN" w:bidi="ar-SA"/>
        </w:rPr>
      </w:pPr>
    </w:p>
    <w:p w14:paraId="749B70FE">
      <w:pPr>
        <w:pStyle w:val="3"/>
        <w:rPr>
          <w:rFonts w:hint="eastAsia" w:ascii="仿宋_GB2312" w:hAnsi="宋体" w:eastAsia="仿宋_GB2312" w:cs="Times New Roman"/>
          <w:color w:val="auto"/>
          <w:kern w:val="2"/>
          <w:position w:val="0"/>
          <w:sz w:val="32"/>
          <w:szCs w:val="32"/>
          <w:lang w:val="en-US" w:eastAsia="zh-CN" w:bidi="ar-SA"/>
        </w:rPr>
      </w:pPr>
    </w:p>
    <w:p w14:paraId="13C923B5">
      <w:pPr>
        <w:pStyle w:val="3"/>
        <w:ind w:left="0" w:leftChars="0" w:firstLine="0" w:firstLineChars="0"/>
        <w:rPr>
          <w:rFonts w:hint="default" w:ascii="仿宋_GB2312" w:hAnsi="宋体" w:eastAsia="仿宋_GB2312" w:cs="Times New Roman"/>
          <w:color w:val="auto"/>
          <w:kern w:val="2"/>
          <w:position w:val="0"/>
          <w:sz w:val="32"/>
          <w:szCs w:val="32"/>
          <w:lang w:val="en-US" w:eastAsia="zh-CN" w:bidi="ar-SA"/>
        </w:rPr>
      </w:pPr>
    </w:p>
    <w:p w14:paraId="507C87A4">
      <w:pPr>
        <w:snapToGrid w:val="0"/>
        <w:spacing w:line="578" w:lineRule="exac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64E5C6CF">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2CD9C272">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30E0BD3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6A8D65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6A0FB0E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7CCD0C8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备注</w:t>
            </w:r>
          </w:p>
        </w:tc>
      </w:tr>
      <w:tr w14:paraId="57DB51C0">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4EC252F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2BD20A1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D017BA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F7575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615E0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732" w:type="dxa"/>
            <w:vMerge w:val="continue"/>
            <w:tcBorders>
              <w:left w:val="single" w:color="000000" w:sz="4" w:space="0"/>
              <w:bottom w:val="single" w:color="000000" w:sz="4" w:space="0"/>
              <w:right w:val="single" w:color="000000" w:sz="4" w:space="0"/>
            </w:tcBorders>
            <w:noWrap w:val="0"/>
            <w:vAlign w:val="center"/>
          </w:tcPr>
          <w:p w14:paraId="441D15A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468" w:type="dxa"/>
            <w:vMerge w:val="continue"/>
            <w:tcBorders>
              <w:left w:val="single" w:color="000000" w:sz="4" w:space="0"/>
              <w:bottom w:val="single" w:color="000000" w:sz="4" w:space="0"/>
              <w:right w:val="single" w:color="000000" w:sz="4" w:space="0"/>
            </w:tcBorders>
            <w:noWrap w:val="0"/>
            <w:vAlign w:val="center"/>
          </w:tcPr>
          <w:p w14:paraId="238572F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r>
      <w:tr w14:paraId="3D59C1FE">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B35D2D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通用指标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931C1B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项目决策</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DA7D56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EF1FA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DEAF6C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B0F5B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69EDAB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FF046B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537B5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BB08F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A78A6E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D0F45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35B6B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43AF86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0DBC2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F246A03">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8CC1B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01D35C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68019B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69AA3A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7DBEF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FF21A1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95B1A9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8C7E95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2B411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A9520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项目管理</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B9233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A69FC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7D895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551EC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4D379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09172B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7268A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9C5CEC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CEC4A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A3C5C6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812EA7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25D35D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23EEA5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B02907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1E484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757F4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B20D9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849DA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D9D566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63CEF6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6D51DD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FEBD9F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9D12A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03FA4D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项目实施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C8D005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CB468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C5B5D1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F701AF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C6C18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8FD5DE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91CE0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53057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E5AFE3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CD628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8526E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28DB8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9DE49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222C47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FDF88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E5734B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项目结果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93C559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A6085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FE7860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A10201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AE43F8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63C644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A83F8E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EFD4CB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4F6722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00D6B1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CD9DA6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3F6439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971C88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D6A69D8">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F38632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39E11F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产业发展</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EC6D87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5480E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E7CA49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FF9B7B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68BAC7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E86DC0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484088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3F915C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C560C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AE9055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46F908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36EED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AEF5B7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3EEAF9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A318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4E8B9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28263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24260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54F6FF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DB9667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E2659D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1D2E11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CFAAC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F53B1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民生保障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AAD40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E5BE7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20B06F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D45F7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B60E0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6BBBA3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FF49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3D51F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286871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E3A2EE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E36210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070CE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DF073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E8DD5E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54F06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D7010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59ED73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E8D777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923EC5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BEB9DB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6888A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4AF0D7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26E32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DBA48A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97691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6BF13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28731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527B05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C85A9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D66149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685C5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7D51012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基础</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设施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A68D0E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在建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0D01F5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570A83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42D933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0B9C69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E721C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CBAEC0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18031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90F5E5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DC3FE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5BCA72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6F15F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DF8B93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E5453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51B70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8D8202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E682F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F1874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2213EB0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建成</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DD83D8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06F487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1998A1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A8153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D5F27C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E2D135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86E1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3CC29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EEF2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6DB8F6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61EEA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F15BCF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E2223A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016BC7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952943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0EE87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6BF19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518ED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07F8B1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D3D0C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4C7B76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A7447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68668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410D663">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59DE449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CACD6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行政运转</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26497D3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1E29574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39343F3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4FC8F41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nil"/>
              <w:left w:val="single" w:color="000000" w:sz="4" w:space="0"/>
              <w:bottom w:val="single" w:color="000000" w:sz="4" w:space="0"/>
              <w:right w:val="single" w:color="000000" w:sz="4" w:space="0"/>
            </w:tcBorders>
            <w:noWrap w:val="0"/>
            <w:vAlign w:val="center"/>
          </w:tcPr>
          <w:p w14:paraId="543F53C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B3249C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4F65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3F185D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4243D6D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48572BC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EA166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CA3451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21B8F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8B75E3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90BF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BC95A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6CB97CF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467E413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35D338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1EF21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9A4B08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353AB19">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00E0E0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个性指标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B983F5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B6773C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EAA1EE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30F6F5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FDAB71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AB02E6E">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C8FA1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0C020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3416D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55B629">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75FB11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D14814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11653AD8">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8BF13F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AFEBBF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62A09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84201">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896CE46">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D3CE9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62A65397">
        <w:tblPrEx>
          <w:tblCellMar>
            <w:top w:w="0" w:type="dxa"/>
            <w:left w:w="108" w:type="dxa"/>
            <w:bottom w:w="0" w:type="dxa"/>
            <w:right w:w="108" w:type="dxa"/>
          </w:tblCellMar>
        </w:tblPrEx>
        <w:trPr>
          <w:trHeight w:val="373"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6E6E4EC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扣分项</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8B49B1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D68361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CD305E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D9B69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2477C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27AA1DE">
        <w:tblPrEx>
          <w:tblCellMar>
            <w:top w:w="0" w:type="dxa"/>
            <w:left w:w="108" w:type="dxa"/>
            <w:bottom w:w="0" w:type="dxa"/>
            <w:right w:w="108" w:type="dxa"/>
          </w:tblCellMar>
        </w:tblPrEx>
        <w:trPr>
          <w:trHeight w:val="58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7722165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总分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41D848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84AE6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664671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B6D3DA8">
            <w:pPr>
              <w:keepNext w:val="0"/>
              <w:keepLines w:val="0"/>
              <w:pageBreakBefore w:val="0"/>
              <w:widowControl/>
              <w:kinsoku/>
              <w:wordWrap/>
              <w:overflowPunct/>
              <w:topLinePunct w:val="0"/>
              <w:autoSpaceDE/>
              <w:autoSpaceDN/>
              <w:bidi w:val="0"/>
              <w:adjustRightInd/>
              <w:snapToGrid/>
              <w:spacing w:line="220" w:lineRule="exact"/>
              <w:ind w:firstLine="260" w:firstLineChars="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0CA18B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bl>
    <w:p w14:paraId="4DC8EF27">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br w:type="page"/>
      </w:r>
    </w:p>
    <w:p w14:paraId="788198D1">
      <w:pPr>
        <w:spacing w:line="578" w:lineRule="exac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99DD119">
        <w:tblPrEx>
          <w:tblCellMar>
            <w:top w:w="15" w:type="dxa"/>
            <w:left w:w="15" w:type="dxa"/>
            <w:bottom w:w="15" w:type="dxa"/>
            <w:right w:w="15" w:type="dxa"/>
          </w:tblCellMar>
        </w:tblPrEx>
        <w:trPr>
          <w:trHeight w:val="576" w:hRule="atLeast"/>
          <w:jc w:val="center"/>
        </w:trPr>
        <w:tc>
          <w:tcPr>
            <w:tcW w:w="10233" w:type="dxa"/>
            <w:gridSpan w:val="9"/>
            <w:noWrap w:val="0"/>
            <w:vAlign w:val="center"/>
          </w:tcPr>
          <w:p w14:paraId="16CC6A69">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336F28B1">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DBAA1AE">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F1820A2">
            <w:pPr>
              <w:spacing w:line="30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auto"/>
                <w:kern w:val="2"/>
                <w:sz w:val="18"/>
                <w:szCs w:val="18"/>
              </w:rPr>
              <w:t>茂县沟口大桥桥梁建设</w:t>
            </w:r>
          </w:p>
        </w:tc>
      </w:tr>
      <w:tr w14:paraId="03648242">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79AA7D28">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78E1726">
            <w:pPr>
              <w:spacing w:line="300" w:lineRule="exact"/>
              <w:ind w:firstLine="720" w:firstLineChars="4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茂县沟口镇人民政府</w:t>
            </w:r>
          </w:p>
        </w:tc>
      </w:tr>
      <w:tr w14:paraId="24556FFE">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4DE45051">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6DF8FC4">
            <w:pPr>
              <w:spacing w:line="300" w:lineRule="exact"/>
              <w:jc w:val="left"/>
              <w:rPr>
                <w:rFonts w:hint="eastAsia" w:ascii="仿宋_GB2312" w:hAnsi="仿宋_GB2312" w:eastAsia="仿宋_GB2312" w:cs="仿宋_GB2312"/>
                <w:color w:val="000000"/>
                <w:sz w:val="18"/>
                <w:szCs w:val="18"/>
              </w:rPr>
            </w:pPr>
          </w:p>
        </w:tc>
      </w:tr>
      <w:tr w14:paraId="0A42500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148FF51">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CC247B1">
            <w:pPr>
              <w:widowControl/>
              <w:spacing w:line="30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中长期规划（名称、文号，仅指</w:t>
            </w:r>
          </w:p>
          <w:p w14:paraId="36B454C1">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12E5905">
            <w:pPr>
              <w:spacing w:line="300" w:lineRule="exact"/>
              <w:jc w:val="left"/>
              <w:rPr>
                <w:rFonts w:hint="eastAsia" w:ascii="仿宋_GB2312" w:hAnsi="仿宋_GB2312" w:eastAsia="仿宋_GB2312" w:cs="仿宋_GB2312"/>
                <w:color w:val="000000"/>
                <w:sz w:val="18"/>
                <w:szCs w:val="18"/>
              </w:rPr>
            </w:pPr>
          </w:p>
        </w:tc>
      </w:tr>
      <w:tr w14:paraId="303D216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8F13F9">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CAB218F">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B3E5529">
            <w:pPr>
              <w:spacing w:line="300" w:lineRule="exact"/>
              <w:ind w:firstLine="720" w:firstLineChars="400"/>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茂财农</w:t>
            </w:r>
            <w:r>
              <w:rPr>
                <w:rFonts w:hint="eastAsia" w:ascii="仿宋_GB2312" w:hAnsi="仿宋_GB2312" w:eastAsia="仿宋_GB2312" w:cs="仿宋_GB2312"/>
                <w:color w:val="000000"/>
                <w:sz w:val="18"/>
                <w:szCs w:val="18"/>
                <w:lang w:val="en-US" w:eastAsia="zh-CN"/>
              </w:rPr>
              <w:t>〔2024〕</w:t>
            </w:r>
            <w:r>
              <w:rPr>
                <w:rFonts w:hint="eastAsia" w:ascii="仿宋_GB2312" w:hAnsi="仿宋_GB2312" w:eastAsia="仿宋_GB2312" w:cs="仿宋_GB2312"/>
                <w:color w:val="000000"/>
                <w:sz w:val="18"/>
                <w:szCs w:val="18"/>
                <w:lang w:val="en-US" w:eastAsia="zh-CN"/>
              </w:rPr>
              <w:t>60号</w:t>
            </w:r>
          </w:p>
        </w:tc>
      </w:tr>
      <w:tr w14:paraId="0B71271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58CDFA">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1365C4B">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3F38DA8">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5A282674">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5778616">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08B9867">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£因素法与项目法相结合</w:t>
            </w:r>
          </w:p>
        </w:tc>
      </w:tr>
      <w:tr w14:paraId="2B9C14B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2700D">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2BF4B85">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BA8EBB9">
            <w:pPr>
              <w:spacing w:line="300" w:lineRule="exact"/>
              <w:jc w:val="left"/>
              <w:rPr>
                <w:rFonts w:hint="eastAsia" w:ascii="仿宋_GB2312" w:hAnsi="仿宋_GB2312" w:eastAsia="仿宋_GB2312" w:cs="仿宋_GB2312"/>
                <w:color w:val="000000"/>
                <w:sz w:val="18"/>
                <w:szCs w:val="18"/>
              </w:rPr>
            </w:pPr>
          </w:p>
        </w:tc>
      </w:tr>
      <w:tr w14:paraId="5048BB1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96F62">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1389779">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5C7CF1F">
            <w:pPr>
              <w:spacing w:line="300" w:lineRule="exact"/>
              <w:jc w:val="left"/>
              <w:rPr>
                <w:rFonts w:hint="eastAsia" w:ascii="仿宋_GB2312" w:hAnsi="仿宋_GB2312" w:eastAsia="仿宋_GB2312" w:cs="仿宋_GB2312"/>
                <w:color w:val="000000"/>
                <w:sz w:val="18"/>
                <w:szCs w:val="18"/>
              </w:rPr>
            </w:pPr>
          </w:p>
        </w:tc>
      </w:tr>
      <w:tr w14:paraId="399C166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9A84FE">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5CE7B691">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EAB4C9E">
            <w:pPr>
              <w:spacing w:line="300" w:lineRule="exact"/>
              <w:jc w:val="left"/>
              <w:rPr>
                <w:rFonts w:hint="eastAsia" w:ascii="仿宋_GB2312" w:hAnsi="仿宋_GB2312" w:eastAsia="仿宋_GB2312" w:cs="仿宋_GB2312"/>
                <w:color w:val="000000"/>
                <w:sz w:val="18"/>
                <w:szCs w:val="18"/>
              </w:rPr>
            </w:pPr>
          </w:p>
        </w:tc>
      </w:tr>
      <w:tr w14:paraId="50BE1FC2">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39097">
            <w:pPr>
              <w:spacing w:line="30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41C5313">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B5B413C">
            <w:pPr>
              <w:spacing w:line="300" w:lineRule="exact"/>
              <w:ind w:firstLine="1440" w:firstLineChars="8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2024年</w:t>
            </w:r>
          </w:p>
        </w:tc>
      </w:tr>
      <w:tr w14:paraId="2191519C">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A25F137">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项目资金</w:t>
            </w:r>
          </w:p>
          <w:p w14:paraId="5085153F">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3FA441F1">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EB2BAE3">
            <w:pPr>
              <w:spacing w:line="300" w:lineRule="exact"/>
              <w:jc w:val="right"/>
              <w:rPr>
                <w:rFonts w:hint="eastAsia" w:ascii="仿宋_GB2312" w:hAnsi="仿宋_GB2312" w:eastAsia="仿宋_GB2312" w:cs="仿宋_GB2312"/>
                <w:color w:val="000000"/>
                <w:sz w:val="18"/>
                <w:szCs w:val="18"/>
              </w:rPr>
            </w:pPr>
          </w:p>
        </w:tc>
      </w:tr>
      <w:tr w14:paraId="6F266D55">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50B51B5">
            <w:pPr>
              <w:spacing w:line="30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8999770">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49DF9E2">
            <w:pPr>
              <w:tabs>
                <w:tab w:val="left" w:pos="2038"/>
              </w:tabs>
              <w:spacing w:line="300" w:lineRule="exact"/>
              <w:jc w:val="lef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ab/>
            </w:r>
            <w:r>
              <w:rPr>
                <w:rFonts w:hint="eastAsia" w:ascii="仿宋_GB2312" w:hAnsi="仿宋_GB2312" w:eastAsia="仿宋_GB2312" w:cs="仿宋_GB2312"/>
                <w:color w:val="000000"/>
                <w:sz w:val="18"/>
                <w:szCs w:val="18"/>
                <w:lang w:val="en-US" w:eastAsia="zh-CN"/>
              </w:rPr>
              <w:t>509.90</w:t>
            </w:r>
          </w:p>
        </w:tc>
      </w:tr>
      <w:tr w14:paraId="699C7D0E">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E32AA94">
            <w:pPr>
              <w:spacing w:line="30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1D474A9D">
            <w:pPr>
              <w:widowControl/>
              <w:spacing w:line="30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6D0970B">
            <w:pPr>
              <w:spacing w:line="300" w:lineRule="exact"/>
              <w:jc w:val="right"/>
              <w:rPr>
                <w:rFonts w:hint="eastAsia" w:ascii="仿宋_GB2312" w:hAnsi="仿宋_GB2312" w:eastAsia="仿宋_GB2312" w:cs="仿宋_GB2312"/>
                <w:color w:val="000000"/>
                <w:sz w:val="18"/>
                <w:szCs w:val="18"/>
              </w:rPr>
            </w:pPr>
          </w:p>
        </w:tc>
      </w:tr>
      <w:tr w14:paraId="24C70A9D">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4DAEC945">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7DA45E36">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w:t>
            </w:r>
          </w:p>
        </w:tc>
      </w:tr>
      <w:tr w14:paraId="4743734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E73FF37">
            <w:pPr>
              <w:spacing w:line="300" w:lineRule="exact"/>
              <w:rPr>
                <w:rFonts w:hint="eastAsia" w:ascii="仿宋_GB2312" w:hAnsi="仿宋_GB2312" w:eastAsia="仿宋_GB2312" w:cs="仿宋_GB2312"/>
                <w:color w:val="000000"/>
                <w:sz w:val="18"/>
                <w:szCs w:val="18"/>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289DDD9B">
            <w:pPr>
              <w:spacing w:line="30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zh-CN" w:bidi="ar"/>
              </w:rPr>
              <w:t>本项目的建设，对加强各村人民直接的经济联系起到了巨大的作用，也为地方经济发展提供了必要的基础设施。</w:t>
            </w:r>
          </w:p>
        </w:tc>
      </w:tr>
      <w:tr w14:paraId="78C4342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3943EECB">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5F3023AB">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2208E17">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A839B9A">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4DA68BF">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7BD43B5">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BC49BCE">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78BD346">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03721C8">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实际完成指标值</w:t>
            </w:r>
          </w:p>
        </w:tc>
      </w:tr>
      <w:tr w14:paraId="21E6FD4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2928B87">
            <w:pPr>
              <w:spacing w:line="30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57FB5F0">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D90E63C">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0ACEC6A">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沟口镇（沟口村）</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22840C4">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5DA9788">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3D6EFBA">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3583CCB">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2E3B6F2">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4ADB282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2A73BB1">
            <w:pPr>
              <w:spacing w:line="30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6A92A">
            <w:pPr>
              <w:spacing w:line="30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92C828A">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3515B82">
            <w:pPr>
              <w:spacing w:line="3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大桥</w:t>
            </w:r>
            <w:r>
              <w:rPr>
                <w:rFonts w:hint="eastAsia" w:ascii="仿宋_GB2312" w:hAnsi="仿宋_GB2312" w:eastAsia="仿宋_GB2312" w:cs="仿宋_GB2312"/>
                <w:color w:val="000000"/>
                <w:sz w:val="18"/>
                <w:szCs w:val="18"/>
              </w:rPr>
              <w:t>基础设施维护率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AE1777C">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1E6A47C">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BDF0FB9">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804BA23">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AA8B976">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CE1E5E9">
        <w:tblPrEx>
          <w:tblCellMar>
            <w:top w:w="15" w:type="dxa"/>
            <w:left w:w="15" w:type="dxa"/>
            <w:bottom w:w="15" w:type="dxa"/>
            <w:right w:w="15" w:type="dxa"/>
          </w:tblCellMar>
        </w:tblPrEx>
        <w:trPr>
          <w:trHeight w:val="54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2AB9415">
            <w:pPr>
              <w:spacing w:line="30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E9B0A2">
            <w:pPr>
              <w:spacing w:line="30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AC0D62C">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B51E7F6">
            <w:pPr>
              <w:spacing w:line="30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该项目完成按时率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8B71848">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E32917D">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346407B">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FFE24A6">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97BBECF">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494098CD">
        <w:tblPrEx>
          <w:tblCellMar>
            <w:top w:w="15" w:type="dxa"/>
            <w:left w:w="15" w:type="dxa"/>
            <w:bottom w:w="15" w:type="dxa"/>
            <w:right w:w="15" w:type="dxa"/>
          </w:tblCellMar>
        </w:tblPrEx>
        <w:trPr>
          <w:trHeight w:val="1342"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FC51F98">
            <w:pPr>
              <w:spacing w:line="30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0A00514">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86440D">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w:t>
            </w:r>
          </w:p>
          <w:p w14:paraId="60E5C5AC">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6819DEF">
            <w:pPr>
              <w:spacing w:line="30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促进农村繁荣稳定</w:t>
            </w:r>
            <w:r>
              <w:rPr>
                <w:rFonts w:hint="eastAsia" w:ascii="仿宋_GB2312" w:hAnsi="仿宋_GB2312" w:eastAsia="仿宋_GB2312" w:cs="仿宋_GB2312"/>
                <w:color w:val="000000"/>
                <w:sz w:val="18"/>
                <w:szCs w:val="18"/>
                <w:lang w:eastAsia="zh-CN"/>
              </w:rPr>
              <w:t>，良好的交通方便农产品运输</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62FF999">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B4D27DE">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BD94607">
            <w:pPr>
              <w:spacing w:line="30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2AD0C0E">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6E45D35">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F13ABD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B755A02">
            <w:pPr>
              <w:spacing w:line="30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C8741A">
            <w:pPr>
              <w:spacing w:line="30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right w:val="single" w:color="000000" w:sz="4" w:space="0"/>
            </w:tcBorders>
            <w:noWrap w:val="0"/>
            <w:vAlign w:val="center"/>
          </w:tcPr>
          <w:p w14:paraId="6CBA3679">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4CB4D372">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8DA9DCF">
            <w:pPr>
              <w:spacing w:line="3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提高群众生活水平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F19819A">
            <w:pPr>
              <w:spacing w:line="30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5DBCFD4">
            <w:pPr>
              <w:spacing w:line="30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ED3D692">
            <w:pPr>
              <w:spacing w:line="30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7354EEC">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06C810B">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04D813E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E97BAAB">
            <w:pPr>
              <w:spacing w:line="30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right w:val="single" w:color="000000" w:sz="4" w:space="0"/>
            </w:tcBorders>
            <w:noWrap w:val="0"/>
            <w:vAlign w:val="center"/>
          </w:tcPr>
          <w:p w14:paraId="03C2689D">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w:t>
            </w:r>
          </w:p>
          <w:p w14:paraId="26F99684">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50" w:type="dxa"/>
            <w:tcBorders>
              <w:top w:val="single" w:color="000000" w:sz="4" w:space="0"/>
              <w:left w:val="single" w:color="000000" w:sz="4" w:space="0"/>
              <w:right w:val="single" w:color="000000" w:sz="4" w:space="0"/>
            </w:tcBorders>
            <w:noWrap w:val="0"/>
            <w:vAlign w:val="center"/>
          </w:tcPr>
          <w:p w14:paraId="0C51FC62">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服务对象</w:t>
            </w:r>
          </w:p>
          <w:p w14:paraId="113C48FC">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053D2E7">
            <w:pPr>
              <w:spacing w:line="30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受益群众满意度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E280196">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205ADA5">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0E7B064">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2755867">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65BBB27D">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7E1B377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54FAA35">
            <w:pPr>
              <w:spacing w:line="30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E06727B">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193529E">
            <w:pPr>
              <w:widowControl/>
              <w:spacing w:line="30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w:t>
            </w:r>
          </w:p>
          <w:p w14:paraId="611A9F13">
            <w:pPr>
              <w:widowControl/>
              <w:spacing w:line="30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bottom w:val="single" w:color="000000" w:sz="4" w:space="0"/>
              <w:right w:val="single" w:color="000000" w:sz="4" w:space="0"/>
            </w:tcBorders>
            <w:noWrap w:val="0"/>
            <w:vAlign w:val="center"/>
          </w:tcPr>
          <w:p w14:paraId="63BF0BA0">
            <w:pPr>
              <w:spacing w:line="30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kern w:val="0"/>
                <w:sz w:val="18"/>
                <w:szCs w:val="18"/>
                <w:lang w:bidi="ar"/>
              </w:rPr>
              <w:t>茂县沟口大桥桥梁建设</w:t>
            </w:r>
            <w:r>
              <w:rPr>
                <w:rFonts w:hint="eastAsia" w:ascii="仿宋_GB2312" w:hAnsi="仿宋_GB2312" w:eastAsia="仿宋_GB2312" w:cs="仿宋_GB2312"/>
                <w:color w:val="000000"/>
                <w:kern w:val="0"/>
                <w:sz w:val="18"/>
                <w:szCs w:val="18"/>
                <w:lang w:eastAsia="zh-CN" w:bidi="ar"/>
              </w:rPr>
              <w:t>成本控制范围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5394BA5">
            <w:pPr>
              <w:spacing w:line="30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AEC1AF1">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509.90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D2ADC02">
            <w:pPr>
              <w:spacing w:line="30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1FE7ADE">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FC849BC">
            <w:pPr>
              <w:spacing w:line="30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22722487">
      <w:pPr>
        <w:pStyle w:val="3"/>
        <w:spacing w:after="0" w:line="20" w:lineRule="exact"/>
        <w:ind w:leftChars="0" w:firstLine="480"/>
        <w:rPr>
          <w:rFonts w:hint="eastAsia" w:ascii="仿宋_GB2312" w:hAnsi="仿宋_GB2312" w:eastAsia="仿宋_GB2312" w:cs="仿宋_GB2312"/>
          <w:sz w:val="18"/>
          <w:szCs w:val="18"/>
        </w:rPr>
      </w:pPr>
    </w:p>
    <w:p w14:paraId="300BC472">
      <w:pPr>
        <w:spacing w:line="578" w:lineRule="exact"/>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附件2</w:t>
      </w:r>
    </w:p>
    <w:p w14:paraId="02B394BE">
      <w:pPr>
        <w:pStyle w:val="35"/>
        <w:spacing w:line="578" w:lineRule="exact"/>
        <w:rPr>
          <w:rFonts w:ascii="Times New Roman" w:hAnsi="Times New Roman" w:eastAsia="方正小标宋简体"/>
          <w:color w:val="auto"/>
          <w:kern w:val="2"/>
          <w:sz w:val="44"/>
          <w:szCs w:val="44"/>
          <w:lang w:val="en-US"/>
        </w:rPr>
      </w:pPr>
    </w:p>
    <w:p w14:paraId="3F804EE1">
      <w:pPr>
        <w:pStyle w:val="35"/>
        <w:spacing w:line="578"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专项预算绩效自评报告</w:t>
      </w:r>
    </w:p>
    <w:p w14:paraId="08FD5169">
      <w:pPr>
        <w:pStyle w:val="35"/>
        <w:spacing w:line="578" w:lineRule="exact"/>
        <w:jc w:val="center"/>
        <w:rPr>
          <w:rFonts w:hint="eastAsia" w:ascii="Times New Roman" w:hAnsi="Times New Roman" w:eastAsia="楷体_GB2312" w:cs="Times New Roman"/>
          <w:b/>
          <w:bCs w:val="0"/>
          <w:color w:val="auto"/>
          <w:kern w:val="2"/>
          <w:sz w:val="32"/>
          <w:szCs w:val="32"/>
          <w:lang w:val="en-US" w:eastAsia="zh-CN" w:bidi="ar-SA"/>
        </w:rPr>
      </w:pPr>
      <w:r>
        <w:rPr>
          <w:rFonts w:hint="eastAsia" w:ascii="Times New Roman" w:hAnsi="Times New Roman" w:eastAsia="楷体_GB2312" w:cs="Times New Roman"/>
          <w:b/>
          <w:bCs w:val="0"/>
          <w:color w:val="auto"/>
          <w:kern w:val="2"/>
          <w:sz w:val="32"/>
          <w:szCs w:val="32"/>
          <w:lang w:val="en-US" w:eastAsia="zh-CN" w:bidi="ar-SA"/>
        </w:rPr>
        <w:t>（茂县沟口镇基层政权建设补助资金</w:t>
      </w:r>
    </w:p>
    <w:p w14:paraId="2C460A3E">
      <w:pPr>
        <w:pStyle w:val="35"/>
        <w:spacing w:line="578" w:lineRule="exact"/>
        <w:jc w:val="center"/>
        <w:rPr>
          <w:rFonts w:hint="eastAsia" w:ascii="Times New Roman" w:hAnsi="Times New Roman" w:eastAsia="楷体_GB2312" w:cs="Times New Roman"/>
          <w:b/>
          <w:bCs w:val="0"/>
          <w:color w:val="auto"/>
          <w:kern w:val="2"/>
          <w:sz w:val="32"/>
          <w:szCs w:val="32"/>
          <w:lang w:val="en-US" w:eastAsia="zh-CN" w:bidi="ar-SA"/>
        </w:rPr>
      </w:pPr>
      <w:r>
        <w:rPr>
          <w:rFonts w:hint="eastAsia" w:ascii="Times New Roman" w:hAnsi="Times New Roman" w:eastAsia="楷体_GB2312" w:cs="Times New Roman"/>
          <w:b/>
          <w:bCs w:val="0"/>
          <w:color w:val="auto"/>
          <w:kern w:val="2"/>
          <w:sz w:val="32"/>
          <w:szCs w:val="32"/>
          <w:lang w:val="en-US" w:eastAsia="zh-CN" w:bidi="ar-SA"/>
        </w:rPr>
        <w:t>—办公楼及宿舍楼安全维修）</w:t>
      </w:r>
    </w:p>
    <w:p w14:paraId="0AE4180E">
      <w:pPr>
        <w:pStyle w:val="35"/>
        <w:spacing w:line="578" w:lineRule="exact"/>
        <w:ind w:firstLine="640"/>
        <w:jc w:val="center"/>
        <w:rPr>
          <w:rFonts w:ascii="Times New Roman" w:hAnsi="Times New Roman" w:eastAsia="楷体_GB2312" w:cs="Times New Roman"/>
          <w:b/>
          <w:color w:val="auto"/>
          <w:kern w:val="2"/>
          <w:sz w:val="32"/>
          <w:szCs w:val="32"/>
          <w:lang w:val="zh-CN" w:eastAsia="zh-CN" w:bidi="ar-SA"/>
        </w:rPr>
      </w:pPr>
    </w:p>
    <w:p w14:paraId="7E62DDAF">
      <w:pPr>
        <w:keepNext w:val="0"/>
        <w:keepLines w:val="0"/>
        <w:pageBreakBefore w:val="0"/>
        <w:suppressAutoHyphens/>
        <w:kinsoku/>
        <w:wordWrap/>
        <w:overflowPunct/>
        <w:topLinePunct w:val="0"/>
        <w:autoSpaceDE/>
        <w:autoSpaceDN/>
        <w:bidi w:val="0"/>
        <w:adjustRightInd w:val="0"/>
        <w:snapToGrid w:val="0"/>
        <w:spacing w:line="550" w:lineRule="exact"/>
        <w:ind w:firstLine="640" w:firstLineChars="200"/>
        <w:textAlignment w:val="auto"/>
        <w:outlineLvl w:val="1"/>
        <w:rPr>
          <w:rFonts w:hint="eastAsia" w:ascii="黑体" w:hAnsi="黑体" w:eastAsia="黑体" w:cs="黑体"/>
          <w:b w:val="0"/>
          <w:bCs w:val="0"/>
          <w:i w:val="0"/>
          <w:iCs w:val="0"/>
          <w:sz w:val="32"/>
          <w:szCs w:val="32"/>
          <w:lang w:val="zh-CN"/>
        </w:rPr>
      </w:pPr>
      <w:bookmarkStart w:id="106" w:name="_Toc15569"/>
      <w:bookmarkStart w:id="107" w:name="_Toc25102"/>
      <w:bookmarkStart w:id="108" w:name="_Toc17242"/>
      <w:bookmarkStart w:id="109" w:name="_Toc8231"/>
      <w:bookmarkStart w:id="110" w:name="_Toc21820"/>
      <w:bookmarkStart w:id="111" w:name="_Toc9080"/>
      <w:r>
        <w:rPr>
          <w:rFonts w:hint="eastAsia" w:ascii="黑体" w:hAnsi="黑体" w:eastAsia="黑体" w:cs="黑体"/>
          <w:b w:val="0"/>
          <w:bCs w:val="0"/>
          <w:i w:val="0"/>
          <w:iCs w:val="0"/>
          <w:sz w:val="32"/>
          <w:szCs w:val="32"/>
        </w:rPr>
        <w:t>一、</w:t>
      </w:r>
      <w:r>
        <w:rPr>
          <w:rFonts w:hint="eastAsia" w:ascii="黑体" w:hAnsi="黑体" w:eastAsia="黑体" w:cs="黑体"/>
          <w:b w:val="0"/>
          <w:bCs w:val="0"/>
          <w:i w:val="0"/>
          <w:iCs w:val="0"/>
          <w:sz w:val="32"/>
          <w:szCs w:val="32"/>
          <w:lang w:val="zh-CN"/>
        </w:rPr>
        <w:t>项目概况</w:t>
      </w:r>
      <w:bookmarkEnd w:id="106"/>
      <w:bookmarkEnd w:id="107"/>
      <w:bookmarkEnd w:id="108"/>
      <w:bookmarkEnd w:id="109"/>
      <w:bookmarkEnd w:id="110"/>
      <w:bookmarkEnd w:id="111"/>
    </w:p>
    <w:p w14:paraId="01852C2D">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（一）设立背景及基本情况</w:t>
      </w:r>
    </w:p>
    <w:p w14:paraId="0C261657">
      <w:pPr>
        <w:keepNext w:val="0"/>
        <w:keepLines w:val="0"/>
        <w:pageBreakBefore w:val="0"/>
        <w:widowControl/>
        <w:numPr>
          <w:ilvl w:val="0"/>
          <w:numId w:val="0"/>
        </w:numPr>
        <w:kinsoku/>
        <w:wordWrap/>
        <w:overflowPunct/>
        <w:topLinePunct w:val="0"/>
        <w:autoSpaceDE/>
        <w:autoSpaceDN/>
        <w:bidi w:val="0"/>
        <w:spacing w:line="550" w:lineRule="exact"/>
        <w:ind w:firstLine="640" w:firstLineChars="200"/>
        <w:jc w:val="left"/>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zh-CN" w:eastAsia="zh-CN"/>
        </w:rPr>
        <w:t>茂县沟口镇基层政权建设补助资金—办公楼及宿舍楼安全维修项目，金额：</w:t>
      </w:r>
      <w:r>
        <w:rPr>
          <w:rFonts w:hint="eastAsia" w:ascii="仿宋_GB2312" w:hAnsi="宋体" w:eastAsia="仿宋_GB2312" w:cs="Times New Roman"/>
          <w:color w:val="auto"/>
          <w:kern w:val="2"/>
          <w:sz w:val="32"/>
          <w:szCs w:val="32"/>
          <w:lang w:val="en-US" w:eastAsia="zh-CN"/>
        </w:rPr>
        <w:t>100.00万元；资金文号：茂财预〔2024〕45号。</w:t>
      </w:r>
    </w:p>
    <w:p w14:paraId="3C7B988B">
      <w:pPr>
        <w:keepNext w:val="0"/>
        <w:keepLines w:val="0"/>
        <w:pageBreakBefore w:val="0"/>
        <w:widowControl/>
        <w:numPr>
          <w:ilvl w:val="0"/>
          <w:numId w:val="0"/>
        </w:numPr>
        <w:kinsoku/>
        <w:wordWrap/>
        <w:overflowPunct/>
        <w:topLinePunct w:val="0"/>
        <w:autoSpaceDE/>
        <w:autoSpaceDN/>
        <w:bidi w:val="0"/>
        <w:spacing w:line="550" w:lineRule="exact"/>
        <w:ind w:firstLine="640" w:firstLineChars="200"/>
        <w:jc w:val="left"/>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改造目标：（一）办公楼提升改造：一是对全镇机关办公用房改造提升，消除安全隐患，更新办公设备，优化用房布局，满足办公服务需求。二是对全镇机关干部职工居住用房提升改造：改善居住环境，提升居住舒适度，如配套卫生间、供水和污水管网等，满足干部基本生活需求。（二）基础设施提升改造：为办公居住用房增加办公设施设备，改造提升供水管网，满足干部职工基本办公生活需求。</w:t>
      </w:r>
    </w:p>
    <w:p w14:paraId="0739351D">
      <w:pPr>
        <w:keepNext w:val="0"/>
        <w:keepLines w:val="0"/>
        <w:pageBreakBefore w:val="0"/>
        <w:widowControl/>
        <w:numPr>
          <w:ilvl w:val="0"/>
          <w:numId w:val="0"/>
        </w:numPr>
        <w:kinsoku/>
        <w:wordWrap/>
        <w:overflowPunct/>
        <w:topLinePunct w:val="0"/>
        <w:autoSpaceDE/>
        <w:autoSpaceDN/>
        <w:bidi w:val="0"/>
        <w:spacing w:line="550" w:lineRule="exact"/>
        <w:ind w:firstLine="640" w:firstLineChars="200"/>
        <w:jc w:val="left"/>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建设内容及规模：一、办公楼维修加固；二、职工宿舍安全维修。</w:t>
      </w:r>
    </w:p>
    <w:p w14:paraId="313E0BBC">
      <w:pPr>
        <w:keepNext w:val="0"/>
        <w:keepLines w:val="0"/>
        <w:pageBreakBefore w:val="0"/>
        <w:widowControl/>
        <w:numPr>
          <w:ilvl w:val="0"/>
          <w:numId w:val="0"/>
        </w:numPr>
        <w:kinsoku/>
        <w:wordWrap/>
        <w:overflowPunct/>
        <w:topLinePunct w:val="0"/>
        <w:autoSpaceDE/>
        <w:autoSpaceDN/>
        <w:bidi w:val="0"/>
        <w:spacing w:line="550" w:lineRule="exact"/>
        <w:ind w:firstLine="643" w:firstLineChars="200"/>
        <w:jc w:val="left"/>
        <w:textAlignment w:val="auto"/>
        <w:rPr>
          <w:rFonts w:eastAsia="楷体_GB2312"/>
          <w:b/>
          <w:lang w:val="zh-CN"/>
        </w:rPr>
      </w:pPr>
      <w:r>
        <w:rPr>
          <w:rFonts w:hint="eastAsia" w:ascii="楷体_GB2312" w:hAnsi="楷体_GB2312" w:eastAsia="楷体_GB2312" w:cs="楷体_GB2312"/>
          <w:b/>
          <w:bCs/>
          <w:sz w:val="32"/>
          <w:szCs w:val="32"/>
          <w:lang w:val="zh-CN" w:eastAsia="zh-CN"/>
        </w:rPr>
        <w:t>（二）实施目的及支持方向。</w:t>
      </w:r>
      <w:r>
        <w:rPr>
          <w:rFonts w:hint="eastAsia" w:ascii="仿宋_GB2312" w:hAnsi="宋体" w:eastAsia="仿宋_GB2312"/>
          <w:color w:val="auto"/>
          <w:kern w:val="2"/>
          <w:sz w:val="32"/>
          <w:szCs w:val="32"/>
        </w:rPr>
        <w:t>该项目有利于乡村党群事业发展，为实现乡村振兴添砖加瓦，为发展经济提供基础指挥平台，能为茂县社会经济带来更多正面影响。</w:t>
      </w:r>
    </w:p>
    <w:p w14:paraId="6127A43B">
      <w:pPr>
        <w:keepNext w:val="0"/>
        <w:keepLines w:val="0"/>
        <w:pageBreakBefore w:val="0"/>
        <w:widowControl/>
        <w:numPr>
          <w:ilvl w:val="0"/>
          <w:numId w:val="0"/>
        </w:numPr>
        <w:kinsoku/>
        <w:wordWrap/>
        <w:overflowPunct/>
        <w:topLinePunct w:val="0"/>
        <w:autoSpaceDE/>
        <w:autoSpaceDN/>
        <w:bidi w:val="0"/>
        <w:spacing w:line="550" w:lineRule="exact"/>
        <w:ind w:firstLine="643" w:firstLineChars="200"/>
        <w:jc w:val="left"/>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eastAsia="zh-CN"/>
        </w:rPr>
        <w:t>（三）预算安排及分配管理。</w:t>
      </w:r>
      <w:r>
        <w:rPr>
          <w:rFonts w:hint="eastAsia" w:ascii="仿宋_GB2312" w:hAnsi="仿宋_GB2312" w:eastAsia="仿宋_GB2312" w:cs="仿宋_GB2312"/>
          <w:color w:val="auto"/>
          <w:kern w:val="2"/>
          <w:sz w:val="32"/>
          <w:szCs w:val="32"/>
          <w:lang w:val="zh-CN" w:eastAsia="zh-CN"/>
        </w:rPr>
        <w:t>该笔资金于</w:t>
      </w:r>
      <w:r>
        <w:rPr>
          <w:rFonts w:hint="eastAsia" w:ascii="仿宋_GB2312" w:hAnsi="仿宋_GB2312" w:eastAsia="仿宋_GB2312" w:cs="仿宋_GB2312"/>
          <w:color w:val="auto"/>
          <w:kern w:val="2"/>
          <w:sz w:val="32"/>
          <w:szCs w:val="32"/>
          <w:lang w:val="en-US" w:eastAsia="zh-CN"/>
        </w:rPr>
        <w:t>2024年申请到账，</w:t>
      </w:r>
      <w:r>
        <w:rPr>
          <w:rFonts w:hint="eastAsia" w:ascii="仿宋_GB2312" w:hAnsi="仿宋_GB2312" w:eastAsia="仿宋_GB2312" w:cs="仿宋_GB2312"/>
          <w:sz w:val="32"/>
          <w:szCs w:val="32"/>
          <w:lang w:val="en-US" w:eastAsia="zh-CN"/>
        </w:rPr>
        <w:t>2024年完成支付96.42万元，年底决算收回3.58万元，完成率96.42%。</w:t>
      </w:r>
    </w:p>
    <w:p w14:paraId="32F4087A">
      <w:pPr>
        <w:keepNext w:val="0"/>
        <w:keepLines w:val="0"/>
        <w:pageBreakBefore w:val="0"/>
        <w:kinsoku/>
        <w:wordWrap/>
        <w:overflowPunct/>
        <w:topLinePunct w:val="0"/>
        <w:autoSpaceDE/>
        <w:autoSpaceDN/>
        <w:bidi w:val="0"/>
        <w:adjustRightInd w:val="0"/>
        <w:snapToGrid w:val="0"/>
        <w:spacing w:line="550" w:lineRule="exact"/>
        <w:ind w:firstLine="720"/>
        <w:textAlignment w:val="auto"/>
        <w:rPr>
          <w:rFonts w:ascii="仿宋_GB2312" w:hAnsi="仿宋_GB2312" w:eastAsia="仿宋_GB2312" w:cs="仿宋_GB2312"/>
          <w:sz w:val="32"/>
          <w:szCs w:val="32"/>
          <w:lang w:val="zh-CN"/>
        </w:rPr>
      </w:pPr>
      <w:r>
        <w:rPr>
          <w:rFonts w:hint="eastAsia" w:ascii="楷体_GB2312" w:hAnsi="楷体_GB2312" w:eastAsia="楷体_GB2312" w:cs="楷体_GB2312"/>
          <w:b/>
          <w:bCs/>
          <w:sz w:val="32"/>
          <w:szCs w:val="32"/>
          <w:lang w:val="zh-CN" w:eastAsia="zh-CN"/>
        </w:rPr>
        <w:t>（四）项目绩效目标设置。</w:t>
      </w:r>
      <w:r>
        <w:rPr>
          <w:rFonts w:hint="eastAsia" w:ascii="仿宋_GB2312" w:hAnsi="仿宋_GB2312" w:eastAsia="仿宋_GB2312" w:cs="仿宋_GB2312"/>
          <w:sz w:val="32"/>
          <w:szCs w:val="32"/>
          <w:lang w:val="zh-CN"/>
        </w:rPr>
        <w:t>该项目有利于</w:t>
      </w:r>
      <w:r>
        <w:rPr>
          <w:rFonts w:hint="eastAsia" w:ascii="仿宋_GB2312" w:hAnsi="仿宋_GB2312" w:eastAsia="仿宋_GB2312" w:cs="仿宋_GB2312"/>
          <w:sz w:val="32"/>
          <w:szCs w:val="32"/>
        </w:rPr>
        <w:t>消除安全隐患，更新办公设备，优化用房布局，满足办公服务需求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满足干部职工基本办公生活需求。</w:t>
      </w:r>
    </w:p>
    <w:p w14:paraId="6884F292">
      <w:pPr>
        <w:keepNext w:val="0"/>
        <w:keepLines w:val="0"/>
        <w:pageBreakBefore w:val="0"/>
        <w:widowControl/>
        <w:numPr>
          <w:ilvl w:val="0"/>
          <w:numId w:val="0"/>
        </w:numPr>
        <w:kinsoku/>
        <w:wordWrap/>
        <w:overflowPunct/>
        <w:topLinePunct w:val="0"/>
        <w:autoSpaceDE/>
        <w:autoSpaceDN/>
        <w:bidi w:val="0"/>
        <w:spacing w:line="550" w:lineRule="exact"/>
        <w:ind w:firstLine="640" w:firstLineChars="200"/>
        <w:jc w:val="left"/>
        <w:textAlignment w:val="auto"/>
        <w:rPr>
          <w:rFonts w:hint="eastAsia" w:ascii="黑体" w:hAnsi="宋体" w:eastAsia="黑体" w:cs="Times New Roman"/>
          <w:sz w:val="32"/>
          <w:szCs w:val="32"/>
          <w:lang w:val="zh-CN"/>
        </w:rPr>
      </w:pPr>
      <w:bookmarkStart w:id="112" w:name="_Toc233"/>
      <w:bookmarkStart w:id="113" w:name="_Toc6864"/>
      <w:bookmarkStart w:id="114" w:name="_Toc32178"/>
      <w:bookmarkStart w:id="115" w:name="_Toc32243"/>
      <w:bookmarkStart w:id="116" w:name="_Toc6536"/>
      <w:bookmarkStart w:id="117" w:name="_Toc6759"/>
      <w:r>
        <w:rPr>
          <w:rFonts w:hint="eastAsia" w:ascii="黑体" w:hAnsi="宋体" w:eastAsia="黑体" w:cs="Times New Roman"/>
          <w:sz w:val="32"/>
          <w:szCs w:val="32"/>
          <w:lang w:val="zh-CN"/>
        </w:rPr>
        <w:t>二、评价实施</w:t>
      </w:r>
      <w:bookmarkEnd w:id="112"/>
      <w:bookmarkEnd w:id="113"/>
      <w:bookmarkEnd w:id="114"/>
      <w:bookmarkEnd w:id="115"/>
      <w:bookmarkEnd w:id="116"/>
      <w:bookmarkEnd w:id="117"/>
    </w:p>
    <w:p w14:paraId="1499A6A6">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宋体" w:eastAsia="楷体_GB2312" w:cs="Times New Roman"/>
          <w:b/>
          <w:sz w:val="32"/>
          <w:szCs w:val="32"/>
          <w:lang w:val="zh-CN"/>
        </w:rPr>
        <w:t>（一）评价目的。</w:t>
      </w:r>
      <w:r>
        <w:rPr>
          <w:rFonts w:hint="eastAsia" w:ascii="仿宋_GB2312" w:hAnsi="仿宋_GB2312" w:eastAsia="仿宋_GB2312" w:cs="仿宋_GB2312"/>
          <w:sz w:val="32"/>
          <w:szCs w:val="32"/>
        </w:rPr>
        <w:t>通为进一步提升预算管理水平、提高公共服务质量、优化公共资源配置提供决策参考，为以后年度类似项目专项资金安排、政策制度建设、预算绩效的推进提供必要的借鉴。</w:t>
      </w:r>
    </w:p>
    <w:p w14:paraId="6C0A2407">
      <w:pPr>
        <w:keepNext w:val="0"/>
        <w:keepLines w:val="0"/>
        <w:pageBreakBefore w:val="0"/>
        <w:widowControl w:val="0"/>
        <w:numPr>
          <w:ilvl w:val="0"/>
          <w:numId w:val="0"/>
        </w:numPr>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宋体" w:eastAsia="楷体_GB2312" w:cs="Times New Roman"/>
          <w:b/>
          <w:sz w:val="32"/>
          <w:szCs w:val="32"/>
          <w:lang w:val="zh-CN"/>
        </w:rPr>
        <w:t>（二）预设问题及评价重点。</w:t>
      </w:r>
      <w:r>
        <w:rPr>
          <w:rFonts w:hint="eastAsia" w:ascii="仿宋_GB2312" w:hAnsi="仿宋_GB2312" w:eastAsia="仿宋_GB2312" w:cs="仿宋_GB2312"/>
          <w:sz w:val="32"/>
          <w:szCs w:val="32"/>
          <w:lang w:val="zh-CN" w:eastAsia="zh-CN"/>
        </w:rPr>
        <w:t>重点评价该项目财政专项资金使用的规范性、安全性和有效性及评价项目的社会效益、经济效益、可持续性。</w:t>
      </w:r>
    </w:p>
    <w:p w14:paraId="2B6B4A4C">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eastAsia="zh-CN"/>
        </w:rPr>
        <w:t>（三）评价选点。</w:t>
      </w:r>
      <w:r>
        <w:rPr>
          <w:rFonts w:hint="eastAsia" w:ascii="仿宋_GB2312" w:hAnsi="仿宋_GB2312" w:eastAsia="仿宋_GB2312" w:cs="仿宋_GB2312"/>
          <w:color w:val="000000"/>
          <w:kern w:val="0"/>
          <w:sz w:val="32"/>
          <w:szCs w:val="32"/>
          <w:shd w:val="clear" w:color="auto" w:fill="FFFFFF"/>
        </w:rPr>
        <w:t>项目资金由镇财政所具体管理，按投资计划，对项目资金按项目单独核算</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实行“专款专用、专人管理”，不得挤占</w:t>
      </w:r>
      <w:r>
        <w:rPr>
          <w:rFonts w:hint="eastAsia" w:ascii="仿宋_GB2312" w:hAnsi="仿宋_GB2312" w:eastAsia="仿宋_GB2312" w:cs="仿宋_GB2312"/>
          <w:color w:val="000000"/>
          <w:kern w:val="0"/>
          <w:sz w:val="32"/>
          <w:szCs w:val="32"/>
          <w:shd w:val="clear" w:color="auto" w:fill="FFFFFF"/>
          <w:lang w:eastAsia="zh-CN"/>
        </w:rPr>
        <w:t>、</w:t>
      </w:r>
      <w:r>
        <w:rPr>
          <w:rFonts w:hint="eastAsia" w:ascii="仿宋_GB2312" w:hAnsi="仿宋_GB2312" w:eastAsia="仿宋_GB2312" w:cs="仿宋_GB2312"/>
          <w:color w:val="000000"/>
          <w:kern w:val="0"/>
          <w:sz w:val="32"/>
          <w:szCs w:val="32"/>
          <w:shd w:val="clear" w:color="auto" w:fill="FFFFFF"/>
        </w:rPr>
        <w:t>挪用项目资金。指派专人对项目的实施定期或不定期的</w:t>
      </w:r>
      <w:r>
        <w:rPr>
          <w:rFonts w:hint="eastAsia" w:ascii="仿宋_GB2312" w:hAnsi="仿宋_GB2312" w:eastAsia="仿宋_GB2312" w:cs="仿宋_GB2312"/>
          <w:sz w:val="32"/>
          <w:szCs w:val="32"/>
        </w:rPr>
        <w:t>进行现场检查和监督，及时协调解决困难和问题，保证工程质量。</w:t>
      </w:r>
    </w:p>
    <w:p w14:paraId="307910B6">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eastAsia="zh-CN"/>
        </w:rPr>
        <w:t>（四）评价方法。</w:t>
      </w:r>
      <w:r>
        <w:rPr>
          <w:rFonts w:hint="eastAsia" w:ascii="仿宋_GB2312" w:hAnsi="仿宋_GB2312" w:eastAsia="仿宋_GB2312" w:cs="仿宋_GB2312"/>
          <w:sz w:val="32"/>
          <w:szCs w:val="32"/>
          <w:lang w:val="zh-CN"/>
        </w:rPr>
        <w:t>该项目采用</w:t>
      </w:r>
      <w:r>
        <w:rPr>
          <w:rFonts w:hint="eastAsia" w:ascii="仿宋_GB2312" w:hAnsi="仿宋_GB2312" w:eastAsia="仿宋_GB2312" w:cs="仿宋_GB2312"/>
          <w:sz w:val="32"/>
          <w:szCs w:val="32"/>
        </w:rPr>
        <w:t>单位自评法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p>
    <w:p w14:paraId="14CF3B23">
      <w:pPr>
        <w:keepNext w:val="0"/>
        <w:keepLines w:val="0"/>
        <w:pageBreakBefore w:val="0"/>
        <w:widowControl w:val="0"/>
        <w:suppressAutoHyphens/>
        <w:kinsoku/>
        <w:wordWrap/>
        <w:overflowPunct/>
        <w:topLinePunct w:val="0"/>
        <w:autoSpaceDE/>
        <w:autoSpaceDN/>
        <w:bidi w:val="0"/>
        <w:spacing w:line="55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val="zh-CN"/>
        </w:rPr>
        <w:t>前期工作</w:t>
      </w:r>
      <w:r>
        <w:rPr>
          <w:rFonts w:hint="eastAsia" w:ascii="仿宋_GB2312" w:hAnsi="仿宋_GB2312" w:eastAsia="仿宋_GB2312" w:cs="仿宋_GB2312"/>
          <w:sz w:val="32"/>
          <w:szCs w:val="32"/>
          <w:lang w:val="zh-CN"/>
        </w:rPr>
        <w:t>：成立项目绩效自评领导小组，安排专人收集整理相关数据档案、拟定实地核查方案。</w:t>
      </w:r>
    </w:p>
    <w:p w14:paraId="0DB7A785">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2.实地核查：</w:t>
      </w:r>
      <w:r>
        <w:rPr>
          <w:rFonts w:hint="eastAsia" w:ascii="仿宋_GB2312" w:hAnsi="仿宋_GB2312" w:eastAsia="仿宋_GB2312" w:cs="仿宋_GB2312"/>
          <w:sz w:val="32"/>
          <w:szCs w:val="32"/>
        </w:rPr>
        <w:t>自评工作小组，根据评价指标对</w:t>
      </w:r>
      <w:r>
        <w:rPr>
          <w:rFonts w:hint="eastAsia" w:ascii="仿宋_GB2312" w:hAnsi="仿宋_GB2312" w:eastAsia="仿宋_GB2312" w:cs="仿宋_GB2312"/>
          <w:sz w:val="32"/>
          <w:szCs w:val="32"/>
          <w:lang w:eastAsia="zh-CN"/>
        </w:rPr>
        <w:t>资金</w:t>
      </w:r>
      <w:r>
        <w:rPr>
          <w:rFonts w:hint="eastAsia" w:ascii="仿宋_GB2312" w:hAnsi="仿宋_GB2312" w:eastAsia="仿宋_GB2312" w:cs="仿宋_GB2312"/>
          <w:sz w:val="32"/>
          <w:szCs w:val="32"/>
        </w:rPr>
        <w:t>使用</w:t>
      </w:r>
      <w:r>
        <w:rPr>
          <w:rFonts w:hint="eastAsia" w:ascii="仿宋_GB2312" w:hAnsi="仿宋_GB2312" w:eastAsia="仿宋_GB2312" w:cs="仿宋_GB2312"/>
          <w:sz w:val="32"/>
          <w:szCs w:val="32"/>
          <w:lang w:val="zh-CN"/>
        </w:rPr>
        <w:t>情况进行调查核实，沟口镇财经审查办公室对项目资金完善进行自评。</w:t>
      </w:r>
    </w:p>
    <w:p w14:paraId="226DAC6E">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zh-CN"/>
        </w:rPr>
        <w:t>3.分析评价：</w:t>
      </w:r>
      <w:r>
        <w:rPr>
          <w:rFonts w:hint="eastAsia" w:ascii="仿宋_GB2312" w:hAnsi="仿宋_GB2312" w:eastAsia="仿宋_GB2312" w:cs="仿宋_GB2312"/>
          <w:sz w:val="32"/>
          <w:szCs w:val="32"/>
          <w:lang w:val="zh-CN"/>
        </w:rPr>
        <w:t>根据自查结果，对绩效评价指标进行全面的分析形成绩效评价报告。</w:t>
      </w:r>
    </w:p>
    <w:p w14:paraId="4D075E27">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val="zh-CN" w:eastAsia="zh-CN"/>
        </w:rPr>
        <w:t>（五）评价组织。</w:t>
      </w:r>
      <w:r>
        <w:rPr>
          <w:rFonts w:hint="eastAsia" w:ascii="仿宋_GB2312" w:hAnsi="仿宋_GB2312" w:eastAsia="仿宋_GB2312" w:cs="仿宋_GB2312"/>
          <w:sz w:val="32"/>
          <w:szCs w:val="32"/>
          <w:lang w:val="zh-CN"/>
        </w:rPr>
        <w:t>成立项目绩效自评领导小组，由分管财务副镇长牵头，沟口镇财经审查办公室、沟口镇各驻村工作组组成自评小组，通过数据分析、实地核查、分析评价形成绩效评价报告。</w:t>
      </w:r>
    </w:p>
    <w:p w14:paraId="1D46F5BB">
      <w:pPr>
        <w:keepNext w:val="0"/>
        <w:keepLines w:val="0"/>
        <w:pageBreakBefore w:val="0"/>
        <w:widowControl/>
        <w:numPr>
          <w:ilvl w:val="0"/>
          <w:numId w:val="0"/>
        </w:numPr>
        <w:kinsoku/>
        <w:wordWrap/>
        <w:overflowPunct/>
        <w:topLinePunct w:val="0"/>
        <w:autoSpaceDE/>
        <w:autoSpaceDN/>
        <w:bidi w:val="0"/>
        <w:spacing w:line="550" w:lineRule="exact"/>
        <w:ind w:firstLine="640" w:firstLineChars="200"/>
        <w:jc w:val="left"/>
        <w:textAlignment w:val="auto"/>
        <w:rPr>
          <w:rFonts w:hint="eastAsia" w:ascii="黑体" w:hAnsi="宋体" w:eastAsia="黑体" w:cs="Times New Roman"/>
          <w:sz w:val="32"/>
          <w:szCs w:val="32"/>
          <w:lang w:val="zh-CN"/>
        </w:rPr>
      </w:pPr>
      <w:r>
        <w:rPr>
          <w:rFonts w:hint="eastAsia" w:ascii="黑体" w:hAnsi="宋体" w:eastAsia="黑体" w:cs="Times New Roman"/>
          <w:sz w:val="32"/>
          <w:szCs w:val="32"/>
          <w:lang w:val="zh-CN"/>
        </w:rPr>
        <w:t>三、绩效分析</w:t>
      </w:r>
      <w:r>
        <w:rPr>
          <w:rFonts w:hint="eastAsia" w:ascii="黑体" w:hAnsi="宋体" w:eastAsia="黑体" w:cs="Times New Roman"/>
          <w:sz w:val="32"/>
          <w:szCs w:val="32"/>
          <w:lang w:val="zh-CN"/>
        </w:rPr>
        <w:tab/>
      </w:r>
    </w:p>
    <w:p w14:paraId="34604B2D">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（一）通用指标绩效分析</w:t>
      </w:r>
    </w:p>
    <w:p w14:paraId="686DFFBF">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1.项目决策。</w:t>
      </w:r>
      <w:r>
        <w:rPr>
          <w:rFonts w:hint="eastAsia" w:ascii="仿宋_GB2312" w:hAnsi="仿宋_GB2312" w:eastAsia="仿宋_GB2312" w:cs="仿宋_GB2312"/>
          <w:sz w:val="32"/>
          <w:szCs w:val="32"/>
        </w:rPr>
        <w:t>茂县</w:t>
      </w:r>
      <w:r>
        <w:rPr>
          <w:rFonts w:hint="eastAsia" w:ascii="仿宋_GB2312" w:hAnsi="仿宋_GB2312" w:eastAsia="仿宋_GB2312" w:cs="仿宋_GB2312"/>
          <w:sz w:val="32"/>
          <w:szCs w:val="32"/>
          <w:lang w:eastAsia="zh-CN"/>
        </w:rPr>
        <w:t>沟口镇</w:t>
      </w:r>
      <w:r>
        <w:rPr>
          <w:rFonts w:hint="eastAsia" w:ascii="仿宋_GB2312" w:hAnsi="仿宋_GB2312" w:eastAsia="仿宋_GB2312" w:cs="仿宋_GB2312"/>
          <w:sz w:val="32"/>
          <w:szCs w:val="32"/>
        </w:rPr>
        <w:t>人民政府负责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补助资金根据各村人口、幅员面积、地理区位、村集体收入和工作绩效等因素分村确定具体的补助标准，</w:t>
      </w:r>
      <w:r>
        <w:rPr>
          <w:rFonts w:hint="eastAsia" w:ascii="仿宋_GB2312" w:hAnsi="仿宋_GB2312" w:eastAsia="仿宋_GB2312" w:cs="仿宋_GB2312"/>
          <w:sz w:val="32"/>
          <w:szCs w:val="32"/>
          <w:lang w:eastAsia="zh-CN"/>
        </w:rPr>
        <w:t>沟口镇</w:t>
      </w:r>
      <w:r>
        <w:rPr>
          <w:rFonts w:hint="eastAsia" w:ascii="仿宋_GB2312" w:hAnsi="仿宋_GB2312" w:eastAsia="仿宋_GB2312" w:cs="仿宋_GB2312"/>
          <w:sz w:val="32"/>
          <w:szCs w:val="32"/>
        </w:rPr>
        <w:t>驻村工作组对完工内容进行验收，</w:t>
      </w:r>
      <w:r>
        <w:rPr>
          <w:rFonts w:hint="eastAsia" w:ascii="仿宋_GB2312" w:hAnsi="仿宋_GB2312" w:eastAsia="仿宋_GB2312" w:cs="仿宋_GB2312"/>
          <w:sz w:val="32"/>
          <w:szCs w:val="32"/>
          <w:lang w:eastAsia="zh-CN"/>
        </w:rPr>
        <w:t>沟口镇财务室</w:t>
      </w:r>
      <w:r>
        <w:rPr>
          <w:rFonts w:hint="eastAsia" w:ascii="仿宋_GB2312" w:hAnsi="仿宋_GB2312" w:eastAsia="仿宋_GB2312" w:cs="仿宋_GB2312"/>
          <w:sz w:val="32"/>
          <w:szCs w:val="32"/>
        </w:rPr>
        <w:t>支付资金。</w:t>
      </w:r>
    </w:p>
    <w:p w14:paraId="6F6FE5A8">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2.项目管理。</w:t>
      </w:r>
      <w:r>
        <w:rPr>
          <w:rFonts w:hint="eastAsia" w:ascii="仿宋_GB2312" w:hAnsi="仿宋_GB2312" w:eastAsia="仿宋_GB2312" w:cs="仿宋_GB2312"/>
          <w:sz w:val="32"/>
          <w:szCs w:val="32"/>
        </w:rPr>
        <w:t>镇政府统一监督管理，严禁弄虚作假</w:t>
      </w:r>
      <w:r>
        <w:rPr>
          <w:rFonts w:hint="eastAsia" w:ascii="仿宋_GB2312" w:hAnsi="仿宋_GB2312" w:eastAsia="仿宋_GB2312" w:cs="仿宋_GB2312"/>
          <w:sz w:val="32"/>
          <w:szCs w:val="32"/>
          <w:lang w:eastAsia="zh-CN"/>
        </w:rPr>
        <w:t>。</w:t>
      </w:r>
    </w:p>
    <w:p w14:paraId="7C0F6372">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3.项目实施</w:t>
      </w:r>
      <w:r>
        <w:rPr>
          <w:rFonts w:hint="eastAsia" w:ascii="仿宋_GB2312" w:hAnsi="仿宋_GB2312" w:eastAsia="仿宋_GB2312" w:cs="仿宋_GB2312"/>
          <w:sz w:val="32"/>
          <w:szCs w:val="32"/>
        </w:rPr>
        <w:t>。为确保项目的顺利实施，负责建设相关事宜，以确保项目保质保量按时完工。对项目资金按项目单独核算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实行“专款专用、专人管理”，不得挤占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挪用项目资金。</w:t>
      </w:r>
    </w:p>
    <w:p w14:paraId="66413F21">
      <w:pPr>
        <w:keepNext w:val="0"/>
        <w:keepLines w:val="0"/>
        <w:pageBreakBefore w:val="0"/>
        <w:widowControl w:val="0"/>
        <w:suppressAutoHyphens/>
        <w:kinsoku/>
        <w:wordWrap/>
        <w:overflowPunct/>
        <w:topLinePunct w:val="0"/>
        <w:autoSpaceDE/>
        <w:autoSpaceDN/>
        <w:bidi w:val="0"/>
        <w:spacing w:line="550" w:lineRule="exact"/>
        <w:ind w:firstLine="643"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4.项目结果。</w:t>
      </w:r>
      <w:r>
        <w:rPr>
          <w:rFonts w:hint="eastAsia" w:ascii="仿宋_GB2312" w:hAnsi="仿宋_GB2312" w:eastAsia="仿宋_GB2312" w:cs="仿宋_GB2312"/>
          <w:sz w:val="32"/>
          <w:szCs w:val="32"/>
          <w:lang w:eastAsia="zh-CN"/>
        </w:rPr>
        <w:t>该项目已完成支付。</w:t>
      </w:r>
    </w:p>
    <w:p w14:paraId="5552F779">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（二）专用指标绩效分析</w:t>
      </w:r>
    </w:p>
    <w:p w14:paraId="49B93A9F">
      <w:pPr>
        <w:keepNext w:val="0"/>
        <w:keepLines w:val="0"/>
        <w:pageBreakBefore w:val="0"/>
        <w:widowControl w:val="0"/>
        <w:suppressAutoHyphens/>
        <w:kinsoku/>
        <w:wordWrap/>
        <w:overflowPunct/>
        <w:topLinePunct w:val="0"/>
        <w:autoSpaceDE/>
        <w:autoSpaceDN/>
        <w:bidi w:val="0"/>
        <w:spacing w:line="55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1.产业发展类。通过完善基础设施建设，进一步改善了村级的基础设施和公共服务，扩大了农村基层民主</w:t>
      </w:r>
      <w:r>
        <w:rPr>
          <w:rFonts w:hint="eastAsia" w:ascii="仿宋_GB2312" w:hAnsi="仿宋_GB2312" w:eastAsia="仿宋_GB2312" w:cs="仿宋_GB2312"/>
          <w:sz w:val="32"/>
          <w:szCs w:val="32"/>
          <w:lang w:eastAsia="zh-CN"/>
        </w:rPr>
        <w:t>。</w:t>
      </w:r>
    </w:p>
    <w:p w14:paraId="62DC9333">
      <w:pPr>
        <w:keepNext w:val="0"/>
        <w:keepLines w:val="0"/>
        <w:pageBreakBefore w:val="0"/>
        <w:widowControl w:val="0"/>
        <w:suppressAutoHyphens/>
        <w:kinsoku/>
        <w:wordWrap/>
        <w:overflowPunct/>
        <w:topLinePunct w:val="0"/>
        <w:autoSpaceDE/>
        <w:autoSpaceDN/>
        <w:bidi w:val="0"/>
        <w:spacing w:line="550" w:lineRule="exact"/>
        <w:ind w:firstLine="640" w:firstLineChars="200"/>
        <w:textAlignment w:val="auto"/>
        <w:outlineLvl w:val="9"/>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民生保障</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完善了村民自治，密切了党和政府同农民群众的关系，满足了农民群众的需求，也为我镇的村级项目建设起到了示范和引领作用。</w:t>
      </w:r>
    </w:p>
    <w:p w14:paraId="30E37987">
      <w:pPr>
        <w:keepNext w:val="0"/>
        <w:keepLines w:val="0"/>
        <w:pageBreakBefore w:val="0"/>
        <w:widowControl w:val="0"/>
        <w:suppressAutoHyphens/>
        <w:kinsoku/>
        <w:wordWrap/>
        <w:overflowPunct/>
        <w:topLinePunct w:val="0"/>
        <w:autoSpaceDE/>
        <w:autoSpaceDN/>
        <w:bidi w:val="0"/>
        <w:spacing w:line="55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3.基础设施类。采取专户核算、专款专用。</w:t>
      </w:r>
      <w:r>
        <w:rPr>
          <w:rFonts w:hint="eastAsia" w:ascii="仿宋_GB2312" w:hAnsi="仿宋_GB2312" w:eastAsia="仿宋_GB2312" w:cs="仿宋_GB2312"/>
          <w:sz w:val="32"/>
          <w:szCs w:val="32"/>
          <w:lang w:val="en-US" w:eastAsia="zh-CN"/>
        </w:rPr>
        <w:t>建立台账，明确到村保障资金数额，确保保障资金用于村内</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"https://wenwen.sogou.com/s/?w=%E5%85%AC%E5%85%B1%E6%9C%8D%E5%8A%A1%E8%AE%BE%E6%96%BD&amp;ch=ww.xqy.chain" \t "_blank"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公共服务设施</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运行维护，防止挪用和平调。</w:t>
      </w:r>
    </w:p>
    <w:p w14:paraId="39062EC4">
      <w:pPr>
        <w:keepNext w:val="0"/>
        <w:keepLines w:val="0"/>
        <w:pageBreakBefore w:val="0"/>
        <w:widowControl w:val="0"/>
        <w:suppressAutoHyphens/>
        <w:kinsoku/>
        <w:wordWrap/>
        <w:overflowPunct/>
        <w:topLinePunct w:val="0"/>
        <w:autoSpaceDE/>
        <w:autoSpaceDN/>
        <w:bidi w:val="0"/>
        <w:spacing w:line="55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行政运转</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eastAsia="zh-CN"/>
        </w:rPr>
        <w:t>项目用途合规、程序合规、标准合规，</w:t>
      </w:r>
      <w:r>
        <w:rPr>
          <w:rFonts w:hint="eastAsia" w:ascii="仿宋_GB2312" w:hAnsi="仿宋_GB2312" w:eastAsia="仿宋_GB2312" w:cs="仿宋_GB2312"/>
          <w:sz w:val="32"/>
          <w:szCs w:val="32"/>
          <w:lang w:val="en-US" w:eastAsia="zh-CN"/>
        </w:rPr>
        <w:t>收支合理、手续完备、数字准确、账目清楚。</w:t>
      </w:r>
    </w:p>
    <w:p w14:paraId="7B94DEF7">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firstLine="643"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zh-CN" w:eastAsia="zh-CN"/>
        </w:rPr>
        <w:t>（三）个性指标绩效分析。</w:t>
      </w:r>
      <w:r>
        <w:rPr>
          <w:rFonts w:hint="eastAsia" w:ascii="仿宋_GB2312" w:hAnsi="仿宋_GB2312" w:eastAsia="仿宋_GB2312" w:cs="仿宋_GB2312"/>
          <w:sz w:val="32"/>
          <w:szCs w:val="32"/>
          <w:lang w:val="en-US" w:eastAsia="zh-CN"/>
        </w:rPr>
        <w:t>时效指标：项目计划于2024年底完成，完成支付率96.42%。</w:t>
      </w:r>
    </w:p>
    <w:p w14:paraId="28C44900">
      <w:pPr>
        <w:keepNext w:val="0"/>
        <w:keepLines w:val="0"/>
        <w:pageBreakBefore w:val="0"/>
        <w:widowControl/>
        <w:numPr>
          <w:ilvl w:val="0"/>
          <w:numId w:val="0"/>
        </w:numPr>
        <w:kinsoku/>
        <w:wordWrap/>
        <w:overflowPunct/>
        <w:topLinePunct w:val="0"/>
        <w:autoSpaceDE/>
        <w:autoSpaceDN/>
        <w:bidi w:val="0"/>
        <w:adjustRightInd w:val="0"/>
        <w:snapToGrid w:val="0"/>
        <w:spacing w:line="550" w:lineRule="exact"/>
        <w:ind w:firstLine="643" w:firstLineChars="200"/>
        <w:contextualSpacing/>
        <w:jc w:val="left"/>
        <w:textAlignment w:val="auto"/>
        <w:rPr>
          <w:rFonts w:hint="eastAsia" w:ascii="楷体_GB2312" w:hAnsi="楷体_GB2312" w:eastAsia="楷体_GB2312" w:cs="楷体_GB2312"/>
          <w:b/>
          <w:bCs/>
          <w:sz w:val="32"/>
          <w:szCs w:val="32"/>
          <w:lang w:val="zh-CN" w:eastAsia="zh-CN"/>
        </w:rPr>
      </w:pPr>
      <w:r>
        <w:rPr>
          <w:rFonts w:hint="eastAsia" w:ascii="楷体_GB2312" w:hAnsi="楷体_GB2312" w:eastAsia="楷体_GB2312" w:cs="楷体_GB2312"/>
          <w:b/>
          <w:bCs/>
          <w:sz w:val="32"/>
          <w:szCs w:val="32"/>
          <w:lang w:val="zh-CN" w:eastAsia="zh-CN"/>
        </w:rPr>
        <w:t>（四）评价结论</w:t>
      </w:r>
    </w:p>
    <w:p w14:paraId="2D5913AC">
      <w:pPr>
        <w:keepNext w:val="0"/>
        <w:keepLines w:val="0"/>
        <w:pageBreakBefore w:val="0"/>
        <w:widowControl/>
        <w:numPr>
          <w:ilvl w:val="0"/>
          <w:numId w:val="0"/>
        </w:numPr>
        <w:kinsoku/>
        <w:wordWrap/>
        <w:overflowPunct/>
        <w:topLinePunct w:val="0"/>
        <w:autoSpaceDE/>
        <w:autoSpaceDN/>
        <w:bidi w:val="0"/>
        <w:spacing w:line="550" w:lineRule="exact"/>
        <w:ind w:firstLine="640" w:firstLineChars="200"/>
        <w:jc w:val="left"/>
        <w:textAlignment w:val="auto"/>
        <w:rPr>
          <w:rFonts w:ascii="Times New Roman"/>
          <w:sz w:val="32"/>
          <w:szCs w:val="32"/>
          <w:lang w:eastAsia="zh-CN"/>
        </w:rPr>
      </w:pPr>
      <w:r>
        <w:rPr>
          <w:rFonts w:hint="eastAsia" w:ascii="仿宋_GB2312" w:hAnsi="宋体" w:eastAsia="仿宋_GB2312"/>
          <w:color w:val="auto"/>
          <w:kern w:val="2"/>
          <w:sz w:val="32"/>
          <w:szCs w:val="32"/>
        </w:rPr>
        <w:t>该项目消除安全隐患，更新办公设备，优化用房布局，满足办公服务需求。满足干部职工基本办公生活需求。为发展经济提供基础指挥平台，能为茂县社会经济带来更多正面影响。</w:t>
      </w:r>
    </w:p>
    <w:p w14:paraId="75AFC1C0">
      <w:pPr>
        <w:pStyle w:val="8"/>
        <w:keepNext w:val="0"/>
        <w:keepLines w:val="0"/>
        <w:pageBreakBefore w:val="0"/>
        <w:numPr>
          <w:ilvl w:val="0"/>
          <w:numId w:val="3"/>
        </w:numPr>
        <w:tabs>
          <w:tab w:val="left" w:pos="2160"/>
        </w:tabs>
        <w:kinsoku/>
        <w:wordWrap/>
        <w:overflowPunct/>
        <w:topLinePunct w:val="0"/>
        <w:autoSpaceDE/>
        <w:autoSpaceDN/>
        <w:bidi w:val="0"/>
        <w:spacing w:line="560" w:lineRule="exact"/>
        <w:ind w:left="197" w:leftChars="0" w:firstLine="643" w:firstLineChars="0"/>
        <w:textAlignment w:val="auto"/>
        <w:rPr>
          <w:rFonts w:hint="default"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zh-CN" w:eastAsia="zh-CN" w:bidi="ar-SA"/>
        </w:rPr>
        <w:t>存在主要问题</w:t>
      </w:r>
    </w:p>
    <w:p w14:paraId="7011F5D1">
      <w:pPr>
        <w:pStyle w:val="8"/>
        <w:keepNext w:val="0"/>
        <w:keepLines w:val="0"/>
        <w:pageBreakBefore w:val="0"/>
        <w:numPr>
          <w:ilvl w:val="0"/>
          <w:numId w:val="0"/>
        </w:numPr>
        <w:tabs>
          <w:tab w:val="left" w:pos="2160"/>
        </w:tabs>
        <w:kinsoku/>
        <w:wordWrap/>
        <w:overflowPunct/>
        <w:topLinePunct w:val="0"/>
        <w:autoSpaceDE/>
        <w:autoSpaceDN/>
        <w:bidi w:val="0"/>
        <w:spacing w:line="560" w:lineRule="exact"/>
        <w:ind w:firstLine="640" w:firstLineChars="200"/>
        <w:textAlignment w:val="auto"/>
        <w:rPr>
          <w:rFonts w:hint="default" w:ascii="仿宋_GB2312" w:hAnsi="宋体" w:eastAsia="仿宋_GB2312" w:cs="Times New Roman"/>
          <w:color w:val="auto"/>
          <w:kern w:val="2"/>
          <w:position w:val="0"/>
          <w:sz w:val="32"/>
          <w:szCs w:val="32"/>
          <w:lang w:val="en-US" w:eastAsia="zh-CN" w:bidi="ar-SA"/>
        </w:rPr>
      </w:pPr>
      <w:r>
        <w:rPr>
          <w:rFonts w:hint="eastAsia" w:hAnsi="宋体" w:cs="Times New Roman"/>
          <w:color w:val="auto"/>
          <w:kern w:val="2"/>
          <w:position w:val="0"/>
          <w:sz w:val="32"/>
          <w:szCs w:val="32"/>
          <w:lang w:val="en-US" w:eastAsia="zh-CN" w:bidi="ar-SA"/>
        </w:rPr>
        <w:t>专项预算项目绩效自评未发现主要问题。</w:t>
      </w:r>
    </w:p>
    <w:p w14:paraId="3AFD716E">
      <w:pPr>
        <w:pStyle w:val="8"/>
        <w:keepNext w:val="0"/>
        <w:keepLines w:val="0"/>
        <w:pageBreakBefore w:val="0"/>
        <w:numPr>
          <w:ilvl w:val="0"/>
          <w:numId w:val="3"/>
        </w:numPr>
        <w:tabs>
          <w:tab w:val="left" w:pos="2160"/>
        </w:tabs>
        <w:kinsoku/>
        <w:wordWrap/>
        <w:overflowPunct/>
        <w:topLinePunct w:val="0"/>
        <w:autoSpaceDE/>
        <w:autoSpaceDN/>
        <w:bidi w:val="0"/>
        <w:spacing w:line="560" w:lineRule="exact"/>
        <w:ind w:left="197" w:leftChars="0" w:firstLine="643" w:firstLineChars="0"/>
        <w:textAlignment w:val="auto"/>
        <w:rPr>
          <w:rFonts w:hint="eastAsia" w:ascii="黑体" w:hAnsi="黑体" w:eastAsia="黑体" w:cs="黑体"/>
          <w:b w:val="0"/>
          <w:bCs w:val="0"/>
          <w:color w:val="000000"/>
          <w:kern w:val="0"/>
          <w:sz w:val="32"/>
          <w:szCs w:val="32"/>
          <w:shd w:val="clear" w:color="auto" w:fill="FFFFFF"/>
          <w:lang w:val="zh-CN" w:eastAsia="zh-CN" w:bidi="ar-SA"/>
        </w:rPr>
      </w:pPr>
      <w:r>
        <w:rPr>
          <w:rFonts w:hint="eastAsia" w:ascii="黑体" w:hAnsi="黑体" w:eastAsia="黑体" w:cs="黑体"/>
          <w:b w:val="0"/>
          <w:bCs w:val="0"/>
          <w:color w:val="000000"/>
          <w:kern w:val="0"/>
          <w:sz w:val="32"/>
          <w:szCs w:val="32"/>
          <w:shd w:val="clear" w:color="auto" w:fill="FFFFFF"/>
          <w:lang w:val="zh-CN" w:eastAsia="zh-CN" w:bidi="ar-SA"/>
        </w:rPr>
        <w:t>改进建议</w:t>
      </w:r>
    </w:p>
    <w:p w14:paraId="1E884A13">
      <w:pPr>
        <w:snapToGrid w:val="0"/>
        <w:spacing w:line="578" w:lineRule="exact"/>
        <w:ind w:firstLine="640" w:firstLineChars="200"/>
        <w:rPr>
          <w:rFonts w:hint="default" w:ascii="黑体" w:hAnsi="黑体" w:eastAsia="黑体" w:cs="黑体"/>
          <w:kern w:val="0"/>
          <w:sz w:val="32"/>
          <w:szCs w:val="32"/>
          <w:shd w:val="clear" w:color="auto" w:fill="FFFFFF"/>
          <w:lang w:val="en-US" w:eastAsia="zh-CN"/>
        </w:rPr>
      </w:pPr>
      <w:r>
        <w:rPr>
          <w:rFonts w:hint="eastAsia" w:ascii="仿宋_GB2312" w:hAnsi="宋体" w:eastAsia="仿宋_GB2312" w:cs="Times New Roman"/>
          <w:color w:val="auto"/>
          <w:kern w:val="2"/>
          <w:position w:val="0"/>
          <w:sz w:val="32"/>
          <w:szCs w:val="32"/>
          <w:lang w:val="en-US" w:eastAsia="zh-CN" w:bidi="ar-SA"/>
        </w:rPr>
        <w:t>专项预算项目在预算安排、完善政策、改进管理等方面的无措施建设。</w:t>
      </w:r>
    </w:p>
    <w:p w14:paraId="27BD81C5">
      <w:pPr>
        <w:snapToGrid w:val="0"/>
        <w:spacing w:line="578" w:lineRule="exact"/>
        <w:rPr>
          <w:rFonts w:eastAsia="黑体"/>
          <w:kern w:val="0"/>
          <w:shd w:val="clear" w:color="auto" w:fill="FFFFFF"/>
        </w:rPr>
      </w:pPr>
      <w:r>
        <w:rPr>
          <w:rFonts w:hint="eastAsia" w:ascii="仿宋_GB2312" w:hAnsi="宋体" w:eastAsia="仿宋_GB2312" w:cs="Times New Roman"/>
          <w:color w:val="auto"/>
          <w:kern w:val="2"/>
          <w:sz w:val="32"/>
          <w:szCs w:val="32"/>
          <w:lang w:val="zh-CN"/>
        </w:rPr>
        <w:br w:type="page"/>
      </w: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736213C6">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210FAAB4">
        <w:tblPrEx>
          <w:tblCellMar>
            <w:top w:w="0" w:type="dxa"/>
            <w:left w:w="108" w:type="dxa"/>
            <w:bottom w:w="0" w:type="dxa"/>
            <w:right w:w="108" w:type="dxa"/>
          </w:tblCellMar>
        </w:tblPrEx>
        <w:trPr>
          <w:trHeight w:val="180" w:hRule="atLeast"/>
          <w:jc w:val="center"/>
        </w:trPr>
        <w:tc>
          <w:tcPr>
            <w:tcW w:w="4361" w:type="dxa"/>
            <w:gridSpan w:val="5"/>
            <w:tcBorders>
              <w:top w:val="single" w:color="000000" w:sz="4" w:space="0"/>
              <w:left w:val="single" w:color="000000" w:sz="4" w:space="0"/>
              <w:bottom w:val="nil"/>
              <w:right w:val="nil"/>
            </w:tcBorders>
            <w:noWrap w:val="0"/>
            <w:vAlign w:val="center"/>
          </w:tcPr>
          <w:p w14:paraId="5EC2E00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767BB4B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3E67255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341CD50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备注</w:t>
            </w:r>
          </w:p>
        </w:tc>
      </w:tr>
      <w:tr w14:paraId="29E5168C">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D6464C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11ED9B0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AF50A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05AFD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5F4D7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732" w:type="dxa"/>
            <w:vMerge w:val="continue"/>
            <w:tcBorders>
              <w:left w:val="single" w:color="000000" w:sz="4" w:space="0"/>
              <w:bottom w:val="single" w:color="000000" w:sz="4" w:space="0"/>
              <w:right w:val="single" w:color="000000" w:sz="4" w:space="0"/>
            </w:tcBorders>
            <w:noWrap w:val="0"/>
            <w:vAlign w:val="center"/>
          </w:tcPr>
          <w:p w14:paraId="4EC8AAB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468" w:type="dxa"/>
            <w:vMerge w:val="continue"/>
            <w:tcBorders>
              <w:left w:val="single" w:color="000000" w:sz="4" w:space="0"/>
              <w:bottom w:val="single" w:color="000000" w:sz="4" w:space="0"/>
              <w:right w:val="single" w:color="000000" w:sz="4" w:space="0"/>
            </w:tcBorders>
            <w:noWrap w:val="0"/>
            <w:vAlign w:val="center"/>
          </w:tcPr>
          <w:p w14:paraId="09BFFF4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r>
      <w:tr w14:paraId="13011A9E">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7BBABDB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通用指标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ECCEDE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项目决策</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EF1F24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41CB8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D691CF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0E3993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DAD75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FB54D3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69873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ECD7FB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62175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AB224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FF2352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599A74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5401B9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78BEE6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0F217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8D503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1DCEC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C7C74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A2EFF6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4F74E2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4EFEFB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DA6AFB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F6F9F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9281E2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项目管理</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B472D8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A403FF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40724A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F5BAD5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21267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1CD35D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9DC17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254A06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2A6621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7E7C66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7AC3AC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6C65A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8</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A25F80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A0B3F8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A6E82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F21DE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E0186B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E9E029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BD8081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BC1D3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75DE9A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C628F1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842EB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FC70C7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项目实施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FDB297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C3EBF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D358D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BCB41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E0C63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15459E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8736F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20D024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4F4FF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FCB847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D5789B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A3591E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6CF01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AC54EE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6FB3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F720BB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项目结果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12D7F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FA6FF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78FB0C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AB156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3BB93C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CC26AD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76A17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5121B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B2B10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613F0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54D0C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4DB04E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C53CC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2E9F6D6">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86A47E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10305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产业发展</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1A9F49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902AF0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26880B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25B98D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C4E87F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E1E82B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CC554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2BDCB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22839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57F3E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EDB8AA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C532F4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10752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E4D252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8721E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A9B12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75730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5C01EA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1365B0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FFE72D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48E0C2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060A12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7745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90BE6B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民生保障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B6872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69721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D689EE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A9B43D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29CA68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A0B329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83AD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E7849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B340A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2C3D9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B35454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E6C109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04790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3AE45C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18C8E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9D230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E37DAD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78E95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EB10D0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6AB715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40433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02345D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7B0B1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B6F63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DD5B1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04C439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9D56F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61DCE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5801AC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239EA7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29A6A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5AE5AAB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基础</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设施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679B59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在建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189FD9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F5F120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B3BFA7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941265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3119BC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C51793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7E2ED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20CB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44C10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73830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271C77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E5537C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F5612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099406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F7A28F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E1A33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3420C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3AFE2E0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建成</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C22D5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DDC57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62D452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DC349C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FD619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E8A308B">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07509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2148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78B39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C5CEC0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B2849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6A9EBD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659594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B972C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8AE241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CC7DB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B3069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CDC28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9325BD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912029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69C223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F060F9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DF2AEF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2D7B7D9">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144F5DE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9086C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行政运转</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2A1E73B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4A7EB9C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036D384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4B51B24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nil"/>
              <w:left w:val="single" w:color="000000" w:sz="4" w:space="0"/>
              <w:bottom w:val="single" w:color="000000" w:sz="4" w:space="0"/>
              <w:right w:val="single" w:color="000000" w:sz="4" w:space="0"/>
            </w:tcBorders>
            <w:noWrap w:val="0"/>
            <w:vAlign w:val="center"/>
          </w:tcPr>
          <w:p w14:paraId="3BB0E06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0806F6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88708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8805BB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59035C6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10DF6DB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0DF718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387D46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BDC040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07BCC4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4C6C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B3736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3E04E51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5B4B3C6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1AE533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473319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4B895E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736A2A4">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728117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个性指标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AA33A7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983795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47EE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EF39F6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D5293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E94A6BB">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72A319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519A4F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8E8539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6F8E303">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07A4CA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EF2CD02">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46CD3D61">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A6A6CF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4B386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C51177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055863">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7EC784">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C9C254">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57A8C4B9">
        <w:tblPrEx>
          <w:tblCellMar>
            <w:top w:w="0" w:type="dxa"/>
            <w:left w:w="108" w:type="dxa"/>
            <w:bottom w:w="0" w:type="dxa"/>
            <w:right w:w="108" w:type="dxa"/>
          </w:tblCellMar>
        </w:tblPrEx>
        <w:trPr>
          <w:trHeight w:val="58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303F0FB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扣分项</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489708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F365A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4EDA8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85FED2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2ACCB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C0AD34A">
        <w:tblPrEx>
          <w:tblCellMar>
            <w:top w:w="0" w:type="dxa"/>
            <w:left w:w="108" w:type="dxa"/>
            <w:bottom w:w="0" w:type="dxa"/>
            <w:right w:w="108" w:type="dxa"/>
          </w:tblCellMar>
        </w:tblPrEx>
        <w:trPr>
          <w:trHeight w:val="55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3BF2203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总分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62C9BE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2E8430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F9537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B89E9D3">
            <w:pPr>
              <w:keepNext w:val="0"/>
              <w:keepLines w:val="0"/>
              <w:pageBreakBefore w:val="0"/>
              <w:widowControl/>
              <w:kinsoku/>
              <w:wordWrap/>
              <w:overflowPunct/>
              <w:topLinePunct w:val="0"/>
              <w:autoSpaceDE/>
              <w:autoSpaceDN/>
              <w:bidi w:val="0"/>
              <w:adjustRightInd/>
              <w:snapToGrid/>
              <w:spacing w:line="220" w:lineRule="exact"/>
              <w:ind w:firstLine="260" w:firstLineChars="0"/>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AC8CBA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bl>
    <w:p w14:paraId="115168A9">
      <w:pPr>
        <w:keepNext w:val="0"/>
        <w:keepLines w:val="0"/>
        <w:pageBreakBefore w:val="0"/>
        <w:widowControl w:val="0"/>
        <w:kinsoku/>
        <w:wordWrap/>
        <w:overflowPunct/>
        <w:topLinePunct w:val="0"/>
        <w:autoSpaceDE/>
        <w:autoSpaceDN/>
        <w:bidi w:val="0"/>
        <w:adjustRightInd/>
        <w:snapToGrid/>
        <w:spacing w:line="220"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仿宋_GB2312" w:hAnsi="仿宋_GB2312" w:eastAsia="仿宋_GB2312" w:cs="仿宋_GB2312"/>
          <w:b w:val="0"/>
          <w:bCs w:val="0"/>
          <w:kern w:val="0"/>
          <w:position w:val="0"/>
          <w:sz w:val="32"/>
          <w:szCs w:val="32"/>
          <w:highlight w:val="none"/>
          <w:lang w:val="en-US" w:eastAsia="zh-CN" w:bidi="ar-SA"/>
        </w:rPr>
        <w:br w:type="page"/>
      </w:r>
    </w:p>
    <w:p w14:paraId="2030B105">
      <w:pPr>
        <w:spacing w:line="578" w:lineRule="exact"/>
        <w:rPr>
          <w:rFonts w:hint="eastAsia" w:ascii="黑体" w:hAnsi="黑体" w:eastAsia="黑体" w:cs="黑体"/>
          <w:kern w:val="0"/>
          <w:sz w:val="32"/>
          <w:szCs w:val="32"/>
          <w:shd w:val="clear" w:color="auto" w:fill="FFFFFF"/>
        </w:rPr>
      </w:pP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887"/>
        <w:gridCol w:w="552"/>
        <w:gridCol w:w="971"/>
        <w:gridCol w:w="1061"/>
        <w:gridCol w:w="938"/>
        <w:gridCol w:w="1841"/>
      </w:tblGrid>
      <w:tr w14:paraId="1316208E">
        <w:tblPrEx>
          <w:tblCellMar>
            <w:top w:w="15" w:type="dxa"/>
            <w:left w:w="15" w:type="dxa"/>
            <w:bottom w:w="15" w:type="dxa"/>
            <w:right w:w="15" w:type="dxa"/>
          </w:tblCellMar>
        </w:tblPrEx>
        <w:trPr>
          <w:trHeight w:val="680" w:hRule="atLeast"/>
          <w:jc w:val="center"/>
        </w:trPr>
        <w:tc>
          <w:tcPr>
            <w:tcW w:w="10233" w:type="dxa"/>
            <w:gridSpan w:val="9"/>
            <w:noWrap w:val="0"/>
            <w:vAlign w:val="center"/>
          </w:tcPr>
          <w:p w14:paraId="5A536451">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08071CB9">
        <w:tblPrEx>
          <w:tblCellMar>
            <w:top w:w="15" w:type="dxa"/>
            <w:left w:w="15" w:type="dxa"/>
            <w:bottom w:w="15" w:type="dxa"/>
            <w:right w:w="15" w:type="dxa"/>
          </w:tblCellMar>
        </w:tblPrEx>
        <w:trPr>
          <w:trHeight w:val="536" w:hRule="atLeast"/>
          <w:jc w:val="center"/>
        </w:trPr>
        <w:tc>
          <w:tcPr>
            <w:tcW w:w="4870" w:type="dxa"/>
            <w:gridSpan w:val="4"/>
            <w:tcBorders>
              <w:top w:val="single" w:color="000000" w:sz="4" w:space="0"/>
              <w:left w:val="single" w:color="000000" w:sz="4" w:space="0"/>
              <w:bottom w:val="single" w:color="000000" w:sz="4" w:space="0"/>
              <w:right w:val="single" w:color="000000" w:sz="4" w:space="0"/>
            </w:tcBorders>
            <w:noWrap w:val="0"/>
            <w:vAlign w:val="center"/>
          </w:tcPr>
          <w:p w14:paraId="067413F7">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项目名称</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38A326C6">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val="en-US" w:eastAsia="zh-CN" w:bidi="ar"/>
              </w:rPr>
              <w:t>茂县沟口镇基层政权建设补助资金—办公楼及宿舍楼安全维修</w:t>
            </w:r>
          </w:p>
        </w:tc>
      </w:tr>
      <w:tr w14:paraId="60F0F3BE">
        <w:tblPrEx>
          <w:tblCellMar>
            <w:top w:w="15" w:type="dxa"/>
            <w:left w:w="15" w:type="dxa"/>
            <w:bottom w:w="15" w:type="dxa"/>
            <w:right w:w="15" w:type="dxa"/>
          </w:tblCellMar>
        </w:tblPrEx>
        <w:trPr>
          <w:trHeight w:val="458" w:hRule="atLeast"/>
          <w:jc w:val="center"/>
        </w:trPr>
        <w:tc>
          <w:tcPr>
            <w:tcW w:w="4870" w:type="dxa"/>
            <w:gridSpan w:val="4"/>
            <w:tcBorders>
              <w:top w:val="single" w:color="000000" w:sz="4" w:space="0"/>
              <w:left w:val="single" w:color="000000" w:sz="4" w:space="0"/>
              <w:bottom w:val="single" w:color="000000" w:sz="4" w:space="0"/>
              <w:right w:val="single" w:color="000000" w:sz="4" w:space="0"/>
            </w:tcBorders>
            <w:noWrap w:val="0"/>
            <w:vAlign w:val="center"/>
          </w:tcPr>
          <w:p w14:paraId="0EC7841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预算单位</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09029CC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eastAsia="zh-CN" w:bidi="ar"/>
              </w:rPr>
              <w:t>茂县沟口镇人民政府</w:t>
            </w:r>
          </w:p>
        </w:tc>
      </w:tr>
      <w:tr w14:paraId="5F2B8294">
        <w:tblPrEx>
          <w:tblCellMar>
            <w:top w:w="15" w:type="dxa"/>
            <w:left w:w="15" w:type="dxa"/>
            <w:bottom w:w="15" w:type="dxa"/>
            <w:right w:w="15" w:type="dxa"/>
          </w:tblCellMar>
        </w:tblPrEx>
        <w:trPr>
          <w:trHeight w:val="23" w:hRule="atLeast"/>
          <w:jc w:val="center"/>
        </w:trPr>
        <w:tc>
          <w:tcPr>
            <w:tcW w:w="4870" w:type="dxa"/>
            <w:gridSpan w:val="4"/>
            <w:tcBorders>
              <w:top w:val="single" w:color="000000" w:sz="4" w:space="0"/>
              <w:left w:val="single" w:color="000000" w:sz="4" w:space="0"/>
              <w:bottom w:val="single" w:color="000000" w:sz="4" w:space="0"/>
              <w:right w:val="single" w:color="000000" w:sz="4" w:space="0"/>
            </w:tcBorders>
            <w:noWrap w:val="0"/>
            <w:vAlign w:val="center"/>
          </w:tcPr>
          <w:p w14:paraId="18A5360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项目类型</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00C89FE8">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34DAD1A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370E5FB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 概况</w:t>
            </w: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34D8D374">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中长期规划（名称、文号，仅指</w:t>
            </w:r>
          </w:p>
          <w:p w14:paraId="76E5C84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常年项目）</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4E0E396D">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418D24A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CE28AB">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75576F08">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资金管理办法（名称、文号）</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081E2967">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val="en-US" w:eastAsia="zh-CN" w:bidi="ar"/>
              </w:rPr>
              <w:t>茂财预〔2024〕</w:t>
            </w:r>
            <w:r>
              <w:rPr>
                <w:rFonts w:hint="eastAsia" w:ascii="仿宋_GB2312" w:hAnsi="仿宋_GB2312" w:eastAsia="仿宋_GB2312" w:cs="仿宋_GB2312"/>
                <w:color w:val="000000"/>
                <w:kern w:val="0"/>
                <w:sz w:val="18"/>
                <w:szCs w:val="18"/>
                <w:lang w:val="en-US" w:eastAsia="zh-CN" w:bidi="ar"/>
              </w:rPr>
              <w:t>45号</w:t>
            </w:r>
          </w:p>
        </w:tc>
      </w:tr>
      <w:tr w14:paraId="68783AA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F69EC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34F2E1C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绩效分配方式</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7ED1A463">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19130175">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B53C75F">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57E43AC">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£因素法与项目法相结合</w:t>
            </w:r>
          </w:p>
        </w:tc>
      </w:tr>
      <w:tr w14:paraId="074AA74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9CB60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789A046B">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立项依据</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0E852028">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6149F75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6E3385">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44D3A4D7">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使用范围</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407942D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4F1B3B4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A33E55">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74289E1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申报（补助）条件</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337CA890">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1D06D0C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36AB57">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4218" w:type="dxa"/>
            <w:gridSpan w:val="3"/>
            <w:tcBorders>
              <w:top w:val="single" w:color="000000" w:sz="4" w:space="0"/>
              <w:left w:val="single" w:color="000000" w:sz="4" w:space="0"/>
              <w:bottom w:val="single" w:color="000000" w:sz="4" w:space="0"/>
              <w:right w:val="single" w:color="000000" w:sz="4" w:space="0"/>
            </w:tcBorders>
            <w:noWrap w:val="0"/>
            <w:vAlign w:val="center"/>
          </w:tcPr>
          <w:p w14:paraId="5CD8DB86">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项目起止年限</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6B891CFD">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val="en-US" w:eastAsia="zh-CN" w:bidi="ar"/>
              </w:rPr>
              <w:t>2024年</w:t>
            </w:r>
          </w:p>
        </w:tc>
      </w:tr>
      <w:tr w14:paraId="11574089">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5C3298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项目资金</w:t>
            </w:r>
          </w:p>
          <w:p w14:paraId="7AE0B88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（万元）</w:t>
            </w:r>
          </w:p>
        </w:tc>
        <w:tc>
          <w:tcPr>
            <w:tcW w:w="3137" w:type="dxa"/>
            <w:gridSpan w:val="2"/>
            <w:tcBorders>
              <w:top w:val="single" w:color="000000" w:sz="4" w:space="0"/>
              <w:left w:val="single" w:color="000000" w:sz="4" w:space="0"/>
              <w:bottom w:val="single" w:color="000000" w:sz="4" w:space="0"/>
              <w:right w:val="single" w:color="000000" w:sz="4" w:space="0"/>
            </w:tcBorders>
            <w:noWrap w:val="0"/>
            <w:vAlign w:val="center"/>
          </w:tcPr>
          <w:p w14:paraId="297E1DE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年度资金总额：</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51227E2F">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34C5F626">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5B4599">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3137" w:type="dxa"/>
            <w:gridSpan w:val="2"/>
            <w:tcBorders>
              <w:top w:val="single" w:color="000000" w:sz="4" w:space="0"/>
              <w:left w:val="single" w:color="000000" w:sz="4" w:space="0"/>
              <w:bottom w:val="single" w:color="000000" w:sz="4" w:space="0"/>
              <w:right w:val="single" w:color="000000" w:sz="4" w:space="0"/>
            </w:tcBorders>
            <w:noWrap w:val="0"/>
            <w:vAlign w:val="center"/>
          </w:tcPr>
          <w:p w14:paraId="3B996722">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其中：财政拨款</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3D07A2CF">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val="en-US" w:eastAsia="zh-CN" w:bidi="ar"/>
              </w:rPr>
            </w:pPr>
            <w:r>
              <w:rPr>
                <w:rFonts w:hint="eastAsia" w:ascii="仿宋_GB2312" w:hAnsi="仿宋_GB2312" w:eastAsia="仿宋_GB2312" w:cs="仿宋_GB2312"/>
                <w:color w:val="000000"/>
                <w:kern w:val="0"/>
                <w:sz w:val="18"/>
                <w:szCs w:val="18"/>
                <w:lang w:eastAsia="zh-CN" w:bidi="ar"/>
              </w:rPr>
              <w:tab/>
            </w:r>
            <w:r>
              <w:rPr>
                <w:rFonts w:hint="eastAsia" w:ascii="仿宋_GB2312" w:hAnsi="仿宋_GB2312" w:eastAsia="仿宋_GB2312" w:cs="仿宋_GB2312"/>
                <w:color w:val="000000"/>
                <w:kern w:val="0"/>
                <w:sz w:val="18"/>
                <w:szCs w:val="18"/>
                <w:lang w:val="en-US" w:eastAsia="zh-CN" w:bidi="ar"/>
              </w:rPr>
              <w:t>100</w:t>
            </w:r>
            <w:r>
              <w:rPr>
                <w:rFonts w:hint="eastAsia" w:ascii="仿宋_GB2312" w:hAnsi="仿宋_GB2312" w:eastAsia="仿宋_GB2312" w:cs="仿宋_GB2312"/>
                <w:color w:val="000000"/>
                <w:kern w:val="0"/>
                <w:sz w:val="18"/>
                <w:szCs w:val="18"/>
                <w:lang w:eastAsia="zh-CN" w:bidi="ar"/>
              </w:rPr>
              <w:t>万元</w:t>
            </w:r>
          </w:p>
        </w:tc>
      </w:tr>
      <w:tr w14:paraId="12F88900">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5D472F">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3137" w:type="dxa"/>
            <w:gridSpan w:val="2"/>
            <w:tcBorders>
              <w:top w:val="single" w:color="000000" w:sz="4" w:space="0"/>
              <w:left w:val="single" w:color="000000" w:sz="4" w:space="0"/>
              <w:bottom w:val="single" w:color="000000" w:sz="4" w:space="0"/>
              <w:right w:val="single" w:color="000000" w:sz="4" w:space="0"/>
            </w:tcBorders>
            <w:noWrap w:val="0"/>
            <w:vAlign w:val="center"/>
          </w:tcPr>
          <w:p w14:paraId="2DEC51FA">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 xml:space="preserve">            其他资金</w:t>
            </w:r>
          </w:p>
        </w:tc>
        <w:tc>
          <w:tcPr>
            <w:tcW w:w="5363" w:type="dxa"/>
            <w:gridSpan w:val="5"/>
            <w:tcBorders>
              <w:top w:val="single" w:color="000000" w:sz="4" w:space="0"/>
              <w:left w:val="single" w:color="000000" w:sz="4" w:space="0"/>
              <w:bottom w:val="single" w:color="000000" w:sz="4" w:space="0"/>
              <w:right w:val="single" w:color="000000" w:sz="4" w:space="0"/>
            </w:tcBorders>
            <w:noWrap w:val="0"/>
            <w:vAlign w:val="center"/>
          </w:tcPr>
          <w:p w14:paraId="6628BCE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085C153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179E093A">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318F2176">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年度目标</w:t>
            </w:r>
          </w:p>
        </w:tc>
      </w:tr>
      <w:tr w14:paraId="763F2872">
        <w:tblPrEx>
          <w:tblCellMar>
            <w:top w:w="15" w:type="dxa"/>
            <w:left w:w="15" w:type="dxa"/>
            <w:bottom w:w="15" w:type="dxa"/>
            <w:right w:w="15" w:type="dxa"/>
          </w:tblCellMar>
        </w:tblPrEx>
        <w:trPr>
          <w:trHeight w:val="648"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DCA5D">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26271A24">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eastAsia="zh-CN" w:bidi="ar"/>
              </w:rPr>
            </w:pPr>
            <w:r>
              <w:rPr>
                <w:rFonts w:hint="eastAsia" w:ascii="仿宋_GB2312" w:hAnsi="仿宋_GB2312" w:eastAsia="仿宋_GB2312" w:cs="仿宋_GB2312"/>
                <w:color w:val="000000"/>
                <w:kern w:val="0"/>
                <w:sz w:val="18"/>
                <w:szCs w:val="18"/>
                <w:lang w:bidi="ar"/>
              </w:rPr>
              <w:t>该项目消除安全隐患，更新办公设备，优化用房布局，满足办公服务需求。满足干部职工基本办公生活需求。为发展经济提供基础指挥平台，能为茂县社会经济带来更多正面影响。</w:t>
            </w:r>
          </w:p>
          <w:p w14:paraId="1F2D39FE">
            <w:pPr>
              <w:keepNext w:val="0"/>
              <w:keepLines w:val="0"/>
              <w:pageBreakBefore w:val="0"/>
              <w:widowControl/>
              <w:kinsoku/>
              <w:wordWrap/>
              <w:overflowPunct/>
              <w:topLinePunct w:val="0"/>
              <w:autoSpaceDE/>
              <w:autoSpaceDN/>
              <w:bidi w:val="0"/>
              <w:adjustRightInd/>
              <w:snapToGrid/>
              <w:spacing w:line="220" w:lineRule="exact"/>
              <w:ind w:firstLine="360" w:firstLineChars="200"/>
              <w:jc w:val="left"/>
              <w:textAlignment w:val="center"/>
              <w:rPr>
                <w:rFonts w:hint="eastAsia" w:ascii="仿宋_GB2312" w:hAnsi="仿宋_GB2312" w:eastAsia="仿宋_GB2312" w:cs="仿宋_GB2312"/>
                <w:color w:val="000000"/>
                <w:kern w:val="0"/>
                <w:sz w:val="18"/>
                <w:szCs w:val="18"/>
                <w:lang w:bidi="ar"/>
              </w:rPr>
            </w:pPr>
          </w:p>
        </w:tc>
      </w:tr>
      <w:tr w14:paraId="20E3D713">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48F223D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12E25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FE196A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301646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5626CB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F865CE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96ED2B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FC054B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F753AB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实际完成指标值</w:t>
            </w:r>
          </w:p>
        </w:tc>
      </w:tr>
      <w:tr w14:paraId="6090CA1C">
        <w:tblPrEx>
          <w:tblCellMar>
            <w:top w:w="15" w:type="dxa"/>
            <w:left w:w="15" w:type="dxa"/>
            <w:bottom w:w="15" w:type="dxa"/>
            <w:right w:w="15" w:type="dxa"/>
          </w:tblCellMar>
        </w:tblPrEx>
        <w:trPr>
          <w:trHeight w:val="33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8CDE2E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4A31CE1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B671D6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02CF4F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该项目数量（个数）</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D92939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705F21F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2DC250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4F0B20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5259AC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74C3D00D">
        <w:tblPrEx>
          <w:tblCellMar>
            <w:top w:w="15" w:type="dxa"/>
            <w:left w:w="15" w:type="dxa"/>
            <w:bottom w:w="15" w:type="dxa"/>
            <w:right w:w="15" w:type="dxa"/>
          </w:tblCellMar>
        </w:tblPrEx>
        <w:trPr>
          <w:trHeight w:val="31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0A6E5DA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DD50E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9ED813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232EC68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利于乡村党群事业发展</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324D6E4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B62789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AC039C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9DACB6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594E9E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4011D00">
        <w:tblPrEx>
          <w:tblCellMar>
            <w:top w:w="15" w:type="dxa"/>
            <w:left w:w="15" w:type="dxa"/>
            <w:bottom w:w="15" w:type="dxa"/>
            <w:right w:w="15" w:type="dxa"/>
          </w:tblCellMar>
        </w:tblPrEx>
        <w:trPr>
          <w:trHeight w:val="51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610F2F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77480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94A752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55BF00A9">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该项目完成按时率</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3DBB627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1F7B08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262FD68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FE3664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C536F9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01984EA6">
        <w:tblPrEx>
          <w:tblCellMar>
            <w:top w:w="15" w:type="dxa"/>
            <w:left w:w="15" w:type="dxa"/>
            <w:bottom w:w="15" w:type="dxa"/>
            <w:right w:w="15" w:type="dxa"/>
          </w:tblCellMar>
        </w:tblPrEx>
        <w:trPr>
          <w:trHeight w:val="1201"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677C06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419E6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AE3D77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w:t>
            </w:r>
          </w:p>
          <w:p w14:paraId="099958F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083534D6">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为发展经济提供基础指挥平台，能为茂县社会经济带来更多正面影响。</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31AEB1C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64B453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E1C869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8127FB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511179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BD5AC77">
        <w:tblPrEx>
          <w:tblCellMar>
            <w:top w:w="15" w:type="dxa"/>
            <w:left w:w="15" w:type="dxa"/>
            <w:bottom w:w="15" w:type="dxa"/>
            <w:right w:w="15" w:type="dxa"/>
          </w:tblCellMar>
        </w:tblPrEx>
        <w:trPr>
          <w:trHeight w:val="63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A6CFA3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31553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right w:val="single" w:color="000000" w:sz="4" w:space="0"/>
            </w:tcBorders>
            <w:noWrap w:val="0"/>
            <w:vAlign w:val="center"/>
          </w:tcPr>
          <w:p w14:paraId="2567FD4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7F2B665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680330BE">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提高群众生活水平</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4253503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1785004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C219AA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98EFDE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97A44D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3E1F8FCC">
        <w:tblPrEx>
          <w:tblCellMar>
            <w:top w:w="15" w:type="dxa"/>
            <w:left w:w="15" w:type="dxa"/>
            <w:bottom w:w="15" w:type="dxa"/>
            <w:right w:w="15" w:type="dxa"/>
          </w:tblCellMar>
        </w:tblPrEx>
        <w:trPr>
          <w:trHeight w:val="815"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A8DEE4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right w:val="single" w:color="000000" w:sz="4" w:space="0"/>
            </w:tcBorders>
            <w:noWrap w:val="0"/>
            <w:vAlign w:val="center"/>
          </w:tcPr>
          <w:p w14:paraId="343617E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w:t>
            </w:r>
          </w:p>
          <w:p w14:paraId="3E62D4D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50" w:type="dxa"/>
            <w:tcBorders>
              <w:top w:val="single" w:color="000000" w:sz="4" w:space="0"/>
              <w:left w:val="single" w:color="000000" w:sz="4" w:space="0"/>
              <w:right w:val="single" w:color="000000" w:sz="4" w:space="0"/>
            </w:tcBorders>
            <w:noWrap w:val="0"/>
            <w:vAlign w:val="center"/>
          </w:tcPr>
          <w:p w14:paraId="3304F5D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服务对象</w:t>
            </w:r>
          </w:p>
          <w:p w14:paraId="57A640A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887" w:type="dxa"/>
            <w:tcBorders>
              <w:top w:val="single" w:color="000000" w:sz="4" w:space="0"/>
              <w:left w:val="single" w:color="000000" w:sz="4" w:space="0"/>
              <w:bottom w:val="single" w:color="000000" w:sz="4" w:space="0"/>
              <w:right w:val="single" w:color="000000" w:sz="4" w:space="0"/>
            </w:tcBorders>
            <w:noWrap w:val="0"/>
            <w:vAlign w:val="center"/>
          </w:tcPr>
          <w:p w14:paraId="1A09AEBF">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受益群众满意度</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27B28B6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0F15E1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9A8241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8F1D49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51A1820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3B9A43C0">
        <w:tblPrEx>
          <w:tblCellMar>
            <w:top w:w="15" w:type="dxa"/>
            <w:left w:w="15" w:type="dxa"/>
            <w:bottom w:w="15" w:type="dxa"/>
            <w:right w:w="15" w:type="dxa"/>
          </w:tblCellMar>
        </w:tblPrEx>
        <w:trPr>
          <w:trHeight w:val="920"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D7BE2B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52672F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74556C0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w:t>
            </w:r>
          </w:p>
          <w:p w14:paraId="338CF7E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887" w:type="dxa"/>
            <w:tcBorders>
              <w:top w:val="single" w:color="000000" w:sz="4" w:space="0"/>
              <w:bottom w:val="single" w:color="000000" w:sz="4" w:space="0"/>
              <w:right w:val="single" w:color="000000" w:sz="4" w:space="0"/>
            </w:tcBorders>
            <w:noWrap w:val="0"/>
            <w:vAlign w:val="center"/>
          </w:tcPr>
          <w:p w14:paraId="21026779">
            <w:pPr>
              <w:keepNext w:val="0"/>
              <w:keepLines w:val="0"/>
              <w:pageBreakBefore w:val="0"/>
              <w:widowControl/>
              <w:kinsoku/>
              <w:wordWrap/>
              <w:overflowPunct/>
              <w:topLinePunct w:val="0"/>
              <w:autoSpaceDE/>
              <w:autoSpaceDN/>
              <w:bidi w:val="0"/>
              <w:adjustRightInd/>
              <w:snapToGrid/>
              <w:spacing w:line="22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该项目成本控制范围</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0F8A684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DF8E5F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E592F1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C3C08D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43ECB6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666721D2">
      <w:pPr>
        <w:pStyle w:val="3"/>
        <w:spacing w:after="0" w:line="20" w:lineRule="exact"/>
        <w:ind w:leftChars="0" w:firstLine="480"/>
        <w:rPr>
          <w:rFonts w:hint="eastAsia" w:ascii="仿宋_GB2312" w:hAnsi="仿宋_GB2312" w:eastAsia="仿宋_GB2312" w:cs="仿宋_GB2312"/>
          <w:sz w:val="18"/>
          <w:szCs w:val="18"/>
        </w:rPr>
      </w:pPr>
    </w:p>
    <w:p w14:paraId="230458BD">
      <w:pPr>
        <w:spacing w:line="578" w:lineRule="exact"/>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附件5</w:t>
      </w:r>
    </w:p>
    <w:p w14:paraId="6189B794">
      <w:pPr>
        <w:pStyle w:val="35"/>
        <w:keepNext w:val="0"/>
        <w:keepLines w:val="0"/>
        <w:pageBreakBefore w:val="0"/>
        <w:widowControl w:val="0"/>
        <w:kinsoku/>
        <w:wordWrap/>
        <w:overflowPunct/>
        <w:topLinePunct w:val="0"/>
        <w:bidi w:val="0"/>
        <w:snapToGrid/>
        <w:spacing w:line="550" w:lineRule="exact"/>
        <w:textAlignment w:val="auto"/>
        <w:rPr>
          <w:rFonts w:ascii="Times New Roman" w:hAnsi="Times New Roman" w:eastAsia="方正小标宋简体"/>
          <w:color w:val="auto"/>
          <w:kern w:val="2"/>
          <w:sz w:val="44"/>
          <w:szCs w:val="44"/>
          <w:lang w:val="en-US"/>
        </w:rPr>
      </w:pPr>
    </w:p>
    <w:p w14:paraId="24F58658">
      <w:pPr>
        <w:pStyle w:val="35"/>
        <w:keepNext w:val="0"/>
        <w:keepLines w:val="0"/>
        <w:pageBreakBefore w:val="0"/>
        <w:widowControl w:val="0"/>
        <w:kinsoku/>
        <w:wordWrap/>
        <w:overflowPunct/>
        <w:topLinePunct w:val="0"/>
        <w:bidi w:val="0"/>
        <w:snapToGrid/>
        <w:spacing w:line="550" w:lineRule="exact"/>
        <w:jc w:val="center"/>
        <w:textAlignment w:val="auto"/>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专项预算绩效自评报告</w:t>
      </w:r>
    </w:p>
    <w:p w14:paraId="0BEA0866">
      <w:pPr>
        <w:pStyle w:val="35"/>
        <w:keepNext w:val="0"/>
        <w:keepLines w:val="0"/>
        <w:pageBreakBefore w:val="0"/>
        <w:widowControl w:val="0"/>
        <w:kinsoku/>
        <w:wordWrap/>
        <w:overflowPunct/>
        <w:topLinePunct w:val="0"/>
        <w:bidi w:val="0"/>
        <w:snapToGrid/>
        <w:spacing w:line="550" w:lineRule="exact"/>
        <w:jc w:val="center"/>
        <w:textAlignment w:val="auto"/>
        <w:rPr>
          <w:rFonts w:hint="eastAsia" w:ascii="Times New Roman" w:hAnsi="Times New Roman" w:eastAsia="楷体_GB2312" w:cs="Times New Roman"/>
          <w:b w:val="0"/>
          <w:bCs/>
          <w:color w:val="auto"/>
          <w:kern w:val="2"/>
          <w:sz w:val="36"/>
          <w:szCs w:val="36"/>
          <w:lang w:val="en-US" w:eastAsia="zh-CN" w:bidi="ar-SA"/>
        </w:rPr>
      </w:pPr>
      <w:r>
        <w:rPr>
          <w:rFonts w:hint="eastAsia" w:ascii="Times New Roman" w:hAnsi="Times New Roman" w:eastAsia="楷体_GB2312" w:cs="Times New Roman"/>
          <w:b w:val="0"/>
          <w:bCs/>
          <w:color w:val="auto"/>
          <w:kern w:val="2"/>
          <w:sz w:val="36"/>
          <w:szCs w:val="36"/>
          <w:lang w:val="en-US" w:eastAsia="zh-CN" w:bidi="ar-SA"/>
        </w:rPr>
        <w:t>（水若村文化休闲居家养老建改项目）</w:t>
      </w:r>
    </w:p>
    <w:p w14:paraId="1C92235F">
      <w:pPr>
        <w:pStyle w:val="35"/>
        <w:keepNext w:val="0"/>
        <w:keepLines w:val="0"/>
        <w:pageBreakBefore w:val="0"/>
        <w:widowControl w:val="0"/>
        <w:kinsoku/>
        <w:wordWrap/>
        <w:overflowPunct/>
        <w:topLinePunct w:val="0"/>
        <w:bidi w:val="0"/>
        <w:snapToGrid/>
        <w:spacing w:line="550" w:lineRule="exact"/>
        <w:jc w:val="both"/>
        <w:textAlignment w:val="auto"/>
        <w:rPr>
          <w:rFonts w:ascii="Times New Roman" w:hAnsi="Times New Roman"/>
          <w:b w:val="0"/>
          <w:bCs/>
          <w:color w:val="auto"/>
          <w:kern w:val="2"/>
          <w:sz w:val="32"/>
          <w:szCs w:val="32"/>
        </w:rPr>
      </w:pPr>
    </w:p>
    <w:p w14:paraId="172C9EC0">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黑体" w:hAnsi="黑体" w:eastAsia="黑体" w:cs="黑体"/>
          <w:b w:val="0"/>
          <w:bCs w:val="0"/>
          <w:color w:val="auto"/>
          <w:kern w:val="2"/>
          <w:sz w:val="32"/>
          <w:szCs w:val="32"/>
          <w:lang w:val="zh-CN" w:eastAsia="zh-CN"/>
        </w:rPr>
      </w:pPr>
      <w:r>
        <w:rPr>
          <w:rFonts w:hint="eastAsia" w:ascii="黑体" w:hAnsi="黑体" w:eastAsia="黑体" w:cs="黑体"/>
          <w:b w:val="0"/>
          <w:bCs w:val="0"/>
          <w:color w:val="auto"/>
          <w:kern w:val="2"/>
          <w:sz w:val="32"/>
          <w:szCs w:val="32"/>
          <w:lang w:val="en-US" w:eastAsia="zh-CN"/>
        </w:rPr>
        <w:t>一、</w:t>
      </w:r>
      <w:r>
        <w:rPr>
          <w:rFonts w:hint="eastAsia" w:ascii="黑体" w:hAnsi="黑体" w:eastAsia="黑体" w:cs="黑体"/>
          <w:b w:val="0"/>
          <w:bCs w:val="0"/>
          <w:color w:val="auto"/>
          <w:kern w:val="2"/>
          <w:sz w:val="32"/>
          <w:szCs w:val="32"/>
          <w:lang w:val="zh-CN" w:eastAsia="zh-CN"/>
        </w:rPr>
        <w:t>项目概况</w:t>
      </w:r>
    </w:p>
    <w:p w14:paraId="6BCBBC6D">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（一）设立背景及基本情况。</w:t>
      </w:r>
      <w:r>
        <w:rPr>
          <w:rFonts w:hint="eastAsia" w:ascii="仿宋_GB2312" w:hAnsi="宋体" w:eastAsia="仿宋_GB2312" w:cs="Times New Roman"/>
          <w:color w:val="auto"/>
          <w:kern w:val="2"/>
          <w:sz w:val="32"/>
          <w:szCs w:val="32"/>
          <w:lang w:val="en-US" w:eastAsia="zh-CN"/>
        </w:rPr>
        <w:t>沟口镇水若村距县城25公里，辖7个村民小组，面积25平方公里，平均海拔2100米，全村共有农户348户1416人。经济收入主要以农业收入为主，经济作物主要为青（红）翠李、花椒及各类反季蔬菜。该村是典型的高半山村寨，受发展资金和地理条件限制，基础设施不够完善，环境条件较差，导致聚集功能弱，产业效益不高。选择该村作为县级乡村振兴示范创建村，按照产业兴旺、生态宜居、乡风文明、治理有效、生活富裕的总要求，本着因地制宜循序渐进的原则，统筹推进该村农业经济发展，乡风文明，治理有效，生态宜居。</w:t>
      </w:r>
    </w:p>
    <w:p w14:paraId="34557868">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（二）</w:t>
      </w:r>
      <w:r>
        <w:rPr>
          <w:rFonts w:hint="eastAsia" w:ascii="楷体_GB2312" w:hAnsi="楷体_GB2312" w:eastAsia="楷体_GB2312" w:cs="楷体_GB2312"/>
          <w:b/>
          <w:bCs/>
          <w:color w:val="auto"/>
          <w:kern w:val="2"/>
          <w:sz w:val="32"/>
          <w:szCs w:val="32"/>
          <w:lang w:val="en-US" w:eastAsia="zh-CN"/>
        </w:rPr>
        <w:t>实施目的及支持方向。</w:t>
      </w:r>
      <w:r>
        <w:rPr>
          <w:rFonts w:hint="eastAsia" w:ascii="仿宋_GB2312" w:hAnsi="宋体" w:eastAsia="仿宋_GB2312" w:cs="Times New Roman"/>
          <w:color w:val="auto"/>
          <w:kern w:val="2"/>
          <w:sz w:val="32"/>
          <w:szCs w:val="32"/>
          <w:lang w:val="en-US" w:eastAsia="zh-CN"/>
        </w:rPr>
        <w:t>该项目有利于乡村党群事业发展，为实现乡村振兴添砖加瓦，为发展经济提供基础指挥平台，能为茂县社会经济带来更多正面影响。</w:t>
      </w:r>
    </w:p>
    <w:p w14:paraId="7A8A087B">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（三）</w:t>
      </w:r>
      <w:r>
        <w:rPr>
          <w:rFonts w:hint="eastAsia" w:ascii="楷体_GB2312" w:hAnsi="楷体_GB2312" w:eastAsia="楷体_GB2312" w:cs="楷体_GB2312"/>
          <w:b/>
          <w:bCs/>
          <w:color w:val="auto"/>
          <w:kern w:val="2"/>
          <w:sz w:val="32"/>
          <w:szCs w:val="32"/>
          <w:lang w:val="en-US" w:eastAsia="zh-CN"/>
        </w:rPr>
        <w:t>预算安排及分配管理</w:t>
      </w:r>
      <w:r>
        <w:rPr>
          <w:rFonts w:hint="eastAsia" w:ascii="楷体_GB2312" w:hAnsi="楷体_GB2312" w:eastAsia="楷体_GB2312" w:cs="楷体_GB2312"/>
          <w:b/>
          <w:bCs/>
          <w:color w:val="auto"/>
          <w:kern w:val="2"/>
          <w:sz w:val="32"/>
          <w:szCs w:val="32"/>
          <w:lang w:val="zh-CN" w:eastAsia="zh-CN"/>
        </w:rPr>
        <w:t>。</w:t>
      </w:r>
      <w:r>
        <w:rPr>
          <w:rFonts w:hint="eastAsia" w:ascii="仿宋_GB2312" w:hAnsi="宋体" w:eastAsia="仿宋_GB2312" w:cs="Times New Roman"/>
          <w:color w:val="auto"/>
          <w:kern w:val="2"/>
          <w:sz w:val="32"/>
          <w:szCs w:val="32"/>
          <w:lang w:val="en-US" w:eastAsia="zh-CN"/>
        </w:rPr>
        <w:t>阿坝州财政局《关于下达州级文化和旅游发展专项资金的通知》（茂财教〔2024〕7号）文件，下达项目资金18.00万元，主要用于水若村文化休闲居家养老改建项目，</w:t>
      </w:r>
      <w:r>
        <w:rPr>
          <w:rFonts w:hint="eastAsia" w:ascii="仿宋_GB2312" w:hAnsi="宋体" w:eastAsia="仿宋_GB2312" w:cs="Times New Roman"/>
          <w:color w:val="auto"/>
          <w:kern w:val="2"/>
          <w:sz w:val="32"/>
          <w:szCs w:val="32"/>
          <w:lang w:val="zh-CN" w:eastAsia="zh-CN"/>
        </w:rPr>
        <w:t>符合资金管理办法等相关规定。</w:t>
      </w:r>
    </w:p>
    <w:p w14:paraId="2815E389">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（四）项目绩效目标设置。</w:t>
      </w:r>
      <w:r>
        <w:rPr>
          <w:rFonts w:hint="eastAsia" w:ascii="仿宋_GB2312" w:hAnsi="宋体" w:eastAsia="仿宋_GB2312" w:cs="Times New Roman"/>
          <w:color w:val="auto"/>
          <w:kern w:val="2"/>
          <w:sz w:val="32"/>
          <w:szCs w:val="32"/>
          <w:lang w:val="en-US" w:eastAsia="zh-CN"/>
        </w:rPr>
        <w:t>水若村文化休闲居家养老改建项目资金18.00万元</w:t>
      </w:r>
      <w:r>
        <w:rPr>
          <w:rFonts w:hint="eastAsia" w:ascii="仿宋_GB2312" w:hAnsi="宋体" w:eastAsia="仿宋_GB2312" w:cs="Times New Roman"/>
          <w:color w:val="auto"/>
          <w:kern w:val="2"/>
          <w:sz w:val="32"/>
          <w:szCs w:val="32"/>
          <w:lang w:val="zh-CN" w:eastAsia="zh-CN"/>
        </w:rPr>
        <w:t>，</w:t>
      </w:r>
      <w:r>
        <w:rPr>
          <w:rFonts w:hint="eastAsia" w:ascii="仿宋_GB2312" w:hAnsi="宋体" w:eastAsia="仿宋_GB2312" w:cs="Times New Roman"/>
          <w:color w:val="auto"/>
          <w:kern w:val="2"/>
          <w:sz w:val="32"/>
          <w:szCs w:val="32"/>
          <w:lang w:val="en-US" w:eastAsia="zh-CN"/>
        </w:rPr>
        <w:t>主要用于村活动室屋顶防水进行铺设，同时改建活动室原厨房，对原厨房进行居家养老改建，包括门窗更换、墙面粉刷、铺设木地板、增加直饮机、采购居家养老文化休闲等相关设备。</w:t>
      </w:r>
      <w:r>
        <w:rPr>
          <w:rFonts w:hint="eastAsia" w:ascii="仿宋_GB2312" w:hAnsi="宋体" w:eastAsia="仿宋_GB2312" w:cs="Times New Roman"/>
          <w:color w:val="auto"/>
          <w:kern w:val="2"/>
          <w:sz w:val="32"/>
          <w:szCs w:val="32"/>
          <w:lang w:val="zh-CN" w:eastAsia="zh-CN"/>
        </w:rPr>
        <w:t>项目计划</w:t>
      </w:r>
      <w:r>
        <w:rPr>
          <w:rFonts w:hint="eastAsia" w:ascii="仿宋_GB2312" w:hAnsi="宋体" w:eastAsia="仿宋_GB2312" w:cs="Times New Roman"/>
          <w:color w:val="auto"/>
          <w:kern w:val="2"/>
          <w:sz w:val="32"/>
          <w:szCs w:val="32"/>
          <w:lang w:val="en-US" w:eastAsia="zh-CN"/>
        </w:rPr>
        <w:t>于2024年10月-11月实施</w:t>
      </w:r>
      <w:r>
        <w:rPr>
          <w:rFonts w:hint="eastAsia" w:ascii="仿宋_GB2312" w:hAnsi="宋体" w:eastAsia="仿宋_GB2312" w:cs="Times New Roman"/>
          <w:color w:val="auto"/>
          <w:kern w:val="2"/>
          <w:sz w:val="32"/>
          <w:szCs w:val="32"/>
          <w:lang w:val="zh-CN" w:eastAsia="zh-CN"/>
        </w:rPr>
        <w:t>。</w:t>
      </w:r>
    </w:p>
    <w:p w14:paraId="1D40634C">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二、评价实施</w:t>
      </w:r>
    </w:p>
    <w:p w14:paraId="7A4A57DD">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（一）评价目的。</w:t>
      </w:r>
      <w:r>
        <w:rPr>
          <w:rFonts w:hint="eastAsia" w:ascii="仿宋_GB2312" w:hAnsi="宋体" w:eastAsia="仿宋_GB2312" w:cs="Times New Roman"/>
          <w:color w:val="auto"/>
          <w:kern w:val="2"/>
          <w:sz w:val="32"/>
          <w:szCs w:val="32"/>
          <w:lang w:val="en-US" w:eastAsia="zh-CN"/>
        </w:rPr>
        <w:t>通为进一步提升预算管理水平、提高公共服务质量、优化公共资源配置提供决策参考，为以后年度类似项目专项资金安排、政策制度建设、预算绩效的推进提供必要的借鉴。</w:t>
      </w:r>
    </w:p>
    <w:p w14:paraId="7E7849FB">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（二）预设问题及评价重点。</w:t>
      </w:r>
      <w:r>
        <w:rPr>
          <w:rFonts w:hint="eastAsia" w:ascii="仿宋_GB2312" w:hAnsi="宋体" w:eastAsia="仿宋_GB2312" w:cs="Times New Roman"/>
          <w:color w:val="auto"/>
          <w:kern w:val="2"/>
          <w:sz w:val="32"/>
          <w:szCs w:val="32"/>
          <w:lang w:val="zh-CN" w:eastAsia="zh-CN"/>
        </w:rPr>
        <w:t>重点评价该项目财政专项资金使用的规范性、安全性和有效性及评价项目的社会效益、经济效益、可持续性。</w:t>
      </w:r>
    </w:p>
    <w:p w14:paraId="4CEA18D0">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（三）评价选点。</w:t>
      </w:r>
      <w:r>
        <w:rPr>
          <w:rFonts w:hint="eastAsia" w:ascii="仿宋_GB2312" w:hAnsi="宋体" w:eastAsia="仿宋_GB2312" w:cs="Times New Roman"/>
          <w:color w:val="auto"/>
          <w:kern w:val="2"/>
          <w:sz w:val="32"/>
          <w:szCs w:val="32"/>
          <w:lang w:val="en-US" w:eastAsia="zh-CN"/>
        </w:rPr>
        <w:t>项目资金由镇财政所具体管理，按投资计划，对项目资金按项目单独核算，实行“专款专用、专人管理”，不得挤占挪用项目资金。指派专人对项目的实施定期或不定期的进行现场检查和监督，及时协调解决困难和问题，保证工程质量。</w:t>
      </w:r>
    </w:p>
    <w:p w14:paraId="64D9566D">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（四）评价方法。</w:t>
      </w:r>
      <w:r>
        <w:rPr>
          <w:rFonts w:hint="eastAsia" w:ascii="仿宋_GB2312" w:hAnsi="宋体" w:eastAsia="仿宋_GB2312" w:cs="Times New Roman"/>
          <w:color w:val="auto"/>
          <w:kern w:val="2"/>
          <w:sz w:val="32"/>
          <w:szCs w:val="32"/>
          <w:lang w:val="zh-CN" w:eastAsia="zh-CN"/>
        </w:rPr>
        <w:t>该项目采用</w:t>
      </w:r>
      <w:r>
        <w:rPr>
          <w:rFonts w:hint="eastAsia" w:ascii="仿宋_GB2312" w:hAnsi="宋体" w:eastAsia="仿宋_GB2312" w:cs="Times New Roman"/>
          <w:color w:val="auto"/>
          <w:kern w:val="2"/>
          <w:sz w:val="32"/>
          <w:szCs w:val="32"/>
          <w:lang w:val="en-US" w:eastAsia="zh-CN"/>
        </w:rPr>
        <w:t xml:space="preserve">单位自评法。 </w:t>
      </w:r>
    </w:p>
    <w:p w14:paraId="1B176643">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sz w:val="32"/>
          <w:szCs w:val="32"/>
          <w:lang w:val="en-US" w:eastAsia="zh-CN"/>
        </w:rPr>
        <w:t xml:space="preserve"> </w:t>
      </w:r>
      <w:r>
        <w:rPr>
          <w:rFonts w:hint="eastAsia" w:ascii="仿宋_GB2312" w:hAnsi="宋体" w:eastAsia="仿宋_GB2312" w:cs="Times New Roman"/>
          <w:color w:val="auto"/>
          <w:kern w:val="2"/>
          <w:sz w:val="32"/>
          <w:szCs w:val="32"/>
          <w:lang w:val="zh-CN" w:eastAsia="zh-CN"/>
        </w:rPr>
        <w:t>1.前期工作：成立项目绩效自评领导小组，安排专人收集整理相关数据档案、拟定实地核查方案。</w:t>
      </w:r>
    </w:p>
    <w:p w14:paraId="3F59078A">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2.实地核查：自评工作小组，根据评价指标对资金使用</w:t>
      </w:r>
      <w:r>
        <w:rPr>
          <w:rFonts w:hint="eastAsia" w:ascii="仿宋_GB2312" w:hAnsi="宋体" w:eastAsia="仿宋_GB2312" w:cs="Times New Roman"/>
          <w:color w:val="auto"/>
          <w:kern w:val="2"/>
          <w:sz w:val="32"/>
          <w:szCs w:val="32"/>
          <w:lang w:val="zh-CN" w:eastAsia="zh-CN"/>
        </w:rPr>
        <w:t>情况进行调查核实，沟口镇财经审查办公室对项目资金完善进行自评。</w:t>
      </w:r>
    </w:p>
    <w:p w14:paraId="4C2273F5">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zh-CN" w:eastAsia="zh-CN"/>
        </w:rPr>
        <w:t>3.分析评价：根据自查结果，对绩效评价指标进行全面的分析形成绩效评价报告。</w:t>
      </w:r>
    </w:p>
    <w:p w14:paraId="6D1A1186">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（五）评价组织。</w:t>
      </w:r>
      <w:r>
        <w:rPr>
          <w:rFonts w:hint="eastAsia" w:ascii="仿宋_GB2312" w:hAnsi="宋体" w:eastAsia="仿宋_GB2312" w:cs="Times New Roman"/>
          <w:color w:val="auto"/>
          <w:kern w:val="2"/>
          <w:sz w:val="32"/>
          <w:szCs w:val="32"/>
          <w:lang w:val="zh-CN" w:eastAsia="zh-CN"/>
        </w:rPr>
        <w:t>成立项目绩效自评领导小组，由分管财务副镇长牵头，沟口镇财经审查办公室、沟口镇各驻村工作组组成自评小组，通过数据分析、实地核查、分析评价形成绩效评价报告。</w:t>
      </w:r>
    </w:p>
    <w:p w14:paraId="28A535DA">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b/>
          <w:bCs/>
          <w:color w:val="auto"/>
          <w:kern w:val="2"/>
          <w:sz w:val="32"/>
          <w:szCs w:val="32"/>
          <w:lang w:val="zh-CN" w:eastAsia="zh-CN"/>
        </w:rPr>
      </w:pPr>
      <w:r>
        <w:rPr>
          <w:rFonts w:hint="eastAsia" w:ascii="黑体" w:hAnsi="黑体" w:eastAsia="黑体" w:cs="黑体"/>
          <w:b w:val="0"/>
          <w:bCs w:val="0"/>
          <w:color w:val="auto"/>
          <w:kern w:val="2"/>
          <w:sz w:val="32"/>
          <w:szCs w:val="32"/>
          <w:lang w:val="en-US" w:eastAsia="zh-CN"/>
        </w:rPr>
        <w:t>三、绩效分析</w:t>
      </w:r>
      <w:r>
        <w:rPr>
          <w:rFonts w:hint="eastAsia" w:ascii="仿宋_GB2312" w:hAnsi="宋体" w:eastAsia="仿宋_GB2312" w:cs="Times New Roman"/>
          <w:b/>
          <w:bCs/>
          <w:color w:val="auto"/>
          <w:kern w:val="2"/>
          <w:sz w:val="32"/>
          <w:szCs w:val="32"/>
          <w:lang w:val="zh-CN" w:eastAsia="zh-CN"/>
        </w:rPr>
        <w:tab/>
      </w:r>
    </w:p>
    <w:p w14:paraId="435B79DF">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楷体_GB2312" w:hAnsi="楷体_GB2312" w:eastAsia="楷体_GB2312" w:cs="楷体_GB2312"/>
          <w:b/>
          <w:bCs/>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（一）</w:t>
      </w:r>
      <w:r>
        <w:rPr>
          <w:rFonts w:hint="eastAsia" w:ascii="楷体_GB2312" w:hAnsi="楷体_GB2312" w:eastAsia="楷体_GB2312" w:cs="楷体_GB2312"/>
          <w:b/>
          <w:bCs/>
          <w:color w:val="auto"/>
          <w:kern w:val="2"/>
          <w:sz w:val="32"/>
          <w:szCs w:val="32"/>
          <w:lang w:val="en-US" w:eastAsia="zh-CN"/>
        </w:rPr>
        <w:t>通用指标</w:t>
      </w:r>
      <w:r>
        <w:rPr>
          <w:rFonts w:hint="eastAsia" w:ascii="楷体_GB2312" w:hAnsi="楷体_GB2312" w:eastAsia="楷体_GB2312" w:cs="楷体_GB2312"/>
          <w:b/>
          <w:bCs/>
          <w:color w:val="auto"/>
          <w:kern w:val="2"/>
          <w:sz w:val="32"/>
          <w:szCs w:val="32"/>
          <w:lang w:val="zh-CN" w:eastAsia="zh-CN"/>
        </w:rPr>
        <w:t>绩效分析</w:t>
      </w:r>
    </w:p>
    <w:p w14:paraId="21DED126">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b/>
          <w:bCs/>
          <w:color w:val="auto"/>
          <w:kern w:val="2"/>
          <w:sz w:val="32"/>
          <w:szCs w:val="32"/>
          <w:lang w:val="en-US" w:eastAsia="zh-CN"/>
        </w:rPr>
        <w:t>1.项目决策。</w:t>
      </w:r>
      <w:r>
        <w:rPr>
          <w:rFonts w:hint="eastAsia" w:ascii="仿宋_GB2312" w:hAnsi="宋体" w:eastAsia="仿宋_GB2312" w:cs="Times New Roman"/>
          <w:color w:val="auto"/>
          <w:kern w:val="2"/>
          <w:sz w:val="32"/>
          <w:szCs w:val="32"/>
          <w:lang w:val="en-US" w:eastAsia="zh-CN"/>
        </w:rPr>
        <w:t>茂县沟口镇人民政府负责，补助资金根据各村人口、幅员面积、地理区位、村集体收入和工作绩效等因素分村确定具体的补助标准，沟口镇驻村工作组对完工内容进行验收，沟口镇财务室支付资金。</w:t>
      </w:r>
    </w:p>
    <w:p w14:paraId="3B40B350">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b/>
          <w:bCs/>
          <w:color w:val="auto"/>
          <w:kern w:val="2"/>
          <w:sz w:val="32"/>
          <w:szCs w:val="32"/>
          <w:lang w:val="en-US" w:eastAsia="zh-CN"/>
        </w:rPr>
        <w:t>2.项目管理。</w:t>
      </w:r>
      <w:r>
        <w:rPr>
          <w:rFonts w:hint="eastAsia" w:ascii="仿宋_GB2312" w:hAnsi="宋体" w:eastAsia="仿宋_GB2312" w:cs="Times New Roman"/>
          <w:color w:val="auto"/>
          <w:kern w:val="2"/>
          <w:sz w:val="32"/>
          <w:szCs w:val="32"/>
          <w:lang w:val="en-US" w:eastAsia="zh-CN"/>
        </w:rPr>
        <w:t>镇政府统一监督管理，严禁弄虚作假。</w:t>
      </w:r>
    </w:p>
    <w:p w14:paraId="0588EF9D">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b/>
          <w:bCs/>
          <w:color w:val="auto"/>
          <w:kern w:val="2"/>
          <w:sz w:val="32"/>
          <w:szCs w:val="32"/>
          <w:lang w:val="en-US" w:eastAsia="zh-CN"/>
        </w:rPr>
        <w:t>3.项目实施。</w:t>
      </w:r>
      <w:r>
        <w:rPr>
          <w:rFonts w:hint="eastAsia" w:ascii="仿宋_GB2312" w:hAnsi="宋体" w:eastAsia="仿宋_GB2312" w:cs="Times New Roman"/>
          <w:color w:val="auto"/>
          <w:kern w:val="2"/>
          <w:sz w:val="32"/>
          <w:szCs w:val="32"/>
          <w:lang w:val="en-US" w:eastAsia="zh-CN"/>
        </w:rPr>
        <w:t>沟口镇水若村文化休闲居家养老改建项目资金由上级拨款,统一监督管理,并依照相关项目规章制度进行实施。项目下达后，由村两委组织召开“一事一议”村民（村民代表）大会，确定实施方式、工期、理事会及下属项目监督小组、村民理财小组、材料采购小组成员等事宜。由理事会负责项目建设施工组织，负责组织机具、材料、人员进行项目施工，施工过程中由项目监督小组对项目的施工进度、质量、安全等进行监管，同时镇政府及相关主管部门对项目进行监管</w:t>
      </w:r>
      <w:r>
        <w:rPr>
          <w:rFonts w:hint="eastAsia" w:ascii="仿宋_GB2312" w:hAnsi="宋体" w:eastAsia="仿宋_GB2312" w:cs="Times New Roman"/>
          <w:color w:val="auto"/>
          <w:kern w:val="2"/>
          <w:sz w:val="32"/>
          <w:szCs w:val="32"/>
          <w:lang w:val="zh-CN" w:eastAsia="zh-CN"/>
        </w:rPr>
        <w:t>。</w:t>
      </w:r>
    </w:p>
    <w:p w14:paraId="6BF5E6B3">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b/>
          <w:bCs/>
          <w:color w:val="auto"/>
          <w:kern w:val="2"/>
          <w:sz w:val="32"/>
          <w:szCs w:val="32"/>
          <w:lang w:val="en-US" w:eastAsia="zh-CN"/>
        </w:rPr>
        <w:t>4.项目结果。</w:t>
      </w:r>
      <w:r>
        <w:rPr>
          <w:rFonts w:hint="eastAsia" w:ascii="仿宋_GB2312" w:hAnsi="宋体" w:eastAsia="仿宋_GB2312" w:cs="Times New Roman"/>
          <w:color w:val="auto"/>
          <w:kern w:val="2"/>
          <w:sz w:val="32"/>
          <w:szCs w:val="32"/>
          <w:lang w:val="en-US" w:eastAsia="zh-CN"/>
        </w:rPr>
        <w:t>水若村村活动室屋顶防水进行铺设，同时改建活动室原厨房，对原厨房进行居家养老改建，包括门窗更换、墙面粉刷、铺设木地板、增加直饮机、采购居家养老文化休闲等相关设备。该项目按照计划工期，按时在工期内完成了项目的建设，质量符合要求，满足了当地村民休闲活动的需求</w:t>
      </w:r>
      <w:r>
        <w:rPr>
          <w:rFonts w:hint="eastAsia" w:ascii="仿宋_GB2312" w:hAnsi="宋体" w:eastAsia="仿宋_GB2312" w:cs="Times New Roman"/>
          <w:color w:val="auto"/>
          <w:kern w:val="2"/>
          <w:sz w:val="32"/>
          <w:szCs w:val="32"/>
          <w:lang w:val="zh-CN" w:eastAsia="zh-CN"/>
        </w:rPr>
        <w:t>。</w:t>
      </w:r>
    </w:p>
    <w:p w14:paraId="31873D75">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楷体_GB2312" w:hAnsi="楷体_GB2312" w:eastAsia="楷体_GB2312" w:cs="楷体_GB2312"/>
          <w:b/>
          <w:bCs/>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（二）</w:t>
      </w:r>
      <w:r>
        <w:rPr>
          <w:rFonts w:hint="eastAsia" w:ascii="楷体_GB2312" w:hAnsi="楷体_GB2312" w:eastAsia="楷体_GB2312" w:cs="楷体_GB2312"/>
          <w:b/>
          <w:bCs/>
          <w:color w:val="auto"/>
          <w:kern w:val="2"/>
          <w:sz w:val="32"/>
          <w:szCs w:val="32"/>
          <w:lang w:val="en-US" w:eastAsia="zh-CN"/>
        </w:rPr>
        <w:t>专用指标</w:t>
      </w:r>
      <w:r>
        <w:rPr>
          <w:rFonts w:hint="eastAsia" w:ascii="楷体_GB2312" w:hAnsi="楷体_GB2312" w:eastAsia="楷体_GB2312" w:cs="楷体_GB2312"/>
          <w:b/>
          <w:bCs/>
          <w:color w:val="auto"/>
          <w:kern w:val="2"/>
          <w:sz w:val="32"/>
          <w:szCs w:val="32"/>
          <w:lang w:val="zh-CN" w:eastAsia="zh-CN"/>
        </w:rPr>
        <w:t>绩效分析</w:t>
      </w:r>
    </w:p>
    <w:p w14:paraId="297501D2">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1.产业发展类。通过完善基础设施建设，进一步改善了村级的基础设施和公共服务，扩大了农村基层民主。</w:t>
      </w:r>
    </w:p>
    <w:p w14:paraId="53FF1977">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sz w:val="32"/>
          <w:szCs w:val="32"/>
          <w:lang w:val="en-US" w:eastAsia="zh-CN"/>
        </w:rPr>
        <w:t>2.</w:t>
      </w:r>
      <w:r>
        <w:rPr>
          <w:rFonts w:hint="eastAsia" w:ascii="仿宋_GB2312" w:hAnsi="宋体" w:eastAsia="仿宋_GB2312" w:cs="Times New Roman"/>
          <w:color w:val="auto"/>
          <w:kern w:val="2"/>
          <w:sz w:val="32"/>
          <w:szCs w:val="32"/>
          <w:lang w:val="zh-CN" w:eastAsia="zh-CN"/>
        </w:rPr>
        <w:t>民生保障</w:t>
      </w:r>
      <w:r>
        <w:rPr>
          <w:rFonts w:hint="eastAsia" w:ascii="仿宋_GB2312" w:hAnsi="宋体" w:eastAsia="仿宋_GB2312" w:cs="Times New Roman"/>
          <w:color w:val="auto"/>
          <w:kern w:val="2"/>
          <w:sz w:val="32"/>
          <w:szCs w:val="32"/>
          <w:lang w:val="en-US" w:eastAsia="zh-CN"/>
        </w:rPr>
        <w:t>类</w:t>
      </w:r>
      <w:r>
        <w:rPr>
          <w:rFonts w:hint="eastAsia" w:ascii="仿宋_GB2312" w:hAnsi="宋体" w:eastAsia="仿宋_GB2312" w:cs="Times New Roman"/>
          <w:color w:val="auto"/>
          <w:kern w:val="2"/>
          <w:sz w:val="32"/>
          <w:szCs w:val="32"/>
          <w:lang w:val="zh-CN" w:eastAsia="zh-CN"/>
        </w:rPr>
        <w:t>。</w:t>
      </w:r>
      <w:r>
        <w:rPr>
          <w:rFonts w:hint="eastAsia" w:ascii="仿宋_GB2312" w:hAnsi="宋体" w:eastAsia="仿宋_GB2312" w:cs="Times New Roman"/>
          <w:color w:val="auto"/>
          <w:kern w:val="2"/>
          <w:sz w:val="32"/>
          <w:szCs w:val="32"/>
          <w:lang w:val="en-US" w:eastAsia="zh-CN"/>
        </w:rPr>
        <w:t>完善了村民自治，密切了党和政府同农民群众的关系，满足了农民群众的需求，也为我镇的村级项目建设起到了示范和引领作用。</w:t>
      </w:r>
    </w:p>
    <w:p w14:paraId="6799EBD3">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3.基础设施类。采取专户核算、专款专用。建立台账，明确到村保障资金数额，确保保障资金用于村内</w:t>
      </w:r>
      <w:r>
        <w:rPr>
          <w:rFonts w:hint="eastAsia" w:ascii="仿宋_GB2312" w:hAnsi="宋体" w:eastAsia="仿宋_GB2312" w:cs="Times New Roman"/>
          <w:color w:val="auto"/>
          <w:kern w:val="2"/>
          <w:sz w:val="32"/>
          <w:szCs w:val="32"/>
          <w:lang w:val="en-US" w:eastAsia="zh-CN"/>
        </w:rPr>
        <w:fldChar w:fldCharType="begin"/>
      </w:r>
      <w:r>
        <w:rPr>
          <w:rFonts w:hint="eastAsia" w:ascii="仿宋_GB2312" w:hAnsi="宋体" w:eastAsia="仿宋_GB2312" w:cs="Times New Roman"/>
          <w:color w:val="auto"/>
          <w:kern w:val="2"/>
          <w:sz w:val="32"/>
          <w:szCs w:val="32"/>
          <w:lang w:val="en-US" w:eastAsia="zh-CN"/>
        </w:rPr>
        <w:instrText xml:space="preserve"> HYPERLINK "https://wenwen.sogou.com/s/?w=%E5%85%AC%E5%85%B1%E6%9C%8D%E5%8A%A1%E8%AE%BE%E6%96%BD&amp;ch=ww.xqy.chain" \t "_blank" </w:instrText>
      </w:r>
      <w:r>
        <w:rPr>
          <w:rFonts w:hint="eastAsia" w:ascii="仿宋_GB2312" w:hAnsi="宋体" w:eastAsia="仿宋_GB2312" w:cs="Times New Roman"/>
          <w:color w:val="auto"/>
          <w:kern w:val="2"/>
          <w:sz w:val="32"/>
          <w:szCs w:val="32"/>
          <w:lang w:val="en-US" w:eastAsia="zh-CN"/>
        </w:rPr>
        <w:fldChar w:fldCharType="separate"/>
      </w:r>
      <w:r>
        <w:rPr>
          <w:rFonts w:hint="eastAsia" w:ascii="仿宋_GB2312" w:hAnsi="宋体" w:eastAsia="仿宋_GB2312" w:cs="Times New Roman"/>
          <w:color w:val="auto"/>
          <w:kern w:val="2"/>
          <w:sz w:val="32"/>
          <w:szCs w:val="32"/>
          <w:lang w:val="en-US" w:eastAsia="zh-CN"/>
        </w:rPr>
        <w:t>公共服务设施</w:t>
      </w:r>
      <w:r>
        <w:rPr>
          <w:rFonts w:hint="eastAsia" w:ascii="仿宋_GB2312" w:hAnsi="宋体" w:eastAsia="仿宋_GB2312" w:cs="Times New Roman"/>
          <w:color w:val="auto"/>
          <w:kern w:val="2"/>
          <w:sz w:val="32"/>
          <w:szCs w:val="32"/>
          <w:lang w:val="en-US" w:eastAsia="zh-CN"/>
        </w:rPr>
        <w:fldChar w:fldCharType="end"/>
      </w:r>
      <w:r>
        <w:rPr>
          <w:rFonts w:hint="eastAsia" w:ascii="仿宋_GB2312" w:hAnsi="宋体" w:eastAsia="仿宋_GB2312" w:cs="Times New Roman"/>
          <w:color w:val="auto"/>
          <w:kern w:val="2"/>
          <w:sz w:val="32"/>
          <w:szCs w:val="32"/>
          <w:lang w:val="en-US" w:eastAsia="zh-CN"/>
        </w:rPr>
        <w:t>运行维护，防止挪用和平调。</w:t>
      </w:r>
    </w:p>
    <w:p w14:paraId="53959F0F">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4.</w:t>
      </w:r>
      <w:r>
        <w:rPr>
          <w:rFonts w:hint="eastAsia" w:ascii="仿宋_GB2312" w:hAnsi="宋体" w:eastAsia="仿宋_GB2312" w:cs="Times New Roman"/>
          <w:color w:val="auto"/>
          <w:kern w:val="2"/>
          <w:sz w:val="32"/>
          <w:szCs w:val="32"/>
          <w:lang w:val="zh-CN" w:eastAsia="zh-CN"/>
        </w:rPr>
        <w:t>行政运转</w:t>
      </w:r>
      <w:r>
        <w:rPr>
          <w:rFonts w:hint="eastAsia" w:ascii="仿宋_GB2312" w:hAnsi="宋体" w:eastAsia="仿宋_GB2312" w:cs="Times New Roman"/>
          <w:color w:val="auto"/>
          <w:kern w:val="2"/>
          <w:sz w:val="32"/>
          <w:szCs w:val="32"/>
          <w:lang w:val="en-US" w:eastAsia="zh-CN"/>
        </w:rPr>
        <w:t>类</w:t>
      </w:r>
      <w:r>
        <w:rPr>
          <w:rFonts w:hint="eastAsia" w:ascii="仿宋_GB2312" w:hAnsi="宋体" w:eastAsia="仿宋_GB2312" w:cs="Times New Roman"/>
          <w:color w:val="auto"/>
          <w:kern w:val="2"/>
          <w:sz w:val="32"/>
          <w:szCs w:val="32"/>
          <w:lang w:val="zh-CN" w:eastAsia="zh-CN"/>
        </w:rPr>
        <w:t>。项目用途合规、程序合规、标准合规，</w:t>
      </w:r>
      <w:r>
        <w:rPr>
          <w:rFonts w:hint="eastAsia" w:ascii="仿宋_GB2312" w:hAnsi="宋体" w:eastAsia="仿宋_GB2312" w:cs="Times New Roman"/>
          <w:color w:val="auto"/>
          <w:kern w:val="2"/>
          <w:sz w:val="32"/>
          <w:szCs w:val="32"/>
          <w:lang w:val="en-US" w:eastAsia="zh-CN"/>
        </w:rPr>
        <w:t>收支合理、手续完备、数字准确、账目清楚。</w:t>
      </w:r>
    </w:p>
    <w:p w14:paraId="1D13E6C4">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楷体_GB2312" w:hAnsi="楷体_GB2312" w:eastAsia="楷体_GB2312" w:cs="楷体_GB2312"/>
          <w:b/>
          <w:bCs/>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（三）</w:t>
      </w:r>
      <w:r>
        <w:rPr>
          <w:rFonts w:hint="eastAsia" w:ascii="楷体_GB2312" w:hAnsi="楷体_GB2312" w:eastAsia="楷体_GB2312" w:cs="楷体_GB2312"/>
          <w:b/>
          <w:bCs/>
          <w:color w:val="auto"/>
          <w:kern w:val="2"/>
          <w:sz w:val="32"/>
          <w:szCs w:val="32"/>
          <w:lang w:val="en-US" w:eastAsia="zh-CN"/>
        </w:rPr>
        <w:t>个性指标</w:t>
      </w:r>
      <w:r>
        <w:rPr>
          <w:rFonts w:hint="eastAsia" w:ascii="楷体_GB2312" w:hAnsi="楷体_GB2312" w:eastAsia="楷体_GB2312" w:cs="楷体_GB2312"/>
          <w:b/>
          <w:bCs/>
          <w:color w:val="auto"/>
          <w:kern w:val="2"/>
          <w:sz w:val="32"/>
          <w:szCs w:val="32"/>
          <w:lang w:val="zh-CN" w:eastAsia="zh-CN"/>
        </w:rPr>
        <w:t>绩效分析</w:t>
      </w:r>
    </w:p>
    <w:p w14:paraId="433F166C">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color w:val="auto"/>
          <w:kern w:val="2"/>
          <w:sz w:val="32"/>
          <w:szCs w:val="32"/>
          <w:lang w:val="en-US" w:eastAsia="zh-CN"/>
        </w:rPr>
        <w:t>通过项目建设提升水若村文化休闲居家养老，丰富群众文化生活，方便居家养老，为乡村振兴战略打下坚实基础。</w:t>
      </w:r>
    </w:p>
    <w:p w14:paraId="25F73774">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b/>
          <w:bCs/>
          <w:color w:val="auto"/>
          <w:kern w:val="2"/>
          <w:sz w:val="32"/>
          <w:szCs w:val="32"/>
          <w:lang w:val="en-US" w:eastAsia="zh-CN"/>
        </w:rPr>
        <w:t>1.经济效益。</w:t>
      </w:r>
      <w:r>
        <w:rPr>
          <w:rFonts w:hint="eastAsia" w:ascii="仿宋_GB2312" w:hAnsi="宋体" w:eastAsia="仿宋_GB2312" w:cs="Times New Roman"/>
          <w:color w:val="auto"/>
          <w:kern w:val="2"/>
          <w:sz w:val="32"/>
          <w:szCs w:val="32"/>
          <w:lang w:val="en-US" w:eastAsia="zh-CN"/>
        </w:rPr>
        <w:t>项目建成后，将使水若村文化生活更完善，促进群众精神文化的提升。群众获得感将进一步提升。</w:t>
      </w:r>
    </w:p>
    <w:p w14:paraId="1B58CE69">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宋体" w:eastAsia="仿宋_GB2312" w:cs="Times New Roman"/>
          <w:b/>
          <w:bCs/>
          <w:color w:val="auto"/>
          <w:kern w:val="2"/>
          <w:sz w:val="32"/>
          <w:szCs w:val="32"/>
          <w:lang w:val="en-US" w:eastAsia="zh-CN"/>
        </w:rPr>
        <w:t>2.社会效益。</w:t>
      </w:r>
      <w:r>
        <w:rPr>
          <w:rFonts w:hint="eastAsia" w:ascii="仿宋_GB2312" w:hAnsi="宋体" w:eastAsia="仿宋_GB2312" w:cs="Times New Roman"/>
          <w:color w:val="auto"/>
          <w:kern w:val="2"/>
          <w:sz w:val="32"/>
          <w:szCs w:val="32"/>
          <w:lang w:val="en-US" w:eastAsia="zh-CN"/>
        </w:rPr>
        <w:t>该项目的实施，将改善当地文化基础设施条件，将充分发挥资源、区位两大优势，给村民带来更好的精神层面收益。项目实施后，效益明显，是一项利村、利民、利社会的民心工程。</w:t>
      </w:r>
    </w:p>
    <w:p w14:paraId="16540755">
      <w:pPr>
        <w:keepNext w:val="0"/>
        <w:keepLines w:val="0"/>
        <w:pageBreakBefore w:val="0"/>
        <w:widowControl w:val="0"/>
        <w:kinsoku/>
        <w:wordWrap/>
        <w:overflowPunct/>
        <w:topLinePunct w:val="0"/>
        <w:autoSpaceDE w:val="0"/>
        <w:autoSpaceDN w:val="0"/>
        <w:bidi w:val="0"/>
        <w:adjustRightInd w:val="0"/>
        <w:snapToGrid/>
        <w:spacing w:line="576" w:lineRule="exact"/>
        <w:ind w:firstLine="643" w:firstLineChars="200"/>
        <w:jc w:val="both"/>
        <w:textAlignment w:val="auto"/>
        <w:rPr>
          <w:rFonts w:hint="eastAsia" w:ascii="仿宋_GB2312" w:hAnsi="宋体" w:eastAsia="仿宋_GB2312" w:cs="Times New Roman"/>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3.生态效益。</w:t>
      </w:r>
      <w:r>
        <w:rPr>
          <w:rFonts w:hint="eastAsia" w:ascii="仿宋_GB2312" w:hAnsi="宋体" w:eastAsia="仿宋_GB2312" w:cs="Times New Roman"/>
          <w:color w:val="auto"/>
          <w:kern w:val="2"/>
          <w:sz w:val="32"/>
          <w:szCs w:val="32"/>
          <w:lang w:val="en-US" w:eastAsia="zh-CN"/>
        </w:rPr>
        <w:t>项目建成后，使辖区的生态环境得到优化和有效保护，该村面源污染治理、污水治理等进一步强化，人居环境进一步改善，逐步实现可持续发展。</w:t>
      </w:r>
    </w:p>
    <w:p w14:paraId="13FE438E">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黑体" w:hAnsi="黑体" w:eastAsia="黑体" w:cs="黑体"/>
          <w:b w:val="0"/>
          <w:bCs w:val="0"/>
          <w:color w:val="auto"/>
          <w:kern w:val="2"/>
          <w:sz w:val="32"/>
          <w:szCs w:val="32"/>
          <w:lang w:val="en-US" w:eastAsia="zh-CN"/>
        </w:rPr>
      </w:pPr>
      <w:r>
        <w:rPr>
          <w:rFonts w:hint="eastAsia" w:ascii="黑体" w:hAnsi="黑体" w:eastAsia="黑体" w:cs="黑体"/>
          <w:b w:val="0"/>
          <w:bCs w:val="0"/>
          <w:color w:val="auto"/>
          <w:kern w:val="2"/>
          <w:sz w:val="32"/>
          <w:szCs w:val="32"/>
          <w:lang w:val="en-US" w:eastAsia="zh-CN"/>
        </w:rPr>
        <w:t>四、评价结论</w:t>
      </w:r>
    </w:p>
    <w:p w14:paraId="6794DBED">
      <w:pPr>
        <w:keepNext w:val="0"/>
        <w:keepLines w:val="0"/>
        <w:pageBreakBefore w:val="0"/>
        <w:widowControl w:val="0"/>
        <w:kinsoku/>
        <w:wordWrap/>
        <w:overflowPunct/>
        <w:topLinePunct w:val="0"/>
        <w:autoSpaceDE w:val="0"/>
        <w:autoSpaceDN w:val="0"/>
        <w:bidi w:val="0"/>
        <w:adjustRightInd w:val="0"/>
        <w:snapToGrid/>
        <w:spacing w:line="576" w:lineRule="exact"/>
        <w:ind w:firstLine="640" w:firstLineChars="200"/>
        <w:jc w:val="both"/>
        <w:textAlignment w:val="auto"/>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sz w:val="32"/>
          <w:szCs w:val="32"/>
          <w:lang w:val="en-US" w:eastAsia="zh-CN"/>
        </w:rPr>
        <w:t>该村是典型的高半山村寨，受发展资金和地理条件限制，基础设施不够完善，环境条件较差，导致聚集功能弱，产业效益不高。选择该村作为县级乡村振兴示范创建村，按照产业兴旺、生态宜居、乡风文明、治理有效、生活富裕的总要求，本着因地制宜循序渐进的原则，统筹推进该村农业经济发展，乡风文明，治理有效，生态宜居。</w:t>
      </w:r>
      <w:r>
        <w:rPr>
          <w:rFonts w:hint="eastAsia" w:ascii="仿宋_GB2312" w:hAnsi="宋体" w:eastAsia="仿宋_GB2312" w:cs="Times New Roman"/>
          <w:color w:val="auto"/>
          <w:kern w:val="2"/>
          <w:sz w:val="32"/>
          <w:szCs w:val="32"/>
          <w:lang w:val="zh-CN" w:eastAsia="zh-CN"/>
        </w:rPr>
        <w:t>本项目的建设，也为地方经济发展提供了必要的基础设施。</w:t>
      </w:r>
    </w:p>
    <w:p w14:paraId="2367C602">
      <w:pPr>
        <w:pStyle w:val="8"/>
        <w:keepNext w:val="0"/>
        <w:keepLines w:val="0"/>
        <w:pageBreakBefore w:val="0"/>
        <w:numPr>
          <w:ilvl w:val="0"/>
          <w:numId w:val="4"/>
        </w:numPr>
        <w:tabs>
          <w:tab w:val="left" w:pos="2160"/>
        </w:tabs>
        <w:kinsoku/>
        <w:wordWrap/>
        <w:overflowPunct/>
        <w:topLinePunct w:val="0"/>
        <w:autoSpaceDE/>
        <w:autoSpaceDN/>
        <w:bidi w:val="0"/>
        <w:spacing w:line="560" w:lineRule="exact"/>
        <w:ind w:left="197" w:leftChars="0" w:firstLine="643" w:firstLineChars="0"/>
        <w:textAlignment w:val="auto"/>
        <w:rPr>
          <w:rFonts w:hint="default"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zh-CN" w:eastAsia="zh-CN" w:bidi="ar-SA"/>
        </w:rPr>
        <w:t>存在主要问题</w:t>
      </w:r>
    </w:p>
    <w:p w14:paraId="58ACB3BB">
      <w:pPr>
        <w:pStyle w:val="8"/>
        <w:keepNext w:val="0"/>
        <w:keepLines w:val="0"/>
        <w:pageBreakBefore w:val="0"/>
        <w:numPr>
          <w:ilvl w:val="0"/>
          <w:numId w:val="0"/>
        </w:numPr>
        <w:tabs>
          <w:tab w:val="left" w:pos="2160"/>
        </w:tabs>
        <w:kinsoku/>
        <w:wordWrap/>
        <w:overflowPunct/>
        <w:topLinePunct w:val="0"/>
        <w:autoSpaceDE/>
        <w:autoSpaceDN/>
        <w:bidi w:val="0"/>
        <w:spacing w:line="560" w:lineRule="exact"/>
        <w:ind w:firstLine="640" w:firstLineChars="200"/>
        <w:textAlignment w:val="auto"/>
        <w:rPr>
          <w:rFonts w:hint="default" w:ascii="仿宋_GB2312" w:hAnsi="宋体" w:eastAsia="仿宋_GB2312" w:cs="Times New Roman"/>
          <w:color w:val="auto"/>
          <w:kern w:val="2"/>
          <w:position w:val="0"/>
          <w:sz w:val="32"/>
          <w:szCs w:val="32"/>
          <w:lang w:val="en-US" w:eastAsia="zh-CN" w:bidi="ar-SA"/>
        </w:rPr>
      </w:pPr>
      <w:r>
        <w:rPr>
          <w:rFonts w:hint="eastAsia" w:hAnsi="宋体" w:cs="Times New Roman"/>
          <w:color w:val="auto"/>
          <w:kern w:val="2"/>
          <w:position w:val="0"/>
          <w:sz w:val="32"/>
          <w:szCs w:val="32"/>
          <w:lang w:val="en-US" w:eastAsia="zh-CN" w:bidi="ar-SA"/>
        </w:rPr>
        <w:t>专项预算项目绩效自评未发现主要问题。</w:t>
      </w:r>
    </w:p>
    <w:p w14:paraId="3FBD3B90">
      <w:pPr>
        <w:pStyle w:val="8"/>
        <w:keepNext w:val="0"/>
        <w:keepLines w:val="0"/>
        <w:pageBreakBefore w:val="0"/>
        <w:numPr>
          <w:ilvl w:val="0"/>
          <w:numId w:val="4"/>
        </w:numPr>
        <w:tabs>
          <w:tab w:val="left" w:pos="2160"/>
        </w:tabs>
        <w:kinsoku/>
        <w:wordWrap/>
        <w:overflowPunct/>
        <w:topLinePunct w:val="0"/>
        <w:autoSpaceDE/>
        <w:autoSpaceDN/>
        <w:bidi w:val="0"/>
        <w:spacing w:line="560" w:lineRule="exact"/>
        <w:ind w:left="197" w:leftChars="0" w:firstLine="643" w:firstLineChars="0"/>
        <w:textAlignment w:val="auto"/>
        <w:rPr>
          <w:rFonts w:hint="eastAsia" w:ascii="黑体" w:hAnsi="黑体" w:eastAsia="黑体" w:cs="黑体"/>
          <w:b w:val="0"/>
          <w:bCs w:val="0"/>
          <w:color w:val="000000"/>
          <w:kern w:val="0"/>
          <w:sz w:val="32"/>
          <w:szCs w:val="32"/>
          <w:shd w:val="clear" w:color="auto" w:fill="FFFFFF"/>
          <w:lang w:val="zh-CN" w:eastAsia="zh-CN" w:bidi="ar-SA"/>
        </w:rPr>
      </w:pPr>
      <w:r>
        <w:rPr>
          <w:rFonts w:hint="eastAsia" w:ascii="黑体" w:hAnsi="黑体" w:eastAsia="黑体" w:cs="黑体"/>
          <w:b w:val="0"/>
          <w:bCs w:val="0"/>
          <w:color w:val="000000"/>
          <w:kern w:val="0"/>
          <w:sz w:val="32"/>
          <w:szCs w:val="32"/>
          <w:shd w:val="clear" w:color="auto" w:fill="FFFFFF"/>
          <w:lang w:val="zh-CN" w:eastAsia="zh-CN" w:bidi="ar-SA"/>
        </w:rPr>
        <w:t>改进建议</w:t>
      </w:r>
    </w:p>
    <w:p w14:paraId="1AD0EDCA">
      <w:pPr>
        <w:snapToGrid w:val="0"/>
        <w:spacing w:line="578" w:lineRule="exact"/>
        <w:ind w:firstLine="640" w:firstLineChars="200"/>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position w:val="0"/>
          <w:sz w:val="32"/>
          <w:szCs w:val="32"/>
          <w:lang w:val="en-US" w:eastAsia="zh-CN" w:bidi="ar-SA"/>
        </w:rPr>
        <w:t>专项预算项目在预算安排、完善政策、改进管理等方面的无措施建设。</w:t>
      </w:r>
    </w:p>
    <w:p w14:paraId="1DE2C131">
      <w:pPr>
        <w:autoSpaceDE w:val="0"/>
        <w:autoSpaceDN w:val="0"/>
        <w:adjustRightInd w:val="0"/>
        <w:spacing w:line="560" w:lineRule="exact"/>
        <w:ind w:firstLine="640" w:firstLineChars="200"/>
        <w:jc w:val="both"/>
        <w:rPr>
          <w:rFonts w:eastAsia="黑体"/>
          <w:kern w:val="0"/>
          <w:shd w:val="clear" w:color="auto" w:fill="FFFFFF"/>
        </w:rPr>
      </w:pPr>
      <w:r>
        <w:rPr>
          <w:rFonts w:hint="eastAsia" w:ascii="仿宋_GB2312" w:hAnsi="宋体" w:eastAsia="仿宋_GB2312" w:cs="Times New Roman"/>
          <w:color w:val="auto"/>
          <w:kern w:val="2"/>
          <w:sz w:val="32"/>
          <w:szCs w:val="32"/>
          <w:lang w:val="zh-CN" w:eastAsia="zh-CN"/>
        </w:rPr>
        <w:br w:type="page"/>
      </w: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7FC815CA">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65469615">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21B5804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92C7D5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61A419E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14C2286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备注</w:t>
            </w:r>
          </w:p>
        </w:tc>
      </w:tr>
      <w:tr w14:paraId="2A8A6E43">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6BC4F22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0BEA8DE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3A7F76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D698C5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457DD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732" w:type="dxa"/>
            <w:vMerge w:val="continue"/>
            <w:tcBorders>
              <w:left w:val="single" w:color="000000" w:sz="4" w:space="0"/>
              <w:bottom w:val="single" w:color="000000" w:sz="4" w:space="0"/>
              <w:right w:val="single" w:color="000000" w:sz="4" w:space="0"/>
            </w:tcBorders>
            <w:noWrap w:val="0"/>
            <w:vAlign w:val="center"/>
          </w:tcPr>
          <w:p w14:paraId="3CE4552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468" w:type="dxa"/>
            <w:vMerge w:val="continue"/>
            <w:tcBorders>
              <w:left w:val="single" w:color="000000" w:sz="4" w:space="0"/>
              <w:bottom w:val="single" w:color="000000" w:sz="4" w:space="0"/>
              <w:right w:val="single" w:color="000000" w:sz="4" w:space="0"/>
            </w:tcBorders>
            <w:noWrap w:val="0"/>
            <w:vAlign w:val="center"/>
          </w:tcPr>
          <w:p w14:paraId="386FBF3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r>
      <w:tr w14:paraId="195B3C81">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0B327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通用指标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5F68DC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项目决策</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E3A08D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4D8E6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C38CFD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14BF40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68EC51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D0C8E5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AA542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51EC3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4EF95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99A691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6A196B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2448C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9A46FA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D07360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79EB2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AB57D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34469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21F00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BC8670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6466B3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F9F170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17C72F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9720B0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45204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项目管理</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5B1EA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F8143A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D63DD2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1FBA4D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F7080E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F31373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CA3BB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E5720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23D9A2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C3B9D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837C6F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DB6713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1A944A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B5FB48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F3D3E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1EED49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DECDCD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CFEAE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8EE551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EE0F8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4DDCA0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71D77D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38856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C6BB19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项目实施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F99261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DE8292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7092A8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0950CE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DA1E1F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F72611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84F57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1C0E5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111926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BF2856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E5F903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D8164B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8FF93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63D939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611FF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78E1F2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项目结果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EF9AC9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B7354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C8B727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3F9B92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1BD424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45454D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766A1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F9673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1AB4C8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731BB7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5E2118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05031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A87058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2C96A95">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D108F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3FE014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产业发展</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652CF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10DE6D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0C874C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B4A92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3FCC05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7C06B8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EABB9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762F8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82C91D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81E976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46FBBB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5F2B5F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8748DB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05AD2F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DB358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FC1123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F3CD7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DC827E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CDFAA2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D6176B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CC926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0815B15">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222D4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82F4FE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民生保障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3EEEE1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F1284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F487EA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AFF0A6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64F3AE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FA5BDE2">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5CD1F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0697F0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D3C894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F8511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FC7B24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E5A020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CE7FC8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AF4E1F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0B82E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D82504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96B699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66D683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A00730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D06CFD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E2112F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D4189D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937DAC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135F2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6613DB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D846A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E0FFE8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7161F7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FB8D25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E496AC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B9927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015ECF0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基础</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设施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E4C37C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在建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0D48AA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EE7706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CC55F0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E928A1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798D6B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99F3CF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B39A6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660B6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0B18B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4794C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E12E55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45158C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7733FF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268691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EDEAB0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B20DC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7797E1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6264888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建成</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11D67E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404A4B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63E8F2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12E570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4AC090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482E020">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2DB71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E2E8B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7128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8C0FD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33EE51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0A0A7C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D2C0FB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9A4F18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9F7AA3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4D945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C874D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0F216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80AAEA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54546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687E46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3C19C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9964F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D146D60">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F4223A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688E58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行政运转</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2B5893F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53964A2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28AA672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1B6F83F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nil"/>
              <w:left w:val="single" w:color="000000" w:sz="4" w:space="0"/>
              <w:bottom w:val="single" w:color="000000" w:sz="4" w:space="0"/>
              <w:right w:val="single" w:color="000000" w:sz="4" w:space="0"/>
            </w:tcBorders>
            <w:noWrap w:val="0"/>
            <w:vAlign w:val="center"/>
          </w:tcPr>
          <w:p w14:paraId="591127F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7C4DFE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6662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670BB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65A6B07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4BF454C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E0226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3D5DFB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176631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F976F26">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5BCB4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B4D072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68D0FAE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6F1F0C7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98BEFE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B9577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16A7AA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1CA91D2">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3304894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个性指标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EEDC98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747D94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39313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5102C4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2B5248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3EB3B40">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323D7B6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4CC72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892F75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DD4FEC">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C650D0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8E4FA25">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28EEE56F">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293C3A5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657FF9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8E435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6CE7B0">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BEC0E0B">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7CE315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23DFE2CD">
        <w:tblPrEx>
          <w:tblCellMar>
            <w:top w:w="0" w:type="dxa"/>
            <w:left w:w="108" w:type="dxa"/>
            <w:bottom w:w="0" w:type="dxa"/>
            <w:right w:w="108" w:type="dxa"/>
          </w:tblCellMar>
        </w:tblPrEx>
        <w:trPr>
          <w:trHeight w:val="67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5297F8A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扣分项</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9CDBCA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5D2D4E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6A41E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093CA5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F0039F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AE95E65">
        <w:tblPrEx>
          <w:tblCellMar>
            <w:top w:w="0" w:type="dxa"/>
            <w:left w:w="108" w:type="dxa"/>
            <w:bottom w:w="0" w:type="dxa"/>
            <w:right w:w="108" w:type="dxa"/>
          </w:tblCellMar>
        </w:tblPrEx>
        <w:trPr>
          <w:trHeight w:val="675"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3EF9E4BB">
            <w:pPr>
              <w:widowControl/>
              <w:spacing w:line="240" w:lineRule="exact"/>
              <w:jc w:val="center"/>
              <w:textAlignment w:val="center"/>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总分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6A6917">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352E692">
            <w:pPr>
              <w:widowControl/>
              <w:spacing w:line="240" w:lineRule="exact"/>
              <w:jc w:val="center"/>
              <w:textAlignment w:val="center"/>
              <w:rPr>
                <w:rFonts w:hint="eastAsia" w:ascii="仿宋_GB2312" w:hAnsi="仿宋_GB2312" w:eastAsia="仿宋_GB2312" w:cs="仿宋_GB2312"/>
                <w:color w:val="000000"/>
                <w:kern w:val="0"/>
                <w:sz w:val="21"/>
                <w:szCs w:val="21"/>
                <w:lang w:bidi="ar"/>
              </w:rPr>
            </w:pP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20A3732">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35E355B">
            <w:pPr>
              <w:widowControl/>
              <w:spacing w:line="24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586B627">
            <w:pPr>
              <w:widowControl/>
              <w:spacing w:line="240" w:lineRule="exact"/>
              <w:jc w:val="left"/>
              <w:textAlignment w:val="center"/>
              <w:rPr>
                <w:rFonts w:hint="eastAsia" w:ascii="仿宋_GB2312" w:hAnsi="仿宋_GB2312" w:eastAsia="仿宋_GB2312" w:cs="仿宋_GB2312"/>
                <w:color w:val="000000"/>
                <w:kern w:val="0"/>
                <w:sz w:val="21"/>
                <w:szCs w:val="21"/>
                <w:lang w:bidi="ar"/>
              </w:rPr>
            </w:pPr>
          </w:p>
        </w:tc>
      </w:tr>
    </w:tbl>
    <w:p w14:paraId="1D38C819">
      <w:pPr>
        <w:spacing w:line="578" w:lineRule="exact"/>
        <w:rPr>
          <w:rFonts w:eastAsia="黑体"/>
          <w:kern w:val="0"/>
          <w:shd w:val="clear" w:color="auto" w:fill="FFFFFF"/>
        </w:rPr>
      </w:pPr>
      <w:r>
        <w:rPr>
          <w:rFonts w:hint="eastAsia" w:ascii="仿宋_GB2312" w:hAnsi="仿宋_GB2312" w:eastAsia="仿宋_GB2312" w:cs="仿宋_GB2312"/>
          <w:kern w:val="0"/>
          <w:shd w:val="clear" w:color="auto" w:fill="FFFFFF"/>
          <w:lang w:val="zh-CN"/>
        </w:rPr>
        <w:br w:type="page"/>
      </w: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16D4E8A6">
        <w:tblPrEx>
          <w:tblCellMar>
            <w:top w:w="15" w:type="dxa"/>
            <w:left w:w="15" w:type="dxa"/>
            <w:bottom w:w="15" w:type="dxa"/>
            <w:right w:w="15" w:type="dxa"/>
          </w:tblCellMar>
        </w:tblPrEx>
        <w:trPr>
          <w:trHeight w:val="1142" w:hRule="atLeast"/>
          <w:jc w:val="center"/>
        </w:trPr>
        <w:tc>
          <w:tcPr>
            <w:tcW w:w="10233" w:type="dxa"/>
            <w:gridSpan w:val="9"/>
            <w:noWrap w:val="0"/>
            <w:vAlign w:val="center"/>
          </w:tcPr>
          <w:p w14:paraId="09173EBB">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04FC4A3B">
        <w:tblPrEx>
          <w:tblCellMar>
            <w:top w:w="15" w:type="dxa"/>
            <w:left w:w="15" w:type="dxa"/>
            <w:bottom w:w="15" w:type="dxa"/>
            <w:right w:w="15" w:type="dxa"/>
          </w:tblCellMar>
        </w:tblPrEx>
        <w:trPr>
          <w:trHeight w:val="264"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2497EBB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6843628">
            <w:pPr>
              <w:keepNext w:val="0"/>
              <w:keepLines w:val="0"/>
              <w:pageBreakBefore w:val="0"/>
              <w:kinsoku/>
              <w:wordWrap/>
              <w:overflowPunct/>
              <w:topLinePunct w:val="0"/>
              <w:autoSpaceDE/>
              <w:autoSpaceDN/>
              <w:bidi w:val="0"/>
              <w:adjustRightInd/>
              <w:snapToGrid/>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水若村文化休闲居家养老建改项目</w:t>
            </w:r>
          </w:p>
        </w:tc>
      </w:tr>
      <w:tr w14:paraId="40F76023">
        <w:tblPrEx>
          <w:tblCellMar>
            <w:top w:w="15" w:type="dxa"/>
            <w:left w:w="15" w:type="dxa"/>
            <w:bottom w:w="15" w:type="dxa"/>
            <w:right w:w="15" w:type="dxa"/>
          </w:tblCellMar>
        </w:tblPrEx>
        <w:trPr>
          <w:trHeight w:val="458"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AE5ACC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ECBFE16">
            <w:pPr>
              <w:keepNext w:val="0"/>
              <w:keepLines w:val="0"/>
              <w:pageBreakBefore w:val="0"/>
              <w:kinsoku/>
              <w:wordWrap/>
              <w:overflowPunct/>
              <w:topLinePunct w:val="0"/>
              <w:autoSpaceDE/>
              <w:autoSpaceDN/>
              <w:bidi w:val="0"/>
              <w:adjustRightInd/>
              <w:snapToGrid/>
              <w:spacing w:line="260" w:lineRule="exact"/>
              <w:ind w:firstLine="720" w:firstLineChars="4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茂县沟口镇人民政府</w:t>
            </w:r>
          </w:p>
        </w:tc>
      </w:tr>
      <w:tr w14:paraId="7A81BC24">
        <w:tblPrEx>
          <w:tblCellMar>
            <w:top w:w="15" w:type="dxa"/>
            <w:left w:w="15" w:type="dxa"/>
            <w:bottom w:w="15" w:type="dxa"/>
            <w:right w:w="15" w:type="dxa"/>
          </w:tblCellMar>
        </w:tblPrEx>
        <w:trPr>
          <w:trHeight w:val="23"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23DA134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CC70F30">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0D4B3AE2">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4A96C2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34F0874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中长期规划（名称、文号，仅指</w:t>
            </w:r>
          </w:p>
          <w:p w14:paraId="5281E25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5598C595">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035A30CF">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E58BC9">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21B5651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9827C36">
            <w:pPr>
              <w:keepNext w:val="0"/>
              <w:keepLines w:val="0"/>
              <w:pageBreakBefore w:val="0"/>
              <w:kinsoku/>
              <w:wordWrap/>
              <w:overflowPunct/>
              <w:topLinePunct w:val="0"/>
              <w:autoSpaceDE/>
              <w:autoSpaceDN/>
              <w:bidi w:val="0"/>
              <w:adjustRightInd/>
              <w:snapToGrid/>
              <w:spacing w:line="260" w:lineRule="exact"/>
              <w:ind w:firstLine="720" w:firstLineChars="400"/>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茂财教〔2024〕7号</w:t>
            </w:r>
          </w:p>
        </w:tc>
      </w:tr>
      <w:tr w14:paraId="01BE76F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0A6553">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05BAC0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6B79EC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6523B47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ECAE06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DBB0CB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£因素法与项目法相结合</w:t>
            </w:r>
          </w:p>
        </w:tc>
      </w:tr>
      <w:tr w14:paraId="5CB8784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AB50AF">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33B2365">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C0BFBC3">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46600040">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BA82C1">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976167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C200891">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52BB856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09F0A5">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161916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B56EEF0">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4CDBB81A">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3D462F">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A2AD4C9">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C4C769D">
            <w:pPr>
              <w:keepNext w:val="0"/>
              <w:keepLines w:val="0"/>
              <w:pageBreakBefore w:val="0"/>
              <w:kinsoku/>
              <w:wordWrap/>
              <w:overflowPunct/>
              <w:topLinePunct w:val="0"/>
              <w:autoSpaceDE/>
              <w:autoSpaceDN/>
              <w:bidi w:val="0"/>
              <w:adjustRightInd/>
              <w:snapToGrid/>
              <w:spacing w:line="260" w:lineRule="exact"/>
              <w:ind w:firstLine="1440" w:firstLineChars="8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2024年</w:t>
            </w:r>
          </w:p>
        </w:tc>
      </w:tr>
      <w:tr w14:paraId="7E7975CC">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DAB4C1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项目资金</w:t>
            </w:r>
          </w:p>
          <w:p w14:paraId="4916221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40A5EDCB">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A292E45">
            <w:pPr>
              <w:keepNext w:val="0"/>
              <w:keepLines w:val="0"/>
              <w:pageBreakBefore w:val="0"/>
              <w:kinsoku/>
              <w:wordWrap/>
              <w:overflowPunct/>
              <w:topLinePunct w:val="0"/>
              <w:autoSpaceDE/>
              <w:autoSpaceDN/>
              <w:bidi w:val="0"/>
              <w:adjustRightInd/>
              <w:snapToGrid/>
              <w:spacing w:line="260" w:lineRule="exact"/>
              <w:jc w:val="right"/>
              <w:rPr>
                <w:rFonts w:hint="eastAsia" w:ascii="仿宋_GB2312" w:hAnsi="仿宋_GB2312" w:eastAsia="仿宋_GB2312" w:cs="仿宋_GB2312"/>
                <w:color w:val="000000"/>
                <w:sz w:val="18"/>
                <w:szCs w:val="18"/>
              </w:rPr>
            </w:pPr>
          </w:p>
        </w:tc>
      </w:tr>
      <w:tr w14:paraId="4C775EF5">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A6A7B0C">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41AC5D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2233D3D">
            <w:pPr>
              <w:keepNext w:val="0"/>
              <w:keepLines w:val="0"/>
              <w:pageBreakBefore w:val="0"/>
              <w:tabs>
                <w:tab w:val="left" w:pos="2038"/>
              </w:tabs>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ab/>
            </w:r>
            <w:r>
              <w:rPr>
                <w:rFonts w:hint="eastAsia" w:ascii="仿宋_GB2312" w:hAnsi="仿宋_GB2312" w:eastAsia="仿宋_GB2312" w:cs="仿宋_GB2312"/>
                <w:color w:val="000000"/>
                <w:sz w:val="18"/>
                <w:szCs w:val="18"/>
                <w:lang w:val="en-US" w:eastAsia="zh-CN"/>
              </w:rPr>
              <w:t>18万元</w:t>
            </w:r>
          </w:p>
        </w:tc>
      </w:tr>
      <w:tr w14:paraId="64555DBE">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797BD1">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0F10940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A94D5EB">
            <w:pPr>
              <w:keepNext w:val="0"/>
              <w:keepLines w:val="0"/>
              <w:pageBreakBefore w:val="0"/>
              <w:kinsoku/>
              <w:wordWrap/>
              <w:overflowPunct/>
              <w:topLinePunct w:val="0"/>
              <w:autoSpaceDE/>
              <w:autoSpaceDN/>
              <w:bidi w:val="0"/>
              <w:adjustRightInd/>
              <w:snapToGrid/>
              <w:spacing w:line="260" w:lineRule="exact"/>
              <w:jc w:val="right"/>
              <w:rPr>
                <w:rFonts w:hint="eastAsia" w:ascii="仿宋_GB2312" w:hAnsi="仿宋_GB2312" w:eastAsia="仿宋_GB2312" w:cs="仿宋_GB2312"/>
                <w:color w:val="000000"/>
                <w:sz w:val="18"/>
                <w:szCs w:val="18"/>
              </w:rPr>
            </w:pPr>
          </w:p>
        </w:tc>
      </w:tr>
      <w:tr w14:paraId="4539A06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51A6AD9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440D556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w:t>
            </w:r>
          </w:p>
        </w:tc>
      </w:tr>
      <w:tr w14:paraId="42C3044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F5AFA">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25144161">
            <w:pPr>
              <w:keepNext w:val="0"/>
              <w:keepLines w:val="0"/>
              <w:pageBreakBefore w:val="0"/>
              <w:kinsoku/>
              <w:wordWrap/>
              <w:overflowPunct/>
              <w:topLinePunct w:val="0"/>
              <w:autoSpaceDE/>
              <w:autoSpaceDN/>
              <w:bidi w:val="0"/>
              <w:adjustRightInd/>
              <w:snapToGrid/>
              <w:spacing w:line="260" w:lineRule="exact"/>
              <w:ind w:firstLine="360" w:firstLineChars="2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val="zh-CN" w:bidi="ar"/>
              </w:rPr>
              <w:t>本项目的建设，对加强各村人民直接的经济联系起到了巨大的作用，也为地方经济发展提供了必要的基础设施。</w:t>
            </w:r>
          </w:p>
        </w:tc>
      </w:tr>
      <w:tr w14:paraId="697B2A2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34D1883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866A9A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A0A031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70EA669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E3FEEB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1EDEE2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C4AA00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C9DC37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8A93AF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实际完成指标值</w:t>
            </w:r>
          </w:p>
        </w:tc>
      </w:tr>
      <w:tr w14:paraId="5EF959F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038513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71867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60580C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5B10B8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沟口镇（水若村）</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B9357F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97BFFF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CD961A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2C8148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A9D3D3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3CD0EC7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166B62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77245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AF3B3A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8729C65">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采购居家养老文化休闲等相关设备质量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CB0EB36">
            <w:pPr>
              <w:keepNext w:val="0"/>
              <w:keepLines w:val="0"/>
              <w:pageBreakBefore w:val="0"/>
              <w:kinsoku/>
              <w:wordWrap/>
              <w:overflowPunct/>
              <w:topLinePunct w:val="0"/>
              <w:autoSpaceDE/>
              <w:autoSpaceDN/>
              <w:bidi w:val="0"/>
              <w:adjustRightInd/>
              <w:snapToGrid/>
              <w:spacing w:line="260" w:lineRule="exact"/>
              <w:ind w:firstLine="360" w:firstLineChars="200"/>
              <w:jc w:val="both"/>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ADFB52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16FBB0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34333C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915171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97D12D3">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1B06F8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F64DE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43421AD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CC8CA9D">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该项目完成按时率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66FC58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19D903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69D269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CAC917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B60833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563FF92C">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1DA0A2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7EA2851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AD0928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w:t>
            </w:r>
          </w:p>
          <w:p w14:paraId="1426767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0C8BEB0D">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项目建成后，将使水若村文化生活更完善，促进群众精神文化的提升。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040175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1E762F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0169BA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4D6A91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13A85E7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824263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30EC2E2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85AEF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right w:val="single" w:color="000000" w:sz="4" w:space="0"/>
            </w:tcBorders>
            <w:noWrap w:val="0"/>
            <w:vAlign w:val="center"/>
          </w:tcPr>
          <w:p w14:paraId="6CBFCCA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46922EA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4BC3491B">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提高群众生活水平，群众获得感将进一步提升。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6888F7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5FB7C9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ED545E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0AF6D34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7976E32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3E73CCE4">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9A743B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right w:val="single" w:color="000000" w:sz="4" w:space="0"/>
            </w:tcBorders>
            <w:noWrap w:val="0"/>
            <w:vAlign w:val="center"/>
          </w:tcPr>
          <w:p w14:paraId="1070741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w:t>
            </w:r>
          </w:p>
          <w:p w14:paraId="6511DC4A">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50" w:type="dxa"/>
            <w:tcBorders>
              <w:top w:val="single" w:color="000000" w:sz="4" w:space="0"/>
              <w:left w:val="single" w:color="000000" w:sz="4" w:space="0"/>
              <w:right w:val="single" w:color="000000" w:sz="4" w:space="0"/>
            </w:tcBorders>
            <w:noWrap w:val="0"/>
            <w:vAlign w:val="center"/>
          </w:tcPr>
          <w:p w14:paraId="06260104">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服务对象</w:t>
            </w:r>
          </w:p>
          <w:p w14:paraId="2C6D4E03">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1E2D70F">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受益群众满意度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1747C3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72055F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13F152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574D99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7F10A3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339C6F65">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212D0C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BB23F2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F15F3F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w:t>
            </w:r>
          </w:p>
          <w:p w14:paraId="3D7EA616">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bottom w:val="single" w:color="000000" w:sz="4" w:space="0"/>
              <w:right w:val="single" w:color="000000" w:sz="4" w:space="0"/>
            </w:tcBorders>
            <w:noWrap w:val="0"/>
            <w:vAlign w:val="center"/>
          </w:tcPr>
          <w:p w14:paraId="45EB0B19">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kern w:val="0"/>
                <w:sz w:val="18"/>
                <w:szCs w:val="18"/>
                <w:lang w:eastAsia="zh-CN" w:bidi="ar"/>
              </w:rPr>
              <w:t>该项目</w:t>
            </w:r>
            <w:r>
              <w:rPr>
                <w:rFonts w:hint="eastAsia" w:ascii="仿宋_GB2312" w:hAnsi="仿宋_GB2312" w:eastAsia="仿宋_GB2312" w:cs="仿宋_GB2312"/>
                <w:color w:val="000000"/>
                <w:kern w:val="0"/>
                <w:sz w:val="18"/>
                <w:szCs w:val="18"/>
                <w:lang w:bidi="ar"/>
              </w:rPr>
              <w:t>建设</w:t>
            </w:r>
            <w:r>
              <w:rPr>
                <w:rFonts w:hint="eastAsia" w:ascii="仿宋_GB2312" w:hAnsi="仿宋_GB2312" w:eastAsia="仿宋_GB2312" w:cs="仿宋_GB2312"/>
                <w:color w:val="000000"/>
                <w:kern w:val="0"/>
                <w:sz w:val="18"/>
                <w:szCs w:val="18"/>
                <w:lang w:eastAsia="zh-CN" w:bidi="ar"/>
              </w:rPr>
              <w:t>成本控制范围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BA0E50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2CEC135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350C78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BE7169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36E189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bl>
    <w:p w14:paraId="537F22BA">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auto"/>
          <w:sz w:val="18"/>
          <w:szCs w:val="18"/>
          <w:highlight w:val="none"/>
        </w:rPr>
      </w:pPr>
    </w:p>
    <w:p w14:paraId="049DF636">
      <w:pPr>
        <w:pStyle w:val="14"/>
        <w:ind w:left="0" w:leftChars="0" w:firstLine="0" w:firstLineChars="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附件2</w:t>
      </w:r>
    </w:p>
    <w:p w14:paraId="53FF2F04">
      <w:pPr>
        <w:pStyle w:val="35"/>
        <w:spacing w:line="578" w:lineRule="exact"/>
        <w:jc w:val="center"/>
        <w:rPr>
          <w:rFonts w:ascii="Times New Roman" w:hAnsi="Times New Roman" w:eastAsia="方正小标宋简体"/>
          <w:color w:val="auto"/>
          <w:kern w:val="2"/>
          <w:sz w:val="44"/>
          <w:szCs w:val="44"/>
          <w:lang w:val="en-US"/>
        </w:rPr>
      </w:pPr>
      <w:r>
        <w:rPr>
          <w:rFonts w:ascii="Times New Roman" w:hAnsi="Times New Roman" w:eastAsia="方正小标宋简体"/>
          <w:color w:val="auto"/>
          <w:kern w:val="2"/>
          <w:sz w:val="44"/>
          <w:szCs w:val="44"/>
          <w:lang w:val="en-US"/>
        </w:rPr>
        <w:t>专项预算绩效自评报告</w:t>
      </w:r>
    </w:p>
    <w:p w14:paraId="5AD04E6F">
      <w:pPr>
        <w:pStyle w:val="35"/>
        <w:spacing w:line="578" w:lineRule="exact"/>
        <w:jc w:val="center"/>
        <w:rPr>
          <w:rFonts w:hint="eastAsia" w:ascii="Times New Roman" w:hAnsi="Times New Roman" w:eastAsia="楷体_GB2312" w:cs="Times New Roman"/>
          <w:b w:val="0"/>
          <w:bCs/>
          <w:color w:val="auto"/>
          <w:kern w:val="2"/>
          <w:sz w:val="36"/>
          <w:szCs w:val="36"/>
          <w:lang w:val="en-US" w:eastAsia="zh-CN" w:bidi="ar-SA"/>
        </w:rPr>
      </w:pPr>
      <w:r>
        <w:rPr>
          <w:rFonts w:hint="eastAsia" w:ascii="Times New Roman" w:hAnsi="Times New Roman" w:eastAsia="楷体_GB2312" w:cs="Times New Roman"/>
          <w:b w:val="0"/>
          <w:bCs/>
          <w:color w:val="auto"/>
          <w:kern w:val="2"/>
          <w:sz w:val="36"/>
          <w:szCs w:val="36"/>
          <w:lang w:val="en-US" w:eastAsia="zh-CN" w:bidi="ar-SA"/>
        </w:rPr>
        <w:t>（沟口镇产业结构调整示范点项目）</w:t>
      </w:r>
    </w:p>
    <w:p w14:paraId="413FB079">
      <w:pPr>
        <w:pStyle w:val="35"/>
        <w:spacing w:line="578" w:lineRule="exact"/>
        <w:ind w:firstLine="640"/>
        <w:jc w:val="center"/>
        <w:rPr>
          <w:rFonts w:ascii="Times New Roman" w:hAnsi="Times New Roman" w:eastAsia="楷体_GB2312" w:cs="Times New Roman"/>
          <w:b/>
          <w:color w:val="auto"/>
          <w:kern w:val="2"/>
          <w:sz w:val="32"/>
          <w:szCs w:val="32"/>
          <w:lang w:val="zh-CN" w:eastAsia="zh-CN" w:bidi="ar-SA"/>
        </w:rPr>
      </w:pPr>
    </w:p>
    <w:p w14:paraId="733B2088">
      <w:pPr>
        <w:pStyle w:val="14"/>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b w:val="0"/>
          <w:bCs/>
          <w:color w:val="auto"/>
          <w:kern w:val="2"/>
          <w:sz w:val="32"/>
          <w:szCs w:val="32"/>
          <w:lang w:val="zh-CN" w:eastAsia="zh-CN" w:bidi="ar-SA"/>
        </w:rPr>
      </w:pPr>
      <w:r>
        <w:rPr>
          <w:rFonts w:hint="eastAsia" w:ascii="黑体" w:hAnsi="黑体" w:eastAsia="黑体" w:cs="黑体"/>
          <w:b w:val="0"/>
          <w:bCs/>
          <w:color w:val="auto"/>
          <w:kern w:val="2"/>
          <w:sz w:val="32"/>
          <w:szCs w:val="32"/>
          <w:lang w:val="zh-CN" w:eastAsia="zh-CN" w:bidi="ar-SA"/>
        </w:rPr>
        <w:t>一、项目概况</w:t>
      </w:r>
    </w:p>
    <w:p w14:paraId="7A3A80D9">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（一）设立背景及基本情况。</w:t>
      </w:r>
      <w:r>
        <w:rPr>
          <w:rFonts w:hint="eastAsia" w:ascii="仿宋_GB2312" w:hAnsi="仿宋_GB2312" w:eastAsia="仿宋_GB2312" w:cs="仿宋_GB2312"/>
          <w:color w:val="auto"/>
          <w:kern w:val="2"/>
          <w:sz w:val="32"/>
          <w:szCs w:val="32"/>
          <w:lang w:val="zh-CN" w:eastAsia="zh-CN"/>
        </w:rPr>
        <w:t>沟口镇产业结构调整示范点项目。该笔资金资金性质：财政资金</w:t>
      </w:r>
      <w:r>
        <w:rPr>
          <w:rFonts w:hint="eastAsia" w:ascii="仿宋_GB2312" w:hAnsi="仿宋_GB2312" w:eastAsia="仿宋_GB2312" w:cs="仿宋_GB2312"/>
          <w:color w:val="auto"/>
          <w:kern w:val="2"/>
          <w:sz w:val="32"/>
          <w:szCs w:val="32"/>
          <w:lang w:val="en-US" w:eastAsia="zh-CN"/>
        </w:rPr>
        <w:t>,</w:t>
      </w:r>
      <w:r>
        <w:rPr>
          <w:rFonts w:hint="eastAsia" w:ascii="仿宋_GB2312" w:hAnsi="仿宋_GB2312" w:eastAsia="仿宋_GB2312" w:cs="仿宋_GB2312"/>
          <w:color w:val="auto"/>
          <w:kern w:val="2"/>
          <w:sz w:val="32"/>
          <w:szCs w:val="32"/>
          <w:lang w:val="zh-CN" w:eastAsia="zh-CN"/>
        </w:rPr>
        <w:t>金额为：50</w:t>
      </w:r>
      <w:r>
        <w:rPr>
          <w:rFonts w:hint="eastAsia" w:ascii="仿宋_GB2312" w:hAnsi="仿宋_GB2312" w:eastAsia="仿宋_GB2312" w:cs="仿宋_GB2312"/>
          <w:color w:val="auto"/>
          <w:kern w:val="2"/>
          <w:sz w:val="32"/>
          <w:szCs w:val="32"/>
          <w:lang w:val="en-US" w:eastAsia="zh-CN"/>
        </w:rPr>
        <w:t>.00</w:t>
      </w:r>
      <w:r>
        <w:rPr>
          <w:rFonts w:hint="eastAsia" w:ascii="仿宋_GB2312" w:hAnsi="仿宋_GB2312" w:eastAsia="仿宋_GB2312" w:cs="仿宋_GB2312"/>
          <w:color w:val="auto"/>
          <w:kern w:val="2"/>
          <w:sz w:val="32"/>
          <w:szCs w:val="32"/>
          <w:lang w:val="zh-CN" w:eastAsia="zh-CN"/>
        </w:rPr>
        <w:t>万元。</w:t>
      </w:r>
    </w:p>
    <w:p w14:paraId="698C317C">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主要内容为：1.水若村：修建产业路1500m（435m3）；安装太阳杀虫灯10盏；修建蓄水池50立方一口；低压电线四线1100米购买安装，架设电杆7根。 2.沟口村：农田灌溉，水肥一体化浇灌。资金文号：茂财国代〔</w:t>
      </w:r>
      <w:r>
        <w:rPr>
          <w:rFonts w:hint="eastAsia" w:ascii="仿宋_GB2312" w:hAnsi="仿宋_GB2312" w:eastAsia="仿宋_GB2312" w:cs="仿宋_GB2312"/>
          <w:color w:val="auto"/>
          <w:kern w:val="2"/>
          <w:sz w:val="32"/>
          <w:szCs w:val="32"/>
          <w:lang w:val="en-US" w:eastAsia="zh-CN"/>
        </w:rPr>
        <w:t>2024</w:t>
      </w:r>
      <w:r>
        <w:rPr>
          <w:rFonts w:hint="eastAsia" w:ascii="仿宋_GB2312" w:hAnsi="仿宋_GB2312" w:eastAsia="仿宋_GB2312" w:cs="仿宋_GB2312"/>
          <w:color w:val="auto"/>
          <w:kern w:val="2"/>
          <w:sz w:val="32"/>
          <w:szCs w:val="32"/>
          <w:lang w:val="zh-CN" w:eastAsia="zh-CN"/>
        </w:rPr>
        <w:t>〕198号，于2024年底完成支付。</w:t>
      </w:r>
    </w:p>
    <w:p w14:paraId="6877128D">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（二）实施目的及支持方向。</w:t>
      </w:r>
      <w:r>
        <w:rPr>
          <w:rFonts w:hint="eastAsia" w:ascii="仿宋_GB2312" w:hAnsi="仿宋_GB2312" w:eastAsia="仿宋_GB2312" w:cs="仿宋_GB2312"/>
          <w:color w:val="auto"/>
          <w:kern w:val="2"/>
          <w:sz w:val="32"/>
          <w:szCs w:val="32"/>
          <w:lang w:val="zh-CN" w:eastAsia="zh-CN"/>
        </w:rPr>
        <w:t>该项目有利于乡村党群事业发展，为实现乡村振兴添砖加瓦，为发展经济提供基础指挥平台，能为茂县社会经济带来更多正面影响。</w:t>
      </w:r>
    </w:p>
    <w:p w14:paraId="7C969E69">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default"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（三）预算安排及分配管理。</w:t>
      </w:r>
      <w:r>
        <w:rPr>
          <w:rFonts w:hint="eastAsia" w:ascii="仿宋_GB2312" w:hAnsi="仿宋_GB2312" w:eastAsia="仿宋_GB2312" w:cs="仿宋_GB2312"/>
          <w:color w:val="auto"/>
          <w:kern w:val="2"/>
          <w:sz w:val="32"/>
          <w:szCs w:val="32"/>
          <w:lang w:val="zh-CN" w:eastAsia="zh-CN"/>
        </w:rPr>
        <w:t>沟口镇产业结构调整示范点项目，于</w:t>
      </w:r>
      <w:r>
        <w:rPr>
          <w:rFonts w:hint="eastAsia" w:ascii="仿宋_GB2312" w:hAnsi="仿宋_GB2312" w:eastAsia="仿宋_GB2312" w:cs="仿宋_GB2312"/>
          <w:color w:val="auto"/>
          <w:kern w:val="2"/>
          <w:sz w:val="32"/>
          <w:szCs w:val="32"/>
          <w:lang w:val="en-US" w:eastAsia="zh-CN"/>
        </w:rPr>
        <w:t>2024年申请到账，年底完成支付，完成金额48.44万元，完成率96.88%。预留1.56万元为项目质保金，待一年质保期限满后，项目验收合格退还质保金。</w:t>
      </w:r>
    </w:p>
    <w:p w14:paraId="1799E133">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（四）项目绩效目标设置。</w:t>
      </w:r>
      <w:r>
        <w:rPr>
          <w:rFonts w:hint="eastAsia" w:ascii="仿宋_GB2312" w:hAnsi="仿宋_GB2312" w:eastAsia="仿宋_GB2312" w:cs="仿宋_GB2312"/>
          <w:color w:val="auto"/>
          <w:kern w:val="2"/>
          <w:sz w:val="32"/>
          <w:szCs w:val="32"/>
          <w:lang w:val="zh-CN" w:eastAsia="zh-CN"/>
        </w:rPr>
        <w:t>该项目充分调动村支两委、农民群众和社会各界的积极性，共同推进农村公共服名维护机制建设，确保改革取得实效。着力解决村内最急需，群众最急盼、受益最直接的突出问题。</w:t>
      </w:r>
    </w:p>
    <w:p w14:paraId="164C2F68">
      <w:pPr>
        <w:pStyle w:val="14"/>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b w:val="0"/>
          <w:bCs/>
          <w:color w:val="auto"/>
          <w:kern w:val="2"/>
          <w:sz w:val="32"/>
          <w:szCs w:val="32"/>
          <w:lang w:val="zh-CN" w:eastAsia="zh-CN" w:bidi="ar-SA"/>
        </w:rPr>
      </w:pPr>
      <w:r>
        <w:rPr>
          <w:rFonts w:hint="eastAsia" w:ascii="黑体" w:hAnsi="黑体" w:eastAsia="黑体" w:cs="黑体"/>
          <w:b w:val="0"/>
          <w:bCs/>
          <w:color w:val="auto"/>
          <w:kern w:val="2"/>
          <w:sz w:val="32"/>
          <w:szCs w:val="32"/>
          <w:lang w:val="zh-CN" w:eastAsia="zh-CN" w:bidi="ar-SA"/>
        </w:rPr>
        <w:t>二、评价实施</w:t>
      </w:r>
    </w:p>
    <w:p w14:paraId="7A78AFEC">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（一）评价目的。</w:t>
      </w:r>
      <w:r>
        <w:rPr>
          <w:rFonts w:hint="eastAsia" w:ascii="仿宋_GB2312" w:hAnsi="仿宋_GB2312" w:eastAsia="仿宋_GB2312" w:cs="仿宋_GB2312"/>
          <w:color w:val="auto"/>
          <w:kern w:val="2"/>
          <w:sz w:val="32"/>
          <w:szCs w:val="32"/>
          <w:lang w:val="zh-CN" w:eastAsia="zh-CN"/>
        </w:rPr>
        <w:t>通为进一步提升预算管理水平、提高公共服务质量、优化公共资源配置提供决策参考，为以后年度类似项目专项资金安排、政策制度建设、预算绩效的推进提供必要的借鉴。</w:t>
      </w:r>
    </w:p>
    <w:p w14:paraId="4B6E72E2">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（二）预设问题及评价重点。</w:t>
      </w:r>
      <w:r>
        <w:rPr>
          <w:rFonts w:hint="eastAsia" w:ascii="仿宋_GB2312" w:hAnsi="仿宋_GB2312" w:eastAsia="仿宋_GB2312" w:cs="仿宋_GB2312"/>
          <w:color w:val="auto"/>
          <w:kern w:val="2"/>
          <w:sz w:val="32"/>
          <w:szCs w:val="32"/>
          <w:lang w:val="zh-CN" w:eastAsia="zh-CN"/>
        </w:rPr>
        <w:t>重点评价该项目财政专项资金使用的规范性、安全性和有效性及评价项目的社会效益、经济效益、可持续性。</w:t>
      </w:r>
    </w:p>
    <w:p w14:paraId="45F6E015">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（三）评价选点。</w:t>
      </w:r>
      <w:r>
        <w:rPr>
          <w:rFonts w:hint="eastAsia" w:ascii="仿宋_GB2312" w:hAnsi="仿宋_GB2312" w:eastAsia="仿宋_GB2312" w:cs="仿宋_GB2312"/>
          <w:color w:val="auto"/>
          <w:kern w:val="2"/>
          <w:sz w:val="32"/>
          <w:szCs w:val="32"/>
          <w:lang w:val="zh-CN" w:eastAsia="zh-CN"/>
        </w:rPr>
        <w:t>项目资金由镇财政所具体管理，按投资计划，对项目资金按项目单独核算实行“专款专用、专人管理”，不得挤占、挪用项目资金。指派专人对项目的实施定期或不定期的进行现场检查和监督，及时协调解决困难和问题，保证工程质量。</w:t>
      </w:r>
    </w:p>
    <w:p w14:paraId="150C4CDB">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（四）评价方法。</w:t>
      </w:r>
      <w:r>
        <w:rPr>
          <w:rFonts w:hint="eastAsia" w:ascii="仿宋_GB2312" w:hAnsi="仿宋_GB2312" w:eastAsia="仿宋_GB2312" w:cs="仿宋_GB2312"/>
          <w:color w:val="auto"/>
          <w:kern w:val="2"/>
          <w:sz w:val="32"/>
          <w:szCs w:val="32"/>
          <w:lang w:val="zh-CN" w:eastAsia="zh-CN"/>
        </w:rPr>
        <w:t>根据项目情况和评价重点，用来收集相关材料和开展具体评价的方法。该项目采用单位自评法。</w:t>
      </w:r>
      <w:r>
        <w:rPr>
          <w:rFonts w:hint="eastAsia" w:ascii="仿宋_GB2312" w:hAnsi="仿宋_GB2312" w:eastAsia="仿宋_GB2312" w:cs="仿宋_GB2312"/>
          <w:color w:val="auto"/>
          <w:kern w:val="2"/>
          <w:sz w:val="32"/>
          <w:szCs w:val="32"/>
          <w:lang w:val="en-US" w:eastAsia="zh-CN"/>
        </w:rPr>
        <w:t xml:space="preserve"> </w:t>
      </w:r>
    </w:p>
    <w:p w14:paraId="40019016">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1.前期工作：成立项目绩效自评领导小组，安排专人收集整理相关数据档案、拟定实地核查方案。</w:t>
      </w:r>
    </w:p>
    <w:p w14:paraId="1BA9D3C3">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2.实地核查：自评工作小组，根据评价指标对资金使用情况进行调查核实，沟口镇财经审查办公室对项目资金完善进行自评。</w:t>
      </w:r>
    </w:p>
    <w:p w14:paraId="3AF2D2BF">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3.分析评价：根据自查结果，对绩效评价指标进行全面的分</w:t>
      </w:r>
    </w:p>
    <w:p w14:paraId="699D29F4">
      <w:pPr>
        <w:keepNext w:val="0"/>
        <w:keepLines w:val="0"/>
        <w:pageBreakBefore w:val="0"/>
        <w:widowControl/>
        <w:numPr>
          <w:ilvl w:val="0"/>
          <w:numId w:val="0"/>
        </w:numPr>
        <w:kinsoku/>
        <w:wordWrap/>
        <w:overflowPunct/>
        <w:topLinePunct w:val="0"/>
        <w:autoSpaceDE/>
        <w:autoSpaceDN/>
        <w:bidi w:val="0"/>
        <w:adjustRightInd/>
        <w:snapToGrid/>
        <w:spacing w:line="550" w:lineRule="exact"/>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析形成绩效评价报告。</w:t>
      </w:r>
    </w:p>
    <w:p w14:paraId="79F933B4">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（五）评价组织。</w:t>
      </w:r>
      <w:r>
        <w:rPr>
          <w:rFonts w:hint="eastAsia" w:ascii="仿宋_GB2312" w:hAnsi="仿宋_GB2312" w:eastAsia="仿宋_GB2312" w:cs="仿宋_GB2312"/>
          <w:color w:val="auto"/>
          <w:kern w:val="2"/>
          <w:sz w:val="32"/>
          <w:szCs w:val="32"/>
          <w:lang w:val="zh-CN" w:eastAsia="zh-CN"/>
        </w:rPr>
        <w:t>成立项目绩效自评领导小组，由分管财务副镇长牵头，沟口镇财经审查办公室、沟口镇各驻村工作组组成自评小组，通过数据分析、实地核查、分析评价形成绩效评价报告。</w:t>
      </w:r>
    </w:p>
    <w:p w14:paraId="79E245DA">
      <w:pPr>
        <w:pStyle w:val="14"/>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b w:val="0"/>
          <w:bCs/>
          <w:color w:val="auto"/>
          <w:kern w:val="2"/>
          <w:sz w:val="32"/>
          <w:szCs w:val="32"/>
          <w:lang w:val="zh-CN" w:eastAsia="zh-CN" w:bidi="ar-SA"/>
        </w:rPr>
      </w:pPr>
      <w:r>
        <w:rPr>
          <w:rFonts w:hint="eastAsia" w:ascii="黑体" w:hAnsi="黑体" w:eastAsia="黑体" w:cs="黑体"/>
          <w:b w:val="0"/>
          <w:bCs/>
          <w:color w:val="auto"/>
          <w:kern w:val="2"/>
          <w:sz w:val="32"/>
          <w:szCs w:val="32"/>
          <w:lang w:val="zh-CN" w:eastAsia="zh-CN" w:bidi="ar-SA"/>
        </w:rPr>
        <w:t>三、绩效分析</w:t>
      </w:r>
      <w:r>
        <w:rPr>
          <w:rFonts w:hint="eastAsia" w:ascii="黑体" w:hAnsi="黑体" w:eastAsia="黑体" w:cs="黑体"/>
          <w:b w:val="0"/>
          <w:bCs/>
          <w:color w:val="auto"/>
          <w:kern w:val="2"/>
          <w:sz w:val="32"/>
          <w:szCs w:val="32"/>
          <w:lang w:val="zh-CN" w:eastAsia="zh-CN" w:bidi="ar-SA"/>
        </w:rPr>
        <w:tab/>
      </w:r>
    </w:p>
    <w:p w14:paraId="27D267CD">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楷体_GB2312" w:hAnsi="楷体_GB2312" w:eastAsia="楷体_GB2312" w:cs="楷体_GB2312"/>
          <w:b/>
          <w:bCs/>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（一）通用指标绩效分析</w:t>
      </w:r>
    </w:p>
    <w:p w14:paraId="28161C6F">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1.项目决策。茂县沟口镇人民政府负责，补助资金根据各村人口、幅员面积、地理区位、村集体收入和工作绩效等因素分村确定具体的补助标准，沟口镇驻村工作组对完工内容进行验收，沟口镇财务室支付资金。</w:t>
      </w:r>
    </w:p>
    <w:p w14:paraId="00C26256">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2.项目管理。镇政府统一监督管理，严禁弄虚作假。</w:t>
      </w:r>
    </w:p>
    <w:p w14:paraId="2C163D60">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3.项目实施。为确保项目的顺利实施，负责建设相关事宜，以确保项目保质保量按时完工。对项目资金按项目单独核算实行“专款专用、专人管理”，不得挤占、挪用项目资金。</w:t>
      </w:r>
    </w:p>
    <w:p w14:paraId="6C154F5F">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4.项目结果。该项目已完成支付。</w:t>
      </w:r>
    </w:p>
    <w:p w14:paraId="30F2CC7D">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楷体_GB2312" w:hAnsi="楷体_GB2312" w:eastAsia="楷体_GB2312" w:cs="楷体_GB2312"/>
          <w:b/>
          <w:bCs/>
          <w:color w:val="auto"/>
          <w:kern w:val="2"/>
          <w:sz w:val="32"/>
          <w:szCs w:val="32"/>
          <w:lang w:val="zh-CN" w:eastAsia="zh-CN"/>
        </w:rPr>
      </w:pPr>
      <w:r>
        <w:rPr>
          <w:rFonts w:hint="eastAsia" w:ascii="楷体_GB2312" w:hAnsi="楷体_GB2312" w:eastAsia="楷体_GB2312" w:cs="楷体_GB2312"/>
          <w:b/>
          <w:bCs/>
          <w:color w:val="auto"/>
          <w:kern w:val="2"/>
          <w:sz w:val="32"/>
          <w:szCs w:val="32"/>
          <w:lang w:val="zh-CN" w:eastAsia="zh-CN"/>
        </w:rPr>
        <w:t>（二）专用指标绩效分析</w:t>
      </w:r>
    </w:p>
    <w:p w14:paraId="40411794">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lang w:val="zh-CN" w:eastAsia="zh-CN"/>
        </w:rPr>
      </w:pPr>
      <w:r>
        <w:rPr>
          <w:rFonts w:hint="eastAsia" w:ascii="仿宋_GB2312" w:hAnsi="仿宋_GB2312" w:eastAsia="仿宋_GB2312" w:cs="仿宋_GB2312"/>
          <w:b/>
          <w:bCs/>
          <w:color w:val="auto"/>
          <w:kern w:val="2"/>
          <w:sz w:val="32"/>
          <w:szCs w:val="32"/>
          <w:lang w:val="zh-CN" w:eastAsia="zh-CN"/>
        </w:rPr>
        <w:t>1.产业发展类。</w:t>
      </w:r>
      <w:r>
        <w:rPr>
          <w:rFonts w:hint="eastAsia" w:ascii="仿宋_GB2312" w:hAnsi="仿宋_GB2312" w:eastAsia="仿宋_GB2312" w:cs="仿宋_GB2312"/>
          <w:color w:val="auto"/>
          <w:kern w:val="2"/>
          <w:sz w:val="32"/>
          <w:szCs w:val="32"/>
          <w:lang w:val="zh-CN" w:eastAsia="zh-CN"/>
        </w:rPr>
        <w:t>通过完善基础设施建设，进一步改善了村级的基础设施和公共服务，扩大了农村基层民主。</w:t>
      </w:r>
    </w:p>
    <w:p w14:paraId="31830213">
      <w:pPr>
        <w:bidi w:val="0"/>
        <w:ind w:firstLine="643" w:firstLineChars="200"/>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b/>
          <w:bCs/>
          <w:color w:val="auto"/>
          <w:kern w:val="2"/>
          <w:sz w:val="32"/>
          <w:szCs w:val="32"/>
          <w:lang w:val="zh-CN" w:eastAsia="zh-CN"/>
        </w:rPr>
        <w:t>2.民生保障类。</w:t>
      </w:r>
      <w:r>
        <w:rPr>
          <w:rFonts w:hint="eastAsia" w:ascii="仿宋_GB2312" w:hAnsi="仿宋_GB2312" w:eastAsia="仿宋_GB2312" w:cs="仿宋_GB2312"/>
          <w:color w:val="auto"/>
          <w:kern w:val="2"/>
          <w:sz w:val="32"/>
          <w:szCs w:val="32"/>
          <w:lang w:val="zh-CN" w:eastAsia="zh-CN"/>
        </w:rPr>
        <w:t>完善了村民自治，密切了党和政府同农民群众的关系，满足了农民群众的需求，也为我镇的村级项目建设起到了示范和引领作用。</w:t>
      </w:r>
    </w:p>
    <w:p w14:paraId="275B3A2F">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2"/>
          <w:sz w:val="32"/>
          <w:szCs w:val="32"/>
          <w:lang w:val="zh-CN" w:eastAsia="zh-CN"/>
        </w:rPr>
        <w:t>3.基础设施类。</w:t>
      </w:r>
      <w:r>
        <w:rPr>
          <w:rFonts w:hint="eastAsia" w:ascii="仿宋_GB2312" w:hAnsi="仿宋_GB2312" w:eastAsia="仿宋_GB2312" w:cs="仿宋_GB2312"/>
          <w:color w:val="auto"/>
          <w:kern w:val="2"/>
          <w:sz w:val="32"/>
          <w:szCs w:val="32"/>
          <w:lang w:val="zh-CN" w:eastAsia="zh-CN"/>
        </w:rPr>
        <w:t>采取专户核算、专款专用。</w:t>
      </w:r>
      <w:r>
        <w:rPr>
          <w:rFonts w:hint="eastAsia" w:ascii="仿宋_GB2312" w:hAnsi="仿宋_GB2312" w:eastAsia="仿宋_GB2312" w:cs="仿宋_GB2312"/>
          <w:color w:val="auto"/>
          <w:kern w:val="2"/>
          <w:sz w:val="32"/>
          <w:szCs w:val="32"/>
          <w:lang w:val="en-US" w:eastAsia="zh-CN"/>
        </w:rPr>
        <w:t>建立台账，明确到村保障资金数额，确保保障资金用于村内</w:t>
      </w:r>
      <w:r>
        <w:rPr>
          <w:rFonts w:hint="eastAsia" w:ascii="仿宋_GB2312" w:hAnsi="仿宋_GB2312" w:eastAsia="仿宋_GB2312" w:cs="仿宋_GB2312"/>
          <w:color w:val="auto"/>
          <w:kern w:val="2"/>
          <w:sz w:val="32"/>
          <w:szCs w:val="32"/>
          <w:lang w:val="en-US" w:eastAsia="zh-CN"/>
        </w:rPr>
        <w:fldChar w:fldCharType="begin"/>
      </w:r>
      <w:r>
        <w:rPr>
          <w:rFonts w:hint="eastAsia" w:ascii="仿宋_GB2312" w:hAnsi="仿宋_GB2312" w:eastAsia="仿宋_GB2312" w:cs="仿宋_GB2312"/>
          <w:color w:val="auto"/>
          <w:kern w:val="2"/>
          <w:sz w:val="32"/>
          <w:szCs w:val="32"/>
          <w:lang w:val="en-US" w:eastAsia="zh-CN"/>
        </w:rPr>
        <w:instrText xml:space="preserve"> HYPERLINK "https://wenwen.sogou.com/s/?w=%E5%85%AC%E5%85%B1%E6%9C%8D%E5%8A%A1%E8%AE%BE%E6%96%BD&amp;ch=ww.xqy.chain" \t "_blank" </w:instrText>
      </w:r>
      <w:r>
        <w:rPr>
          <w:rFonts w:hint="eastAsia" w:ascii="仿宋_GB2312" w:hAnsi="仿宋_GB2312" w:eastAsia="仿宋_GB2312" w:cs="仿宋_GB2312"/>
          <w:color w:val="auto"/>
          <w:kern w:val="2"/>
          <w:sz w:val="32"/>
          <w:szCs w:val="32"/>
          <w:lang w:val="en-US" w:eastAsia="zh-CN"/>
        </w:rPr>
        <w:fldChar w:fldCharType="separate"/>
      </w:r>
      <w:r>
        <w:rPr>
          <w:rFonts w:hint="eastAsia" w:ascii="仿宋_GB2312" w:hAnsi="仿宋_GB2312" w:eastAsia="仿宋_GB2312" w:cs="仿宋_GB2312"/>
          <w:color w:val="auto"/>
          <w:kern w:val="2"/>
          <w:sz w:val="32"/>
          <w:szCs w:val="32"/>
          <w:lang w:val="en-US" w:eastAsia="zh-CN"/>
        </w:rPr>
        <w:t>公共服务设施</w:t>
      </w:r>
      <w:r>
        <w:rPr>
          <w:rFonts w:hint="eastAsia" w:ascii="仿宋_GB2312" w:hAnsi="仿宋_GB2312" w:eastAsia="仿宋_GB2312" w:cs="仿宋_GB2312"/>
          <w:color w:val="auto"/>
          <w:kern w:val="2"/>
          <w:sz w:val="32"/>
          <w:szCs w:val="32"/>
          <w:lang w:val="en-US" w:eastAsia="zh-CN"/>
        </w:rPr>
        <w:fldChar w:fldCharType="end"/>
      </w:r>
      <w:r>
        <w:rPr>
          <w:rFonts w:hint="eastAsia" w:ascii="仿宋_GB2312" w:hAnsi="仿宋_GB2312" w:eastAsia="仿宋_GB2312" w:cs="仿宋_GB2312"/>
          <w:color w:val="auto"/>
          <w:kern w:val="2"/>
          <w:sz w:val="32"/>
          <w:szCs w:val="32"/>
          <w:lang w:val="en-US" w:eastAsia="zh-CN"/>
        </w:rPr>
        <w:t>运行维护，防止挪用和平调。</w:t>
      </w:r>
    </w:p>
    <w:p w14:paraId="2C73542A">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b/>
          <w:bCs/>
          <w:color w:val="auto"/>
          <w:kern w:val="2"/>
          <w:sz w:val="32"/>
          <w:szCs w:val="32"/>
          <w:lang w:val="zh-CN" w:eastAsia="zh-CN"/>
        </w:rPr>
        <w:t>4.行政运转类。</w:t>
      </w:r>
      <w:r>
        <w:rPr>
          <w:rFonts w:hint="eastAsia" w:ascii="仿宋_GB2312" w:hAnsi="仿宋_GB2312" w:eastAsia="仿宋_GB2312" w:cs="仿宋_GB2312"/>
          <w:color w:val="auto"/>
          <w:kern w:val="2"/>
          <w:sz w:val="32"/>
          <w:szCs w:val="32"/>
          <w:lang w:val="zh-CN" w:eastAsia="zh-CN"/>
        </w:rPr>
        <w:t>项目用途合规、程序合规、标准合规，</w:t>
      </w:r>
      <w:r>
        <w:rPr>
          <w:rFonts w:hint="eastAsia" w:ascii="仿宋_GB2312" w:hAnsi="仿宋_GB2312" w:eastAsia="仿宋_GB2312" w:cs="仿宋_GB2312"/>
          <w:color w:val="auto"/>
          <w:kern w:val="2"/>
          <w:sz w:val="32"/>
          <w:szCs w:val="32"/>
          <w:lang w:val="en-US" w:eastAsia="zh-CN"/>
        </w:rPr>
        <w:t>收支合理、手续完备、数字准确、账目清楚。</w:t>
      </w:r>
    </w:p>
    <w:p w14:paraId="7E04F56E">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3" w:firstLineChars="200"/>
        <w:jc w:val="left"/>
        <w:textAlignment w:val="auto"/>
        <w:rPr>
          <w:rFonts w:hint="default" w:ascii="仿宋_GB2312" w:hAnsi="仿宋_GB2312" w:eastAsia="仿宋_GB2312" w:cs="仿宋_GB2312"/>
          <w:color w:val="auto"/>
          <w:kern w:val="2"/>
          <w:sz w:val="32"/>
          <w:szCs w:val="32"/>
          <w:lang w:val="en-US" w:eastAsia="zh-CN"/>
        </w:rPr>
      </w:pPr>
      <w:r>
        <w:rPr>
          <w:rFonts w:hint="eastAsia" w:ascii="楷体_GB2312" w:hAnsi="楷体_GB2312" w:eastAsia="楷体_GB2312" w:cs="楷体_GB2312"/>
          <w:b/>
          <w:bCs/>
          <w:color w:val="auto"/>
          <w:kern w:val="2"/>
          <w:sz w:val="32"/>
          <w:szCs w:val="32"/>
          <w:lang w:val="zh-CN" w:eastAsia="zh-CN"/>
        </w:rPr>
        <w:t>（三）个性指标绩效分析。</w:t>
      </w:r>
      <w:r>
        <w:rPr>
          <w:rFonts w:hint="eastAsia" w:ascii="仿宋_GB2312" w:hAnsi="仿宋_GB2312" w:eastAsia="仿宋_GB2312" w:cs="仿宋_GB2312"/>
          <w:color w:val="auto"/>
          <w:kern w:val="2"/>
          <w:sz w:val="32"/>
          <w:szCs w:val="32"/>
          <w:lang w:val="en-US" w:eastAsia="zh-CN"/>
        </w:rPr>
        <w:t>时效指标：项目于2024年底完成支付，完成率96.88%。</w:t>
      </w:r>
    </w:p>
    <w:p w14:paraId="4530793B">
      <w:pPr>
        <w:pStyle w:val="14"/>
        <w:keepNext w:val="0"/>
        <w:keepLines w:val="0"/>
        <w:pageBreakBefore w:val="0"/>
        <w:kinsoku/>
        <w:wordWrap/>
        <w:overflowPunct/>
        <w:topLinePunct w:val="0"/>
        <w:autoSpaceDE/>
        <w:autoSpaceDN/>
        <w:bidi w:val="0"/>
        <w:adjustRightInd/>
        <w:snapToGrid/>
        <w:spacing w:line="550" w:lineRule="exact"/>
        <w:ind w:left="0" w:leftChars="0"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四、评价结论</w:t>
      </w:r>
    </w:p>
    <w:p w14:paraId="5A69137F">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有力有效推动乡村产业可持续发展，保障农民利益，拓展乡村产业融合渠道与合作开发领域，有利于促进当地经济发展，早日实现乡村振兴。</w:t>
      </w:r>
    </w:p>
    <w:p w14:paraId="77AE7C31">
      <w:pPr>
        <w:pStyle w:val="8"/>
        <w:keepNext w:val="0"/>
        <w:keepLines w:val="0"/>
        <w:pageBreakBefore w:val="0"/>
        <w:numPr>
          <w:ilvl w:val="0"/>
          <w:numId w:val="5"/>
        </w:numPr>
        <w:tabs>
          <w:tab w:val="left" w:pos="2160"/>
        </w:tabs>
        <w:kinsoku/>
        <w:wordWrap/>
        <w:overflowPunct/>
        <w:topLinePunct w:val="0"/>
        <w:autoSpaceDE/>
        <w:autoSpaceDN/>
        <w:bidi w:val="0"/>
        <w:spacing w:line="560" w:lineRule="exact"/>
        <w:ind w:left="197" w:leftChars="0" w:firstLine="643" w:firstLineChars="0"/>
        <w:textAlignment w:val="auto"/>
        <w:rPr>
          <w:rFonts w:hint="default" w:ascii="黑体" w:hAnsi="黑体" w:eastAsia="黑体" w:cs="黑体"/>
          <w:b w:val="0"/>
          <w:bCs w:val="0"/>
          <w:color w:val="000000"/>
          <w:kern w:val="0"/>
          <w:sz w:val="32"/>
          <w:szCs w:val="32"/>
          <w:shd w:val="clear" w:color="auto" w:fill="FFFFFF"/>
          <w:lang w:val="en-US" w:eastAsia="zh-CN" w:bidi="ar-SA"/>
        </w:rPr>
      </w:pPr>
      <w:r>
        <w:rPr>
          <w:rFonts w:hint="eastAsia" w:ascii="黑体" w:hAnsi="黑体" w:eastAsia="黑体" w:cs="黑体"/>
          <w:b w:val="0"/>
          <w:bCs w:val="0"/>
          <w:color w:val="000000"/>
          <w:kern w:val="0"/>
          <w:sz w:val="32"/>
          <w:szCs w:val="32"/>
          <w:shd w:val="clear" w:color="auto" w:fill="FFFFFF"/>
          <w:lang w:val="zh-CN" w:eastAsia="zh-CN" w:bidi="ar-SA"/>
        </w:rPr>
        <w:t>存在主要问题</w:t>
      </w:r>
    </w:p>
    <w:p w14:paraId="063C6244">
      <w:pPr>
        <w:pStyle w:val="8"/>
        <w:keepNext w:val="0"/>
        <w:keepLines w:val="0"/>
        <w:pageBreakBefore w:val="0"/>
        <w:numPr>
          <w:ilvl w:val="0"/>
          <w:numId w:val="0"/>
        </w:numPr>
        <w:tabs>
          <w:tab w:val="left" w:pos="2160"/>
        </w:tabs>
        <w:kinsoku/>
        <w:wordWrap/>
        <w:overflowPunct/>
        <w:topLinePunct w:val="0"/>
        <w:autoSpaceDE/>
        <w:autoSpaceDN/>
        <w:bidi w:val="0"/>
        <w:spacing w:line="560" w:lineRule="exact"/>
        <w:ind w:firstLine="640" w:firstLineChars="200"/>
        <w:textAlignment w:val="auto"/>
        <w:rPr>
          <w:rFonts w:hint="default" w:ascii="仿宋_GB2312" w:hAnsi="宋体" w:eastAsia="仿宋_GB2312" w:cs="Times New Roman"/>
          <w:color w:val="auto"/>
          <w:kern w:val="2"/>
          <w:position w:val="0"/>
          <w:sz w:val="32"/>
          <w:szCs w:val="32"/>
          <w:lang w:val="en-US" w:eastAsia="zh-CN" w:bidi="ar-SA"/>
        </w:rPr>
      </w:pPr>
      <w:r>
        <w:rPr>
          <w:rFonts w:hint="eastAsia" w:hAnsi="宋体" w:cs="Times New Roman"/>
          <w:color w:val="auto"/>
          <w:kern w:val="2"/>
          <w:position w:val="0"/>
          <w:sz w:val="32"/>
          <w:szCs w:val="32"/>
          <w:lang w:val="en-US" w:eastAsia="zh-CN" w:bidi="ar-SA"/>
        </w:rPr>
        <w:t>专项预算项目绩效自评未发现主要问题。</w:t>
      </w:r>
    </w:p>
    <w:p w14:paraId="026184A0">
      <w:pPr>
        <w:pStyle w:val="8"/>
        <w:keepNext w:val="0"/>
        <w:keepLines w:val="0"/>
        <w:pageBreakBefore w:val="0"/>
        <w:numPr>
          <w:ilvl w:val="0"/>
          <w:numId w:val="5"/>
        </w:numPr>
        <w:tabs>
          <w:tab w:val="left" w:pos="2160"/>
        </w:tabs>
        <w:kinsoku/>
        <w:wordWrap/>
        <w:overflowPunct/>
        <w:topLinePunct w:val="0"/>
        <w:autoSpaceDE/>
        <w:autoSpaceDN/>
        <w:bidi w:val="0"/>
        <w:spacing w:line="560" w:lineRule="exact"/>
        <w:ind w:left="197" w:leftChars="0" w:firstLine="643" w:firstLineChars="0"/>
        <w:textAlignment w:val="auto"/>
        <w:rPr>
          <w:rFonts w:hint="eastAsia" w:ascii="黑体" w:hAnsi="黑体" w:eastAsia="黑体" w:cs="黑体"/>
          <w:b w:val="0"/>
          <w:bCs w:val="0"/>
          <w:color w:val="000000"/>
          <w:kern w:val="0"/>
          <w:sz w:val="32"/>
          <w:szCs w:val="32"/>
          <w:shd w:val="clear" w:color="auto" w:fill="FFFFFF"/>
          <w:lang w:val="zh-CN" w:eastAsia="zh-CN" w:bidi="ar-SA"/>
        </w:rPr>
      </w:pPr>
      <w:r>
        <w:rPr>
          <w:rFonts w:hint="eastAsia" w:ascii="黑体" w:hAnsi="黑体" w:eastAsia="黑体" w:cs="黑体"/>
          <w:b w:val="0"/>
          <w:bCs w:val="0"/>
          <w:color w:val="000000"/>
          <w:kern w:val="0"/>
          <w:sz w:val="32"/>
          <w:szCs w:val="32"/>
          <w:shd w:val="clear" w:color="auto" w:fill="FFFFFF"/>
          <w:lang w:val="zh-CN" w:eastAsia="zh-CN" w:bidi="ar-SA"/>
        </w:rPr>
        <w:t>改进建议</w:t>
      </w:r>
    </w:p>
    <w:p w14:paraId="3BB6D72A">
      <w:pPr>
        <w:snapToGrid w:val="0"/>
        <w:spacing w:line="578" w:lineRule="exact"/>
        <w:ind w:firstLine="640" w:firstLineChars="200"/>
        <w:rPr>
          <w:rFonts w:hint="eastAsia" w:ascii="仿宋_GB2312" w:hAnsi="宋体" w:eastAsia="仿宋_GB2312" w:cs="Times New Roman"/>
          <w:color w:val="auto"/>
          <w:kern w:val="2"/>
          <w:sz w:val="32"/>
          <w:szCs w:val="32"/>
          <w:lang w:val="zh-CN" w:eastAsia="zh-CN"/>
        </w:rPr>
      </w:pPr>
      <w:r>
        <w:rPr>
          <w:rFonts w:hint="eastAsia" w:ascii="仿宋_GB2312" w:hAnsi="宋体" w:eastAsia="仿宋_GB2312" w:cs="Times New Roman"/>
          <w:color w:val="auto"/>
          <w:kern w:val="2"/>
          <w:position w:val="0"/>
          <w:sz w:val="32"/>
          <w:szCs w:val="32"/>
          <w:lang w:val="en-US" w:eastAsia="zh-CN" w:bidi="ar-SA"/>
        </w:rPr>
        <w:t>专项预算项目在预算安排、完善政策、改进管理等方面的无措施建设。</w:t>
      </w:r>
    </w:p>
    <w:p w14:paraId="6AA050A1">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hint="eastAsia" w:ascii="仿宋_GB2312" w:hAnsi="仿宋_GB2312" w:eastAsia="仿宋_GB2312" w:cs="仿宋_GB2312"/>
          <w:color w:val="auto"/>
          <w:kern w:val="2"/>
          <w:sz w:val="32"/>
          <w:szCs w:val="32"/>
          <w:lang w:val="zh-CN" w:eastAsia="zh-CN"/>
        </w:rPr>
      </w:pPr>
      <w:r>
        <w:rPr>
          <w:rFonts w:hint="eastAsia" w:ascii="仿宋_GB2312" w:hAnsi="仿宋_GB2312" w:eastAsia="仿宋_GB2312" w:cs="仿宋_GB2312"/>
          <w:color w:val="auto"/>
          <w:kern w:val="2"/>
          <w:sz w:val="32"/>
          <w:szCs w:val="32"/>
          <w:lang w:val="zh-CN" w:eastAsia="zh-CN"/>
        </w:rPr>
        <w:t xml:space="preserve">  </w:t>
      </w:r>
    </w:p>
    <w:p w14:paraId="41C0945C">
      <w:pPr>
        <w:keepNext w:val="0"/>
        <w:keepLines w:val="0"/>
        <w:pageBreakBefore w:val="0"/>
        <w:widowControl/>
        <w:numPr>
          <w:ilvl w:val="0"/>
          <w:numId w:val="0"/>
        </w:numPr>
        <w:kinsoku/>
        <w:wordWrap/>
        <w:overflowPunct/>
        <w:topLinePunct w:val="0"/>
        <w:autoSpaceDE/>
        <w:autoSpaceDN/>
        <w:bidi w:val="0"/>
        <w:adjustRightInd/>
        <w:snapToGrid/>
        <w:spacing w:line="550" w:lineRule="exact"/>
        <w:ind w:firstLine="640" w:firstLineChars="200"/>
        <w:jc w:val="left"/>
        <w:textAlignment w:val="auto"/>
        <w:rPr>
          <w:rFonts w:eastAsia="黑体"/>
          <w:kern w:val="0"/>
          <w:shd w:val="clear" w:color="auto" w:fill="FFFFFF"/>
        </w:rPr>
      </w:pPr>
      <w:r>
        <w:rPr>
          <w:rFonts w:hint="eastAsia" w:ascii="仿宋_GB2312" w:hAnsi="仿宋_GB2312" w:eastAsia="仿宋_GB2312" w:cs="仿宋_GB2312"/>
          <w:color w:val="auto"/>
          <w:kern w:val="2"/>
          <w:sz w:val="32"/>
          <w:szCs w:val="32"/>
          <w:lang w:val="zh-CN" w:eastAsia="zh-CN"/>
        </w:rPr>
        <w:br w:type="page"/>
      </w: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1</w:t>
      </w:r>
    </w:p>
    <w:p w14:paraId="5ABEFABA">
      <w:pPr>
        <w:spacing w:line="578" w:lineRule="exact"/>
        <w:jc w:val="center"/>
        <w:rPr>
          <w:rFonts w:eastAsia="方正小标宋_GBK"/>
          <w:sz w:val="40"/>
          <w:szCs w:val="40"/>
        </w:rPr>
      </w:pPr>
      <w:r>
        <w:rPr>
          <w:rFonts w:hint="eastAsia" w:eastAsia="方正小标宋_GBK"/>
          <w:sz w:val="40"/>
          <w:szCs w:val="40"/>
        </w:rPr>
        <w:t>专项</w:t>
      </w:r>
      <w:r>
        <w:rPr>
          <w:rFonts w:eastAsia="方正小标宋_GBK"/>
          <w:sz w:val="40"/>
          <w:szCs w:val="40"/>
        </w:rPr>
        <w:t>预算绩效自评打分表</w:t>
      </w:r>
    </w:p>
    <w:tbl>
      <w:tblPr>
        <w:tblStyle w:val="16"/>
        <w:tblW w:w="10901" w:type="dxa"/>
        <w:jc w:val="center"/>
        <w:tblLayout w:type="fixed"/>
        <w:tblCellMar>
          <w:top w:w="0" w:type="dxa"/>
          <w:left w:w="108" w:type="dxa"/>
          <w:bottom w:w="0" w:type="dxa"/>
          <w:right w:w="108" w:type="dxa"/>
        </w:tblCellMar>
      </w:tblPr>
      <w:tblGrid>
        <w:gridCol w:w="720"/>
        <w:gridCol w:w="765"/>
        <w:gridCol w:w="825"/>
        <w:gridCol w:w="1355"/>
        <w:gridCol w:w="696"/>
        <w:gridCol w:w="5340"/>
        <w:gridCol w:w="732"/>
        <w:gridCol w:w="468"/>
      </w:tblGrid>
      <w:tr w14:paraId="3B89E6E9">
        <w:tblPrEx>
          <w:tblCellMar>
            <w:top w:w="0" w:type="dxa"/>
            <w:left w:w="108" w:type="dxa"/>
            <w:bottom w:w="0" w:type="dxa"/>
            <w:right w:w="108" w:type="dxa"/>
          </w:tblCellMar>
        </w:tblPrEx>
        <w:trPr>
          <w:trHeight w:val="23" w:hRule="atLeast"/>
          <w:jc w:val="center"/>
        </w:trPr>
        <w:tc>
          <w:tcPr>
            <w:tcW w:w="4361" w:type="dxa"/>
            <w:gridSpan w:val="5"/>
            <w:tcBorders>
              <w:top w:val="single" w:color="000000" w:sz="4" w:space="0"/>
              <w:left w:val="single" w:color="000000" w:sz="4" w:space="0"/>
              <w:bottom w:val="nil"/>
              <w:right w:val="nil"/>
            </w:tcBorders>
            <w:noWrap w:val="0"/>
            <w:vAlign w:val="center"/>
          </w:tcPr>
          <w:p w14:paraId="4C40C20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绩效评价指标</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567D5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指标解释</w:t>
            </w:r>
          </w:p>
        </w:tc>
        <w:tc>
          <w:tcPr>
            <w:tcW w:w="732" w:type="dxa"/>
            <w:vMerge w:val="restart"/>
            <w:tcBorders>
              <w:top w:val="single" w:color="000000" w:sz="4" w:space="0"/>
              <w:left w:val="single" w:color="000000" w:sz="4" w:space="0"/>
              <w:right w:val="single" w:color="000000" w:sz="4" w:space="0"/>
            </w:tcBorders>
            <w:noWrap w:val="0"/>
            <w:vAlign w:val="center"/>
          </w:tcPr>
          <w:p w14:paraId="34C5A1A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自评得分</w:t>
            </w:r>
          </w:p>
        </w:tc>
        <w:tc>
          <w:tcPr>
            <w:tcW w:w="468" w:type="dxa"/>
            <w:vMerge w:val="restart"/>
            <w:tcBorders>
              <w:top w:val="single" w:color="000000" w:sz="4" w:space="0"/>
              <w:left w:val="single" w:color="000000" w:sz="4" w:space="0"/>
              <w:right w:val="single" w:color="000000" w:sz="4" w:space="0"/>
            </w:tcBorders>
            <w:noWrap w:val="0"/>
            <w:vAlign w:val="center"/>
          </w:tcPr>
          <w:p w14:paraId="369E6A1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r>
              <w:rPr>
                <w:rFonts w:hint="eastAsia" w:ascii="仿宋_GB2312" w:hAnsi="仿宋_GB2312" w:eastAsia="仿宋_GB2312" w:cs="仿宋_GB2312"/>
                <w:color w:val="000000"/>
                <w:kern w:val="0"/>
                <w:sz w:val="21"/>
                <w:szCs w:val="21"/>
                <w:lang w:bidi="ar"/>
              </w:rPr>
              <w:t>备注</w:t>
            </w:r>
          </w:p>
        </w:tc>
      </w:tr>
      <w:tr w14:paraId="218FD415">
        <w:tblPrEx>
          <w:tblCellMar>
            <w:top w:w="0" w:type="dxa"/>
            <w:left w:w="108" w:type="dxa"/>
            <w:bottom w:w="0" w:type="dxa"/>
            <w:right w:w="108" w:type="dxa"/>
          </w:tblCellMar>
        </w:tblPrEx>
        <w:trPr>
          <w:trHeight w:val="23" w:hRule="atLeast"/>
          <w:jc w:val="center"/>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5F1FD56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一级指标</w:t>
            </w:r>
          </w:p>
        </w:tc>
        <w:tc>
          <w:tcPr>
            <w:tcW w:w="1590" w:type="dxa"/>
            <w:gridSpan w:val="2"/>
            <w:tcBorders>
              <w:top w:val="single" w:color="000000" w:sz="4" w:space="0"/>
              <w:left w:val="single" w:color="000000" w:sz="4" w:space="0"/>
              <w:bottom w:val="single" w:color="000000" w:sz="4" w:space="0"/>
              <w:right w:val="single" w:color="000000" w:sz="4" w:space="0"/>
            </w:tcBorders>
            <w:noWrap w:val="0"/>
            <w:vAlign w:val="center"/>
          </w:tcPr>
          <w:p w14:paraId="4740FF2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二级指标</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0FD591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三级指标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3D5A6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指标</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分值</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60CF7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732" w:type="dxa"/>
            <w:vMerge w:val="continue"/>
            <w:tcBorders>
              <w:left w:val="single" w:color="000000" w:sz="4" w:space="0"/>
              <w:bottom w:val="single" w:color="000000" w:sz="4" w:space="0"/>
              <w:right w:val="single" w:color="000000" w:sz="4" w:space="0"/>
            </w:tcBorders>
            <w:noWrap w:val="0"/>
            <w:vAlign w:val="center"/>
          </w:tcPr>
          <w:p w14:paraId="2B7C8B2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c>
          <w:tcPr>
            <w:tcW w:w="468" w:type="dxa"/>
            <w:vMerge w:val="continue"/>
            <w:tcBorders>
              <w:left w:val="single" w:color="000000" w:sz="4" w:space="0"/>
              <w:bottom w:val="single" w:color="000000" w:sz="4" w:space="0"/>
              <w:right w:val="single" w:color="000000" w:sz="4" w:space="0"/>
            </w:tcBorders>
            <w:noWrap w:val="0"/>
            <w:vAlign w:val="center"/>
          </w:tcPr>
          <w:p w14:paraId="7742848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color w:val="000000"/>
                <w:sz w:val="21"/>
                <w:szCs w:val="21"/>
              </w:rPr>
            </w:pPr>
          </w:p>
        </w:tc>
      </w:tr>
      <w:tr w14:paraId="69AA66B9">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37A60A1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通用指标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（54分）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E47C42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项目决策</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599B97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决策程序</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160BEB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7549E4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项目决策程序是否严密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45D971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E73302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1FB553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D98DD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CB49C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8EA6F1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规划论证</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CA9AA9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21EBB7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项目规划论证是否符合中省要求，项目绩效目标设置是否科学合理</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27C8D9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93B8BF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D54D4E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CDFBF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A756F9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49B972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资金投向</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D1DEB8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129378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项目资金是否与项目总体规划、相关行业事业发展相匹配，是否聚焦重大任务、重点领域、重点环节和重点项目</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A6C648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38830EF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EA2C7BF">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F645E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A67E25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项目管理</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（18分）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706A46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制度办法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8CA65F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2</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06E876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项目制度办法是否体系健全、要素完备</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7B81CE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998498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B30429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0F62F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4082A9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730B169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分配管理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5D0BB6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B424E0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项目资金分配因素选取、权重设置、区域分布，项目管理、审批是否符合管理要求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DB5E82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C10267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A3328C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F5407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3C1EFE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08ED27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绩效监管</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81983D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DE6FA4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管资金、项目、政策是否管绩效，项目绩效监管是否按要求开展，对下指导是否有力有效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A5F1EA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2</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BE349D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97CFBA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A2BB2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5BB06E9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项目实施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8B4E3D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预算执行</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28C7B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33ADBF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项目资金财政拨付、单位执行和地方配套到位情况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1A0951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9267B8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92C601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17803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7E8654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0EDD8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E42A68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EEDB26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资金使用拨付、项目实施是否符合规定</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7879819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77681D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D78D2C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C5076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55F07E9">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项目结果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（9分）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038C7E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7D9CF5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6</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62E1006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项目是否完成预期目标，实施结果是否与绩效目标相匹配，反映目标实现程度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EB8D35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6</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B9CF13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092D8219">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45354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43632B">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6FB9D2A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完成时效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912DEF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3</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234F8F5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项目实际完成时间与计划完成时间的比较</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DC3F2F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5E7DD9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D8B5E38">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0707DA1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7E5D4E9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产业发展</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82545A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符合性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BDDF4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BF62C3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项目实施是否与省委省政府支持重点、产业支持政策符合</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6A063F6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C315AF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72E0F7C">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4C83BF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0F4EB4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BA58E8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成长性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3FDAD9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5A36EE5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项目实施对相关企业（机构）成长性的促进作用，主要反映支持对象创新创造创业能力情况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39A1FB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DA42C6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9C9F84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C47FC2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475FFE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C46DBE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经济性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F2FDBD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3A22C6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项目实施对相关企业（机构）主营业务收入、净利润、税收、产量等方面增长情况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E1788F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921205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EAB6598">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FD57B0">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D4C0DF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民生保障</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3E95119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区域均衡性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860328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6B2B75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项目资金分配体现的均衡公平情况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D08A01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1F0B22E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875119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921BDD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814615D">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428D67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对象精准性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6B28CB1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6F830F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资金实际支持对象是否符合管理要求，是否符合支持对象范围</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B2A1D3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707D8C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879944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0DCCE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79EE83C">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B36DC2C">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标准合理性</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65E6BA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D69AC8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资金实际补贴标准是否符合资金管理办法规定的补助标准，是否及时按标准兑现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4A0FC5F3">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5</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69F2FE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F175E1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C0CADF">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E8F53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930F9A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群众满意度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167C20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F2A15C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资金涉及相关受益群体、支持对象的满意度调查访谈情况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58A427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4</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D55284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D17B16E">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E9F1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restart"/>
            <w:tcBorders>
              <w:top w:val="single" w:color="000000" w:sz="4" w:space="0"/>
              <w:left w:val="single" w:color="000000" w:sz="4" w:space="0"/>
              <w:bottom w:val="single" w:color="000000" w:sz="4" w:space="0"/>
              <w:right w:val="single" w:color="000000" w:sz="4" w:space="0"/>
            </w:tcBorders>
            <w:noWrap w:val="0"/>
            <w:vAlign w:val="center"/>
          </w:tcPr>
          <w:p w14:paraId="283FA5B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基础</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设施</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C4C8A3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在建</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5C7D94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工程进度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2C194E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97539B5">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项目是否达到计划工程进度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73A0A2C">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B2BE7E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4EF42047">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8065D4">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9E89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3E25E2">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81780F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资金拨付</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5E354D4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15</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E39C68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项目是否达到预先确定的资金拨付进度</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AE9258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FB296D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242EB6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FA78AA">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5AB2C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restart"/>
            <w:tcBorders>
              <w:top w:val="single" w:color="000000" w:sz="4" w:space="0"/>
              <w:left w:val="single" w:color="000000" w:sz="4" w:space="0"/>
              <w:bottom w:val="single" w:color="000000" w:sz="4" w:space="0"/>
              <w:right w:val="single" w:color="000000" w:sz="4" w:space="0"/>
            </w:tcBorders>
            <w:noWrap w:val="0"/>
            <w:vAlign w:val="center"/>
          </w:tcPr>
          <w:p w14:paraId="78E97274">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建成</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项目</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4C71AE1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447DB696">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1DEDB3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项目验收是否及时合格</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545BCE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10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5FAE02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0A48E94">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CED555">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7F18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100EF1">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CE95E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功能实现</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0C48943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42308187">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项目经济社会功能是否实现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FBB75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0026C09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8969AAA">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2E00E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76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FB732E">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82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B406B9">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A2F187A">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后续管护</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7C6A13C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BEAFCD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项目后续维护是否实现</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CBD4E8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5CF340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5656F05D">
        <w:tblPrEx>
          <w:tblCellMar>
            <w:top w:w="0" w:type="dxa"/>
            <w:left w:w="108" w:type="dxa"/>
            <w:bottom w:w="0" w:type="dxa"/>
            <w:right w:w="108" w:type="dxa"/>
          </w:tblCellMar>
        </w:tblPrEx>
        <w:trPr>
          <w:trHeight w:val="23" w:hRule="atLeast"/>
          <w:jc w:val="center"/>
        </w:trPr>
        <w:tc>
          <w:tcPr>
            <w:tcW w:w="720"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3452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专用指标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59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6A1CE4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行政运转</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（30分）</w:t>
            </w:r>
          </w:p>
        </w:tc>
        <w:tc>
          <w:tcPr>
            <w:tcW w:w="1355" w:type="dxa"/>
            <w:tcBorders>
              <w:top w:val="nil"/>
              <w:left w:val="single" w:color="000000" w:sz="4" w:space="0"/>
              <w:bottom w:val="single" w:color="000000" w:sz="4" w:space="0"/>
              <w:right w:val="single" w:color="000000" w:sz="4" w:space="0"/>
            </w:tcBorders>
            <w:noWrap w:val="0"/>
            <w:vAlign w:val="center"/>
          </w:tcPr>
          <w:p w14:paraId="6B4E0801">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用途合规性</w:t>
            </w:r>
          </w:p>
        </w:tc>
        <w:tc>
          <w:tcPr>
            <w:tcW w:w="696" w:type="dxa"/>
            <w:tcBorders>
              <w:top w:val="nil"/>
              <w:left w:val="single" w:color="000000" w:sz="4" w:space="0"/>
              <w:bottom w:val="single" w:color="000000" w:sz="4" w:space="0"/>
              <w:right w:val="single" w:color="000000" w:sz="4" w:space="0"/>
            </w:tcBorders>
            <w:noWrap w:val="0"/>
            <w:vAlign w:val="center"/>
          </w:tcPr>
          <w:p w14:paraId="01CF0DB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nil"/>
              <w:left w:val="single" w:color="000000" w:sz="4" w:space="0"/>
              <w:bottom w:val="single" w:color="000000" w:sz="4" w:space="0"/>
              <w:right w:val="single" w:color="000000" w:sz="4" w:space="0"/>
            </w:tcBorders>
            <w:noWrap w:val="0"/>
            <w:vAlign w:val="center"/>
          </w:tcPr>
          <w:p w14:paraId="37ACD38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是否按规定用途、适用范围进行本地区专项资金分配</w:t>
            </w:r>
          </w:p>
        </w:tc>
        <w:tc>
          <w:tcPr>
            <w:tcW w:w="732" w:type="dxa"/>
            <w:tcBorders>
              <w:top w:val="nil"/>
              <w:left w:val="single" w:color="000000" w:sz="4" w:space="0"/>
              <w:bottom w:val="single" w:color="000000" w:sz="4" w:space="0"/>
              <w:right w:val="single" w:color="000000" w:sz="4" w:space="0"/>
            </w:tcBorders>
            <w:noWrap w:val="0"/>
            <w:vAlign w:val="center"/>
          </w:tcPr>
          <w:p w14:paraId="1B24080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nil"/>
              <w:left w:val="single" w:color="000000" w:sz="4" w:space="0"/>
              <w:bottom w:val="single" w:color="000000" w:sz="4" w:space="0"/>
              <w:right w:val="single" w:color="000000" w:sz="4" w:space="0"/>
            </w:tcBorders>
            <w:noWrap w:val="0"/>
            <w:vAlign w:val="center"/>
          </w:tcPr>
          <w:p w14:paraId="1A3AB98E">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1570118D">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0FFF83">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92D1A7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4197C87D">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程序合规性</w:t>
            </w:r>
          </w:p>
        </w:tc>
        <w:tc>
          <w:tcPr>
            <w:tcW w:w="696" w:type="dxa"/>
            <w:tcBorders>
              <w:top w:val="nil"/>
              <w:left w:val="single" w:color="000000" w:sz="4" w:space="0"/>
              <w:bottom w:val="single" w:color="000000" w:sz="4" w:space="0"/>
              <w:right w:val="single" w:color="000000" w:sz="4" w:space="0"/>
            </w:tcBorders>
            <w:noWrap w:val="0"/>
            <w:vAlign w:val="center"/>
          </w:tcPr>
          <w:p w14:paraId="67D08635">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0E8525C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资金管理程序是否符合专项资金管理要求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CA08A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7ADE75B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2FDD5911">
        <w:tblPrEx>
          <w:tblCellMar>
            <w:top w:w="0" w:type="dxa"/>
            <w:left w:w="108" w:type="dxa"/>
            <w:bottom w:w="0" w:type="dxa"/>
            <w:right w:w="108" w:type="dxa"/>
          </w:tblCellMar>
        </w:tblPrEx>
        <w:trPr>
          <w:trHeight w:val="23" w:hRule="atLeast"/>
          <w:jc w:val="center"/>
        </w:trPr>
        <w:tc>
          <w:tcPr>
            <w:tcW w:w="7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65098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69DE977">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nil"/>
              <w:left w:val="single" w:color="000000" w:sz="4" w:space="0"/>
              <w:bottom w:val="single" w:color="000000" w:sz="4" w:space="0"/>
              <w:right w:val="single" w:color="000000" w:sz="4" w:space="0"/>
            </w:tcBorders>
            <w:noWrap w:val="0"/>
            <w:vAlign w:val="center"/>
          </w:tcPr>
          <w:p w14:paraId="50275B4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标准合规性</w:t>
            </w:r>
          </w:p>
        </w:tc>
        <w:tc>
          <w:tcPr>
            <w:tcW w:w="696" w:type="dxa"/>
            <w:tcBorders>
              <w:top w:val="nil"/>
              <w:left w:val="single" w:color="000000" w:sz="4" w:space="0"/>
              <w:bottom w:val="single" w:color="000000" w:sz="4" w:space="0"/>
              <w:right w:val="single" w:color="000000" w:sz="4" w:space="0"/>
            </w:tcBorders>
            <w:noWrap w:val="0"/>
            <w:vAlign w:val="center"/>
          </w:tcPr>
          <w:p w14:paraId="2BB9893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10</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1D30C6EA">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资金分配标准是否符合专项资金管理要求</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394B4A86">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6F53D49">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65E8D7C5">
        <w:tblPrEx>
          <w:tblCellMar>
            <w:top w:w="0" w:type="dxa"/>
            <w:left w:w="108" w:type="dxa"/>
            <w:bottom w:w="0" w:type="dxa"/>
            <w:right w:w="108" w:type="dxa"/>
          </w:tblCellMar>
        </w:tblPrEx>
        <w:trPr>
          <w:trHeight w:val="23" w:hRule="atLeast"/>
          <w:jc w:val="center"/>
        </w:trPr>
        <w:tc>
          <w:tcPr>
            <w:tcW w:w="2310"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457D07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个性指标</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（16分）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B4AD96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F42C6C8">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F80FFB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根据项目个性自行设定部分指标，反映该项指标执行完成情况。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277372BF">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2346AE52">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3FE2F502">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1435138">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5B787FD7">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22A03332">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4BDA3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11219298">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28388BE">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7303C666">
        <w:tblPrEx>
          <w:tblCellMar>
            <w:top w:w="0" w:type="dxa"/>
            <w:left w:w="108" w:type="dxa"/>
            <w:bottom w:w="0" w:type="dxa"/>
            <w:right w:w="108" w:type="dxa"/>
          </w:tblCellMar>
        </w:tblPrEx>
        <w:trPr>
          <w:trHeight w:val="23" w:hRule="atLeast"/>
          <w:jc w:val="center"/>
        </w:trPr>
        <w:tc>
          <w:tcPr>
            <w:tcW w:w="2310"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5C9585F6">
            <w:pPr>
              <w:keepNext w:val="0"/>
              <w:keepLines w:val="0"/>
              <w:pageBreakBefore w:val="0"/>
              <w:widowControl/>
              <w:kinsoku/>
              <w:wordWrap/>
              <w:overflowPunct/>
              <w:topLinePunct w:val="0"/>
              <w:autoSpaceDE/>
              <w:autoSpaceDN/>
              <w:bidi w:val="0"/>
              <w:adjustRightInd/>
              <w:snapToGrid/>
              <w:spacing w:line="220" w:lineRule="exact"/>
              <w:jc w:val="center"/>
              <w:rPr>
                <w:rFonts w:hint="eastAsia" w:ascii="仿宋_GB2312" w:hAnsi="仿宋_GB2312" w:eastAsia="仿宋_GB2312" w:cs="仿宋_GB2312"/>
                <w:b/>
                <w:color w:val="000000"/>
                <w:sz w:val="21"/>
                <w:szCs w:val="21"/>
              </w:rPr>
            </w:pP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180C91F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34AB45D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23DDD">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9E53DA7">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4CB7FDEF">
            <w:pPr>
              <w:keepNext w:val="0"/>
              <w:keepLines w:val="0"/>
              <w:pageBreakBefore w:val="0"/>
              <w:widowControl/>
              <w:kinsoku/>
              <w:wordWrap/>
              <w:overflowPunct/>
              <w:topLinePunct w:val="0"/>
              <w:autoSpaceDE/>
              <w:autoSpaceDN/>
              <w:bidi w:val="0"/>
              <w:adjustRightInd/>
              <w:snapToGrid/>
              <w:spacing w:line="220" w:lineRule="exact"/>
              <w:jc w:val="left"/>
              <w:rPr>
                <w:rFonts w:hint="eastAsia" w:ascii="仿宋_GB2312" w:hAnsi="仿宋_GB2312" w:eastAsia="仿宋_GB2312" w:cs="仿宋_GB2312"/>
                <w:color w:val="000000"/>
                <w:sz w:val="21"/>
                <w:szCs w:val="21"/>
              </w:rPr>
            </w:pPr>
          </w:p>
        </w:tc>
      </w:tr>
      <w:tr w14:paraId="1AABA0CE">
        <w:tblPrEx>
          <w:tblCellMar>
            <w:top w:w="0" w:type="dxa"/>
            <w:left w:w="108" w:type="dxa"/>
            <w:bottom w:w="0" w:type="dxa"/>
            <w:right w:w="108" w:type="dxa"/>
          </w:tblCellMar>
        </w:tblPrEx>
        <w:trPr>
          <w:trHeight w:val="655"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613A0E83">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kern w:val="0"/>
                <w:sz w:val="21"/>
                <w:szCs w:val="21"/>
                <w:lang w:bidi="ar"/>
              </w:rPr>
              <w:t>扣分项</w:t>
            </w:r>
            <w:r>
              <w:rPr>
                <w:rFonts w:hint="eastAsia" w:ascii="仿宋_GB2312" w:hAnsi="仿宋_GB2312" w:eastAsia="仿宋_GB2312" w:cs="仿宋_GB2312"/>
                <w:b/>
                <w:color w:val="000000"/>
                <w:kern w:val="0"/>
                <w:sz w:val="21"/>
                <w:szCs w:val="21"/>
                <w:lang w:bidi="ar"/>
              </w:rPr>
              <w:br w:type="textWrapping"/>
            </w:r>
            <w:r>
              <w:rPr>
                <w:rFonts w:hint="eastAsia" w:ascii="仿宋_GB2312" w:hAnsi="仿宋_GB2312" w:eastAsia="仿宋_GB2312" w:cs="仿宋_GB2312"/>
                <w:b/>
                <w:color w:val="000000"/>
                <w:kern w:val="0"/>
                <w:sz w:val="21"/>
                <w:szCs w:val="21"/>
                <w:lang w:bidi="ar"/>
              </w:rPr>
              <w:t>（10分）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07D97500">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w:t>
            </w:r>
            <w:r>
              <w:rPr>
                <w:rFonts w:hint="eastAsia" w:ascii="仿宋_GB2312" w:hAnsi="仿宋_GB2312" w:eastAsia="仿宋_GB2312" w:cs="仿宋_GB2312"/>
                <w:color w:val="000000"/>
                <w:kern w:val="0"/>
                <w:sz w:val="21"/>
                <w:szCs w:val="21"/>
                <w:lang w:bidi="ar"/>
              </w:rPr>
              <w:br w:type="textWrapping"/>
            </w:r>
            <w:r>
              <w:rPr>
                <w:rFonts w:hint="eastAsia" w:ascii="仿宋_GB2312" w:hAnsi="仿宋_GB2312" w:eastAsia="仿宋_GB2312" w:cs="仿宋_GB2312"/>
                <w:color w:val="000000"/>
                <w:kern w:val="0"/>
                <w:sz w:val="21"/>
                <w:szCs w:val="21"/>
                <w:lang w:bidi="ar"/>
              </w:rPr>
              <w:t>部门配合度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C29196B">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w:t>
            </w: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7AC74BE4">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kern w:val="0"/>
                <w:sz w:val="21"/>
                <w:szCs w:val="21"/>
                <w:lang w:bidi="ar"/>
              </w:rPr>
              <w:t>被评价对象工作配合情况</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091B37AD">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6486252B">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r w14:paraId="76495B32">
        <w:tblPrEx>
          <w:tblCellMar>
            <w:top w:w="0" w:type="dxa"/>
            <w:left w:w="108" w:type="dxa"/>
            <w:bottom w:w="0" w:type="dxa"/>
            <w:right w:w="108" w:type="dxa"/>
          </w:tblCellMar>
        </w:tblPrEx>
        <w:trPr>
          <w:trHeight w:val="550" w:hRule="atLeast"/>
          <w:jc w:val="center"/>
        </w:trPr>
        <w:tc>
          <w:tcPr>
            <w:tcW w:w="2310" w:type="dxa"/>
            <w:gridSpan w:val="3"/>
            <w:tcBorders>
              <w:top w:val="single" w:color="000000" w:sz="4" w:space="0"/>
              <w:left w:val="single" w:color="000000" w:sz="4" w:space="0"/>
              <w:bottom w:val="single" w:color="000000" w:sz="4" w:space="0"/>
              <w:right w:val="single" w:color="000000" w:sz="4" w:space="0"/>
            </w:tcBorders>
            <w:noWrap w:val="0"/>
            <w:vAlign w:val="center"/>
          </w:tcPr>
          <w:p w14:paraId="35FED2DF">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b/>
                <w:color w:val="000000"/>
                <w:kern w:val="0"/>
                <w:sz w:val="21"/>
                <w:szCs w:val="21"/>
                <w:lang w:eastAsia="zh-CN" w:bidi="ar"/>
              </w:rPr>
            </w:pPr>
            <w:r>
              <w:rPr>
                <w:rFonts w:hint="eastAsia" w:ascii="仿宋_GB2312" w:hAnsi="仿宋_GB2312" w:eastAsia="仿宋_GB2312" w:cs="仿宋_GB2312"/>
                <w:b/>
                <w:color w:val="000000"/>
                <w:kern w:val="0"/>
                <w:sz w:val="21"/>
                <w:szCs w:val="21"/>
                <w:lang w:eastAsia="zh-CN" w:bidi="ar"/>
              </w:rPr>
              <w:t>总分</w:t>
            </w:r>
          </w:p>
        </w:tc>
        <w:tc>
          <w:tcPr>
            <w:tcW w:w="1355" w:type="dxa"/>
            <w:tcBorders>
              <w:top w:val="single" w:color="000000" w:sz="4" w:space="0"/>
              <w:left w:val="single" w:color="000000" w:sz="4" w:space="0"/>
              <w:bottom w:val="single" w:color="000000" w:sz="4" w:space="0"/>
              <w:right w:val="single" w:color="000000" w:sz="4" w:space="0"/>
            </w:tcBorders>
            <w:noWrap w:val="0"/>
            <w:vAlign w:val="center"/>
          </w:tcPr>
          <w:p w14:paraId="2649E93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p>
        </w:tc>
        <w:tc>
          <w:tcPr>
            <w:tcW w:w="696" w:type="dxa"/>
            <w:tcBorders>
              <w:top w:val="single" w:color="000000" w:sz="4" w:space="0"/>
              <w:left w:val="single" w:color="000000" w:sz="4" w:space="0"/>
              <w:bottom w:val="single" w:color="000000" w:sz="4" w:space="0"/>
              <w:right w:val="single" w:color="000000" w:sz="4" w:space="0"/>
            </w:tcBorders>
            <w:noWrap w:val="0"/>
            <w:vAlign w:val="center"/>
          </w:tcPr>
          <w:p w14:paraId="1315104E">
            <w:pPr>
              <w:keepNext w:val="0"/>
              <w:keepLines w:val="0"/>
              <w:pageBreakBefore w:val="0"/>
              <w:widowControl/>
              <w:kinsoku/>
              <w:wordWrap/>
              <w:overflowPunct/>
              <w:topLinePunct w:val="0"/>
              <w:autoSpaceDE/>
              <w:autoSpaceDN/>
              <w:bidi w:val="0"/>
              <w:adjustRightInd/>
              <w:snapToGrid/>
              <w:spacing w:line="220" w:lineRule="exact"/>
              <w:jc w:val="center"/>
              <w:textAlignment w:val="center"/>
              <w:rPr>
                <w:rFonts w:hint="eastAsia" w:ascii="仿宋_GB2312" w:hAnsi="仿宋_GB2312" w:eastAsia="仿宋_GB2312" w:cs="仿宋_GB2312"/>
                <w:color w:val="000000"/>
                <w:kern w:val="0"/>
                <w:sz w:val="21"/>
                <w:szCs w:val="21"/>
                <w:lang w:bidi="ar"/>
              </w:rPr>
            </w:pPr>
          </w:p>
        </w:tc>
        <w:tc>
          <w:tcPr>
            <w:tcW w:w="5340" w:type="dxa"/>
            <w:tcBorders>
              <w:top w:val="single" w:color="000000" w:sz="4" w:space="0"/>
              <w:left w:val="single" w:color="000000" w:sz="4" w:space="0"/>
              <w:bottom w:val="single" w:color="000000" w:sz="4" w:space="0"/>
              <w:right w:val="single" w:color="000000" w:sz="4" w:space="0"/>
            </w:tcBorders>
            <w:noWrap w:val="0"/>
            <w:vAlign w:val="center"/>
          </w:tcPr>
          <w:p w14:paraId="3E24ED10">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14:paraId="5CA29E18">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val="en-US" w:eastAsia="zh-CN" w:bidi="ar"/>
              </w:rPr>
            </w:pPr>
            <w:r>
              <w:rPr>
                <w:rFonts w:hint="eastAsia" w:ascii="仿宋_GB2312" w:hAnsi="仿宋_GB2312" w:eastAsia="仿宋_GB2312" w:cs="仿宋_GB2312"/>
                <w:color w:val="000000"/>
                <w:kern w:val="0"/>
                <w:sz w:val="21"/>
                <w:szCs w:val="21"/>
                <w:lang w:val="en-US" w:eastAsia="zh-CN" w:bidi="ar"/>
              </w:rPr>
              <w:t>93</w:t>
            </w:r>
          </w:p>
        </w:tc>
        <w:tc>
          <w:tcPr>
            <w:tcW w:w="468" w:type="dxa"/>
            <w:tcBorders>
              <w:top w:val="single" w:color="000000" w:sz="4" w:space="0"/>
              <w:left w:val="single" w:color="000000" w:sz="4" w:space="0"/>
              <w:bottom w:val="single" w:color="000000" w:sz="4" w:space="0"/>
              <w:right w:val="single" w:color="000000" w:sz="4" w:space="0"/>
            </w:tcBorders>
            <w:noWrap w:val="0"/>
            <w:vAlign w:val="center"/>
          </w:tcPr>
          <w:p w14:paraId="5187D231">
            <w:pPr>
              <w:keepNext w:val="0"/>
              <w:keepLines w:val="0"/>
              <w:pageBreakBefore w:val="0"/>
              <w:widowControl/>
              <w:kinsoku/>
              <w:wordWrap/>
              <w:overflowPunct/>
              <w:topLinePunct w:val="0"/>
              <w:autoSpaceDE/>
              <w:autoSpaceDN/>
              <w:bidi w:val="0"/>
              <w:adjustRightInd/>
              <w:snapToGrid/>
              <w:spacing w:line="220" w:lineRule="exact"/>
              <w:jc w:val="left"/>
              <w:textAlignment w:val="center"/>
              <w:rPr>
                <w:rFonts w:hint="eastAsia" w:ascii="仿宋_GB2312" w:hAnsi="仿宋_GB2312" w:eastAsia="仿宋_GB2312" w:cs="仿宋_GB2312"/>
                <w:color w:val="000000"/>
                <w:kern w:val="0"/>
                <w:sz w:val="21"/>
                <w:szCs w:val="21"/>
                <w:lang w:bidi="ar"/>
              </w:rPr>
            </w:pPr>
          </w:p>
        </w:tc>
      </w:tr>
    </w:tbl>
    <w:p w14:paraId="2320FC41">
      <w:pPr>
        <w:snapToGrid w:val="0"/>
        <w:spacing w:line="578" w:lineRule="exact"/>
        <w:rPr>
          <w:rFonts w:eastAsia="黑体"/>
          <w:kern w:val="0"/>
          <w:shd w:val="clear" w:color="auto" w:fill="FFFFFF"/>
        </w:rPr>
      </w:pPr>
      <w:r>
        <w:rPr>
          <w:rFonts w:eastAsia="黑体"/>
          <w:kern w:val="0"/>
          <w:shd w:val="clear" w:color="auto" w:fill="FFFFFF"/>
          <w:lang w:val="zh-CN"/>
        </w:rPr>
        <w:br w:type="page"/>
      </w:r>
      <w:r>
        <w:rPr>
          <w:rFonts w:hint="eastAsia" w:ascii="黑体" w:hAnsi="黑体" w:eastAsia="黑体" w:cs="黑体"/>
          <w:kern w:val="0"/>
          <w:sz w:val="32"/>
          <w:szCs w:val="32"/>
          <w:shd w:val="clear" w:color="auto" w:fill="FFFFFF"/>
          <w:lang w:val="zh-CN"/>
        </w:rPr>
        <w:t>附表</w:t>
      </w:r>
      <w:r>
        <w:rPr>
          <w:rFonts w:hint="eastAsia" w:ascii="黑体" w:hAnsi="黑体" w:eastAsia="黑体" w:cs="黑体"/>
          <w:kern w:val="0"/>
          <w:sz w:val="32"/>
          <w:szCs w:val="32"/>
          <w:shd w:val="clear" w:color="auto" w:fill="FFFFFF"/>
        </w:rPr>
        <w:t>2</w:t>
      </w:r>
    </w:p>
    <w:tbl>
      <w:tblPr>
        <w:tblStyle w:val="16"/>
        <w:tblW w:w="10233" w:type="dxa"/>
        <w:jc w:val="center"/>
        <w:tblLayout w:type="fixed"/>
        <w:tblCellMar>
          <w:top w:w="15" w:type="dxa"/>
          <w:left w:w="15" w:type="dxa"/>
          <w:bottom w:w="15" w:type="dxa"/>
          <w:right w:w="15" w:type="dxa"/>
        </w:tblCellMar>
      </w:tblPr>
      <w:tblGrid>
        <w:gridCol w:w="652"/>
        <w:gridCol w:w="1081"/>
        <w:gridCol w:w="1250"/>
        <w:gridCol w:w="1312"/>
        <w:gridCol w:w="1127"/>
        <w:gridCol w:w="971"/>
        <w:gridCol w:w="1061"/>
        <w:gridCol w:w="938"/>
        <w:gridCol w:w="1841"/>
      </w:tblGrid>
      <w:tr w14:paraId="08C87A93">
        <w:tblPrEx>
          <w:tblCellMar>
            <w:top w:w="15" w:type="dxa"/>
            <w:left w:w="15" w:type="dxa"/>
            <w:bottom w:w="15" w:type="dxa"/>
            <w:right w:w="15" w:type="dxa"/>
          </w:tblCellMar>
        </w:tblPrEx>
        <w:trPr>
          <w:trHeight w:val="817" w:hRule="atLeast"/>
          <w:jc w:val="center"/>
        </w:trPr>
        <w:tc>
          <w:tcPr>
            <w:tcW w:w="10233" w:type="dxa"/>
            <w:gridSpan w:val="9"/>
            <w:noWrap w:val="0"/>
            <w:vAlign w:val="center"/>
          </w:tcPr>
          <w:p w14:paraId="231D5D34">
            <w:pPr>
              <w:widowControl/>
              <w:spacing w:line="600" w:lineRule="exact"/>
              <w:jc w:val="center"/>
              <w:textAlignment w:val="center"/>
              <w:rPr>
                <w:rFonts w:eastAsia="黑体"/>
                <w:color w:val="000000"/>
                <w:sz w:val="30"/>
                <w:szCs w:val="30"/>
              </w:rPr>
            </w:pPr>
            <w:r>
              <w:rPr>
                <w:rFonts w:eastAsia="方正小标宋简体"/>
                <w:color w:val="000000"/>
                <w:kern w:val="0"/>
                <w:sz w:val="40"/>
                <w:szCs w:val="40"/>
                <w:lang w:bidi="ar"/>
              </w:rPr>
              <w:t>专项预算项目绩效目标完成情况自评表</w:t>
            </w:r>
          </w:p>
        </w:tc>
      </w:tr>
      <w:tr w14:paraId="10D407E6">
        <w:tblPrEx>
          <w:tblCellMar>
            <w:top w:w="15" w:type="dxa"/>
            <w:left w:w="15" w:type="dxa"/>
            <w:bottom w:w="15" w:type="dxa"/>
            <w:right w:w="15" w:type="dxa"/>
          </w:tblCellMar>
        </w:tblPrEx>
        <w:trPr>
          <w:trHeight w:val="510"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6041188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项目名称</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5715C58">
            <w:pPr>
              <w:keepNext w:val="0"/>
              <w:keepLines w:val="0"/>
              <w:pageBreakBefore w:val="0"/>
              <w:kinsoku/>
              <w:wordWrap/>
              <w:overflowPunct/>
              <w:topLinePunct w:val="0"/>
              <w:autoSpaceDE/>
              <w:autoSpaceDN/>
              <w:bidi w:val="0"/>
              <w:adjustRightInd/>
              <w:snapToGrid/>
              <w:spacing w:line="260" w:lineRule="exact"/>
              <w:ind w:firstLine="720" w:firstLineChars="400"/>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zh-CN" w:eastAsia="zh-CN"/>
              </w:rPr>
              <w:t>沟口镇产业结构调整示范点项目</w:t>
            </w:r>
          </w:p>
        </w:tc>
      </w:tr>
      <w:tr w14:paraId="592540BD">
        <w:tblPrEx>
          <w:tblCellMar>
            <w:top w:w="15" w:type="dxa"/>
            <w:left w:w="15" w:type="dxa"/>
            <w:bottom w:w="15" w:type="dxa"/>
            <w:right w:w="15" w:type="dxa"/>
          </w:tblCellMar>
        </w:tblPrEx>
        <w:trPr>
          <w:trHeight w:val="365"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5AE308BC">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预算单位</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844CCD1">
            <w:pPr>
              <w:keepNext w:val="0"/>
              <w:keepLines w:val="0"/>
              <w:pageBreakBefore w:val="0"/>
              <w:kinsoku/>
              <w:wordWrap/>
              <w:overflowPunct/>
              <w:topLinePunct w:val="0"/>
              <w:autoSpaceDE/>
              <w:autoSpaceDN/>
              <w:bidi w:val="0"/>
              <w:adjustRightInd/>
              <w:snapToGrid/>
              <w:spacing w:line="260" w:lineRule="exact"/>
              <w:ind w:firstLine="720" w:firstLineChars="400"/>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茂县沟口镇人民政府</w:t>
            </w:r>
          </w:p>
        </w:tc>
      </w:tr>
      <w:tr w14:paraId="0EB935BF">
        <w:tblPrEx>
          <w:tblCellMar>
            <w:top w:w="15" w:type="dxa"/>
            <w:left w:w="15" w:type="dxa"/>
            <w:bottom w:w="15" w:type="dxa"/>
            <w:right w:w="15" w:type="dxa"/>
          </w:tblCellMar>
        </w:tblPrEx>
        <w:trPr>
          <w:trHeight w:val="311" w:hRule="atLeast"/>
          <w:jc w:val="center"/>
        </w:trPr>
        <w:tc>
          <w:tcPr>
            <w:tcW w:w="4295" w:type="dxa"/>
            <w:gridSpan w:val="4"/>
            <w:tcBorders>
              <w:top w:val="single" w:color="000000" w:sz="4" w:space="0"/>
              <w:left w:val="single" w:color="000000" w:sz="4" w:space="0"/>
              <w:bottom w:val="single" w:color="000000" w:sz="4" w:space="0"/>
              <w:right w:val="single" w:color="000000" w:sz="4" w:space="0"/>
            </w:tcBorders>
            <w:noWrap w:val="0"/>
            <w:vAlign w:val="center"/>
          </w:tcPr>
          <w:p w14:paraId="3C87D56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项目类型</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2A76421">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505CBF41">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73A2158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 概况</w:t>
            </w: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994119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中长期规划（名称、文号，仅指</w:t>
            </w:r>
          </w:p>
          <w:p w14:paraId="71C9C9BF">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常年项目）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69BDD2B3">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7FDCCB3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A1CAAF">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4C0AAD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资金管理办法（名称、文号）</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E313432">
            <w:pPr>
              <w:keepNext w:val="0"/>
              <w:keepLines w:val="0"/>
              <w:pageBreakBefore w:val="0"/>
              <w:kinsoku/>
              <w:wordWrap/>
              <w:overflowPunct/>
              <w:topLinePunct w:val="0"/>
              <w:autoSpaceDE/>
              <w:autoSpaceDN/>
              <w:bidi w:val="0"/>
              <w:adjustRightInd/>
              <w:snapToGrid/>
              <w:spacing w:line="260" w:lineRule="exact"/>
              <w:ind w:firstLine="360" w:firstLineChars="200"/>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kern w:val="0"/>
                <w:sz w:val="18"/>
                <w:szCs w:val="18"/>
                <w:lang w:val="zh-CN" w:eastAsia="zh-CN" w:bidi="ar"/>
              </w:rPr>
              <w:t>茂财国代</w:t>
            </w:r>
            <w:bookmarkStart w:id="135" w:name="_GoBack"/>
            <w:r>
              <w:rPr>
                <w:rFonts w:hint="eastAsia" w:ascii="仿宋_GB2312" w:hAnsi="仿宋_GB2312" w:eastAsia="仿宋_GB2312" w:cs="仿宋_GB2312"/>
                <w:color w:val="000000"/>
                <w:sz w:val="18"/>
                <w:szCs w:val="18"/>
                <w:lang w:val="en-US" w:eastAsia="zh-CN"/>
              </w:rPr>
              <w:t>〔2024〕</w:t>
            </w:r>
            <w:r>
              <w:rPr>
                <w:rFonts w:hint="eastAsia" w:ascii="仿宋_GB2312" w:hAnsi="仿宋_GB2312" w:eastAsia="仿宋_GB2312" w:cs="仿宋_GB2312"/>
                <w:color w:val="000000"/>
                <w:sz w:val="18"/>
                <w:szCs w:val="18"/>
                <w:lang w:val="zh-CN" w:eastAsia="zh-CN"/>
              </w:rPr>
              <w:t>198号</w:t>
            </w:r>
            <w:bookmarkEnd w:id="135"/>
          </w:p>
        </w:tc>
      </w:tr>
      <w:tr w14:paraId="028134F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13EBA1">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417CE9D4">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绩效分配方式</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A42D821">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w:t>
            </w:r>
          </w:p>
        </w:tc>
        <w:tc>
          <w:tcPr>
            <w:tcW w:w="2032" w:type="dxa"/>
            <w:gridSpan w:val="2"/>
            <w:tcBorders>
              <w:top w:val="single" w:color="000000" w:sz="4" w:space="0"/>
              <w:left w:val="single" w:color="000000" w:sz="4" w:space="0"/>
              <w:bottom w:val="single" w:color="000000" w:sz="4" w:space="0"/>
              <w:right w:val="single" w:color="000000" w:sz="4" w:space="0"/>
            </w:tcBorders>
            <w:noWrap w:val="0"/>
            <w:vAlign w:val="center"/>
          </w:tcPr>
          <w:p w14:paraId="7D3FA6E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£项目法</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11791B1">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£据实据效</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7F7364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£因素法与项目法相结合</w:t>
            </w:r>
          </w:p>
        </w:tc>
      </w:tr>
      <w:tr w14:paraId="0F48945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FD0F3D">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1967E4B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立项依据</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150DE904">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7FAF28A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4580CDB">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6C65B72D">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使用范围</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459FE83">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46826DE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55E03">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71C983EA">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申报（补助）条件</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3210637D">
            <w:pPr>
              <w:keepNext w:val="0"/>
              <w:keepLines w:val="0"/>
              <w:pageBreakBefore w:val="0"/>
              <w:kinsoku/>
              <w:wordWrap/>
              <w:overflowPunct/>
              <w:topLinePunct w:val="0"/>
              <w:autoSpaceDE/>
              <w:autoSpaceDN/>
              <w:bidi w:val="0"/>
              <w:adjustRightInd/>
              <w:snapToGrid/>
              <w:spacing w:line="260" w:lineRule="exact"/>
              <w:jc w:val="left"/>
              <w:rPr>
                <w:rFonts w:hint="eastAsia" w:ascii="仿宋_GB2312" w:hAnsi="仿宋_GB2312" w:eastAsia="仿宋_GB2312" w:cs="仿宋_GB2312"/>
                <w:color w:val="000000"/>
                <w:sz w:val="18"/>
                <w:szCs w:val="18"/>
              </w:rPr>
            </w:pPr>
          </w:p>
        </w:tc>
      </w:tr>
      <w:tr w14:paraId="07D9476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C8F93F">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3643" w:type="dxa"/>
            <w:gridSpan w:val="3"/>
            <w:tcBorders>
              <w:top w:val="single" w:color="000000" w:sz="4" w:space="0"/>
              <w:left w:val="single" w:color="000000" w:sz="4" w:space="0"/>
              <w:bottom w:val="single" w:color="000000" w:sz="4" w:space="0"/>
              <w:right w:val="single" w:color="000000" w:sz="4" w:space="0"/>
            </w:tcBorders>
            <w:noWrap w:val="0"/>
            <w:vAlign w:val="center"/>
          </w:tcPr>
          <w:p w14:paraId="01516443">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项目起止年限</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70F4EB98">
            <w:pPr>
              <w:keepNext w:val="0"/>
              <w:keepLines w:val="0"/>
              <w:pageBreakBefore w:val="0"/>
              <w:kinsoku/>
              <w:wordWrap/>
              <w:overflowPunct/>
              <w:topLinePunct w:val="0"/>
              <w:autoSpaceDE/>
              <w:autoSpaceDN/>
              <w:bidi w:val="0"/>
              <w:adjustRightInd/>
              <w:snapToGrid/>
              <w:spacing w:line="260" w:lineRule="exact"/>
              <w:ind w:firstLine="1440" w:firstLineChars="800"/>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val="en-US" w:eastAsia="zh-CN"/>
              </w:rPr>
              <w:t>2024年</w:t>
            </w:r>
          </w:p>
        </w:tc>
      </w:tr>
      <w:tr w14:paraId="6329F089">
        <w:tblPrEx>
          <w:tblCellMar>
            <w:top w:w="15" w:type="dxa"/>
            <w:left w:w="15" w:type="dxa"/>
            <w:bottom w:w="15" w:type="dxa"/>
            <w:right w:w="15" w:type="dxa"/>
          </w:tblCellMar>
        </w:tblPrEx>
        <w:trPr>
          <w:trHeight w:val="23" w:hRule="atLeast"/>
          <w:jc w:val="center"/>
        </w:trPr>
        <w:tc>
          <w:tcPr>
            <w:tcW w:w="1733"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E91577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项目资金</w:t>
            </w:r>
          </w:p>
          <w:p w14:paraId="580E7A9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（万元）</w:t>
            </w: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56E56C28">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年度资金总额：</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42FB0EC3">
            <w:pPr>
              <w:keepNext w:val="0"/>
              <w:keepLines w:val="0"/>
              <w:pageBreakBefore w:val="0"/>
              <w:kinsoku/>
              <w:wordWrap/>
              <w:overflowPunct/>
              <w:topLinePunct w:val="0"/>
              <w:autoSpaceDE/>
              <w:autoSpaceDN/>
              <w:bidi w:val="0"/>
              <w:adjustRightInd/>
              <w:snapToGrid/>
              <w:spacing w:line="260" w:lineRule="exact"/>
              <w:jc w:val="right"/>
              <w:rPr>
                <w:rFonts w:hint="eastAsia" w:ascii="仿宋_GB2312" w:hAnsi="仿宋_GB2312" w:eastAsia="仿宋_GB2312" w:cs="仿宋_GB2312"/>
                <w:color w:val="000000"/>
                <w:sz w:val="18"/>
                <w:szCs w:val="18"/>
              </w:rPr>
            </w:pPr>
          </w:p>
        </w:tc>
      </w:tr>
      <w:tr w14:paraId="3194C229">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91AF83C">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285C3D92">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其中：财政拨款</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22515B9F">
            <w:pPr>
              <w:keepNext w:val="0"/>
              <w:keepLines w:val="0"/>
              <w:pageBreakBefore w:val="0"/>
              <w:tabs>
                <w:tab w:val="left" w:pos="2038"/>
              </w:tabs>
              <w:kinsoku/>
              <w:wordWrap/>
              <w:overflowPunct/>
              <w:topLinePunct w:val="0"/>
              <w:autoSpaceDE/>
              <w:autoSpaceDN/>
              <w:bidi w:val="0"/>
              <w:adjustRightInd/>
              <w:snapToGrid/>
              <w:spacing w:line="260" w:lineRule="exact"/>
              <w:ind w:firstLine="1440" w:firstLineChars="800"/>
              <w:jc w:val="left"/>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50</w:t>
            </w:r>
            <w:r>
              <w:rPr>
                <w:rFonts w:hint="eastAsia" w:ascii="仿宋_GB2312" w:hAnsi="仿宋_GB2312" w:eastAsia="仿宋_GB2312" w:cs="仿宋_GB2312"/>
                <w:color w:val="000000"/>
                <w:sz w:val="18"/>
                <w:szCs w:val="18"/>
                <w:lang w:eastAsia="zh-CN"/>
              </w:rPr>
              <w:t>万元</w:t>
            </w:r>
          </w:p>
        </w:tc>
      </w:tr>
      <w:tr w14:paraId="27378B91">
        <w:tblPrEx>
          <w:tblCellMar>
            <w:top w:w="15" w:type="dxa"/>
            <w:left w:w="15" w:type="dxa"/>
            <w:bottom w:w="15" w:type="dxa"/>
            <w:right w:w="15" w:type="dxa"/>
          </w:tblCellMar>
        </w:tblPrEx>
        <w:trPr>
          <w:trHeight w:val="23" w:hRule="atLeast"/>
          <w:jc w:val="center"/>
        </w:trPr>
        <w:tc>
          <w:tcPr>
            <w:tcW w:w="1733"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714C35">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2562" w:type="dxa"/>
            <w:gridSpan w:val="2"/>
            <w:tcBorders>
              <w:top w:val="single" w:color="000000" w:sz="4" w:space="0"/>
              <w:left w:val="single" w:color="000000" w:sz="4" w:space="0"/>
              <w:bottom w:val="single" w:color="000000" w:sz="4" w:space="0"/>
              <w:right w:val="single" w:color="000000" w:sz="4" w:space="0"/>
            </w:tcBorders>
            <w:noWrap w:val="0"/>
            <w:vAlign w:val="center"/>
          </w:tcPr>
          <w:p w14:paraId="74C5C7E7">
            <w:pPr>
              <w:keepNext w:val="0"/>
              <w:keepLines w:val="0"/>
              <w:pageBreakBefore w:val="0"/>
              <w:widowControl/>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 xml:space="preserve">            其他资金</w:t>
            </w:r>
          </w:p>
        </w:tc>
        <w:tc>
          <w:tcPr>
            <w:tcW w:w="5938" w:type="dxa"/>
            <w:gridSpan w:val="5"/>
            <w:tcBorders>
              <w:top w:val="single" w:color="000000" w:sz="4" w:space="0"/>
              <w:left w:val="single" w:color="000000" w:sz="4" w:space="0"/>
              <w:bottom w:val="single" w:color="000000" w:sz="4" w:space="0"/>
              <w:right w:val="single" w:color="000000" w:sz="4" w:space="0"/>
            </w:tcBorders>
            <w:noWrap w:val="0"/>
            <w:vAlign w:val="center"/>
          </w:tcPr>
          <w:p w14:paraId="06ED8251">
            <w:pPr>
              <w:keepNext w:val="0"/>
              <w:keepLines w:val="0"/>
              <w:pageBreakBefore w:val="0"/>
              <w:kinsoku/>
              <w:wordWrap/>
              <w:overflowPunct/>
              <w:topLinePunct w:val="0"/>
              <w:autoSpaceDE/>
              <w:autoSpaceDN/>
              <w:bidi w:val="0"/>
              <w:adjustRightInd/>
              <w:snapToGrid/>
              <w:spacing w:line="260" w:lineRule="exact"/>
              <w:jc w:val="right"/>
              <w:rPr>
                <w:rFonts w:hint="eastAsia" w:ascii="仿宋_GB2312" w:hAnsi="仿宋_GB2312" w:eastAsia="仿宋_GB2312" w:cs="仿宋_GB2312"/>
                <w:color w:val="000000"/>
                <w:sz w:val="18"/>
                <w:szCs w:val="18"/>
              </w:rPr>
            </w:pPr>
          </w:p>
        </w:tc>
      </w:tr>
      <w:tr w14:paraId="6EA8EA7B">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right w:val="single" w:color="000000" w:sz="4" w:space="0"/>
            </w:tcBorders>
            <w:noWrap w:val="0"/>
            <w:vAlign w:val="center"/>
          </w:tcPr>
          <w:p w14:paraId="24EBB6A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总体 目标</w:t>
            </w: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61DE4292">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年度目标</w:t>
            </w:r>
          </w:p>
        </w:tc>
      </w:tr>
      <w:tr w14:paraId="6A6A9B16">
        <w:tblPrEx>
          <w:tblCellMar>
            <w:top w:w="15" w:type="dxa"/>
            <w:left w:w="15" w:type="dxa"/>
            <w:bottom w:w="15" w:type="dxa"/>
            <w:right w:w="15" w:type="dxa"/>
          </w:tblCellMar>
        </w:tblPrEx>
        <w:trPr>
          <w:trHeight w:val="1226" w:hRule="atLeast"/>
          <w:jc w:val="center"/>
        </w:trPr>
        <w:tc>
          <w:tcPr>
            <w:tcW w:w="65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30780E">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p>
        </w:tc>
        <w:tc>
          <w:tcPr>
            <w:tcW w:w="9581" w:type="dxa"/>
            <w:gridSpan w:val="8"/>
            <w:tcBorders>
              <w:top w:val="single" w:color="000000" w:sz="4" w:space="0"/>
              <w:left w:val="single" w:color="000000" w:sz="4" w:space="0"/>
              <w:bottom w:val="single" w:color="000000" w:sz="4" w:space="0"/>
              <w:right w:val="single" w:color="000000" w:sz="4" w:space="0"/>
            </w:tcBorders>
            <w:noWrap w:val="0"/>
            <w:vAlign w:val="center"/>
          </w:tcPr>
          <w:p w14:paraId="0BD22D2D">
            <w:pPr>
              <w:keepNext w:val="0"/>
              <w:keepLines w:val="0"/>
              <w:pageBreakBefore w:val="0"/>
              <w:widowControl/>
              <w:numPr>
                <w:ilvl w:val="0"/>
                <w:numId w:val="0"/>
              </w:numPr>
              <w:kinsoku/>
              <w:wordWrap/>
              <w:overflowPunct/>
              <w:topLinePunct w:val="0"/>
              <w:autoSpaceDE/>
              <w:autoSpaceDN/>
              <w:bidi w:val="0"/>
              <w:adjustRightInd/>
              <w:snapToGrid/>
              <w:spacing w:line="260" w:lineRule="exact"/>
              <w:ind w:firstLine="360" w:firstLineChars="200"/>
              <w:contextualSpacing/>
              <w:jc w:val="left"/>
              <w:rPr>
                <w:rFonts w:hint="eastAsia" w:ascii="仿宋_GB2312" w:hAnsi="仿宋_GB2312" w:eastAsia="仿宋_GB2312" w:cs="仿宋_GB2312"/>
                <w:kern w:val="2"/>
                <w:sz w:val="18"/>
                <w:szCs w:val="18"/>
                <w:lang w:val="en-US" w:eastAsia="zh-CN"/>
              </w:rPr>
            </w:pPr>
            <w:r>
              <w:rPr>
                <w:rFonts w:hint="eastAsia" w:ascii="仿宋_GB2312" w:hAnsi="仿宋_GB2312" w:eastAsia="仿宋_GB2312" w:cs="仿宋_GB2312"/>
                <w:color w:val="000000"/>
                <w:sz w:val="18"/>
                <w:szCs w:val="18"/>
                <w:lang w:val="en-US" w:eastAsia="zh-CN"/>
              </w:rPr>
              <w:t>有力有效推动乡村产业可持续发展，保障农民利益，拓展乡村产业融合渠道与合作开发领域，有利于促进当地经济发展，早日实现乡村振兴。</w:t>
            </w:r>
          </w:p>
          <w:p w14:paraId="308B659E">
            <w:pPr>
              <w:keepNext w:val="0"/>
              <w:keepLines w:val="0"/>
              <w:pageBreakBefore w:val="0"/>
              <w:kinsoku/>
              <w:wordWrap/>
              <w:overflowPunct/>
              <w:topLinePunct w:val="0"/>
              <w:autoSpaceDE/>
              <w:autoSpaceDN/>
              <w:bidi w:val="0"/>
              <w:adjustRightInd/>
              <w:snapToGrid/>
              <w:spacing w:line="260" w:lineRule="exact"/>
              <w:ind w:firstLine="360" w:firstLineChars="200"/>
              <w:rPr>
                <w:rFonts w:hint="eastAsia" w:ascii="仿宋_GB2312" w:hAnsi="仿宋_GB2312" w:eastAsia="仿宋_GB2312" w:cs="仿宋_GB2312"/>
                <w:color w:val="000000"/>
                <w:sz w:val="18"/>
                <w:szCs w:val="18"/>
              </w:rPr>
            </w:pPr>
          </w:p>
        </w:tc>
      </w:tr>
      <w:tr w14:paraId="14F9B9BF">
        <w:tblPrEx>
          <w:tblCellMar>
            <w:top w:w="15" w:type="dxa"/>
            <w:left w:w="15" w:type="dxa"/>
            <w:bottom w:w="15" w:type="dxa"/>
            <w:right w:w="15" w:type="dxa"/>
          </w:tblCellMar>
        </w:tblPrEx>
        <w:trPr>
          <w:trHeight w:val="23" w:hRule="atLeast"/>
          <w:jc w:val="center"/>
        </w:trPr>
        <w:tc>
          <w:tcPr>
            <w:tcW w:w="652" w:type="dxa"/>
            <w:vMerge w:val="restart"/>
            <w:tcBorders>
              <w:top w:val="single" w:color="000000" w:sz="4" w:space="0"/>
              <w:left w:val="single" w:color="000000" w:sz="4" w:space="0"/>
              <w:bottom w:val="single" w:color="000000" w:sz="4" w:space="0"/>
            </w:tcBorders>
            <w:noWrap w:val="0"/>
            <w:vAlign w:val="center"/>
          </w:tcPr>
          <w:p w14:paraId="0E73D56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绩效 指标</w:t>
            </w: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605D23E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一级指标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081C4B3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二级指标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641E329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三级指标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FF9DE2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指标性质</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02A141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指标值</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5F87398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度量单位</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2BA2BC5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权重</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9E919C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实际完成指标值</w:t>
            </w:r>
          </w:p>
        </w:tc>
      </w:tr>
      <w:tr w14:paraId="26770E99">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04B93E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11587BD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产出指标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318D64D9">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数量指标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B2EA20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沟口镇涉及项目村个数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6429BA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4E4AB3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1E11E40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个</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76FE26D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C100C0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06346DE8">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786800B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47BF6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265B999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质量指标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7270AF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利于乡村党群事业发展</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1F0359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49B6DE3">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96</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0AD26D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36D77DFF">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F723A2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6B93BCE">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6DC89CC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48F81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54364F9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时效指标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CFB7F9A">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该项目完成按时率</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5CF6954">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36FADAD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00BDA33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6A6819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399921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27E1452">
        <w:tblPrEx>
          <w:tblCellMar>
            <w:top w:w="15" w:type="dxa"/>
            <w:left w:w="15" w:type="dxa"/>
            <w:bottom w:w="15" w:type="dxa"/>
            <w:right w:w="15" w:type="dxa"/>
          </w:tblCellMar>
        </w:tblPrEx>
        <w:trPr>
          <w:trHeight w:val="1051"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53933246">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restart"/>
            <w:tcBorders>
              <w:top w:val="single" w:color="000000" w:sz="4" w:space="0"/>
              <w:left w:val="single" w:color="000000" w:sz="4" w:space="0"/>
              <w:bottom w:val="single" w:color="000000" w:sz="4" w:space="0"/>
              <w:right w:val="single" w:color="000000" w:sz="4" w:space="0"/>
            </w:tcBorders>
            <w:noWrap w:val="0"/>
            <w:vAlign w:val="center"/>
          </w:tcPr>
          <w:p w14:paraId="2B27382F">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效益指标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553C54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经济效益</w:t>
            </w:r>
          </w:p>
          <w:p w14:paraId="5A6D3CB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58AFF6B0">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val="en-US" w:eastAsia="zh-CN"/>
              </w:rPr>
              <w:t>有利于促进当地经济发展，早日实现乡村振兴。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1F52937">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6096254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69F1EFF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E70B5B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413FBAD2">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08105577">
        <w:tblPrEx>
          <w:tblCellMar>
            <w:top w:w="15" w:type="dxa"/>
            <w:left w:w="15" w:type="dxa"/>
            <w:bottom w:w="15" w:type="dxa"/>
            <w:right w:w="15" w:type="dxa"/>
          </w:tblCellMar>
        </w:tblPrEx>
        <w:trPr>
          <w:trHeight w:val="452"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BAEBC2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EE26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250" w:type="dxa"/>
            <w:tcBorders>
              <w:top w:val="single" w:color="000000" w:sz="4" w:space="0"/>
              <w:left w:val="single" w:color="000000" w:sz="4" w:space="0"/>
              <w:right w:val="single" w:color="000000" w:sz="4" w:space="0"/>
            </w:tcBorders>
            <w:noWrap w:val="0"/>
            <w:vAlign w:val="center"/>
          </w:tcPr>
          <w:p w14:paraId="3030B6FC">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社会效益</w:t>
            </w:r>
          </w:p>
          <w:p w14:paraId="39A52680">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3E0FCF04">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提高群众生活水平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41474AE">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定性</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444BA24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kern w:val="2"/>
                <w:sz w:val="18"/>
                <w:szCs w:val="18"/>
                <w:lang w:val="en-US" w:eastAsia="zh-CN" w:bidi="ar-SA"/>
              </w:rPr>
            </w:pPr>
            <w:r>
              <w:rPr>
                <w:rFonts w:hint="eastAsia" w:ascii="仿宋_GB2312" w:hAnsi="仿宋_GB2312" w:eastAsia="仿宋_GB2312" w:cs="仿宋_GB2312"/>
                <w:color w:val="000000"/>
                <w:sz w:val="18"/>
                <w:szCs w:val="18"/>
                <w:lang w:eastAsia="zh-CN"/>
              </w:rPr>
              <w:t>进一步保障</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4F0790FC">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42CCE56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236E9D0D">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1BA2555B">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4345DB5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right w:val="single" w:color="000000" w:sz="4" w:space="0"/>
            </w:tcBorders>
            <w:noWrap w:val="0"/>
            <w:vAlign w:val="center"/>
          </w:tcPr>
          <w:p w14:paraId="75FE94D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满意度</w:t>
            </w:r>
          </w:p>
          <w:p w14:paraId="606A427D">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250" w:type="dxa"/>
            <w:tcBorders>
              <w:top w:val="single" w:color="000000" w:sz="4" w:space="0"/>
              <w:left w:val="single" w:color="000000" w:sz="4" w:space="0"/>
              <w:right w:val="single" w:color="000000" w:sz="4" w:space="0"/>
            </w:tcBorders>
            <w:noWrap w:val="0"/>
            <w:vAlign w:val="center"/>
          </w:tcPr>
          <w:p w14:paraId="5CA308B8">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服务对象</w:t>
            </w:r>
          </w:p>
          <w:p w14:paraId="3A579A07">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满意度指标</w:t>
            </w:r>
          </w:p>
        </w:tc>
        <w:tc>
          <w:tcPr>
            <w:tcW w:w="1312" w:type="dxa"/>
            <w:tcBorders>
              <w:top w:val="single" w:color="000000" w:sz="4" w:space="0"/>
              <w:left w:val="single" w:color="000000" w:sz="4" w:space="0"/>
              <w:bottom w:val="single" w:color="000000" w:sz="4" w:space="0"/>
              <w:right w:val="single" w:color="000000" w:sz="4" w:space="0"/>
            </w:tcBorders>
            <w:noWrap w:val="0"/>
            <w:vAlign w:val="center"/>
          </w:tcPr>
          <w:p w14:paraId="2BB8AABE">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受益群众满意度</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A985231">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5D28632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98</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3E02F05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0CECE8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3EF328C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tr w14:paraId="64F07C41">
        <w:tblPrEx>
          <w:tblCellMar>
            <w:top w:w="15" w:type="dxa"/>
            <w:left w:w="15" w:type="dxa"/>
            <w:bottom w:w="15" w:type="dxa"/>
            <w:right w:w="15" w:type="dxa"/>
          </w:tblCellMar>
        </w:tblPrEx>
        <w:trPr>
          <w:trHeight w:val="23" w:hRule="atLeast"/>
          <w:jc w:val="center"/>
        </w:trPr>
        <w:tc>
          <w:tcPr>
            <w:tcW w:w="652" w:type="dxa"/>
            <w:vMerge w:val="continue"/>
            <w:tcBorders>
              <w:top w:val="single" w:color="000000" w:sz="4" w:space="0"/>
              <w:left w:val="single" w:color="000000" w:sz="4" w:space="0"/>
              <w:bottom w:val="single" w:color="000000" w:sz="4" w:space="0"/>
            </w:tcBorders>
            <w:noWrap w:val="0"/>
            <w:vAlign w:val="center"/>
          </w:tcPr>
          <w:p w14:paraId="1CDF81D0">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p>
        </w:tc>
        <w:tc>
          <w:tcPr>
            <w:tcW w:w="1081" w:type="dxa"/>
            <w:tcBorders>
              <w:top w:val="single" w:color="000000" w:sz="4" w:space="0"/>
              <w:left w:val="single" w:color="000000" w:sz="4" w:space="0"/>
              <w:bottom w:val="single" w:color="000000" w:sz="4" w:space="0"/>
              <w:right w:val="single" w:color="000000" w:sz="4" w:space="0"/>
            </w:tcBorders>
            <w:noWrap w:val="0"/>
            <w:vAlign w:val="center"/>
          </w:tcPr>
          <w:p w14:paraId="42897E0B">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成本指标</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14:paraId="13F692CE">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kern w:val="0"/>
                <w:sz w:val="18"/>
                <w:szCs w:val="18"/>
                <w:lang w:bidi="ar"/>
              </w:rPr>
            </w:pPr>
            <w:r>
              <w:rPr>
                <w:rFonts w:hint="eastAsia" w:ascii="仿宋_GB2312" w:hAnsi="仿宋_GB2312" w:eastAsia="仿宋_GB2312" w:cs="仿宋_GB2312"/>
                <w:color w:val="000000"/>
                <w:kern w:val="0"/>
                <w:sz w:val="18"/>
                <w:szCs w:val="18"/>
                <w:lang w:bidi="ar"/>
              </w:rPr>
              <w:t>经济成本</w:t>
            </w:r>
          </w:p>
          <w:p w14:paraId="6A4ECC95">
            <w:pPr>
              <w:keepNext w:val="0"/>
              <w:keepLines w:val="0"/>
              <w:pageBreakBefore w:val="0"/>
              <w:widowControl/>
              <w:kinsoku/>
              <w:wordWrap/>
              <w:overflowPunct/>
              <w:topLinePunct w:val="0"/>
              <w:autoSpaceDE/>
              <w:autoSpaceDN/>
              <w:bidi w:val="0"/>
              <w:adjustRightInd/>
              <w:snapToGrid/>
              <w:spacing w:line="260" w:lineRule="exact"/>
              <w:jc w:val="center"/>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kern w:val="0"/>
                <w:sz w:val="18"/>
                <w:szCs w:val="18"/>
                <w:lang w:bidi="ar"/>
              </w:rPr>
              <w:t>指标</w:t>
            </w:r>
          </w:p>
        </w:tc>
        <w:tc>
          <w:tcPr>
            <w:tcW w:w="1312" w:type="dxa"/>
            <w:tcBorders>
              <w:top w:val="single" w:color="000000" w:sz="4" w:space="0"/>
              <w:bottom w:val="single" w:color="000000" w:sz="4" w:space="0"/>
              <w:right w:val="single" w:color="000000" w:sz="4" w:space="0"/>
            </w:tcBorders>
            <w:noWrap w:val="0"/>
            <w:vAlign w:val="center"/>
          </w:tcPr>
          <w:p w14:paraId="4E8E96AD">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该项目成本控制范围</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28AD87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w:t>
            </w:r>
          </w:p>
        </w:tc>
        <w:tc>
          <w:tcPr>
            <w:tcW w:w="971" w:type="dxa"/>
            <w:tcBorders>
              <w:top w:val="single" w:color="000000" w:sz="4" w:space="0"/>
              <w:left w:val="single" w:color="000000" w:sz="4" w:space="0"/>
              <w:bottom w:val="single" w:color="000000" w:sz="4" w:space="0"/>
              <w:right w:val="single" w:color="000000" w:sz="4" w:space="0"/>
            </w:tcBorders>
            <w:noWrap w:val="0"/>
            <w:vAlign w:val="center"/>
          </w:tcPr>
          <w:p w14:paraId="07ED69BA">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50</w:t>
            </w:r>
          </w:p>
        </w:tc>
        <w:tc>
          <w:tcPr>
            <w:tcW w:w="1061" w:type="dxa"/>
            <w:tcBorders>
              <w:top w:val="single" w:color="000000" w:sz="4" w:space="0"/>
              <w:left w:val="single" w:color="000000" w:sz="4" w:space="0"/>
              <w:bottom w:val="single" w:color="000000" w:sz="4" w:space="0"/>
              <w:right w:val="single" w:color="000000" w:sz="4" w:space="0"/>
            </w:tcBorders>
            <w:noWrap w:val="0"/>
            <w:vAlign w:val="center"/>
          </w:tcPr>
          <w:p w14:paraId="7DF9E2C5">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lang w:eastAsia="zh-CN"/>
              </w:rPr>
              <w:t>万元</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6B85F199">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noWrap w:val="0"/>
            <w:vAlign w:val="center"/>
          </w:tcPr>
          <w:p w14:paraId="0A3C9888">
            <w:pPr>
              <w:keepNext w:val="0"/>
              <w:keepLines w:val="0"/>
              <w:pageBreakBefore w:val="0"/>
              <w:kinsoku/>
              <w:wordWrap/>
              <w:overflowPunct/>
              <w:topLinePunct w:val="0"/>
              <w:autoSpaceDE/>
              <w:autoSpaceDN/>
              <w:bidi w:val="0"/>
              <w:adjustRightInd/>
              <w:snapToGrid/>
              <w:spacing w:line="260" w:lineRule="exact"/>
              <w:jc w:val="center"/>
              <w:rPr>
                <w:rFonts w:hint="eastAsia"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val="en-US" w:eastAsia="zh-CN"/>
              </w:rPr>
              <w:t>100%</w:t>
            </w:r>
          </w:p>
        </w:tc>
      </w:tr>
      <w:bookmarkEnd w:id="102"/>
      <w:bookmarkEnd w:id="105"/>
    </w:tbl>
    <w:p w14:paraId="60F7277D">
      <w:pPr>
        <w:pStyle w:val="5"/>
        <w:jc w:val="center"/>
        <w:rPr>
          <w:rFonts w:ascii="黑体" w:eastAsia="黑体" w:cs="黑体"/>
          <w:b w:val="0"/>
          <w:bCs w:val="0"/>
        </w:rPr>
      </w:pPr>
      <w:bookmarkStart w:id="118" w:name="_Toc79163885"/>
      <w:bookmarkStart w:id="119" w:name="_Toc111208512"/>
      <w:bookmarkStart w:id="120" w:name="_Toc79163635"/>
      <w:bookmarkStart w:id="121" w:name="_Toc6260"/>
      <w:r>
        <w:rPr>
          <w:rFonts w:hint="eastAsia" w:ascii="黑体" w:eastAsia="黑体" w:cs="黑体"/>
          <w:b w:val="0"/>
          <w:bCs w:val="0"/>
        </w:rPr>
        <w:t>第五部分 附表</w:t>
      </w:r>
      <w:bookmarkEnd w:id="118"/>
      <w:bookmarkEnd w:id="119"/>
      <w:bookmarkEnd w:id="120"/>
      <w:bookmarkEnd w:id="121"/>
    </w:p>
    <w:p w14:paraId="683D45C4">
      <w:pPr>
        <w:pStyle w:val="6"/>
        <w:ind w:firstLine="640" w:firstLineChars="200"/>
        <w:rPr>
          <w:rFonts w:hint="eastAsia" w:ascii="黑体" w:eastAsia="黑体" w:cs="Times New Roman"/>
          <w:b w:val="0"/>
          <w:bCs w:val="0"/>
          <w:color w:val="000000"/>
        </w:rPr>
      </w:pPr>
      <w:bookmarkStart w:id="122" w:name="_Toc10262"/>
      <w:r>
        <w:rPr>
          <w:rFonts w:hint="eastAsia" w:ascii="黑体" w:eastAsia="黑体" w:cs="Times New Roman"/>
          <w:b w:val="0"/>
          <w:bCs w:val="0"/>
          <w:color w:val="000000"/>
        </w:rPr>
        <w:t>一、收入支出决算总表</w:t>
      </w:r>
      <w:bookmarkEnd w:id="122"/>
    </w:p>
    <w:p w14:paraId="57EB2028">
      <w:pPr>
        <w:pStyle w:val="6"/>
        <w:ind w:firstLine="640" w:firstLineChars="200"/>
        <w:rPr>
          <w:rFonts w:hint="eastAsia" w:ascii="黑体" w:eastAsia="黑体" w:cs="Times New Roman"/>
          <w:b w:val="0"/>
          <w:bCs w:val="0"/>
          <w:color w:val="000000"/>
        </w:rPr>
      </w:pPr>
      <w:bookmarkStart w:id="123" w:name="_Toc1559"/>
      <w:r>
        <w:rPr>
          <w:rFonts w:hint="eastAsia" w:ascii="黑体" w:eastAsia="黑体" w:cs="Times New Roman"/>
          <w:b w:val="0"/>
          <w:bCs w:val="0"/>
          <w:color w:val="000000"/>
        </w:rPr>
        <w:t>二、收入决算表</w:t>
      </w:r>
      <w:bookmarkEnd w:id="123"/>
    </w:p>
    <w:p w14:paraId="49762299">
      <w:pPr>
        <w:pStyle w:val="6"/>
        <w:ind w:firstLine="640" w:firstLineChars="200"/>
        <w:rPr>
          <w:rFonts w:hint="eastAsia" w:ascii="黑体" w:eastAsia="黑体" w:cs="Times New Roman"/>
          <w:b w:val="0"/>
          <w:bCs w:val="0"/>
          <w:color w:val="000000"/>
        </w:rPr>
      </w:pPr>
      <w:bookmarkStart w:id="124" w:name="_Toc21000"/>
      <w:r>
        <w:rPr>
          <w:rFonts w:hint="eastAsia" w:ascii="黑体" w:eastAsia="黑体" w:cs="Times New Roman"/>
          <w:b w:val="0"/>
          <w:bCs w:val="0"/>
          <w:color w:val="000000"/>
        </w:rPr>
        <w:t>三、支出决算表</w:t>
      </w:r>
      <w:bookmarkEnd w:id="124"/>
    </w:p>
    <w:p w14:paraId="79AA6723">
      <w:pPr>
        <w:pStyle w:val="6"/>
        <w:ind w:firstLine="640" w:firstLineChars="200"/>
        <w:rPr>
          <w:rFonts w:hint="eastAsia" w:ascii="黑体" w:eastAsia="黑体" w:cs="Times New Roman"/>
          <w:b w:val="0"/>
          <w:bCs w:val="0"/>
          <w:color w:val="000000"/>
        </w:rPr>
      </w:pPr>
      <w:bookmarkStart w:id="125" w:name="_Toc25926"/>
      <w:r>
        <w:rPr>
          <w:rFonts w:hint="eastAsia" w:ascii="黑体" w:eastAsia="黑体" w:cs="Times New Roman"/>
          <w:b w:val="0"/>
          <w:bCs w:val="0"/>
          <w:color w:val="000000"/>
        </w:rPr>
        <w:t>四、财政拨款收入支出决算总表</w:t>
      </w:r>
      <w:bookmarkEnd w:id="125"/>
    </w:p>
    <w:p w14:paraId="739D917D">
      <w:pPr>
        <w:pStyle w:val="6"/>
        <w:ind w:firstLine="640" w:firstLineChars="200"/>
        <w:rPr>
          <w:rFonts w:hint="eastAsia" w:ascii="黑体" w:eastAsia="黑体" w:cs="Times New Roman"/>
          <w:b w:val="0"/>
          <w:bCs w:val="0"/>
          <w:color w:val="000000"/>
        </w:rPr>
      </w:pPr>
      <w:bookmarkStart w:id="126" w:name="_Toc2957"/>
      <w:r>
        <w:rPr>
          <w:rFonts w:hint="eastAsia" w:ascii="黑体" w:eastAsia="黑体" w:cs="Times New Roman"/>
          <w:b w:val="0"/>
          <w:bCs w:val="0"/>
          <w:color w:val="000000"/>
        </w:rPr>
        <w:t>五、财政拨款支出决算明细表</w:t>
      </w:r>
      <w:bookmarkEnd w:id="126"/>
    </w:p>
    <w:p w14:paraId="6466859F">
      <w:pPr>
        <w:pStyle w:val="6"/>
        <w:ind w:firstLine="640" w:firstLineChars="200"/>
        <w:rPr>
          <w:rFonts w:hint="eastAsia" w:ascii="黑体" w:eastAsia="黑体" w:cs="Times New Roman"/>
          <w:b w:val="0"/>
          <w:bCs w:val="0"/>
          <w:color w:val="000000"/>
        </w:rPr>
      </w:pPr>
      <w:bookmarkStart w:id="127" w:name="_Toc26915"/>
      <w:r>
        <w:rPr>
          <w:rFonts w:hint="eastAsia" w:ascii="黑体" w:eastAsia="黑体" w:cs="Times New Roman"/>
          <w:b w:val="0"/>
          <w:bCs w:val="0"/>
          <w:color w:val="000000"/>
        </w:rPr>
        <w:t>六、一般公共预算财政拨款支出决算表</w:t>
      </w:r>
      <w:bookmarkEnd w:id="127"/>
    </w:p>
    <w:p w14:paraId="6A7A0372">
      <w:pPr>
        <w:pStyle w:val="6"/>
        <w:ind w:firstLine="640" w:firstLineChars="200"/>
        <w:rPr>
          <w:rFonts w:hint="eastAsia" w:ascii="黑体" w:eastAsia="黑体" w:cs="Times New Roman"/>
          <w:b w:val="0"/>
          <w:bCs w:val="0"/>
          <w:color w:val="000000"/>
        </w:rPr>
      </w:pPr>
      <w:bookmarkStart w:id="128" w:name="_Toc19918"/>
      <w:r>
        <w:rPr>
          <w:rFonts w:hint="eastAsia" w:ascii="黑体" w:eastAsia="黑体" w:cs="Times New Roman"/>
          <w:b w:val="0"/>
          <w:bCs w:val="0"/>
          <w:color w:val="000000"/>
        </w:rPr>
        <w:t>七、一般公共预算财政拨款支出决算明细表</w:t>
      </w:r>
      <w:bookmarkEnd w:id="128"/>
    </w:p>
    <w:p w14:paraId="7AE00578">
      <w:pPr>
        <w:pStyle w:val="6"/>
        <w:ind w:firstLine="640" w:firstLineChars="200"/>
        <w:rPr>
          <w:rFonts w:hint="eastAsia" w:ascii="黑体" w:eastAsia="黑体" w:cs="Times New Roman"/>
          <w:b w:val="0"/>
          <w:bCs w:val="0"/>
          <w:color w:val="000000"/>
        </w:rPr>
      </w:pPr>
      <w:bookmarkStart w:id="129" w:name="_Toc7031"/>
      <w:r>
        <w:rPr>
          <w:rFonts w:hint="eastAsia" w:ascii="黑体" w:eastAsia="黑体" w:cs="Times New Roman"/>
          <w:b w:val="0"/>
          <w:bCs w:val="0"/>
          <w:color w:val="000000"/>
        </w:rPr>
        <w:t>八、一般公共预算财政拨款基本支出决算表</w:t>
      </w:r>
      <w:bookmarkEnd w:id="129"/>
    </w:p>
    <w:p w14:paraId="7BA07992">
      <w:pPr>
        <w:pStyle w:val="6"/>
        <w:ind w:firstLine="640" w:firstLineChars="200"/>
        <w:rPr>
          <w:rFonts w:hint="eastAsia" w:ascii="黑体" w:eastAsia="黑体" w:cs="Times New Roman"/>
          <w:b w:val="0"/>
          <w:bCs w:val="0"/>
          <w:color w:val="000000"/>
        </w:rPr>
      </w:pPr>
      <w:bookmarkStart w:id="130" w:name="_Toc9131"/>
      <w:r>
        <w:rPr>
          <w:rFonts w:hint="eastAsia" w:ascii="黑体" w:eastAsia="黑体" w:cs="Times New Roman"/>
          <w:b w:val="0"/>
          <w:bCs w:val="0"/>
          <w:color w:val="000000"/>
        </w:rPr>
        <w:t>九、一般公共预算财政拨款项目支出决算表</w:t>
      </w:r>
      <w:bookmarkEnd w:id="130"/>
    </w:p>
    <w:p w14:paraId="156534BD">
      <w:pPr>
        <w:pStyle w:val="6"/>
        <w:ind w:firstLine="640" w:firstLineChars="200"/>
        <w:rPr>
          <w:rFonts w:hint="eastAsia" w:ascii="黑体" w:eastAsia="黑体" w:cs="Times New Roman"/>
          <w:b w:val="0"/>
          <w:bCs w:val="0"/>
          <w:color w:val="000000"/>
        </w:rPr>
      </w:pPr>
      <w:bookmarkStart w:id="131" w:name="_Toc19190"/>
      <w:r>
        <w:rPr>
          <w:rFonts w:hint="eastAsia" w:ascii="黑体" w:eastAsia="黑体" w:cs="Times New Roman"/>
          <w:b w:val="0"/>
          <w:bCs w:val="0"/>
          <w:color w:val="000000"/>
        </w:rPr>
        <w:t>十、政府性基金预算财政拨款收入支出决算表</w:t>
      </w:r>
      <w:bookmarkEnd w:id="131"/>
    </w:p>
    <w:p w14:paraId="4A1DA2BE">
      <w:pPr>
        <w:pStyle w:val="6"/>
        <w:ind w:firstLine="640" w:firstLineChars="200"/>
        <w:rPr>
          <w:rFonts w:hint="eastAsia" w:ascii="黑体" w:eastAsia="黑体" w:cs="Times New Roman"/>
          <w:b w:val="0"/>
          <w:bCs w:val="0"/>
          <w:color w:val="000000"/>
        </w:rPr>
      </w:pPr>
      <w:bookmarkStart w:id="132" w:name="_Toc6932"/>
      <w:r>
        <w:rPr>
          <w:rFonts w:hint="eastAsia" w:ascii="黑体" w:eastAsia="黑体" w:cs="Times New Roman"/>
          <w:b w:val="0"/>
          <w:bCs w:val="0"/>
          <w:color w:val="000000"/>
        </w:rPr>
        <w:t>十一、国有资本经营预算财政拨款收入支出决算表</w:t>
      </w:r>
      <w:bookmarkEnd w:id="132"/>
    </w:p>
    <w:p w14:paraId="6E5BB831">
      <w:pPr>
        <w:pStyle w:val="6"/>
        <w:ind w:firstLine="640" w:firstLineChars="200"/>
        <w:rPr>
          <w:rFonts w:hint="eastAsia" w:ascii="黑体" w:eastAsia="黑体" w:cs="Times New Roman"/>
          <w:b w:val="0"/>
          <w:bCs w:val="0"/>
          <w:color w:val="000000"/>
        </w:rPr>
      </w:pPr>
      <w:bookmarkStart w:id="133" w:name="_Toc1966"/>
      <w:r>
        <w:rPr>
          <w:rFonts w:hint="eastAsia" w:ascii="黑体" w:eastAsia="黑体" w:cs="Times New Roman"/>
          <w:b w:val="0"/>
          <w:bCs w:val="0"/>
          <w:color w:val="000000"/>
        </w:rPr>
        <w:t>十二、国有资本经营预算财政拨款支出决算表</w:t>
      </w:r>
      <w:bookmarkEnd w:id="133"/>
    </w:p>
    <w:p w14:paraId="72C94F0F">
      <w:pPr>
        <w:pStyle w:val="6"/>
        <w:ind w:firstLine="640" w:firstLineChars="200"/>
        <w:rPr>
          <w:rFonts w:hint="eastAsia" w:ascii="黑体" w:eastAsia="黑体" w:cs="Times New Roman"/>
          <w:b w:val="0"/>
          <w:bCs w:val="0"/>
          <w:color w:val="000000"/>
          <w:lang w:eastAsia="zh-CN"/>
        </w:rPr>
      </w:pPr>
      <w:bookmarkStart w:id="134" w:name="_Toc24118"/>
      <w:r>
        <w:rPr>
          <w:rFonts w:hint="eastAsia" w:ascii="黑体" w:eastAsia="黑体" w:cs="Times New Roman"/>
          <w:b w:val="0"/>
          <w:bCs w:val="0"/>
          <w:color w:val="000000"/>
        </w:rPr>
        <w:t>十三、财政拨款“三公”经费支出决算表</w:t>
      </w:r>
      <w:bookmarkEnd w:id="134"/>
    </w:p>
    <w:sectPr>
      <w:footerReference r:id="rId5" w:type="first"/>
      <w:headerReference r:id="rId3" w:type="default"/>
      <w:footerReference r:id="rId4" w:type="default"/>
      <w:pgSz w:w="11906" w:h="16838"/>
      <w:pgMar w:top="2154" w:right="1417" w:bottom="2041" w:left="1531" w:header="851" w:footer="992" w:gutter="0"/>
      <w:pgNumType w:fmt="numberInDash" w:start="1"/>
      <w:cols w:space="425"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00"/>
    <w:family w:val="auto"/>
    <w:pitch w:val="default"/>
    <w:sig w:usb0="00000000" w:usb1="00000000" w:usb2="00000000" w:usb3="00000000" w:csb0="0004009F" w:csb1="DFD7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2C0B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9153B">
                          <w:pPr>
                            <w:pStyle w:val="11"/>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9E9153B">
                    <w:pPr>
                      <w:pStyle w:val="11"/>
                    </w:pPr>
                    <w:r>
                      <w:fldChar w:fldCharType="begin"/>
                    </w:r>
                    <w:r>
                      <w:instrText xml:space="preserve"> PAGE  \* MERGEFORMAT </w:instrText>
                    </w:r>
                    <w:r>
                      <w:fldChar w:fldCharType="separate"/>
                    </w:r>
                    <w:r>
                      <w:t>- 2 -</w:t>
                    </w:r>
                    <w:r>
                      <w:fldChar w:fldCharType="end"/>
                    </w:r>
                  </w:p>
                </w:txbxContent>
              </v:textbox>
            </v:shape>
          </w:pict>
        </mc:Fallback>
      </mc:AlternateContent>
    </w:r>
  </w:p>
  <w:p w14:paraId="1DB744D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38F09">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777666">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777666">
                    <w:pPr>
                      <w:pStyle w:val="11"/>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6C5B">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82C99E"/>
    <w:multiLevelType w:val="singleLevel"/>
    <w:tmpl w:val="9082C99E"/>
    <w:lvl w:ilvl="0" w:tentative="0">
      <w:start w:val="2"/>
      <w:numFmt w:val="chineseCounting"/>
      <w:suff w:val="nothing"/>
      <w:lvlText w:val="（%1）"/>
      <w:lvlJc w:val="left"/>
      <w:rPr>
        <w:rFonts w:hint="eastAsia"/>
      </w:rPr>
    </w:lvl>
  </w:abstractNum>
  <w:abstractNum w:abstractNumId="1">
    <w:nsid w:val="D5963379"/>
    <w:multiLevelType w:val="singleLevel"/>
    <w:tmpl w:val="D5963379"/>
    <w:lvl w:ilvl="0" w:tentative="0">
      <w:start w:val="5"/>
      <w:numFmt w:val="chineseCounting"/>
      <w:suff w:val="nothing"/>
      <w:lvlText w:val="%1、"/>
      <w:lvlJc w:val="left"/>
      <w:pPr>
        <w:ind w:left="197"/>
      </w:pPr>
      <w:rPr>
        <w:rFonts w:hint="eastAsia"/>
      </w:rPr>
    </w:lvl>
  </w:abstractNum>
  <w:abstractNum w:abstractNumId="2">
    <w:nsid w:val="11DF32DA"/>
    <w:multiLevelType w:val="singleLevel"/>
    <w:tmpl w:val="11DF32DA"/>
    <w:lvl w:ilvl="0" w:tentative="0">
      <w:start w:val="5"/>
      <w:numFmt w:val="chineseCounting"/>
      <w:suff w:val="nothing"/>
      <w:lvlText w:val="%1、"/>
      <w:lvlJc w:val="left"/>
      <w:pPr>
        <w:ind w:left="197"/>
      </w:pPr>
      <w:rPr>
        <w:rFonts w:hint="eastAsia"/>
      </w:rPr>
    </w:lvl>
  </w:abstractNum>
  <w:abstractNum w:abstractNumId="3">
    <w:nsid w:val="2F02331D"/>
    <w:multiLevelType w:val="singleLevel"/>
    <w:tmpl w:val="2F02331D"/>
    <w:lvl w:ilvl="0" w:tentative="0">
      <w:start w:val="5"/>
      <w:numFmt w:val="chineseCounting"/>
      <w:suff w:val="nothing"/>
      <w:lvlText w:val="%1、"/>
      <w:lvlJc w:val="left"/>
      <w:pPr>
        <w:ind w:left="197"/>
      </w:pPr>
      <w:rPr>
        <w:rFonts w:hint="eastAsia"/>
      </w:rPr>
    </w:lvl>
  </w:abstractNum>
  <w:abstractNum w:abstractNumId="4">
    <w:nsid w:val="751CDD4F"/>
    <w:multiLevelType w:val="singleLevel"/>
    <w:tmpl w:val="751CDD4F"/>
    <w:lvl w:ilvl="0" w:tentative="0">
      <w:start w:val="5"/>
      <w:numFmt w:val="chineseCounting"/>
      <w:suff w:val="nothing"/>
      <w:lvlText w:val="%1、"/>
      <w:lvlJc w:val="left"/>
      <w:pPr>
        <w:ind w:left="197"/>
      </w:pPr>
      <w:rPr>
        <w:rFonts w:hint="eastAsi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0"/>
  <w:bordersDoNotSurroundFooter w:val="0"/>
  <w:documentProtection w:enforcement="0"/>
  <w:defaultTabStop w:val="419"/>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MzdkOWRlZjBmNzM5Y2E3YTRjYzk2MThhNjNlND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C08BB"/>
    <w:rsid w:val="002D6D05"/>
    <w:rsid w:val="002F1818"/>
    <w:rsid w:val="002F567B"/>
    <w:rsid w:val="003216A9"/>
    <w:rsid w:val="00335A74"/>
    <w:rsid w:val="003550AC"/>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A1B"/>
    <w:rsid w:val="00434489"/>
    <w:rsid w:val="00437085"/>
    <w:rsid w:val="00443880"/>
    <w:rsid w:val="004464F4"/>
    <w:rsid w:val="00471401"/>
    <w:rsid w:val="00473F31"/>
    <w:rsid w:val="0048263A"/>
    <w:rsid w:val="00487E5D"/>
    <w:rsid w:val="004A711F"/>
    <w:rsid w:val="004B199D"/>
    <w:rsid w:val="004B4690"/>
    <w:rsid w:val="004E0A2D"/>
    <w:rsid w:val="004E206B"/>
    <w:rsid w:val="004E629B"/>
    <w:rsid w:val="004E6DF7"/>
    <w:rsid w:val="004F0FBD"/>
    <w:rsid w:val="004F1218"/>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2BD"/>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A4258"/>
    <w:rsid w:val="00CB4E70"/>
    <w:rsid w:val="00CC09B6"/>
    <w:rsid w:val="00CC666F"/>
    <w:rsid w:val="00CD1E3F"/>
    <w:rsid w:val="00CE44F6"/>
    <w:rsid w:val="00CE49DA"/>
    <w:rsid w:val="00CE7B61"/>
    <w:rsid w:val="00D00095"/>
    <w:rsid w:val="00D02529"/>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B47A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347A59"/>
    <w:rsid w:val="013712F7"/>
    <w:rsid w:val="015975B8"/>
    <w:rsid w:val="015A390A"/>
    <w:rsid w:val="015E6C1E"/>
    <w:rsid w:val="01E64116"/>
    <w:rsid w:val="02092C94"/>
    <w:rsid w:val="0224362A"/>
    <w:rsid w:val="02682509"/>
    <w:rsid w:val="028458A5"/>
    <w:rsid w:val="028926DF"/>
    <w:rsid w:val="02B56978"/>
    <w:rsid w:val="02D93672"/>
    <w:rsid w:val="02FEBE30"/>
    <w:rsid w:val="035D3297"/>
    <w:rsid w:val="0389238A"/>
    <w:rsid w:val="03B64756"/>
    <w:rsid w:val="03CC5D27"/>
    <w:rsid w:val="03DD5B2F"/>
    <w:rsid w:val="03E05C02"/>
    <w:rsid w:val="03F36308"/>
    <w:rsid w:val="04387860"/>
    <w:rsid w:val="04447FB3"/>
    <w:rsid w:val="04916F1E"/>
    <w:rsid w:val="04C335CE"/>
    <w:rsid w:val="04CA5578"/>
    <w:rsid w:val="04D76DC3"/>
    <w:rsid w:val="05304992"/>
    <w:rsid w:val="05AA6B81"/>
    <w:rsid w:val="05CE5343"/>
    <w:rsid w:val="05F957BA"/>
    <w:rsid w:val="060545B5"/>
    <w:rsid w:val="06077172"/>
    <w:rsid w:val="061E35DE"/>
    <w:rsid w:val="065D535C"/>
    <w:rsid w:val="0667220B"/>
    <w:rsid w:val="066E0107"/>
    <w:rsid w:val="068A098C"/>
    <w:rsid w:val="069B7700"/>
    <w:rsid w:val="071F1DBD"/>
    <w:rsid w:val="072C0F70"/>
    <w:rsid w:val="077978E7"/>
    <w:rsid w:val="077C4159"/>
    <w:rsid w:val="07996F6E"/>
    <w:rsid w:val="07DFD8BA"/>
    <w:rsid w:val="07FE66CB"/>
    <w:rsid w:val="07FF74D2"/>
    <w:rsid w:val="0808579C"/>
    <w:rsid w:val="08431698"/>
    <w:rsid w:val="08495703"/>
    <w:rsid w:val="084D2F63"/>
    <w:rsid w:val="08510867"/>
    <w:rsid w:val="0865674A"/>
    <w:rsid w:val="08670714"/>
    <w:rsid w:val="08787EDC"/>
    <w:rsid w:val="08843074"/>
    <w:rsid w:val="08AA7259"/>
    <w:rsid w:val="08DA5BD3"/>
    <w:rsid w:val="09073595"/>
    <w:rsid w:val="092363AB"/>
    <w:rsid w:val="098560BB"/>
    <w:rsid w:val="09867E8F"/>
    <w:rsid w:val="099537C9"/>
    <w:rsid w:val="09E3201C"/>
    <w:rsid w:val="0A0D5F9E"/>
    <w:rsid w:val="0A2032A3"/>
    <w:rsid w:val="0A346F4D"/>
    <w:rsid w:val="0B071D3B"/>
    <w:rsid w:val="0B572252"/>
    <w:rsid w:val="0B8D0BBC"/>
    <w:rsid w:val="0B9E1294"/>
    <w:rsid w:val="0BA457DB"/>
    <w:rsid w:val="0BD47E6F"/>
    <w:rsid w:val="0BD926FA"/>
    <w:rsid w:val="0C0F616A"/>
    <w:rsid w:val="0C104C1F"/>
    <w:rsid w:val="0C2C3490"/>
    <w:rsid w:val="0CA8290A"/>
    <w:rsid w:val="0CC46135"/>
    <w:rsid w:val="0CDC358F"/>
    <w:rsid w:val="0CE162BC"/>
    <w:rsid w:val="0D2A1D10"/>
    <w:rsid w:val="0D35B1ED"/>
    <w:rsid w:val="0D4A5F0F"/>
    <w:rsid w:val="0D63594E"/>
    <w:rsid w:val="0DA02988"/>
    <w:rsid w:val="0DB00467"/>
    <w:rsid w:val="0DCF4D92"/>
    <w:rsid w:val="0DD21CF3"/>
    <w:rsid w:val="0DEE0D57"/>
    <w:rsid w:val="0E254B6B"/>
    <w:rsid w:val="0E590AFF"/>
    <w:rsid w:val="0E7C47EE"/>
    <w:rsid w:val="0E7F4F01"/>
    <w:rsid w:val="0EBA2E73"/>
    <w:rsid w:val="0EBC4BEA"/>
    <w:rsid w:val="0EEE01B5"/>
    <w:rsid w:val="0EFF7548"/>
    <w:rsid w:val="0F063405"/>
    <w:rsid w:val="0F2033CB"/>
    <w:rsid w:val="0F722315"/>
    <w:rsid w:val="0F98263C"/>
    <w:rsid w:val="0FD20DA7"/>
    <w:rsid w:val="0FFC1FC5"/>
    <w:rsid w:val="101860EC"/>
    <w:rsid w:val="101F47CC"/>
    <w:rsid w:val="10321608"/>
    <w:rsid w:val="10C055FF"/>
    <w:rsid w:val="10CA7D05"/>
    <w:rsid w:val="10FD4D66"/>
    <w:rsid w:val="112D33E4"/>
    <w:rsid w:val="112E0021"/>
    <w:rsid w:val="1146124D"/>
    <w:rsid w:val="115B2DE0"/>
    <w:rsid w:val="11694EBD"/>
    <w:rsid w:val="11772AA4"/>
    <w:rsid w:val="118107EC"/>
    <w:rsid w:val="11BD76CA"/>
    <w:rsid w:val="11D92708"/>
    <w:rsid w:val="120001E8"/>
    <w:rsid w:val="120B2110"/>
    <w:rsid w:val="12527D3F"/>
    <w:rsid w:val="12D53DDF"/>
    <w:rsid w:val="12E24EE2"/>
    <w:rsid w:val="13082AF4"/>
    <w:rsid w:val="13134ACB"/>
    <w:rsid w:val="137D0DEC"/>
    <w:rsid w:val="13D50BC4"/>
    <w:rsid w:val="13DB5F89"/>
    <w:rsid w:val="13EE479A"/>
    <w:rsid w:val="13FA23B8"/>
    <w:rsid w:val="140432BB"/>
    <w:rsid w:val="140851DE"/>
    <w:rsid w:val="14160E02"/>
    <w:rsid w:val="14304689"/>
    <w:rsid w:val="147D6BCA"/>
    <w:rsid w:val="14B17F78"/>
    <w:rsid w:val="14D02BF1"/>
    <w:rsid w:val="15404361"/>
    <w:rsid w:val="15AB651B"/>
    <w:rsid w:val="15BA3754"/>
    <w:rsid w:val="15C52F1A"/>
    <w:rsid w:val="161812A0"/>
    <w:rsid w:val="16207BE8"/>
    <w:rsid w:val="162E4683"/>
    <w:rsid w:val="16573B76"/>
    <w:rsid w:val="165E0673"/>
    <w:rsid w:val="16814185"/>
    <w:rsid w:val="16B25250"/>
    <w:rsid w:val="16B831D5"/>
    <w:rsid w:val="16BB723D"/>
    <w:rsid w:val="16F74D90"/>
    <w:rsid w:val="16FC27E7"/>
    <w:rsid w:val="171C7F4A"/>
    <w:rsid w:val="17334565"/>
    <w:rsid w:val="17343EB7"/>
    <w:rsid w:val="1740460A"/>
    <w:rsid w:val="174165D4"/>
    <w:rsid w:val="17437514"/>
    <w:rsid w:val="17915AA3"/>
    <w:rsid w:val="17B9260F"/>
    <w:rsid w:val="17E50567"/>
    <w:rsid w:val="17FB23B0"/>
    <w:rsid w:val="17FE026B"/>
    <w:rsid w:val="18041ADC"/>
    <w:rsid w:val="18104155"/>
    <w:rsid w:val="185508FC"/>
    <w:rsid w:val="186504BB"/>
    <w:rsid w:val="18D81A33"/>
    <w:rsid w:val="18DC3EFA"/>
    <w:rsid w:val="18DF42F7"/>
    <w:rsid w:val="18EA6F23"/>
    <w:rsid w:val="19153875"/>
    <w:rsid w:val="193C22F3"/>
    <w:rsid w:val="193F21E0"/>
    <w:rsid w:val="198D5B01"/>
    <w:rsid w:val="19A445FC"/>
    <w:rsid w:val="1A165AF6"/>
    <w:rsid w:val="1A4C6224"/>
    <w:rsid w:val="1A694BBF"/>
    <w:rsid w:val="1A9A2283"/>
    <w:rsid w:val="1A9B2956"/>
    <w:rsid w:val="1AC663B6"/>
    <w:rsid w:val="1AD46734"/>
    <w:rsid w:val="1AEB1D63"/>
    <w:rsid w:val="1B102545"/>
    <w:rsid w:val="1B285AE1"/>
    <w:rsid w:val="1B4A4F0A"/>
    <w:rsid w:val="1B6E2A2D"/>
    <w:rsid w:val="1B9B331D"/>
    <w:rsid w:val="1B9C202B"/>
    <w:rsid w:val="1BB72A59"/>
    <w:rsid w:val="1BC7354C"/>
    <w:rsid w:val="1BCC108E"/>
    <w:rsid w:val="1BE13EE2"/>
    <w:rsid w:val="1BE44EAC"/>
    <w:rsid w:val="1BE8440E"/>
    <w:rsid w:val="1C0540A5"/>
    <w:rsid w:val="1C067E9E"/>
    <w:rsid w:val="1C95252F"/>
    <w:rsid w:val="1CAC75DE"/>
    <w:rsid w:val="1CB735C0"/>
    <w:rsid w:val="1CE237E4"/>
    <w:rsid w:val="1CE26164"/>
    <w:rsid w:val="1CE7377A"/>
    <w:rsid w:val="1D155CEE"/>
    <w:rsid w:val="1D1638FE"/>
    <w:rsid w:val="1D306ECF"/>
    <w:rsid w:val="1D620F44"/>
    <w:rsid w:val="1D6628F1"/>
    <w:rsid w:val="1D756F42"/>
    <w:rsid w:val="1DC84414"/>
    <w:rsid w:val="1E173551"/>
    <w:rsid w:val="1E312DEB"/>
    <w:rsid w:val="1E514C5C"/>
    <w:rsid w:val="1E6A399F"/>
    <w:rsid w:val="1E6A62F1"/>
    <w:rsid w:val="1E740ACF"/>
    <w:rsid w:val="1E81189E"/>
    <w:rsid w:val="1EDA68F9"/>
    <w:rsid w:val="1F066077"/>
    <w:rsid w:val="1F3F1241"/>
    <w:rsid w:val="1F4E188E"/>
    <w:rsid w:val="1F501AAA"/>
    <w:rsid w:val="1F617814"/>
    <w:rsid w:val="1F7D334F"/>
    <w:rsid w:val="1F810169"/>
    <w:rsid w:val="1FAC799E"/>
    <w:rsid w:val="1FF35744"/>
    <w:rsid w:val="1FF6BC77"/>
    <w:rsid w:val="20084971"/>
    <w:rsid w:val="208630ED"/>
    <w:rsid w:val="208A6927"/>
    <w:rsid w:val="20E97AC1"/>
    <w:rsid w:val="21050673"/>
    <w:rsid w:val="213C6752"/>
    <w:rsid w:val="213D7E0C"/>
    <w:rsid w:val="21460A2B"/>
    <w:rsid w:val="217F21D3"/>
    <w:rsid w:val="21824F16"/>
    <w:rsid w:val="2186353C"/>
    <w:rsid w:val="21CB18BC"/>
    <w:rsid w:val="21CB1B55"/>
    <w:rsid w:val="21D56325"/>
    <w:rsid w:val="22A9485C"/>
    <w:rsid w:val="22B968B0"/>
    <w:rsid w:val="22BA5BB9"/>
    <w:rsid w:val="22D14DC5"/>
    <w:rsid w:val="22E42C35"/>
    <w:rsid w:val="22E60B64"/>
    <w:rsid w:val="22F42D36"/>
    <w:rsid w:val="23072480"/>
    <w:rsid w:val="230C3F3A"/>
    <w:rsid w:val="233B037C"/>
    <w:rsid w:val="23647222"/>
    <w:rsid w:val="23860B96"/>
    <w:rsid w:val="239570C5"/>
    <w:rsid w:val="23D076FB"/>
    <w:rsid w:val="240371BF"/>
    <w:rsid w:val="240F17D6"/>
    <w:rsid w:val="240F3CE2"/>
    <w:rsid w:val="244F3473"/>
    <w:rsid w:val="24575689"/>
    <w:rsid w:val="246A53BC"/>
    <w:rsid w:val="24B93C4E"/>
    <w:rsid w:val="24BE361B"/>
    <w:rsid w:val="24BF349D"/>
    <w:rsid w:val="24C97D99"/>
    <w:rsid w:val="251D41DD"/>
    <w:rsid w:val="2535374E"/>
    <w:rsid w:val="25445C0D"/>
    <w:rsid w:val="25447D99"/>
    <w:rsid w:val="2557740C"/>
    <w:rsid w:val="256911D0"/>
    <w:rsid w:val="25862F06"/>
    <w:rsid w:val="25891872"/>
    <w:rsid w:val="25A718F0"/>
    <w:rsid w:val="25BB59F6"/>
    <w:rsid w:val="25F07709"/>
    <w:rsid w:val="260B04D9"/>
    <w:rsid w:val="260F557C"/>
    <w:rsid w:val="26970054"/>
    <w:rsid w:val="26C04E12"/>
    <w:rsid w:val="26C92BC5"/>
    <w:rsid w:val="26FE3B9A"/>
    <w:rsid w:val="277B51EB"/>
    <w:rsid w:val="27840543"/>
    <w:rsid w:val="27910EB2"/>
    <w:rsid w:val="27E07EC4"/>
    <w:rsid w:val="27EB6878"/>
    <w:rsid w:val="27FB01E4"/>
    <w:rsid w:val="281408E2"/>
    <w:rsid w:val="281F29D4"/>
    <w:rsid w:val="284F6DA3"/>
    <w:rsid w:val="287700A8"/>
    <w:rsid w:val="28AC5FA3"/>
    <w:rsid w:val="28C22A00"/>
    <w:rsid w:val="28D36FBE"/>
    <w:rsid w:val="28EB4394"/>
    <w:rsid w:val="291E69B1"/>
    <w:rsid w:val="29606395"/>
    <w:rsid w:val="296D0649"/>
    <w:rsid w:val="29870D4C"/>
    <w:rsid w:val="29890093"/>
    <w:rsid w:val="298C36DF"/>
    <w:rsid w:val="29EE439A"/>
    <w:rsid w:val="29FA689B"/>
    <w:rsid w:val="29FD04D3"/>
    <w:rsid w:val="2A262E65"/>
    <w:rsid w:val="2A2C6C70"/>
    <w:rsid w:val="2A367640"/>
    <w:rsid w:val="2ABF11E3"/>
    <w:rsid w:val="2AC1785E"/>
    <w:rsid w:val="2AC8717F"/>
    <w:rsid w:val="2B020CA2"/>
    <w:rsid w:val="2B277B63"/>
    <w:rsid w:val="2B2C517A"/>
    <w:rsid w:val="2B365FF8"/>
    <w:rsid w:val="2B8C029D"/>
    <w:rsid w:val="2B8C67CE"/>
    <w:rsid w:val="2B9866A5"/>
    <w:rsid w:val="2BA51F9A"/>
    <w:rsid w:val="2BF67536"/>
    <w:rsid w:val="2BFF7BC6"/>
    <w:rsid w:val="2C047EA4"/>
    <w:rsid w:val="2C0F090D"/>
    <w:rsid w:val="2C541BB1"/>
    <w:rsid w:val="2C8A61B5"/>
    <w:rsid w:val="2CA86A82"/>
    <w:rsid w:val="2CB74404"/>
    <w:rsid w:val="2D482227"/>
    <w:rsid w:val="2D4D587B"/>
    <w:rsid w:val="2D7828F8"/>
    <w:rsid w:val="2D83304B"/>
    <w:rsid w:val="2DF04E50"/>
    <w:rsid w:val="2DF14458"/>
    <w:rsid w:val="2DF83A39"/>
    <w:rsid w:val="2DF857E7"/>
    <w:rsid w:val="2E586DFA"/>
    <w:rsid w:val="2E8E43E9"/>
    <w:rsid w:val="2EA81CB8"/>
    <w:rsid w:val="2EA850C9"/>
    <w:rsid w:val="2EAC6DFB"/>
    <w:rsid w:val="2ED95618"/>
    <w:rsid w:val="2EE713B8"/>
    <w:rsid w:val="2EFC30B5"/>
    <w:rsid w:val="2F0401BB"/>
    <w:rsid w:val="2F040D46"/>
    <w:rsid w:val="2F0F103A"/>
    <w:rsid w:val="2F2A30B8"/>
    <w:rsid w:val="2F634EE2"/>
    <w:rsid w:val="2F6B035B"/>
    <w:rsid w:val="2F7D40EF"/>
    <w:rsid w:val="2F81180C"/>
    <w:rsid w:val="2F846934"/>
    <w:rsid w:val="2FAE5751"/>
    <w:rsid w:val="2FB052CF"/>
    <w:rsid w:val="2FB1A395"/>
    <w:rsid w:val="2FBB5577"/>
    <w:rsid w:val="2FD22068"/>
    <w:rsid w:val="2FD9A7D8"/>
    <w:rsid w:val="2FDBF714"/>
    <w:rsid w:val="3043555D"/>
    <w:rsid w:val="304720AE"/>
    <w:rsid w:val="30AB6865"/>
    <w:rsid w:val="30CC59E1"/>
    <w:rsid w:val="312608BD"/>
    <w:rsid w:val="313D2EAB"/>
    <w:rsid w:val="31436D79"/>
    <w:rsid w:val="314851F1"/>
    <w:rsid w:val="31490108"/>
    <w:rsid w:val="31541D0B"/>
    <w:rsid w:val="3155096C"/>
    <w:rsid w:val="319770C5"/>
    <w:rsid w:val="319F7F4E"/>
    <w:rsid w:val="31B937C3"/>
    <w:rsid w:val="31D41044"/>
    <w:rsid w:val="31E124A4"/>
    <w:rsid w:val="31F237FB"/>
    <w:rsid w:val="321626E0"/>
    <w:rsid w:val="32862AEE"/>
    <w:rsid w:val="329A6E6D"/>
    <w:rsid w:val="32BD1EF1"/>
    <w:rsid w:val="3304709D"/>
    <w:rsid w:val="33492641"/>
    <w:rsid w:val="33721B98"/>
    <w:rsid w:val="33A773CB"/>
    <w:rsid w:val="33AA7583"/>
    <w:rsid w:val="33DA14EB"/>
    <w:rsid w:val="340329A9"/>
    <w:rsid w:val="34366C11"/>
    <w:rsid w:val="34567B88"/>
    <w:rsid w:val="345B262C"/>
    <w:rsid w:val="34873421"/>
    <w:rsid w:val="34901306"/>
    <w:rsid w:val="349D6851"/>
    <w:rsid w:val="34DD4918"/>
    <w:rsid w:val="35064C8D"/>
    <w:rsid w:val="35104158"/>
    <w:rsid w:val="354D5524"/>
    <w:rsid w:val="35585E1E"/>
    <w:rsid w:val="355D6D9F"/>
    <w:rsid w:val="356B5681"/>
    <w:rsid w:val="357E601E"/>
    <w:rsid w:val="3583008C"/>
    <w:rsid w:val="35CF5C80"/>
    <w:rsid w:val="360F7B72"/>
    <w:rsid w:val="36295062"/>
    <w:rsid w:val="3639798F"/>
    <w:rsid w:val="363E2205"/>
    <w:rsid w:val="365E7F82"/>
    <w:rsid w:val="367E6AA5"/>
    <w:rsid w:val="36AA5135"/>
    <w:rsid w:val="36BE0DA7"/>
    <w:rsid w:val="371816ED"/>
    <w:rsid w:val="376B6AA6"/>
    <w:rsid w:val="376D39B2"/>
    <w:rsid w:val="37887BDC"/>
    <w:rsid w:val="37E16F03"/>
    <w:rsid w:val="37F53A3B"/>
    <w:rsid w:val="382F62A9"/>
    <w:rsid w:val="384358B1"/>
    <w:rsid w:val="384B188A"/>
    <w:rsid w:val="38877211"/>
    <w:rsid w:val="389B6C89"/>
    <w:rsid w:val="389B749B"/>
    <w:rsid w:val="389C7973"/>
    <w:rsid w:val="38A74091"/>
    <w:rsid w:val="38AC16A8"/>
    <w:rsid w:val="38D469F0"/>
    <w:rsid w:val="38F2730A"/>
    <w:rsid w:val="390C0CA3"/>
    <w:rsid w:val="391D25A6"/>
    <w:rsid w:val="392E3ED3"/>
    <w:rsid w:val="39537572"/>
    <w:rsid w:val="39617003"/>
    <w:rsid w:val="39627CCD"/>
    <w:rsid w:val="397BAF1F"/>
    <w:rsid w:val="397C3F4B"/>
    <w:rsid w:val="39C94D81"/>
    <w:rsid w:val="39D32C64"/>
    <w:rsid w:val="39E135D3"/>
    <w:rsid w:val="3A282BE0"/>
    <w:rsid w:val="3A914FF9"/>
    <w:rsid w:val="3AB79AF3"/>
    <w:rsid w:val="3ACF78CF"/>
    <w:rsid w:val="3AE834C0"/>
    <w:rsid w:val="3B046B78"/>
    <w:rsid w:val="3B05373E"/>
    <w:rsid w:val="3B7D3434"/>
    <w:rsid w:val="3B7EF35A"/>
    <w:rsid w:val="3B843992"/>
    <w:rsid w:val="3B9FDB6C"/>
    <w:rsid w:val="3BC51E23"/>
    <w:rsid w:val="3BF25D27"/>
    <w:rsid w:val="3BF5BC2F"/>
    <w:rsid w:val="3C045180"/>
    <w:rsid w:val="3C2D1349"/>
    <w:rsid w:val="3C2F4ACA"/>
    <w:rsid w:val="3C741088"/>
    <w:rsid w:val="3C92157B"/>
    <w:rsid w:val="3CEBA265"/>
    <w:rsid w:val="3D1309AC"/>
    <w:rsid w:val="3D2C012D"/>
    <w:rsid w:val="3D505308"/>
    <w:rsid w:val="3D814219"/>
    <w:rsid w:val="3D9170BE"/>
    <w:rsid w:val="3D98207C"/>
    <w:rsid w:val="3DEE7CF3"/>
    <w:rsid w:val="3E0F71B0"/>
    <w:rsid w:val="3E1A5306"/>
    <w:rsid w:val="3E324EE5"/>
    <w:rsid w:val="3E38233A"/>
    <w:rsid w:val="3E587BDC"/>
    <w:rsid w:val="3E740A63"/>
    <w:rsid w:val="3E78745D"/>
    <w:rsid w:val="3ED21DD7"/>
    <w:rsid w:val="3EE17838"/>
    <w:rsid w:val="3EE54794"/>
    <w:rsid w:val="3F392CE3"/>
    <w:rsid w:val="3F55381A"/>
    <w:rsid w:val="3F6530F9"/>
    <w:rsid w:val="3F7F7599"/>
    <w:rsid w:val="3FAC4683"/>
    <w:rsid w:val="3FCE0156"/>
    <w:rsid w:val="3FF4CAE0"/>
    <w:rsid w:val="3FF7B227"/>
    <w:rsid w:val="3FFB29DE"/>
    <w:rsid w:val="405818FB"/>
    <w:rsid w:val="409D0FBF"/>
    <w:rsid w:val="40B52255"/>
    <w:rsid w:val="40BA4B7E"/>
    <w:rsid w:val="40BC4452"/>
    <w:rsid w:val="40C724E3"/>
    <w:rsid w:val="40D03A45"/>
    <w:rsid w:val="40F91C31"/>
    <w:rsid w:val="40F956A6"/>
    <w:rsid w:val="40FB4D0F"/>
    <w:rsid w:val="411D40F5"/>
    <w:rsid w:val="413A30CA"/>
    <w:rsid w:val="4148218A"/>
    <w:rsid w:val="4180170D"/>
    <w:rsid w:val="41C537DA"/>
    <w:rsid w:val="41FE3350"/>
    <w:rsid w:val="420A062C"/>
    <w:rsid w:val="42127FFC"/>
    <w:rsid w:val="4227255A"/>
    <w:rsid w:val="42435874"/>
    <w:rsid w:val="425E2F4E"/>
    <w:rsid w:val="42821601"/>
    <w:rsid w:val="42DF267A"/>
    <w:rsid w:val="430F0ADF"/>
    <w:rsid w:val="43572B58"/>
    <w:rsid w:val="43665029"/>
    <w:rsid w:val="439E2535"/>
    <w:rsid w:val="43A21908"/>
    <w:rsid w:val="43AA6E20"/>
    <w:rsid w:val="43D16466"/>
    <w:rsid w:val="445A010C"/>
    <w:rsid w:val="44605C18"/>
    <w:rsid w:val="446D160A"/>
    <w:rsid w:val="449C4CC6"/>
    <w:rsid w:val="44E268DA"/>
    <w:rsid w:val="450D13D7"/>
    <w:rsid w:val="45181E73"/>
    <w:rsid w:val="45506656"/>
    <w:rsid w:val="45755466"/>
    <w:rsid w:val="457A6B98"/>
    <w:rsid w:val="459873F0"/>
    <w:rsid w:val="45A35BE1"/>
    <w:rsid w:val="45B57ED7"/>
    <w:rsid w:val="46127979"/>
    <w:rsid w:val="464142C7"/>
    <w:rsid w:val="46625A9C"/>
    <w:rsid w:val="46C46EB5"/>
    <w:rsid w:val="46C6602A"/>
    <w:rsid w:val="47011EF2"/>
    <w:rsid w:val="47172C63"/>
    <w:rsid w:val="4724643E"/>
    <w:rsid w:val="47303470"/>
    <w:rsid w:val="4734033C"/>
    <w:rsid w:val="473A4323"/>
    <w:rsid w:val="475028AA"/>
    <w:rsid w:val="47A34AA6"/>
    <w:rsid w:val="47BD091D"/>
    <w:rsid w:val="47C4466D"/>
    <w:rsid w:val="47D32A73"/>
    <w:rsid w:val="47FA7BD0"/>
    <w:rsid w:val="48115204"/>
    <w:rsid w:val="48210086"/>
    <w:rsid w:val="484A41C3"/>
    <w:rsid w:val="486A6C7A"/>
    <w:rsid w:val="48715FBB"/>
    <w:rsid w:val="488717E9"/>
    <w:rsid w:val="48931F3C"/>
    <w:rsid w:val="48A82FB3"/>
    <w:rsid w:val="48AC2FFE"/>
    <w:rsid w:val="498D1081"/>
    <w:rsid w:val="4A627F82"/>
    <w:rsid w:val="4A782D22"/>
    <w:rsid w:val="4A9401EE"/>
    <w:rsid w:val="4AEC002A"/>
    <w:rsid w:val="4B0A4C46"/>
    <w:rsid w:val="4B0E749A"/>
    <w:rsid w:val="4B2477C4"/>
    <w:rsid w:val="4B4F25DA"/>
    <w:rsid w:val="4BE068DB"/>
    <w:rsid w:val="4BE807F1"/>
    <w:rsid w:val="4C425A91"/>
    <w:rsid w:val="4C4F6AC2"/>
    <w:rsid w:val="4C5530E5"/>
    <w:rsid w:val="4C896AE6"/>
    <w:rsid w:val="4CE10ECD"/>
    <w:rsid w:val="4CEB6F64"/>
    <w:rsid w:val="4D577224"/>
    <w:rsid w:val="4D864324"/>
    <w:rsid w:val="4D961293"/>
    <w:rsid w:val="4DBF1CEB"/>
    <w:rsid w:val="4DF0007C"/>
    <w:rsid w:val="4E0538DC"/>
    <w:rsid w:val="4E127DA7"/>
    <w:rsid w:val="4E5254F9"/>
    <w:rsid w:val="4EAB630A"/>
    <w:rsid w:val="4EBE1CDD"/>
    <w:rsid w:val="4EC529A2"/>
    <w:rsid w:val="4ECE2238"/>
    <w:rsid w:val="4EE259CC"/>
    <w:rsid w:val="4EE77910"/>
    <w:rsid w:val="4EFF657E"/>
    <w:rsid w:val="4F1A3377"/>
    <w:rsid w:val="4F1B3040"/>
    <w:rsid w:val="4F833267"/>
    <w:rsid w:val="4FCD042A"/>
    <w:rsid w:val="4FE30485"/>
    <w:rsid w:val="4FE9BD67"/>
    <w:rsid w:val="4FFB052F"/>
    <w:rsid w:val="50587AA5"/>
    <w:rsid w:val="50642410"/>
    <w:rsid w:val="507C59AC"/>
    <w:rsid w:val="50874A7C"/>
    <w:rsid w:val="5093764E"/>
    <w:rsid w:val="50C73053"/>
    <w:rsid w:val="50EB0766"/>
    <w:rsid w:val="50FC089B"/>
    <w:rsid w:val="512325CF"/>
    <w:rsid w:val="51281690"/>
    <w:rsid w:val="512953B4"/>
    <w:rsid w:val="51B5057E"/>
    <w:rsid w:val="52217969"/>
    <w:rsid w:val="523C53F3"/>
    <w:rsid w:val="525335B6"/>
    <w:rsid w:val="526037D7"/>
    <w:rsid w:val="526112FD"/>
    <w:rsid w:val="52741030"/>
    <w:rsid w:val="529C6F07"/>
    <w:rsid w:val="52CB14BF"/>
    <w:rsid w:val="52D054FF"/>
    <w:rsid w:val="52DC6BD6"/>
    <w:rsid w:val="532439D9"/>
    <w:rsid w:val="53247454"/>
    <w:rsid w:val="534471A0"/>
    <w:rsid w:val="53640943"/>
    <w:rsid w:val="536413C1"/>
    <w:rsid w:val="537D3F15"/>
    <w:rsid w:val="537E6D0A"/>
    <w:rsid w:val="53A0483E"/>
    <w:rsid w:val="53AB6755"/>
    <w:rsid w:val="53B76D66"/>
    <w:rsid w:val="53F74C96"/>
    <w:rsid w:val="541D223B"/>
    <w:rsid w:val="545F438F"/>
    <w:rsid w:val="54602B84"/>
    <w:rsid w:val="548E3DB8"/>
    <w:rsid w:val="54B12E18"/>
    <w:rsid w:val="54F13B29"/>
    <w:rsid w:val="55170BA8"/>
    <w:rsid w:val="552471A3"/>
    <w:rsid w:val="552615B0"/>
    <w:rsid w:val="553218C9"/>
    <w:rsid w:val="55390EB8"/>
    <w:rsid w:val="55434CEA"/>
    <w:rsid w:val="554539FD"/>
    <w:rsid w:val="554967A4"/>
    <w:rsid w:val="55943798"/>
    <w:rsid w:val="55BD684B"/>
    <w:rsid w:val="55F3226C"/>
    <w:rsid w:val="55F34962"/>
    <w:rsid w:val="56292E25"/>
    <w:rsid w:val="567E1AA5"/>
    <w:rsid w:val="568E6439"/>
    <w:rsid w:val="56CD67B5"/>
    <w:rsid w:val="56E06530"/>
    <w:rsid w:val="56E47B74"/>
    <w:rsid w:val="57175D52"/>
    <w:rsid w:val="57284198"/>
    <w:rsid w:val="57621D8D"/>
    <w:rsid w:val="578749AA"/>
    <w:rsid w:val="578B5A58"/>
    <w:rsid w:val="57BD3DD4"/>
    <w:rsid w:val="57E97DCB"/>
    <w:rsid w:val="581B3CFC"/>
    <w:rsid w:val="58372679"/>
    <w:rsid w:val="5880636C"/>
    <w:rsid w:val="58CA0FB8"/>
    <w:rsid w:val="58D04AE7"/>
    <w:rsid w:val="58E81E30"/>
    <w:rsid w:val="58E97957"/>
    <w:rsid w:val="58F2491B"/>
    <w:rsid w:val="590173E6"/>
    <w:rsid w:val="59266B6D"/>
    <w:rsid w:val="593037D7"/>
    <w:rsid w:val="594F2A06"/>
    <w:rsid w:val="596C2A61"/>
    <w:rsid w:val="59C208D3"/>
    <w:rsid w:val="59CC0D4E"/>
    <w:rsid w:val="59DF3EB6"/>
    <w:rsid w:val="5A3D09A9"/>
    <w:rsid w:val="5A470DD9"/>
    <w:rsid w:val="5A6E01C6"/>
    <w:rsid w:val="5A726E5B"/>
    <w:rsid w:val="5AB77ABD"/>
    <w:rsid w:val="5ACC7D43"/>
    <w:rsid w:val="5AF92295"/>
    <w:rsid w:val="5B0C6D0C"/>
    <w:rsid w:val="5B150ED7"/>
    <w:rsid w:val="5B250254"/>
    <w:rsid w:val="5B392E17"/>
    <w:rsid w:val="5B6A7475"/>
    <w:rsid w:val="5BC92E17"/>
    <w:rsid w:val="5BC94719"/>
    <w:rsid w:val="5BDD79E6"/>
    <w:rsid w:val="5BF31218"/>
    <w:rsid w:val="5BF561CA"/>
    <w:rsid w:val="5BF85E98"/>
    <w:rsid w:val="5BFF5DFC"/>
    <w:rsid w:val="5C2B7526"/>
    <w:rsid w:val="5C3319F4"/>
    <w:rsid w:val="5C445E6A"/>
    <w:rsid w:val="5C5773BA"/>
    <w:rsid w:val="5C6553ED"/>
    <w:rsid w:val="5C907B7A"/>
    <w:rsid w:val="5C9612B9"/>
    <w:rsid w:val="5CD71FC4"/>
    <w:rsid w:val="5D1E0517"/>
    <w:rsid w:val="5D1F11B5"/>
    <w:rsid w:val="5D695134"/>
    <w:rsid w:val="5D7A7717"/>
    <w:rsid w:val="5D83037A"/>
    <w:rsid w:val="5D911DAB"/>
    <w:rsid w:val="5DAE1B18"/>
    <w:rsid w:val="5DE132F2"/>
    <w:rsid w:val="5DE7D9E5"/>
    <w:rsid w:val="5E0A66DE"/>
    <w:rsid w:val="5E105B43"/>
    <w:rsid w:val="5E3B2A02"/>
    <w:rsid w:val="5E425832"/>
    <w:rsid w:val="5E4B5F90"/>
    <w:rsid w:val="5E4B6E46"/>
    <w:rsid w:val="5E8E347A"/>
    <w:rsid w:val="5EC9338A"/>
    <w:rsid w:val="5ECEC941"/>
    <w:rsid w:val="5ED26194"/>
    <w:rsid w:val="5EE368BA"/>
    <w:rsid w:val="5EE4327E"/>
    <w:rsid w:val="5EE92875"/>
    <w:rsid w:val="5EF13A09"/>
    <w:rsid w:val="5F0279C4"/>
    <w:rsid w:val="5F5024DD"/>
    <w:rsid w:val="5F683CCB"/>
    <w:rsid w:val="5F750196"/>
    <w:rsid w:val="5F93061C"/>
    <w:rsid w:val="5FAC5B38"/>
    <w:rsid w:val="5FBF9FF3"/>
    <w:rsid w:val="5FCA04E2"/>
    <w:rsid w:val="5FCD310F"/>
    <w:rsid w:val="5FCD4E2C"/>
    <w:rsid w:val="5FEE767C"/>
    <w:rsid w:val="5FEF394A"/>
    <w:rsid w:val="5FF67715"/>
    <w:rsid w:val="5FF7504F"/>
    <w:rsid w:val="60073A6B"/>
    <w:rsid w:val="60171CB7"/>
    <w:rsid w:val="601C3366"/>
    <w:rsid w:val="603E67DA"/>
    <w:rsid w:val="60592C21"/>
    <w:rsid w:val="6074208F"/>
    <w:rsid w:val="607B03DD"/>
    <w:rsid w:val="607E624F"/>
    <w:rsid w:val="608605A7"/>
    <w:rsid w:val="60A078D4"/>
    <w:rsid w:val="60AA3E6F"/>
    <w:rsid w:val="61306A6A"/>
    <w:rsid w:val="61652C2D"/>
    <w:rsid w:val="61654AAB"/>
    <w:rsid w:val="61870A0B"/>
    <w:rsid w:val="618B5A4F"/>
    <w:rsid w:val="61B551C2"/>
    <w:rsid w:val="620D6DAC"/>
    <w:rsid w:val="62203C3B"/>
    <w:rsid w:val="6229523A"/>
    <w:rsid w:val="62435525"/>
    <w:rsid w:val="626D7CE5"/>
    <w:rsid w:val="62B80AC5"/>
    <w:rsid w:val="62BF3928"/>
    <w:rsid w:val="62E25CE4"/>
    <w:rsid w:val="62EE098B"/>
    <w:rsid w:val="62FD6A68"/>
    <w:rsid w:val="63013E7B"/>
    <w:rsid w:val="632B6611"/>
    <w:rsid w:val="63381C06"/>
    <w:rsid w:val="6343411C"/>
    <w:rsid w:val="635B4B4A"/>
    <w:rsid w:val="63640C4D"/>
    <w:rsid w:val="63B14C20"/>
    <w:rsid w:val="63B3701E"/>
    <w:rsid w:val="63D95197"/>
    <w:rsid w:val="647F5392"/>
    <w:rsid w:val="64800672"/>
    <w:rsid w:val="64AD3BDA"/>
    <w:rsid w:val="64C319A4"/>
    <w:rsid w:val="64F60EF6"/>
    <w:rsid w:val="65001E19"/>
    <w:rsid w:val="65184F7F"/>
    <w:rsid w:val="653463FD"/>
    <w:rsid w:val="65362175"/>
    <w:rsid w:val="658C6239"/>
    <w:rsid w:val="659375C8"/>
    <w:rsid w:val="65BD4645"/>
    <w:rsid w:val="65C95A3A"/>
    <w:rsid w:val="65E66580"/>
    <w:rsid w:val="66081D64"/>
    <w:rsid w:val="66262E1D"/>
    <w:rsid w:val="664B1D71"/>
    <w:rsid w:val="664B4E8E"/>
    <w:rsid w:val="665905FC"/>
    <w:rsid w:val="665C3E5E"/>
    <w:rsid w:val="66A6332B"/>
    <w:rsid w:val="66A80E51"/>
    <w:rsid w:val="66AD46B9"/>
    <w:rsid w:val="66D41C46"/>
    <w:rsid w:val="66D9725C"/>
    <w:rsid w:val="67254250"/>
    <w:rsid w:val="67277B67"/>
    <w:rsid w:val="67670D0C"/>
    <w:rsid w:val="67925890"/>
    <w:rsid w:val="67AA3209"/>
    <w:rsid w:val="67B751C8"/>
    <w:rsid w:val="67CA2E3C"/>
    <w:rsid w:val="67D3114F"/>
    <w:rsid w:val="67DA7730"/>
    <w:rsid w:val="6817003C"/>
    <w:rsid w:val="681F67D0"/>
    <w:rsid w:val="68674F05"/>
    <w:rsid w:val="687F76CE"/>
    <w:rsid w:val="68895C5D"/>
    <w:rsid w:val="68A87665"/>
    <w:rsid w:val="690C1B6B"/>
    <w:rsid w:val="691B0EFE"/>
    <w:rsid w:val="698D0931"/>
    <w:rsid w:val="69A15835"/>
    <w:rsid w:val="69B47B0D"/>
    <w:rsid w:val="69D435AA"/>
    <w:rsid w:val="69F477BD"/>
    <w:rsid w:val="69F97043"/>
    <w:rsid w:val="6A282B5F"/>
    <w:rsid w:val="6A7FE5F3"/>
    <w:rsid w:val="6A975464"/>
    <w:rsid w:val="6ABD66AF"/>
    <w:rsid w:val="6AC10733"/>
    <w:rsid w:val="6B053271"/>
    <w:rsid w:val="6B100DD2"/>
    <w:rsid w:val="6B4F62C2"/>
    <w:rsid w:val="6B5A3003"/>
    <w:rsid w:val="6B5B6548"/>
    <w:rsid w:val="6B9474AA"/>
    <w:rsid w:val="6B9A47AC"/>
    <w:rsid w:val="6BBF2CB3"/>
    <w:rsid w:val="6BC56001"/>
    <w:rsid w:val="6BDD78B3"/>
    <w:rsid w:val="6C101972"/>
    <w:rsid w:val="6C1227AE"/>
    <w:rsid w:val="6C435E52"/>
    <w:rsid w:val="6C492DBB"/>
    <w:rsid w:val="6C4A05C8"/>
    <w:rsid w:val="6C821877"/>
    <w:rsid w:val="6C8742B8"/>
    <w:rsid w:val="6C9D3372"/>
    <w:rsid w:val="6CE54BAD"/>
    <w:rsid w:val="6D062181"/>
    <w:rsid w:val="6D100873"/>
    <w:rsid w:val="6D5D0751"/>
    <w:rsid w:val="6D842D5C"/>
    <w:rsid w:val="6D920165"/>
    <w:rsid w:val="6DA528C6"/>
    <w:rsid w:val="6DBA3368"/>
    <w:rsid w:val="6DBF5E93"/>
    <w:rsid w:val="6DFF077E"/>
    <w:rsid w:val="6E0A1258"/>
    <w:rsid w:val="6E2C05BA"/>
    <w:rsid w:val="6E69536A"/>
    <w:rsid w:val="6E714EF0"/>
    <w:rsid w:val="6E7E3605"/>
    <w:rsid w:val="6E7FDCC7"/>
    <w:rsid w:val="6E906B41"/>
    <w:rsid w:val="6E9543B1"/>
    <w:rsid w:val="6ED6A62E"/>
    <w:rsid w:val="6EE00B15"/>
    <w:rsid w:val="6EF015E7"/>
    <w:rsid w:val="6F1F0D85"/>
    <w:rsid w:val="6F2D60F4"/>
    <w:rsid w:val="6F402188"/>
    <w:rsid w:val="6F585AF5"/>
    <w:rsid w:val="6F6FB3EB"/>
    <w:rsid w:val="6F8306AD"/>
    <w:rsid w:val="6F8731EA"/>
    <w:rsid w:val="6FA81EC2"/>
    <w:rsid w:val="6FBD10E0"/>
    <w:rsid w:val="6FCE6052"/>
    <w:rsid w:val="6FD577DD"/>
    <w:rsid w:val="6FD57C00"/>
    <w:rsid w:val="6FEFFFD8"/>
    <w:rsid w:val="6FF5CC65"/>
    <w:rsid w:val="6FFB47EC"/>
    <w:rsid w:val="6FFF034A"/>
    <w:rsid w:val="701769DC"/>
    <w:rsid w:val="70314C03"/>
    <w:rsid w:val="70384FF4"/>
    <w:rsid w:val="70452A02"/>
    <w:rsid w:val="70484440"/>
    <w:rsid w:val="706202C3"/>
    <w:rsid w:val="7073669D"/>
    <w:rsid w:val="70812E3F"/>
    <w:rsid w:val="708C3591"/>
    <w:rsid w:val="70C84A9F"/>
    <w:rsid w:val="70EA44E4"/>
    <w:rsid w:val="711A6DEF"/>
    <w:rsid w:val="711C2C28"/>
    <w:rsid w:val="712A28F1"/>
    <w:rsid w:val="71337C1F"/>
    <w:rsid w:val="71402F50"/>
    <w:rsid w:val="715C0E4B"/>
    <w:rsid w:val="718633AD"/>
    <w:rsid w:val="71992E7C"/>
    <w:rsid w:val="71B42DA0"/>
    <w:rsid w:val="71F11D87"/>
    <w:rsid w:val="72213D09"/>
    <w:rsid w:val="72233669"/>
    <w:rsid w:val="72347A3D"/>
    <w:rsid w:val="72734D90"/>
    <w:rsid w:val="727B1C21"/>
    <w:rsid w:val="7280121E"/>
    <w:rsid w:val="72B702CF"/>
    <w:rsid w:val="72BB015E"/>
    <w:rsid w:val="72D33A90"/>
    <w:rsid w:val="72D82ABE"/>
    <w:rsid w:val="72E158F4"/>
    <w:rsid w:val="73025D8D"/>
    <w:rsid w:val="730D6C0C"/>
    <w:rsid w:val="73160E6D"/>
    <w:rsid w:val="7332FE48"/>
    <w:rsid w:val="733C304D"/>
    <w:rsid w:val="734B14E2"/>
    <w:rsid w:val="73AB61DA"/>
    <w:rsid w:val="73AD55C1"/>
    <w:rsid w:val="73AD73D5"/>
    <w:rsid w:val="73B6EB34"/>
    <w:rsid w:val="73F90F3E"/>
    <w:rsid w:val="73FA497D"/>
    <w:rsid w:val="74071A51"/>
    <w:rsid w:val="744731E5"/>
    <w:rsid w:val="745213E3"/>
    <w:rsid w:val="747B2A32"/>
    <w:rsid w:val="74894F81"/>
    <w:rsid w:val="74B65081"/>
    <w:rsid w:val="74BBD01D"/>
    <w:rsid w:val="74DA2B1D"/>
    <w:rsid w:val="74E801BA"/>
    <w:rsid w:val="74ED5379"/>
    <w:rsid w:val="74FA31C0"/>
    <w:rsid w:val="7507768A"/>
    <w:rsid w:val="753922F4"/>
    <w:rsid w:val="753B1060"/>
    <w:rsid w:val="75812EAD"/>
    <w:rsid w:val="75BA37DA"/>
    <w:rsid w:val="75D73501"/>
    <w:rsid w:val="75DEEEC2"/>
    <w:rsid w:val="75E32345"/>
    <w:rsid w:val="75F61EF0"/>
    <w:rsid w:val="7606723B"/>
    <w:rsid w:val="761402B1"/>
    <w:rsid w:val="765468FF"/>
    <w:rsid w:val="766617FE"/>
    <w:rsid w:val="76C770D1"/>
    <w:rsid w:val="76D3214E"/>
    <w:rsid w:val="76E3355F"/>
    <w:rsid w:val="76FF5125"/>
    <w:rsid w:val="770056C4"/>
    <w:rsid w:val="77065E4C"/>
    <w:rsid w:val="771542E1"/>
    <w:rsid w:val="7736236F"/>
    <w:rsid w:val="77640DC4"/>
    <w:rsid w:val="776F6FFA"/>
    <w:rsid w:val="778769C8"/>
    <w:rsid w:val="77A75DCA"/>
    <w:rsid w:val="77DC22F5"/>
    <w:rsid w:val="78245F88"/>
    <w:rsid w:val="783E271A"/>
    <w:rsid w:val="784A507C"/>
    <w:rsid w:val="78616DE9"/>
    <w:rsid w:val="786D3CA8"/>
    <w:rsid w:val="78E875D7"/>
    <w:rsid w:val="79086DAD"/>
    <w:rsid w:val="791C679A"/>
    <w:rsid w:val="797C4840"/>
    <w:rsid w:val="798778C7"/>
    <w:rsid w:val="79940632"/>
    <w:rsid w:val="79B55907"/>
    <w:rsid w:val="79CD2C51"/>
    <w:rsid w:val="79D7FD79"/>
    <w:rsid w:val="79E30BDB"/>
    <w:rsid w:val="79EE5BA4"/>
    <w:rsid w:val="7A2A69EA"/>
    <w:rsid w:val="7A2B26BA"/>
    <w:rsid w:val="7A542CE8"/>
    <w:rsid w:val="7A707A80"/>
    <w:rsid w:val="7A810FFC"/>
    <w:rsid w:val="7A894339"/>
    <w:rsid w:val="7A9609AA"/>
    <w:rsid w:val="7A9C2623"/>
    <w:rsid w:val="7AAD0720"/>
    <w:rsid w:val="7AC810FF"/>
    <w:rsid w:val="7AD284E8"/>
    <w:rsid w:val="7AD41DBD"/>
    <w:rsid w:val="7AFF7572"/>
    <w:rsid w:val="7B4E5EB8"/>
    <w:rsid w:val="7B6C7DFB"/>
    <w:rsid w:val="7B744D1A"/>
    <w:rsid w:val="7BBFBED0"/>
    <w:rsid w:val="7BC3E394"/>
    <w:rsid w:val="7C1F3737"/>
    <w:rsid w:val="7C457EE7"/>
    <w:rsid w:val="7C61195D"/>
    <w:rsid w:val="7C72188D"/>
    <w:rsid w:val="7C7272D0"/>
    <w:rsid w:val="7CB02B98"/>
    <w:rsid w:val="7CBFC87B"/>
    <w:rsid w:val="7CC3658D"/>
    <w:rsid w:val="7CCC3693"/>
    <w:rsid w:val="7CCE5A9F"/>
    <w:rsid w:val="7CE4229A"/>
    <w:rsid w:val="7CEF1130"/>
    <w:rsid w:val="7CF50079"/>
    <w:rsid w:val="7CFE0F48"/>
    <w:rsid w:val="7D0B7ECF"/>
    <w:rsid w:val="7D252DA4"/>
    <w:rsid w:val="7D272ABC"/>
    <w:rsid w:val="7D7EC23E"/>
    <w:rsid w:val="7DB66A83"/>
    <w:rsid w:val="7DBA50D3"/>
    <w:rsid w:val="7DE642E1"/>
    <w:rsid w:val="7DFD66CD"/>
    <w:rsid w:val="7E1178E2"/>
    <w:rsid w:val="7E4B05E8"/>
    <w:rsid w:val="7E520CE5"/>
    <w:rsid w:val="7E70004F"/>
    <w:rsid w:val="7E7A42F4"/>
    <w:rsid w:val="7E867872"/>
    <w:rsid w:val="7E8ADEBF"/>
    <w:rsid w:val="7EEF11D3"/>
    <w:rsid w:val="7EFE4840"/>
    <w:rsid w:val="7F052E8D"/>
    <w:rsid w:val="7F0971A6"/>
    <w:rsid w:val="7F144E7E"/>
    <w:rsid w:val="7F160230"/>
    <w:rsid w:val="7F1D62E7"/>
    <w:rsid w:val="7F215C79"/>
    <w:rsid w:val="7F343772"/>
    <w:rsid w:val="7F3F679B"/>
    <w:rsid w:val="7F4FC4EF"/>
    <w:rsid w:val="7F5E4D54"/>
    <w:rsid w:val="7F680525"/>
    <w:rsid w:val="7F6E0135"/>
    <w:rsid w:val="7F79F205"/>
    <w:rsid w:val="7FA30C79"/>
    <w:rsid w:val="7FA67453"/>
    <w:rsid w:val="7FA79C44"/>
    <w:rsid w:val="7FAF8ABF"/>
    <w:rsid w:val="7FB7269E"/>
    <w:rsid w:val="7FC96657"/>
    <w:rsid w:val="7FD665D7"/>
    <w:rsid w:val="7FDA9588"/>
    <w:rsid w:val="7FDF220F"/>
    <w:rsid w:val="7FE90D2C"/>
    <w:rsid w:val="7FE9630A"/>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qFormat/>
    <w:uiPriority w:val="0"/>
    <w:pPr>
      <w:spacing w:after="120"/>
      <w:ind w:leftChars="200"/>
    </w:pPr>
    <w:rPr>
      <w:rFonts w:ascii="仿宋_GB2312"/>
      <w:szCs w:val="32"/>
    </w:rPr>
  </w:style>
  <w:style w:type="paragraph" w:styleId="8">
    <w:name w:val="Body Text"/>
    <w:basedOn w:val="1"/>
    <w:link w:val="26"/>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2"/>
    <w:semiHidden/>
    <w:unhideWhenUsed/>
    <w:qFormat/>
    <w:uiPriority w:val="99"/>
    <w:rPr>
      <w:sz w:val="18"/>
      <w:szCs w:val="18"/>
    </w:rPr>
  </w:style>
  <w:style w:type="paragraph" w:styleId="11">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able of figures"/>
    <w:basedOn w:val="1"/>
    <w:next w:val="1"/>
    <w:qFormat/>
    <w:uiPriority w:val="0"/>
    <w:pPr>
      <w:ind w:left="400" w:leftChars="200" w:hanging="200" w:hangingChars="200"/>
    </w:p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2"/>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1"/>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8"/>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5"/>
    <w:qFormat/>
    <w:uiPriority w:val="9"/>
    <w:rPr>
      <w:rFonts w:ascii="Times New Roman" w:hAnsi="Times New Roman"/>
      <w:b/>
      <w:bCs/>
      <w:kern w:val="44"/>
      <w:sz w:val="44"/>
      <w:szCs w:val="44"/>
    </w:rPr>
  </w:style>
  <w:style w:type="character" w:customStyle="1" w:styleId="30">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1">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10"/>
    <w:semiHidden/>
    <w:qFormat/>
    <w:uiPriority w:val="99"/>
    <w:rPr>
      <w:rFonts w:ascii="Times New Roman" w:hAnsi="Times New Roman"/>
      <w:kern w:val="2"/>
      <w:sz w:val="18"/>
      <w:szCs w:val="18"/>
    </w:rPr>
  </w:style>
  <w:style w:type="character" w:customStyle="1" w:styleId="33">
    <w:name w:val="标题 3 Char"/>
    <w:basedOn w:val="17"/>
    <w:link w:val="7"/>
    <w:qFormat/>
    <w:uiPriority w:val="9"/>
    <w:rPr>
      <w:rFonts w:ascii="Times New Roman" w:hAnsi="Times New Roman"/>
      <w:b/>
      <w:bCs/>
      <w:kern w:val="2"/>
      <w:sz w:val="32"/>
      <w:szCs w:val="32"/>
    </w:rPr>
  </w:style>
  <w:style w:type="paragraph" w:customStyle="1" w:styleId="34">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emf"/><Relationship Id="rId13" Type="http://schemas.openxmlformats.org/officeDocument/2006/relationships/oleObject" Target="embeddings/oleObject1.bin"/><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Win10-2023XPIDP\Desktop\0000&#20195;&#31649;&#36164;&#37329;.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Win10-2023XPIDP\Desktop\0000&#20195;&#31649;&#36164;&#37329;.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Win10-2023XPIDP\Desktop\0000&#20195;&#31649;&#36164;&#37329;.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Win10-2023XPIDP\Desktop\0000&#20195;&#31649;&#36164;&#37329;.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Win10-2023XPIDP\Desktop\0000&#20195;&#31649;&#36164;&#37329;.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Win10-2023XPIDP\Desktop\0000&#20195;&#31649;&#36164;&#3732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t>收入、支出决算总计</a:t>
            </a:r>
          </a:p>
        </c:rich>
      </c:tx>
      <c:layout>
        <c:manualLayout>
          <c:xMode val="edge"/>
          <c:yMode val="edge"/>
          <c:x val="0.17750805152979"/>
          <c:y val="0.0191153297153678"/>
        </c:manualLayout>
      </c:layout>
      <c:overlay val="0"/>
      <c:spPr>
        <a:noFill/>
        <a:ln>
          <a:noFill/>
        </a:ln>
        <a:effectLst/>
      </c:spPr>
    </c:title>
    <c:autoTitleDeleted val="0"/>
    <c:plotArea>
      <c:layout>
        <c:manualLayout>
          <c:layoutTarget val="inner"/>
          <c:xMode val="edge"/>
          <c:yMode val="edge"/>
          <c:x val="0.16325"/>
          <c:y val="0.169009216861227"/>
          <c:w val="0.804111111111111"/>
          <c:h val="0.592731481481481"/>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[0000代管资金.xlsx]Sheet2!$A$1:$B$1</c:f>
              <c:strCache>
                <c:ptCount val="2"/>
                <c:pt idx="0">
                  <c:v>2023年收入、支出决算总计</c:v>
                </c:pt>
                <c:pt idx="1">
                  <c:v>2024年收入、支出决算总计</c:v>
                </c:pt>
              </c:strCache>
            </c:strRef>
          </c:cat>
          <c:val>
            <c:numRef>
              <c:f>[0000代管资金.xlsx]Sheet2!$A$2:$B$2</c:f>
              <c:numCache>
                <c:formatCode>General</c:formatCode>
                <c:ptCount val="2"/>
                <c:pt idx="0">
                  <c:v>1716.89</c:v>
                </c:pt>
                <c:pt idx="1">
                  <c:v>1793.31</c:v>
                </c:pt>
              </c:numCache>
            </c:numRef>
          </c:val>
        </c:ser>
        <c:dLbls>
          <c:showLegendKey val="0"/>
          <c:showVal val="1"/>
          <c:showCatName val="0"/>
          <c:showSerName val="0"/>
          <c:showPercent val="0"/>
          <c:showBubbleSize val="0"/>
        </c:dLbls>
        <c:gapWidth val="164"/>
        <c:overlap val="-22"/>
        <c:axId val="527728607"/>
        <c:axId val="781549182"/>
      </c:barChart>
      <c:catAx>
        <c:axId val="527728607"/>
        <c:scaling>
          <c:orientation val="minMax"/>
        </c:scaling>
        <c:delete val="0"/>
        <c:axPos val="b"/>
        <c:title>
          <c:tx>
            <c:rich>
              <a:bodyPr rot="0" spcFirstLastPara="0" vertOverflow="ellipsis" vert="horz" wrap="square" anchor="ctr" anchorCtr="1"/>
              <a:lstStyle/>
              <a:p>
                <a:pPr defTabSz="914400">
                  <a:defRPr lang="zh-CN" sz="900" b="1" i="0" u="none" strike="noStrike" kern="1200" baseline="0">
                    <a:solidFill>
                      <a:schemeClr val="tx1">
                        <a:lumMod val="65000"/>
                        <a:lumOff val="35000"/>
                      </a:schemeClr>
                    </a:solidFill>
                    <a:latin typeface="+mn-lt"/>
                    <a:ea typeface="+mn-ea"/>
                    <a:cs typeface="+mn-cs"/>
                  </a:defRPr>
                </a:pPr>
                <a:r>
                  <a:t>收入、支出决算总表（单位：万元）</a:t>
                </a:r>
              </a:p>
            </c:rich>
          </c:tx>
          <c:layout/>
          <c:overlay val="0"/>
          <c:spPr>
            <a:noFill/>
            <a:ln>
              <a:noFill/>
            </a:ln>
            <a:effectLst/>
          </c:spPr>
        </c:title>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549182"/>
        <c:crosses val="autoZero"/>
        <c:auto val="1"/>
        <c:lblAlgn val="ctr"/>
        <c:lblOffset val="100"/>
        <c:noMultiLvlLbl val="0"/>
      </c:catAx>
      <c:valAx>
        <c:axId val="78154918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728607"/>
        <c:crosses val="autoZero"/>
        <c:crossBetween val="between"/>
      </c:valAx>
      <c:spPr>
        <a:noFill/>
        <a:ln>
          <a:noFill/>
        </a:ln>
        <a:effectLst/>
      </c:spPr>
    </c:plotArea>
    <c:plotVisOnly val="1"/>
    <c:dispBlanksAs val="gap"/>
    <c:showDLblsOverMax val="0"/>
    <c:extLst>
      <c:ext uri="{0b15fc19-7d7d-44ad-8c2d-2c3a37ce22c3}">
        <chartProps xmlns="https://web.wps.cn/et/2018/main" chartId="{35703e4f-ae2d-4ad8-b796-3f27f523fc1a}"/>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本年收入（单位：万元）</a:t>
            </a:r>
          </a:p>
        </c:rich>
      </c:tx>
      <c:layout>
        <c:manualLayout>
          <c:xMode val="edge"/>
          <c:yMode val="edge"/>
          <c:x val="0.281388888888889"/>
          <c:y val="0.0303240740740741"/>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[0000代管资金.xlsx]Sheet2!$A$1:$B$1</c:f>
              <c:strCache>
                <c:ptCount val="2"/>
                <c:pt idx="0">
                  <c:v>一般公共预算财政拨款收入</c:v>
                </c:pt>
                <c:pt idx="1">
                  <c:v>政府性基金预算财政拨款收入</c:v>
                </c:pt>
              </c:strCache>
            </c:strRef>
          </c:cat>
          <c:val>
            <c:numRef>
              <c:f>[0000代管资金.xlsx]Sheet2!$A$2:$B$2</c:f>
              <c:numCache>
                <c:formatCode>General</c:formatCode>
                <c:ptCount val="2"/>
                <c:pt idx="0">
                  <c:v>1793.31</c:v>
                </c:pt>
                <c:pt idx="1">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51f82798-bdc0-4dfc-af42-727787df7168}"/>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本年支出（单位：万元）</a:t>
            </a:r>
          </a:p>
        </c:rich>
      </c:tx>
      <c:layout>
        <c:manualLayout>
          <c:xMode val="edge"/>
          <c:yMode val="edge"/>
          <c:x val="0.164495501009026"/>
          <c:y val="0.05908588255982"/>
        </c:manualLayout>
      </c:layout>
      <c:overlay val="0"/>
      <c:spPr>
        <a:noFill/>
        <a:ln>
          <a:noFill/>
        </a:ln>
        <a:effectLst/>
      </c:spPr>
    </c:title>
    <c:autoTitleDeleted val="0"/>
    <c:plotArea>
      <c:layout>
        <c:manualLayout>
          <c:layoutTarget val="inner"/>
          <c:xMode val="edge"/>
          <c:yMode val="edge"/>
          <c:x val="0.203956582633053"/>
          <c:y val="0.255661501787843"/>
          <c:w val="0.398809523809524"/>
          <c:h val="0.678784266984505"/>
        </c:manualLayout>
      </c:layout>
      <c:pieChart>
        <c:varyColors val="1"/>
        <c:ser>
          <c:idx val="0"/>
          <c:order val="0"/>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dLbl>
              <c:idx val="0"/>
              <c:layout>
                <c:manualLayout>
                  <c:x val="-0.130612816048432"/>
                  <c:y val="0.051710523284238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dLbl>
              <c:idx val="1"/>
              <c:layout>
                <c:manualLayout>
                  <c:x val="0.155106612868408"/>
                  <c:y val="-0.170749667064649"/>
                </c:manualLayout>
              </c:layout>
              <c:dLblPos val="bestFit"/>
              <c:showLegendKey val="0"/>
              <c:showVal val="1"/>
              <c:showCatName val="0"/>
              <c:showSerName val="0"/>
              <c:showPercent val="1"/>
              <c:showBubbleSize val="0"/>
              <c:extLst>
                <c:ext xmlns:c15="http://schemas.microsoft.com/office/drawing/2012/chart" uri="{CE6537A1-D6FC-4f65-9D91-7224C49458BB}">
                  <c15:layout/>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[0000代管资金.xlsx]Sheet2!$A$1:$B$1</c:f>
              <c:strCache>
                <c:ptCount val="2"/>
                <c:pt idx="0">
                  <c:v>基本支出</c:v>
                </c:pt>
                <c:pt idx="1">
                  <c:v>项目支出</c:v>
                </c:pt>
              </c:strCache>
            </c:strRef>
          </c:cat>
          <c:val>
            <c:numRef>
              <c:f>[0000代管资金.xlsx]Sheet2!$A$2:$B$2</c:f>
              <c:numCache>
                <c:formatCode>General</c:formatCode>
                <c:ptCount val="2"/>
                <c:pt idx="0">
                  <c:v>874.91</c:v>
                </c:pt>
                <c:pt idx="1">
                  <c:v>918.39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extLst>
      <c:ext uri="{0b15fc19-7d7d-44ad-8c2d-2c3a37ce22c3}">
        <chartProps xmlns="https://web.wps.cn/et/2018/main" chartId="{1d2c77b6-2f2a-45e1-8176-7abc83be3131}"/>
      </c:ext>
    </c:extLst>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cap="all" spc="150" baseline="0">
                <a:solidFill>
                  <a:schemeClr val="tx1">
                    <a:lumMod val="50000"/>
                    <a:lumOff val="50000"/>
                  </a:schemeClr>
                </a:solidFill>
                <a:latin typeface="+mn-lt"/>
                <a:ea typeface="+mn-ea"/>
                <a:cs typeface="+mn-cs"/>
              </a:defRPr>
            </a:pPr>
            <a:r>
              <a:t>收入、支出决算总计</a:t>
            </a:r>
          </a:p>
        </c:rich>
      </c:tx>
      <c:layout>
        <c:manualLayout>
          <c:xMode val="edge"/>
          <c:yMode val="edge"/>
          <c:x val="0.244013687600643"/>
          <c:y val="0.00763164589163063"/>
        </c:manualLayout>
      </c:layout>
      <c:overlay val="0"/>
      <c:spPr>
        <a:noFill/>
        <a:ln>
          <a:noFill/>
        </a:ln>
        <a:effectLst/>
      </c:spPr>
    </c:title>
    <c:autoTitleDeleted val="0"/>
    <c:plotArea>
      <c:layout>
        <c:manualLayout>
          <c:layoutTarget val="inner"/>
          <c:xMode val="edge"/>
          <c:yMode val="edge"/>
          <c:x val="0.191057971014493"/>
          <c:y val="0.0353599592978886"/>
          <c:w val="0.804111111111111"/>
          <c:h val="0.592731481481481"/>
        </c:manualLayout>
      </c:layout>
      <c:barChart>
        <c:barDir val="col"/>
        <c:grouping val="clustered"/>
        <c:varyColors val="0"/>
        <c:ser>
          <c:idx val="0"/>
          <c:order val="0"/>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[0000代管资金.xlsx]Sheet2!$A$1:$B$1</c:f>
              <c:strCache>
                <c:ptCount val="2"/>
                <c:pt idx="0">
                  <c:v>2023年收入、支出决算总计</c:v>
                </c:pt>
                <c:pt idx="1">
                  <c:v>2024年收入、支出决算总计</c:v>
                </c:pt>
              </c:strCache>
            </c:strRef>
          </c:cat>
          <c:val>
            <c:numRef>
              <c:f>[0000代管资金.xlsx]Sheet2!$A$2:$B$2</c:f>
              <c:numCache>
                <c:formatCode>General</c:formatCode>
                <c:ptCount val="2"/>
                <c:pt idx="0">
                  <c:v>1716.89</c:v>
                </c:pt>
                <c:pt idx="1">
                  <c:v>1793.31</c:v>
                </c:pt>
              </c:numCache>
            </c:numRef>
          </c:val>
        </c:ser>
        <c:dLbls>
          <c:showLegendKey val="0"/>
          <c:showVal val="1"/>
          <c:showCatName val="0"/>
          <c:showSerName val="0"/>
          <c:showPercent val="0"/>
          <c:showBubbleSize val="0"/>
        </c:dLbls>
        <c:gapWidth val="164"/>
        <c:overlap val="-22"/>
        <c:axId val="527728607"/>
        <c:axId val="781549182"/>
      </c:barChart>
      <c:catAx>
        <c:axId val="527728607"/>
        <c:scaling>
          <c:orientation val="minMax"/>
        </c:scaling>
        <c:delete val="0"/>
        <c:axPos val="b"/>
        <c:title>
          <c:tx>
            <c:rich>
              <a:bodyPr rot="0" spcFirstLastPara="0" vertOverflow="ellipsis" vert="horz" wrap="square" anchor="ctr" anchorCtr="1"/>
              <a:lstStyle/>
              <a:p>
                <a:pPr defTabSz="914400">
                  <a:defRPr lang="zh-CN" sz="900" b="1" i="0" u="none" strike="noStrike" kern="1200" baseline="0">
                    <a:solidFill>
                      <a:schemeClr val="tx1">
                        <a:lumMod val="65000"/>
                        <a:lumOff val="35000"/>
                      </a:schemeClr>
                    </a:solidFill>
                    <a:latin typeface="+mn-lt"/>
                    <a:ea typeface="+mn-ea"/>
                    <a:cs typeface="+mn-cs"/>
                  </a:defRPr>
                </a:pPr>
                <a:r>
                  <a:t>收入、支出决算总表（单位：万元）</a:t>
                </a:r>
              </a:p>
            </c:rich>
          </c:tx>
          <c:layout/>
          <c:overlay val="0"/>
          <c:spPr>
            <a:noFill/>
            <a:ln>
              <a:noFill/>
            </a:ln>
            <a:effectLst/>
          </c:spPr>
        </c:title>
        <c:majorTickMark val="none"/>
        <c:minorTickMark val="none"/>
        <c:tickLblPos val="nextTo"/>
        <c:spPr>
          <a:noFill/>
          <a:ln w="19050" cap="flat" cmpd="sng" algn="ctr">
            <a:solidFill>
              <a:schemeClr val="tx1">
                <a:lumMod val="25000"/>
                <a:lumOff val="7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81549182"/>
        <c:crosses val="autoZero"/>
        <c:auto val="1"/>
        <c:lblAlgn val="ctr"/>
        <c:lblOffset val="100"/>
        <c:noMultiLvlLbl val="0"/>
      </c:catAx>
      <c:valAx>
        <c:axId val="781549182"/>
        <c:scaling>
          <c:orientation val="minMax"/>
        </c:scaling>
        <c:delete val="0"/>
        <c:axPos val="l"/>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27728607"/>
        <c:crosses val="autoZero"/>
        <c:crossBetween val="between"/>
      </c:valAx>
      <c:spPr>
        <a:noFill/>
        <a:ln>
          <a:noFill/>
        </a:ln>
        <a:effectLst/>
      </c:spPr>
    </c:plotArea>
    <c:plotVisOnly val="1"/>
    <c:dispBlanksAs val="gap"/>
    <c:showDLblsOverMax val="0"/>
    <c:extLst>
      <c:ext uri="{0b15fc19-7d7d-44ad-8c2d-2c3a37ce22c3}">
        <chartProps xmlns="https://web.wps.cn/et/2018/main" chartId="{50f7e18f-8047-48a9-8520-d9539914c2b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780" b="0" i="0" u="none" strike="noStrike" kern="1200" spc="0" baseline="0">
                <a:solidFill>
                  <a:schemeClr val="tx1">
                    <a:lumMod val="65000"/>
                    <a:lumOff val="35000"/>
                  </a:schemeClr>
                </a:solidFill>
                <a:latin typeface="+mn-lt"/>
                <a:ea typeface="+mn-ea"/>
                <a:cs typeface="+mn-cs"/>
              </a:defRPr>
            </a:pPr>
            <a:r>
              <a:rPr sz="780"/>
              <a:t>一般公共预算财政拨款支出决算变动情况（单位：万元</a:t>
            </a:r>
            <a:r>
              <a:rPr lang="en-US" altLang="zh-CN" sz="780"/>
              <a:t>)</a:t>
            </a:r>
            <a:endParaRPr lang="en-US" altLang="zh-CN" sz="780"/>
          </a:p>
        </c:rich>
      </c:tx>
      <c:layout/>
      <c:overlay val="0"/>
      <c:spPr>
        <a:noFill/>
        <a:ln>
          <a:noFill/>
        </a:ln>
        <a:effectLst/>
      </c:spPr>
    </c:title>
    <c:autoTitleDeleted val="0"/>
    <c:plotArea>
      <c:layout>
        <c:manualLayout>
          <c:layoutTarget val="inner"/>
          <c:xMode val="edge"/>
          <c:yMode val="edge"/>
          <c:x val="0.0777222222222222"/>
          <c:y val="0.192592592592593"/>
          <c:w val="0.882"/>
          <c:h val="0.711666666666667"/>
        </c:manualLayout>
      </c:layout>
      <c:barChart>
        <c:barDir val="col"/>
        <c:grouping val="clustered"/>
        <c:varyColors val="0"/>
        <c:ser>
          <c:idx val="0"/>
          <c:order val="0"/>
          <c:tx>
            <c:strRef>
              <c:f>[0000代管资金.xlsx]Sheet2!$B$1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65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[0000代管资金.xlsx]Sheet2!$A$2:$A$3</c:f>
              <c:strCache>
                <c:ptCount val="2"/>
                <c:pt idx="0">
                  <c:v>2023年</c:v>
                </c:pt>
                <c:pt idx="1">
                  <c:v>2024年</c:v>
                </c:pt>
              </c:strCache>
            </c:strRef>
          </c:cat>
          <c:val>
            <c:numRef>
              <c:f>[0000代管资金.xlsx]Sheet2!$B$2:$B$3</c:f>
              <c:numCache>
                <c:formatCode>General</c:formatCode>
                <c:ptCount val="2"/>
                <c:pt idx="0">
                  <c:v>1710.89</c:v>
                </c:pt>
                <c:pt idx="1">
                  <c:v>1793.31</c:v>
                </c:pt>
              </c:numCache>
            </c:numRef>
          </c:val>
        </c:ser>
        <c:dLbls>
          <c:showLegendKey val="0"/>
          <c:showVal val="1"/>
          <c:showCatName val="0"/>
          <c:showSerName val="0"/>
          <c:showPercent val="0"/>
          <c:showBubbleSize val="0"/>
        </c:dLbls>
        <c:gapWidth val="219"/>
        <c:overlap val="-27"/>
        <c:axId val="778933662"/>
        <c:axId val="78766265"/>
      </c:barChart>
      <c:catAx>
        <c:axId val="77893366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650" b="0" i="0" u="none" strike="noStrike" kern="1200" baseline="0">
                <a:solidFill>
                  <a:schemeClr val="tx1">
                    <a:lumMod val="65000"/>
                    <a:lumOff val="35000"/>
                  </a:schemeClr>
                </a:solidFill>
                <a:latin typeface="+mn-lt"/>
                <a:ea typeface="+mn-ea"/>
                <a:cs typeface="+mn-cs"/>
              </a:defRPr>
            </a:pPr>
          </a:p>
        </c:txPr>
        <c:crossAx val="78766265"/>
        <c:crosses val="autoZero"/>
        <c:auto val="1"/>
        <c:lblAlgn val="ctr"/>
        <c:lblOffset val="100"/>
        <c:noMultiLvlLbl val="0"/>
      </c:catAx>
      <c:valAx>
        <c:axId val="787662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650" b="0" i="0" u="none" strike="noStrike" kern="1200" baseline="0">
                <a:solidFill>
                  <a:schemeClr val="tx1">
                    <a:lumMod val="65000"/>
                    <a:lumOff val="35000"/>
                  </a:schemeClr>
                </a:solidFill>
                <a:latin typeface="+mn-lt"/>
                <a:ea typeface="+mn-ea"/>
                <a:cs typeface="+mn-cs"/>
              </a:defRPr>
            </a:pPr>
          </a:p>
        </c:txPr>
        <c:crossAx val="778933662"/>
        <c:crosses val="autoZero"/>
        <c:crossBetween val="between"/>
      </c:valAx>
      <c:spPr>
        <a:noFill/>
        <a:ln>
          <a:noFill/>
        </a:ln>
        <a:effectLst/>
      </c:spPr>
    </c:plotArea>
    <c:plotVisOnly val="1"/>
    <c:dispBlanksAs val="gap"/>
    <c:showDLblsOverMax val="0"/>
    <c:extLst>
      <c:ext uri="{0b15fc19-7d7d-44ad-8c2d-2c3a37ce22c3}">
        <chartProps xmlns="https://web.wps.cn/et/2018/main" chartId="{9dc3a70b-5f11-4a0b-9c99-4bfd75195fb7}"/>
      </c:ext>
    </c:extLst>
  </c:chart>
  <c:spPr>
    <a:solidFill>
      <a:schemeClr val="bg1"/>
    </a:solidFill>
    <a:ln w="9525" cap="flat" cmpd="sng" algn="ctr">
      <a:solidFill>
        <a:schemeClr val="tx1">
          <a:lumMod val="15000"/>
          <a:lumOff val="85000"/>
        </a:schemeClr>
      </a:solidFill>
      <a:round/>
    </a:ln>
    <a:effectLst/>
  </c:spPr>
  <c:txPr>
    <a:bodyPr/>
    <a:lstStyle/>
    <a:p>
      <a:pPr>
        <a:defRPr lang="zh-CN" sz="650"/>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80" b="0" i="0" u="none" strike="noStrike" kern="1200" spc="0" baseline="0">
                <a:solidFill>
                  <a:schemeClr val="tx1">
                    <a:lumMod val="65000"/>
                    <a:lumOff val="35000"/>
                  </a:schemeClr>
                </a:solidFill>
                <a:latin typeface="+mn-lt"/>
                <a:ea typeface="+mn-ea"/>
                <a:cs typeface="+mn-cs"/>
              </a:defRPr>
            </a:pPr>
            <a:r>
              <a:rPr sz="1080" b="1"/>
              <a:t>一般公共预算财政拨款支出决算结构</a:t>
            </a:r>
            <a:endParaRPr sz="1080" b="1"/>
          </a:p>
        </c:rich>
      </c:tx>
      <c:layout>
        <c:manualLayout>
          <c:xMode val="edge"/>
          <c:yMode val="edge"/>
          <c:x val="0.139305555555555"/>
          <c:y val="0.0178296956655395"/>
        </c:manualLayout>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64030763163084"/>
          <c:y val="0.227543805717799"/>
          <c:w val="0.803644251626898"/>
          <c:h val="0.289455886873655"/>
        </c:manualLayout>
      </c:layout>
      <c:pie3DChart>
        <c:varyColors val="1"/>
        <c:ser>
          <c:idx val="0"/>
          <c:order val="0"/>
          <c:spPr/>
          <c:explosion val="0"/>
          <c:dPt>
            <c:idx val="0"/>
            <c:bubble3D val="0"/>
            <c:spPr>
              <a:solidFill>
                <a:schemeClr val="accent1"/>
              </a:solidFill>
              <a:ln w="25400">
                <a:solidFill>
                  <a:schemeClr val="lt1"/>
                </a:solidFill>
              </a:ln>
              <a:effectLst/>
            </c:spPr>
          </c:dPt>
          <c:dPt>
            <c:idx val="1"/>
            <c:bubble3D val="0"/>
            <c:spPr>
              <a:solidFill>
                <a:schemeClr val="accent2"/>
              </a:solidFill>
              <a:ln w="25400">
                <a:solidFill>
                  <a:schemeClr val="lt1"/>
                </a:solidFill>
              </a:ln>
              <a:effectLst/>
            </c:spPr>
          </c:dPt>
          <c:dPt>
            <c:idx val="2"/>
            <c:bubble3D val="0"/>
            <c:spPr>
              <a:solidFill>
                <a:schemeClr val="accent3"/>
              </a:solidFill>
              <a:ln w="25400">
                <a:solidFill>
                  <a:schemeClr val="lt1"/>
                </a:solidFill>
              </a:ln>
              <a:effectLst/>
            </c:spPr>
          </c:dPt>
          <c:dPt>
            <c:idx val="3"/>
            <c:bubble3D val="0"/>
            <c:spPr>
              <a:solidFill>
                <a:schemeClr val="accent4"/>
              </a:solidFill>
              <a:ln w="25400">
                <a:solidFill>
                  <a:schemeClr val="lt1"/>
                </a:solidFill>
              </a:ln>
              <a:effectLst/>
            </c:spPr>
          </c:dPt>
          <c:dPt>
            <c:idx val="4"/>
            <c:bubble3D val="0"/>
            <c:spPr>
              <a:solidFill>
                <a:schemeClr val="accent5"/>
              </a:solidFill>
              <a:ln w="25400">
                <a:solidFill>
                  <a:schemeClr val="lt1"/>
                </a:solidFill>
              </a:ln>
              <a:effectLst/>
            </c:spPr>
          </c:dPt>
          <c:dPt>
            <c:idx val="5"/>
            <c:bubble3D val="0"/>
            <c:spPr>
              <a:solidFill>
                <a:schemeClr val="accent6"/>
              </a:solidFill>
              <a:ln w="25400">
                <a:solidFill>
                  <a:schemeClr val="lt1"/>
                </a:solidFill>
              </a:ln>
              <a:effectLst/>
            </c:spPr>
          </c:dPt>
          <c:dPt>
            <c:idx val="6"/>
            <c:bubble3D val="0"/>
            <c:spPr>
              <a:solidFill>
                <a:schemeClr val="accent1">
                  <a:lumMod val="60000"/>
                </a:schemeClr>
              </a:solidFill>
              <a:ln w="2540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[0000代管资金.xlsx]Sheet2!$A$1:$A$7</c:f>
              <c:strCache>
                <c:ptCount val="7"/>
                <c:pt idx="0">
                  <c:v>一般公共服务支出</c:v>
                </c:pt>
                <c:pt idx="1">
                  <c:v>文化旅游体育与传媒支出</c:v>
                </c:pt>
                <c:pt idx="2">
                  <c:v>社会保障和就业支出</c:v>
                </c:pt>
                <c:pt idx="3">
                  <c:v>卫生健康支出</c:v>
                </c:pt>
                <c:pt idx="4">
                  <c:v>住房保障支出</c:v>
                </c:pt>
                <c:pt idx="5">
                  <c:v>农林水支出</c:v>
                </c:pt>
                <c:pt idx="6">
                  <c:v>灾害防治及应急管理支出</c:v>
                </c:pt>
              </c:strCache>
            </c:strRef>
          </c:cat>
          <c:val>
            <c:numRef>
              <c:f>[0000代管资金.xlsx]Sheet2!$B$1:$B$7</c:f>
              <c:numCache>
                <c:formatCode>General</c:formatCode>
                <c:ptCount val="7"/>
                <c:pt idx="0">
                  <c:v>537.91</c:v>
                </c:pt>
                <c:pt idx="1">
                  <c:v>18.46</c:v>
                </c:pt>
                <c:pt idx="2">
                  <c:v>117.02</c:v>
                </c:pt>
                <c:pt idx="3">
                  <c:v>50.08</c:v>
                </c:pt>
                <c:pt idx="4">
                  <c:v>65.47</c:v>
                </c:pt>
                <c:pt idx="5">
                  <c:v>994.36</c:v>
                </c:pt>
                <c:pt idx="6">
                  <c:v>10</c:v>
                </c:pt>
              </c:numCache>
            </c:numRef>
          </c:val>
        </c:ser>
        <c:dLbls>
          <c:showLegendKey val="0"/>
          <c:showVal val="1"/>
          <c:showCatName val="0"/>
          <c:showSerName val="0"/>
          <c:showPercent val="0"/>
          <c:showBubbleSize val="0"/>
        </c:dLbls>
      </c:pie3DChart>
      <c:spPr>
        <a:noFill/>
        <a:ln>
          <a:noFill/>
        </a:ln>
        <a:effectLst/>
      </c:spPr>
    </c:plotArea>
    <c:legend>
      <c:legendPos val="b"/>
      <c:legendEntry>
        <c:idx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1"/>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2"/>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3"/>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4"/>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5"/>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egendEntry>
        <c:idx val="6"/>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Entry>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0efc041-8ecd-4855-9a0b-af90b42ecc3e}"/>
      </c:ext>
    </c:extLst>
  </c:chart>
  <c:spPr>
    <a:solidFill>
      <a:schemeClr val="bg1"/>
    </a:solidFill>
    <a:ln w="9525" cap="flat" cmpd="sng" algn="ctr">
      <a:solidFill>
        <a:schemeClr val="tx1">
          <a:lumMod val="15000"/>
          <a:lumOff val="85000"/>
        </a:schemeClr>
      </a:solidFill>
      <a:round/>
    </a:ln>
    <a:effectLst/>
  </c:spPr>
  <c:txPr>
    <a:bodyPr/>
    <a:lstStyle/>
    <a:p>
      <a:pPr>
        <a:defRPr lang="zh-CN" sz="900"/>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53</Pages>
  <Words>13688</Words>
  <Characters>14695</Characters>
  <Lines>61</Lines>
  <Paragraphs>17</Paragraphs>
  <TotalTime>0</TotalTime>
  <ScaleCrop>false</ScaleCrop>
  <LinksUpToDate>false</LinksUpToDate>
  <CharactersWithSpaces>15007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WPS_1494997244</cp:lastModifiedBy>
  <cp:lastPrinted>2025-08-06T17:34:00Z</cp:lastPrinted>
  <dcterms:modified xsi:type="dcterms:W3CDTF">2025-09-29T06:48:33Z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8A669DA5036B4B4284CA4D05F8F67DD0_13</vt:lpwstr>
  </property>
  <property fmtid="{D5CDD505-2E9C-101B-9397-08002B2CF9AE}" pid="4" name="KSOTemplateDocerSaveRecord">
    <vt:lpwstr>eyJoZGlkIjoiMmRlMDUzYTA2YTQ2NDg3MWFkNTVkN2E1Y2ViMmQxNTciLCJ1c2VySWQiOiIyODA3MTc5NjgifQ==</vt:lpwstr>
  </property>
</Properties>
</file>