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B69A">
      <w:pPr>
        <w:rPr>
          <w:rFonts w:ascii="Times New Roman" w:hAnsi="Times New Roman"/>
        </w:rPr>
      </w:pPr>
      <w:bookmarkStart w:id="0" w:name="_Toc15306267"/>
      <w:bookmarkStart w:id="1" w:name="_Toc15396597"/>
      <w:bookmarkStart w:id="2" w:name="_Toc15377193"/>
      <w:bookmarkStart w:id="3" w:name="_Toc15396475"/>
      <w:bookmarkStart w:id="4" w:name="_Toc15377425"/>
      <w:bookmarkStart w:id="5" w:name="_Toc15378441"/>
    </w:p>
    <w:p w14:paraId="5756E60B">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2B5B522">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1CE6EDF">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4135D9A5">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16B2959E">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96476"/>
      <w:bookmarkStart w:id="9" w:name="_Toc15396598"/>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11" w:name="_Toc15306268"/>
      <w:r>
        <w:rPr>
          <w:rFonts w:hint="eastAsia" w:ascii="Times New Roman" w:eastAsia="方正小标宋简体" w:cs="Times New Roman"/>
          <w:color w:val="auto"/>
          <w:kern w:val="2"/>
          <w:sz w:val="44"/>
          <w:szCs w:val="44"/>
          <w:highlight w:val="none"/>
          <w:lang w:val="en-US" w:eastAsia="zh-CN" w:bidi="ar-SA"/>
        </w:rPr>
        <w:t>阿坝州</w:t>
      </w:r>
    </w:p>
    <w:p w14:paraId="4F20CD3C">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茂县沟口镇人民政府</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公开报告</w:t>
      </w:r>
    </w:p>
    <w:p w14:paraId="30F13AEA">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24BA197">
      <w:pPr>
        <w:widowControl/>
        <w:jc w:val="center"/>
        <w:rPr>
          <w:rFonts w:ascii="Times New Roman" w:hAnsi="Times New Roman" w:eastAsia="黑体" w:cstheme="minorBidi"/>
          <w:color w:val="auto"/>
          <w:sz w:val="28"/>
          <w:szCs w:val="28"/>
          <w:highlight w:val="none"/>
        </w:rPr>
      </w:pPr>
    </w:p>
    <w:p w14:paraId="3C82B263">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035203C4">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843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99EA4A9">
          <w:pPr>
            <w:spacing w:before="0" w:beforeLines="0" w:after="0" w:afterLines="0" w:line="240" w:lineRule="auto"/>
            <w:ind w:left="0" w:leftChars="0" w:right="0" w:rightChars="0" w:firstLine="0" w:firstLineChars="0"/>
            <w:jc w:val="center"/>
          </w:pPr>
          <w:bookmarkStart w:id="12" w:name="_Toc15396599"/>
          <w:bookmarkStart w:id="13" w:name="_Toc15377196"/>
        </w:p>
        <w:p w14:paraId="3E1016F7">
          <w:pPr>
            <w:pStyle w:val="13"/>
            <w:tabs>
              <w:tab w:val="right" w:leader="dot" w:pos="8306"/>
              <w:tab w:val="clear" w:pos="8296"/>
            </w:tabs>
          </w:pPr>
          <w:r>
            <w:fldChar w:fldCharType="begin"/>
          </w:r>
          <w:r>
            <w:instrText xml:space="preserve">TOC \o "1-2" \h \u </w:instrText>
          </w:r>
          <w:r>
            <w:fldChar w:fldCharType="separate"/>
          </w:r>
          <w:r>
            <w:rPr>
              <w:b/>
              <w:bCs/>
            </w:rPr>
            <w:fldChar w:fldCharType="begin"/>
          </w:r>
          <w:r>
            <w:rPr>
              <w:b/>
              <w:bCs/>
            </w:rPr>
            <w:instrText xml:space="preserve"> HYPERLINK \l _Toc5571 </w:instrText>
          </w:r>
          <w:r>
            <w:rPr>
              <w:b/>
              <w:bCs/>
            </w:rPr>
            <w:fldChar w:fldCharType="separate"/>
          </w:r>
          <w:r>
            <w:rPr>
              <w:rFonts w:hint="eastAsia"/>
              <w:b/>
              <w:bCs/>
            </w:rPr>
            <w:t>第一部分</w:t>
          </w:r>
          <w:r>
            <w:rPr>
              <w:rFonts w:hint="eastAsia"/>
              <w:b/>
              <w:bCs/>
              <w:lang w:val="en-US" w:eastAsia="zh-CN"/>
            </w:rPr>
            <w:t xml:space="preserve"> </w:t>
          </w:r>
          <w:r>
            <w:rPr>
              <w:rFonts w:hint="eastAsia"/>
              <w:b/>
              <w:bCs/>
            </w:rPr>
            <w:t xml:space="preserve"> 部门概况</w:t>
          </w:r>
          <w:r>
            <w:rPr>
              <w:b/>
              <w:bCs/>
            </w:rPr>
            <w:tab/>
          </w:r>
          <w:r>
            <w:rPr>
              <w:b/>
              <w:bCs/>
            </w:rPr>
            <w:fldChar w:fldCharType="begin"/>
          </w:r>
          <w:r>
            <w:rPr>
              <w:b/>
              <w:bCs/>
            </w:rPr>
            <w:instrText xml:space="preserve"> PAGEREF _Toc5571 \h </w:instrText>
          </w:r>
          <w:r>
            <w:rPr>
              <w:b/>
              <w:bCs/>
            </w:rPr>
            <w:fldChar w:fldCharType="separate"/>
          </w:r>
          <w:r>
            <w:rPr>
              <w:b/>
              <w:bCs/>
            </w:rPr>
            <w:t>- 3 -</w:t>
          </w:r>
          <w:r>
            <w:rPr>
              <w:b/>
              <w:bCs/>
            </w:rPr>
            <w:fldChar w:fldCharType="end"/>
          </w:r>
          <w:r>
            <w:rPr>
              <w:b/>
              <w:bCs/>
            </w:rPr>
            <w:fldChar w:fldCharType="end"/>
          </w:r>
        </w:p>
        <w:p w14:paraId="44E58107">
          <w:pPr>
            <w:pStyle w:val="15"/>
            <w:tabs>
              <w:tab w:val="right" w:leader="dot" w:pos="8306"/>
              <w:tab w:val="clear" w:pos="8296"/>
            </w:tabs>
          </w:pPr>
          <w:r>
            <w:fldChar w:fldCharType="begin"/>
          </w:r>
          <w:r>
            <w:instrText xml:space="preserve"> HYPERLINK \l _Toc21899 </w:instrText>
          </w:r>
          <w:r>
            <w:fldChar w:fldCharType="separate"/>
          </w:r>
          <w:r>
            <w:rPr>
              <w:rFonts w:hint="eastAsia" w:ascii="Times New Roman" w:hAnsi="Times New Roman" w:eastAsia="黑体"/>
              <w:bCs w:val="0"/>
              <w:lang w:val="en-US" w:eastAsia="zh-CN" w:bidi="ar-SA"/>
            </w:rPr>
            <w:t xml:space="preserve">一、 </w:t>
          </w:r>
          <w:r>
            <w:rPr>
              <w:rFonts w:hint="eastAsia" w:ascii="Times New Roman" w:hAnsi="Times New Roman" w:eastAsia="黑体"/>
              <w:bCs w:val="0"/>
              <w:highlight w:val="none"/>
              <w:lang w:val="en-US" w:eastAsia="zh-CN" w:bidi="ar-SA"/>
            </w:rPr>
            <w:t>部门职责</w:t>
          </w:r>
          <w:r>
            <w:tab/>
          </w:r>
          <w:r>
            <w:fldChar w:fldCharType="begin"/>
          </w:r>
          <w:r>
            <w:instrText xml:space="preserve"> PAGEREF _Toc21899 \h </w:instrText>
          </w:r>
          <w:r>
            <w:fldChar w:fldCharType="separate"/>
          </w:r>
          <w:r>
            <w:t>- 3 -</w:t>
          </w:r>
          <w:r>
            <w:fldChar w:fldCharType="end"/>
          </w:r>
          <w:r>
            <w:fldChar w:fldCharType="end"/>
          </w:r>
        </w:p>
        <w:p w14:paraId="3821ED2E">
          <w:pPr>
            <w:pStyle w:val="15"/>
            <w:tabs>
              <w:tab w:val="right" w:leader="dot" w:pos="8306"/>
              <w:tab w:val="clear" w:pos="8296"/>
            </w:tabs>
          </w:pPr>
          <w:r>
            <w:fldChar w:fldCharType="begin"/>
          </w:r>
          <w:r>
            <w:instrText xml:space="preserve"> HYPERLINK \l _Toc11293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_Toc11293 \h </w:instrText>
          </w:r>
          <w:r>
            <w:fldChar w:fldCharType="separate"/>
          </w:r>
          <w:r>
            <w:t>- 4 -</w:t>
          </w:r>
          <w:r>
            <w:fldChar w:fldCharType="end"/>
          </w:r>
          <w:r>
            <w:fldChar w:fldCharType="end"/>
          </w:r>
        </w:p>
        <w:p w14:paraId="6385B1D7">
          <w:pPr>
            <w:pStyle w:val="13"/>
            <w:tabs>
              <w:tab w:val="right" w:leader="dot" w:pos="8306"/>
              <w:tab w:val="clear" w:pos="8296"/>
            </w:tabs>
          </w:pPr>
          <w:r>
            <w:fldChar w:fldCharType="begin"/>
          </w:r>
          <w:r>
            <w:instrText xml:space="preserve"> HYPERLINK \l _Toc18458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_Toc18458 \h </w:instrText>
          </w:r>
          <w:r>
            <w:fldChar w:fldCharType="separate"/>
          </w:r>
          <w:r>
            <w:t>- 5 -</w:t>
          </w:r>
          <w:r>
            <w:fldChar w:fldCharType="end"/>
          </w:r>
          <w:r>
            <w:fldChar w:fldCharType="end"/>
          </w:r>
        </w:p>
        <w:p w14:paraId="344A5324">
          <w:pPr>
            <w:pStyle w:val="15"/>
            <w:tabs>
              <w:tab w:val="right" w:leader="dot" w:pos="8306"/>
              <w:tab w:val="clear" w:pos="8296"/>
            </w:tabs>
          </w:pPr>
          <w:r>
            <w:fldChar w:fldCharType="begin"/>
          </w:r>
          <w:r>
            <w:instrText xml:space="preserve"> HYPERLINK \l _Toc12474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_Toc12474 \h </w:instrText>
          </w:r>
          <w:r>
            <w:fldChar w:fldCharType="separate"/>
          </w:r>
          <w:r>
            <w:t>- 5 -</w:t>
          </w:r>
          <w:r>
            <w:fldChar w:fldCharType="end"/>
          </w:r>
          <w:r>
            <w:fldChar w:fldCharType="end"/>
          </w:r>
        </w:p>
        <w:p w14:paraId="67BEC1A4">
          <w:pPr>
            <w:pStyle w:val="15"/>
            <w:tabs>
              <w:tab w:val="right" w:leader="dot" w:pos="8306"/>
              <w:tab w:val="clear" w:pos="8296"/>
            </w:tabs>
          </w:pPr>
          <w:r>
            <w:fldChar w:fldCharType="begin"/>
          </w:r>
          <w:r>
            <w:instrText xml:space="preserve"> HYPERLINK \l _Toc20463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_Toc20463 \h </w:instrText>
          </w:r>
          <w:r>
            <w:fldChar w:fldCharType="separate"/>
          </w:r>
          <w:r>
            <w:t>- 5 -</w:t>
          </w:r>
          <w:r>
            <w:fldChar w:fldCharType="end"/>
          </w:r>
          <w:r>
            <w:fldChar w:fldCharType="end"/>
          </w:r>
        </w:p>
        <w:p w14:paraId="5503A0BC">
          <w:pPr>
            <w:pStyle w:val="15"/>
            <w:tabs>
              <w:tab w:val="right" w:leader="dot" w:pos="8306"/>
              <w:tab w:val="clear" w:pos="8296"/>
            </w:tabs>
          </w:pPr>
          <w:r>
            <w:fldChar w:fldCharType="begin"/>
          </w:r>
          <w:r>
            <w:instrText xml:space="preserve"> HYPERLINK \l _Toc23788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_Toc23788 \h </w:instrText>
          </w:r>
          <w:r>
            <w:fldChar w:fldCharType="separate"/>
          </w:r>
          <w:r>
            <w:t>- 6 -</w:t>
          </w:r>
          <w:r>
            <w:fldChar w:fldCharType="end"/>
          </w:r>
          <w:r>
            <w:fldChar w:fldCharType="end"/>
          </w:r>
        </w:p>
        <w:p w14:paraId="79AE1A03">
          <w:pPr>
            <w:pStyle w:val="15"/>
            <w:tabs>
              <w:tab w:val="right" w:leader="dot" w:pos="8306"/>
              <w:tab w:val="clear" w:pos="8296"/>
            </w:tabs>
          </w:pPr>
          <w:r>
            <w:fldChar w:fldCharType="begin"/>
          </w:r>
          <w:r>
            <w:instrText xml:space="preserve"> HYPERLINK \l _Toc19056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_Toc19056 \h </w:instrText>
          </w:r>
          <w:r>
            <w:fldChar w:fldCharType="separate"/>
          </w:r>
          <w:r>
            <w:t>- 6 -</w:t>
          </w:r>
          <w:r>
            <w:fldChar w:fldCharType="end"/>
          </w:r>
          <w:r>
            <w:fldChar w:fldCharType="end"/>
          </w:r>
        </w:p>
        <w:p w14:paraId="65353CCC">
          <w:pPr>
            <w:pStyle w:val="15"/>
            <w:tabs>
              <w:tab w:val="right" w:leader="dot" w:pos="8306"/>
              <w:tab w:val="clear" w:pos="8296"/>
            </w:tabs>
          </w:pPr>
          <w:r>
            <w:fldChar w:fldCharType="begin"/>
          </w:r>
          <w:r>
            <w:instrText xml:space="preserve"> HYPERLINK \l _Toc14229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_Toc14229 \h </w:instrText>
          </w:r>
          <w:r>
            <w:fldChar w:fldCharType="separate"/>
          </w:r>
          <w:r>
            <w:t>- 6 -</w:t>
          </w:r>
          <w:r>
            <w:fldChar w:fldCharType="end"/>
          </w:r>
          <w:r>
            <w:fldChar w:fldCharType="end"/>
          </w:r>
        </w:p>
        <w:p w14:paraId="15E80AC2">
          <w:pPr>
            <w:pStyle w:val="15"/>
            <w:tabs>
              <w:tab w:val="right" w:leader="dot" w:pos="8306"/>
              <w:tab w:val="clear" w:pos="8296"/>
            </w:tabs>
          </w:pPr>
          <w:r>
            <w:fldChar w:fldCharType="begin"/>
          </w:r>
          <w:r>
            <w:instrText xml:space="preserve"> HYPERLINK \l _Toc5208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_Toc5208 \h </w:instrText>
          </w:r>
          <w:r>
            <w:fldChar w:fldCharType="separate"/>
          </w:r>
          <w:r>
            <w:t>- 8 -</w:t>
          </w:r>
          <w:r>
            <w:fldChar w:fldCharType="end"/>
          </w:r>
          <w:r>
            <w:fldChar w:fldCharType="end"/>
          </w:r>
        </w:p>
        <w:p w14:paraId="7CBFF2F7">
          <w:pPr>
            <w:pStyle w:val="15"/>
            <w:tabs>
              <w:tab w:val="right" w:leader="dot" w:pos="8306"/>
              <w:tab w:val="clear" w:pos="8296"/>
            </w:tabs>
          </w:pPr>
          <w:r>
            <w:fldChar w:fldCharType="begin"/>
          </w:r>
          <w:r>
            <w:instrText xml:space="preserve"> HYPERLINK \l _Toc30894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_Toc30894 \h </w:instrText>
          </w:r>
          <w:r>
            <w:fldChar w:fldCharType="separate"/>
          </w:r>
          <w:r>
            <w:t>- 9 -</w:t>
          </w:r>
          <w:r>
            <w:fldChar w:fldCharType="end"/>
          </w:r>
          <w:r>
            <w:fldChar w:fldCharType="end"/>
          </w:r>
        </w:p>
        <w:p w14:paraId="0229B954">
          <w:pPr>
            <w:pStyle w:val="15"/>
            <w:tabs>
              <w:tab w:val="right" w:leader="dot" w:pos="8306"/>
              <w:tab w:val="clear" w:pos="8296"/>
            </w:tabs>
          </w:pPr>
          <w:r>
            <w:fldChar w:fldCharType="begin"/>
          </w:r>
          <w:r>
            <w:instrText xml:space="preserve"> HYPERLINK \l _Toc26171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_Toc26171 \h </w:instrText>
          </w:r>
          <w:r>
            <w:fldChar w:fldCharType="separate"/>
          </w:r>
          <w:r>
            <w:t>- 9 -</w:t>
          </w:r>
          <w:r>
            <w:fldChar w:fldCharType="end"/>
          </w:r>
          <w:r>
            <w:fldChar w:fldCharType="end"/>
          </w:r>
        </w:p>
        <w:p w14:paraId="1F26DA13">
          <w:pPr>
            <w:pStyle w:val="15"/>
            <w:tabs>
              <w:tab w:val="right" w:leader="dot" w:pos="8306"/>
              <w:tab w:val="clear" w:pos="8296"/>
            </w:tabs>
          </w:pPr>
          <w:r>
            <w:fldChar w:fldCharType="begin"/>
          </w:r>
          <w:r>
            <w:instrText xml:space="preserve"> HYPERLINK \l _Toc28308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_Toc28308 \h </w:instrText>
          </w:r>
          <w:r>
            <w:fldChar w:fldCharType="separate"/>
          </w:r>
          <w:r>
            <w:t>- 9 -</w:t>
          </w:r>
          <w:r>
            <w:fldChar w:fldCharType="end"/>
          </w:r>
          <w:r>
            <w:fldChar w:fldCharType="end"/>
          </w:r>
        </w:p>
        <w:p w14:paraId="46A9D610">
          <w:pPr>
            <w:pStyle w:val="15"/>
            <w:tabs>
              <w:tab w:val="right" w:leader="dot" w:pos="8306"/>
              <w:tab w:val="clear" w:pos="8296"/>
            </w:tabs>
          </w:pPr>
          <w:r>
            <w:fldChar w:fldCharType="begin"/>
          </w:r>
          <w:r>
            <w:instrText xml:space="preserve"> HYPERLINK \l _Toc16507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_Toc16507 \h </w:instrText>
          </w:r>
          <w:r>
            <w:fldChar w:fldCharType="separate"/>
          </w:r>
          <w:r>
            <w:t>- 10 -</w:t>
          </w:r>
          <w:r>
            <w:fldChar w:fldCharType="end"/>
          </w:r>
          <w:r>
            <w:fldChar w:fldCharType="end"/>
          </w:r>
        </w:p>
        <w:p w14:paraId="40053192">
          <w:pPr>
            <w:pStyle w:val="13"/>
            <w:tabs>
              <w:tab w:val="right" w:leader="dot" w:pos="8306"/>
              <w:tab w:val="clear" w:pos="8296"/>
            </w:tabs>
          </w:pPr>
          <w:r>
            <w:fldChar w:fldCharType="begin"/>
          </w:r>
          <w:r>
            <w:instrText xml:space="preserve"> HYPERLINK \l _Toc12316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_Toc12316 \h </w:instrText>
          </w:r>
          <w:r>
            <w:fldChar w:fldCharType="separate"/>
          </w:r>
          <w:r>
            <w:t>- 11 -</w:t>
          </w:r>
          <w:r>
            <w:fldChar w:fldCharType="end"/>
          </w:r>
          <w:r>
            <w:fldChar w:fldCharType="end"/>
          </w:r>
        </w:p>
        <w:p w14:paraId="291F6FE4">
          <w:pPr>
            <w:pStyle w:val="13"/>
            <w:tabs>
              <w:tab w:val="right" w:leader="dot" w:pos="8306"/>
              <w:tab w:val="clear" w:pos="8296"/>
            </w:tabs>
          </w:pPr>
          <w:r>
            <w:fldChar w:fldCharType="begin"/>
          </w:r>
          <w:r>
            <w:instrText xml:space="preserve"> HYPERLINK \l _Toc4692 </w:instrText>
          </w:r>
          <w:r>
            <w:fldChar w:fldCharType="separate"/>
          </w:r>
          <w:r>
            <w:rPr>
              <w:rFonts w:hint="eastAsia"/>
              <w:b/>
              <w:bCs/>
            </w:rPr>
            <w:t>第</w:t>
          </w:r>
          <w:r>
            <w:rPr>
              <w:rFonts w:hint="eastAsia"/>
              <w:b/>
              <w:bCs/>
              <w:lang w:eastAsia="zh-CN"/>
            </w:rPr>
            <w:t>四</w:t>
          </w:r>
          <w:r>
            <w:rPr>
              <w:rFonts w:hint="eastAsia"/>
              <w:b/>
              <w:bCs/>
            </w:rPr>
            <w:t>部分 附表</w:t>
          </w:r>
          <w:r>
            <w:tab/>
          </w:r>
          <w:r>
            <w:fldChar w:fldCharType="begin"/>
          </w:r>
          <w:r>
            <w:instrText xml:space="preserve"> PAGEREF _Toc4692 \h </w:instrText>
          </w:r>
          <w:r>
            <w:fldChar w:fldCharType="separate"/>
          </w:r>
          <w:r>
            <w:t>- 14 -</w:t>
          </w:r>
          <w:r>
            <w:fldChar w:fldCharType="end"/>
          </w:r>
          <w:r>
            <w:fldChar w:fldCharType="end"/>
          </w:r>
        </w:p>
        <w:p w14:paraId="6F8E6FC4">
          <w:pPr>
            <w:pStyle w:val="15"/>
            <w:tabs>
              <w:tab w:val="right" w:leader="dot" w:pos="8306"/>
              <w:tab w:val="clear" w:pos="8296"/>
            </w:tabs>
          </w:pPr>
          <w:r>
            <w:fldChar w:fldCharType="begin"/>
          </w:r>
          <w:r>
            <w:instrText xml:space="preserve"> HYPERLINK \l _Toc4673 </w:instrText>
          </w:r>
          <w:r>
            <w:fldChar w:fldCharType="separate"/>
          </w:r>
          <w:r>
            <w:rPr>
              <w:rFonts w:hint="eastAsia" w:ascii="黑体" w:hAnsi="Cambria" w:eastAsia="黑体" w:cs="Times New Roman"/>
              <w:bCs w:val="0"/>
            </w:rPr>
            <w:t>一、收入支出决算总表</w:t>
          </w:r>
          <w:r>
            <w:tab/>
          </w:r>
          <w:r>
            <w:fldChar w:fldCharType="begin"/>
          </w:r>
          <w:r>
            <w:instrText xml:space="preserve"> PAGEREF _Toc4673 \h </w:instrText>
          </w:r>
          <w:r>
            <w:fldChar w:fldCharType="separate"/>
          </w:r>
          <w:r>
            <w:t>- 14 -</w:t>
          </w:r>
          <w:r>
            <w:fldChar w:fldCharType="end"/>
          </w:r>
          <w:r>
            <w:fldChar w:fldCharType="end"/>
          </w:r>
        </w:p>
        <w:p w14:paraId="2FEB2806">
          <w:pPr>
            <w:pStyle w:val="15"/>
            <w:tabs>
              <w:tab w:val="right" w:leader="dot" w:pos="8306"/>
              <w:tab w:val="clear" w:pos="8296"/>
            </w:tabs>
          </w:pPr>
          <w:r>
            <w:fldChar w:fldCharType="begin"/>
          </w:r>
          <w:r>
            <w:instrText xml:space="preserve"> HYPERLINK \l _Toc30463 </w:instrText>
          </w:r>
          <w:r>
            <w:fldChar w:fldCharType="separate"/>
          </w:r>
          <w:r>
            <w:rPr>
              <w:rFonts w:hint="eastAsia" w:ascii="黑体" w:hAnsi="Cambria" w:eastAsia="黑体" w:cs="Times New Roman"/>
              <w:bCs w:val="0"/>
            </w:rPr>
            <w:t>二、收入决算表</w:t>
          </w:r>
          <w:r>
            <w:tab/>
          </w:r>
          <w:r>
            <w:fldChar w:fldCharType="begin"/>
          </w:r>
          <w:r>
            <w:instrText xml:space="preserve"> PAGEREF _Toc30463 \h </w:instrText>
          </w:r>
          <w:r>
            <w:fldChar w:fldCharType="separate"/>
          </w:r>
          <w:r>
            <w:t>- 14 -</w:t>
          </w:r>
          <w:r>
            <w:fldChar w:fldCharType="end"/>
          </w:r>
          <w:r>
            <w:fldChar w:fldCharType="end"/>
          </w:r>
        </w:p>
        <w:p w14:paraId="72D5A861">
          <w:pPr>
            <w:pStyle w:val="15"/>
            <w:tabs>
              <w:tab w:val="right" w:leader="dot" w:pos="8306"/>
              <w:tab w:val="clear" w:pos="8296"/>
            </w:tabs>
          </w:pPr>
          <w:r>
            <w:fldChar w:fldCharType="begin"/>
          </w:r>
          <w:r>
            <w:instrText xml:space="preserve"> HYPERLINK \l _Toc7078 </w:instrText>
          </w:r>
          <w:r>
            <w:fldChar w:fldCharType="separate"/>
          </w:r>
          <w:r>
            <w:rPr>
              <w:rFonts w:hint="eastAsia" w:ascii="黑体" w:hAnsi="Cambria" w:eastAsia="黑体" w:cs="Times New Roman"/>
              <w:bCs w:val="0"/>
            </w:rPr>
            <w:t>三、支出决算表</w:t>
          </w:r>
          <w:r>
            <w:tab/>
          </w:r>
          <w:r>
            <w:fldChar w:fldCharType="begin"/>
          </w:r>
          <w:r>
            <w:instrText xml:space="preserve"> PAGEREF _Toc7078 \h </w:instrText>
          </w:r>
          <w:r>
            <w:fldChar w:fldCharType="separate"/>
          </w:r>
          <w:r>
            <w:t>- 14 -</w:t>
          </w:r>
          <w:r>
            <w:fldChar w:fldCharType="end"/>
          </w:r>
          <w:r>
            <w:fldChar w:fldCharType="end"/>
          </w:r>
        </w:p>
        <w:p w14:paraId="569A88D3">
          <w:pPr>
            <w:pStyle w:val="15"/>
            <w:tabs>
              <w:tab w:val="right" w:leader="dot" w:pos="8306"/>
              <w:tab w:val="clear" w:pos="8296"/>
            </w:tabs>
          </w:pPr>
          <w:r>
            <w:fldChar w:fldCharType="begin"/>
          </w:r>
          <w:r>
            <w:instrText xml:space="preserve"> HYPERLINK \l _Toc29632 </w:instrText>
          </w:r>
          <w:r>
            <w:fldChar w:fldCharType="separate"/>
          </w:r>
          <w:r>
            <w:rPr>
              <w:rFonts w:hint="eastAsia" w:ascii="黑体" w:hAnsi="Cambria" w:eastAsia="黑体" w:cs="Times New Roman"/>
              <w:bCs w:val="0"/>
            </w:rPr>
            <w:t>四、财政拨款收入支出决算总表</w:t>
          </w:r>
          <w:r>
            <w:tab/>
          </w:r>
          <w:r>
            <w:fldChar w:fldCharType="begin"/>
          </w:r>
          <w:r>
            <w:instrText xml:space="preserve"> PAGEREF _Toc29632 \h </w:instrText>
          </w:r>
          <w:r>
            <w:fldChar w:fldCharType="separate"/>
          </w:r>
          <w:r>
            <w:t>- 14 -</w:t>
          </w:r>
          <w:r>
            <w:fldChar w:fldCharType="end"/>
          </w:r>
          <w:r>
            <w:fldChar w:fldCharType="end"/>
          </w:r>
        </w:p>
        <w:p w14:paraId="031E8A55">
          <w:pPr>
            <w:pStyle w:val="15"/>
            <w:tabs>
              <w:tab w:val="right" w:leader="dot" w:pos="8306"/>
              <w:tab w:val="clear" w:pos="8296"/>
            </w:tabs>
          </w:pPr>
          <w:r>
            <w:fldChar w:fldCharType="begin"/>
          </w:r>
          <w:r>
            <w:instrText xml:space="preserve"> HYPERLINK \l _Toc7473 </w:instrText>
          </w:r>
          <w:r>
            <w:fldChar w:fldCharType="separate"/>
          </w:r>
          <w:r>
            <w:rPr>
              <w:rFonts w:hint="eastAsia" w:ascii="黑体" w:hAnsi="Cambria" w:eastAsia="黑体" w:cs="Times New Roman"/>
              <w:bCs w:val="0"/>
            </w:rPr>
            <w:t>五、财政拨款支出决算明细表</w:t>
          </w:r>
          <w:r>
            <w:tab/>
          </w:r>
          <w:r>
            <w:fldChar w:fldCharType="begin"/>
          </w:r>
          <w:r>
            <w:instrText xml:space="preserve"> PAGEREF _Toc7473 \h </w:instrText>
          </w:r>
          <w:r>
            <w:fldChar w:fldCharType="separate"/>
          </w:r>
          <w:r>
            <w:t>- 14 -</w:t>
          </w:r>
          <w:r>
            <w:fldChar w:fldCharType="end"/>
          </w:r>
          <w:r>
            <w:fldChar w:fldCharType="end"/>
          </w:r>
        </w:p>
        <w:p w14:paraId="1346E8EA">
          <w:pPr>
            <w:pStyle w:val="15"/>
            <w:tabs>
              <w:tab w:val="right" w:leader="dot" w:pos="8306"/>
              <w:tab w:val="clear" w:pos="8296"/>
            </w:tabs>
          </w:pPr>
          <w:r>
            <w:fldChar w:fldCharType="begin"/>
          </w:r>
          <w:r>
            <w:instrText xml:space="preserve"> HYPERLINK \l _Toc16335 </w:instrText>
          </w:r>
          <w:r>
            <w:fldChar w:fldCharType="separate"/>
          </w:r>
          <w:r>
            <w:rPr>
              <w:rFonts w:hint="eastAsia" w:ascii="黑体" w:hAnsi="Cambria" w:eastAsia="黑体" w:cs="Times New Roman"/>
              <w:bCs w:val="0"/>
            </w:rPr>
            <w:t>六、一般公共预算财政拨款支出决算表</w:t>
          </w:r>
          <w:r>
            <w:tab/>
          </w:r>
          <w:r>
            <w:fldChar w:fldCharType="begin"/>
          </w:r>
          <w:r>
            <w:instrText xml:space="preserve"> PAGEREF _Toc16335 \h </w:instrText>
          </w:r>
          <w:r>
            <w:fldChar w:fldCharType="separate"/>
          </w:r>
          <w:r>
            <w:t>- 14 -</w:t>
          </w:r>
          <w:r>
            <w:fldChar w:fldCharType="end"/>
          </w:r>
          <w:r>
            <w:fldChar w:fldCharType="end"/>
          </w:r>
        </w:p>
        <w:p w14:paraId="3578C184">
          <w:pPr>
            <w:pStyle w:val="15"/>
            <w:tabs>
              <w:tab w:val="right" w:leader="dot" w:pos="8306"/>
              <w:tab w:val="clear" w:pos="8296"/>
            </w:tabs>
          </w:pPr>
          <w:r>
            <w:fldChar w:fldCharType="begin"/>
          </w:r>
          <w:r>
            <w:instrText xml:space="preserve"> HYPERLINK \l _Toc7824 </w:instrText>
          </w:r>
          <w:r>
            <w:fldChar w:fldCharType="separate"/>
          </w:r>
          <w:r>
            <w:rPr>
              <w:rFonts w:hint="eastAsia" w:ascii="黑体" w:hAnsi="Cambria" w:eastAsia="黑体" w:cs="Times New Roman"/>
              <w:bCs w:val="0"/>
            </w:rPr>
            <w:t>七、一般公共预算财政拨款支出决算明细表</w:t>
          </w:r>
          <w:r>
            <w:tab/>
          </w:r>
          <w:r>
            <w:fldChar w:fldCharType="begin"/>
          </w:r>
          <w:r>
            <w:instrText xml:space="preserve"> PAGEREF _Toc7824 \h </w:instrText>
          </w:r>
          <w:r>
            <w:fldChar w:fldCharType="separate"/>
          </w:r>
          <w:r>
            <w:t>- 14 -</w:t>
          </w:r>
          <w:r>
            <w:fldChar w:fldCharType="end"/>
          </w:r>
          <w:r>
            <w:fldChar w:fldCharType="end"/>
          </w:r>
        </w:p>
        <w:p w14:paraId="769057B0">
          <w:pPr>
            <w:pStyle w:val="15"/>
            <w:tabs>
              <w:tab w:val="right" w:leader="dot" w:pos="8306"/>
              <w:tab w:val="clear" w:pos="8296"/>
            </w:tabs>
          </w:pPr>
          <w:r>
            <w:fldChar w:fldCharType="begin"/>
          </w:r>
          <w:r>
            <w:instrText xml:space="preserve"> HYPERLINK \l _Toc1073 </w:instrText>
          </w:r>
          <w:r>
            <w:fldChar w:fldCharType="separate"/>
          </w:r>
          <w:r>
            <w:rPr>
              <w:rFonts w:hint="eastAsia" w:ascii="黑体" w:hAnsi="Cambria" w:eastAsia="黑体" w:cs="Times New Roman"/>
              <w:bCs w:val="0"/>
            </w:rPr>
            <w:t>八、一般公共预算财政拨款基本支出决算表</w:t>
          </w:r>
          <w:r>
            <w:tab/>
          </w:r>
          <w:r>
            <w:fldChar w:fldCharType="begin"/>
          </w:r>
          <w:r>
            <w:instrText xml:space="preserve"> PAGEREF _Toc1073 \h </w:instrText>
          </w:r>
          <w:r>
            <w:fldChar w:fldCharType="separate"/>
          </w:r>
          <w:r>
            <w:t>- 14 -</w:t>
          </w:r>
          <w:r>
            <w:fldChar w:fldCharType="end"/>
          </w:r>
          <w:r>
            <w:fldChar w:fldCharType="end"/>
          </w:r>
        </w:p>
        <w:p w14:paraId="11163051">
          <w:pPr>
            <w:pStyle w:val="15"/>
            <w:tabs>
              <w:tab w:val="right" w:leader="dot" w:pos="8306"/>
              <w:tab w:val="clear" w:pos="8296"/>
            </w:tabs>
          </w:pPr>
          <w:r>
            <w:fldChar w:fldCharType="begin"/>
          </w:r>
          <w:r>
            <w:instrText xml:space="preserve"> HYPERLINK \l _Toc3222 </w:instrText>
          </w:r>
          <w:r>
            <w:fldChar w:fldCharType="separate"/>
          </w:r>
          <w:r>
            <w:rPr>
              <w:rFonts w:hint="eastAsia" w:ascii="黑体" w:hAnsi="Cambria" w:eastAsia="黑体" w:cs="Times New Roman"/>
              <w:bCs w:val="0"/>
            </w:rPr>
            <w:t>九、一般公共预算财政拨款项目支出决算表</w:t>
          </w:r>
          <w:r>
            <w:tab/>
          </w:r>
          <w:r>
            <w:fldChar w:fldCharType="begin"/>
          </w:r>
          <w:r>
            <w:instrText xml:space="preserve"> PAGEREF _Toc3222 \h </w:instrText>
          </w:r>
          <w:r>
            <w:fldChar w:fldCharType="separate"/>
          </w:r>
          <w:r>
            <w:t>- 14 -</w:t>
          </w:r>
          <w:r>
            <w:fldChar w:fldCharType="end"/>
          </w:r>
          <w:r>
            <w:fldChar w:fldCharType="end"/>
          </w:r>
        </w:p>
        <w:p w14:paraId="565AFA84">
          <w:pPr>
            <w:pStyle w:val="15"/>
            <w:tabs>
              <w:tab w:val="right" w:leader="dot" w:pos="8306"/>
              <w:tab w:val="clear" w:pos="8296"/>
            </w:tabs>
          </w:pPr>
          <w:r>
            <w:fldChar w:fldCharType="begin"/>
          </w:r>
          <w:r>
            <w:instrText xml:space="preserve"> HYPERLINK \l _Toc19137 </w:instrText>
          </w:r>
          <w:r>
            <w:fldChar w:fldCharType="separate"/>
          </w:r>
          <w:r>
            <w:rPr>
              <w:rFonts w:hint="eastAsia" w:ascii="黑体" w:hAnsi="Cambria" w:eastAsia="黑体" w:cs="Times New Roman"/>
              <w:bCs w:val="0"/>
            </w:rPr>
            <w:t>十、政府性基金预算财政拨款收入支出决算表</w:t>
          </w:r>
          <w:r>
            <w:tab/>
          </w:r>
          <w:r>
            <w:fldChar w:fldCharType="begin"/>
          </w:r>
          <w:r>
            <w:instrText xml:space="preserve"> PAGEREF _Toc19137 \h </w:instrText>
          </w:r>
          <w:r>
            <w:fldChar w:fldCharType="separate"/>
          </w:r>
          <w:r>
            <w:t>- 14 -</w:t>
          </w:r>
          <w:r>
            <w:fldChar w:fldCharType="end"/>
          </w:r>
          <w:r>
            <w:fldChar w:fldCharType="end"/>
          </w:r>
        </w:p>
        <w:p w14:paraId="44275B38">
          <w:pPr>
            <w:pStyle w:val="15"/>
            <w:tabs>
              <w:tab w:val="right" w:leader="dot" w:pos="8306"/>
              <w:tab w:val="clear" w:pos="8296"/>
            </w:tabs>
          </w:pPr>
          <w:r>
            <w:fldChar w:fldCharType="begin"/>
          </w:r>
          <w:r>
            <w:instrText xml:space="preserve"> HYPERLINK \l _Toc16541 </w:instrText>
          </w:r>
          <w:r>
            <w:fldChar w:fldCharType="separate"/>
          </w:r>
          <w:r>
            <w:rPr>
              <w:rFonts w:hint="eastAsia" w:ascii="黑体" w:hAnsi="Cambria" w:eastAsia="黑体" w:cs="Times New Roman"/>
              <w:bCs w:val="0"/>
            </w:rPr>
            <w:t>十一、国有资本经营预算</w:t>
          </w:r>
          <w:r>
            <w:rPr>
              <w:rFonts w:hint="eastAsia" w:ascii="黑体" w:hAnsi="Cambria" w:eastAsia="黑体" w:cs="Times New Roman"/>
              <w:bCs w:val="0"/>
              <w:lang w:eastAsia="zh-CN"/>
            </w:rPr>
            <w:t>财政拨款收入</w:t>
          </w:r>
          <w:r>
            <w:rPr>
              <w:rFonts w:hint="eastAsia" w:ascii="黑体" w:hAnsi="Cambria" w:eastAsia="黑体" w:cs="Times New Roman"/>
              <w:bCs w:val="0"/>
            </w:rPr>
            <w:t>支出决算表</w:t>
          </w:r>
          <w:r>
            <w:tab/>
          </w:r>
          <w:r>
            <w:fldChar w:fldCharType="begin"/>
          </w:r>
          <w:r>
            <w:instrText xml:space="preserve"> PAGEREF _Toc16541 \h </w:instrText>
          </w:r>
          <w:r>
            <w:fldChar w:fldCharType="separate"/>
          </w:r>
          <w:r>
            <w:t>- 14 -</w:t>
          </w:r>
          <w:r>
            <w:fldChar w:fldCharType="end"/>
          </w:r>
          <w:r>
            <w:fldChar w:fldCharType="end"/>
          </w:r>
        </w:p>
        <w:p w14:paraId="37A6A306">
          <w:pPr>
            <w:pStyle w:val="15"/>
            <w:tabs>
              <w:tab w:val="right" w:leader="dot" w:pos="8306"/>
              <w:tab w:val="clear" w:pos="8296"/>
            </w:tabs>
          </w:pPr>
          <w:r>
            <w:fldChar w:fldCharType="begin"/>
          </w:r>
          <w:r>
            <w:instrText xml:space="preserve"> HYPERLINK \l _Toc27291 </w:instrText>
          </w:r>
          <w:r>
            <w:fldChar w:fldCharType="separate"/>
          </w:r>
          <w:r>
            <w:rPr>
              <w:rFonts w:hint="eastAsia" w:ascii="黑体" w:hAnsi="Cambria" w:eastAsia="黑体" w:cs="Times New Roman"/>
              <w:bCs w:val="0"/>
            </w:rPr>
            <w:t>十二、</w:t>
          </w:r>
          <w:r>
            <w:rPr>
              <w:rFonts w:hint="eastAsia" w:ascii="黑体" w:hAnsi="Cambria" w:eastAsia="黑体" w:cs="Times New Roman"/>
              <w:bCs w:val="0"/>
              <w:lang w:eastAsia="zh-CN"/>
            </w:rPr>
            <w:t>国有资本经营预算财政拨款支出决算表</w:t>
          </w:r>
          <w:r>
            <w:tab/>
          </w:r>
          <w:r>
            <w:fldChar w:fldCharType="begin"/>
          </w:r>
          <w:r>
            <w:instrText xml:space="preserve"> PAGEREF _Toc27291 \h </w:instrText>
          </w:r>
          <w:r>
            <w:fldChar w:fldCharType="separate"/>
          </w:r>
          <w:r>
            <w:t>- 14 -</w:t>
          </w:r>
          <w:r>
            <w:fldChar w:fldCharType="end"/>
          </w:r>
          <w:r>
            <w:fldChar w:fldCharType="end"/>
          </w:r>
        </w:p>
        <w:p w14:paraId="3230A4B9">
          <w:pPr>
            <w:pStyle w:val="15"/>
            <w:tabs>
              <w:tab w:val="right" w:leader="dot" w:pos="8306"/>
              <w:tab w:val="clear" w:pos="8296"/>
            </w:tabs>
          </w:pPr>
          <w:r>
            <w:fldChar w:fldCharType="begin"/>
          </w:r>
          <w:r>
            <w:instrText xml:space="preserve"> HYPERLINK \l _Toc13276 </w:instrText>
          </w:r>
          <w:r>
            <w:fldChar w:fldCharType="separate"/>
          </w:r>
          <w:r>
            <w:rPr>
              <w:rFonts w:hint="eastAsia" w:ascii="黑体" w:hAnsi="Cambria" w:eastAsia="黑体" w:cs="Times New Roman"/>
              <w:bCs w:val="0"/>
            </w:rPr>
            <w:t>十三、</w:t>
          </w:r>
          <w:r>
            <w:rPr>
              <w:rFonts w:hint="eastAsia" w:ascii="黑体" w:hAnsi="Cambria" w:eastAsia="黑体" w:cs="Times New Roman"/>
              <w:bCs w:val="0"/>
              <w:lang w:eastAsia="zh-CN"/>
            </w:rPr>
            <w:t>财政拨款“三公”经费支出决算表</w:t>
          </w:r>
          <w:r>
            <w:tab/>
          </w:r>
          <w:r>
            <w:fldChar w:fldCharType="begin"/>
          </w:r>
          <w:r>
            <w:instrText xml:space="preserve"> PAGEREF _Toc13276 \h </w:instrText>
          </w:r>
          <w:r>
            <w:fldChar w:fldCharType="separate"/>
          </w:r>
          <w:r>
            <w:t>- 14 -</w:t>
          </w:r>
          <w:r>
            <w:fldChar w:fldCharType="end"/>
          </w:r>
          <w:r>
            <w:fldChar w:fldCharType="end"/>
          </w:r>
        </w:p>
        <w:p w14:paraId="3299770D">
          <w:r>
            <w:fldChar w:fldCharType="end"/>
          </w:r>
        </w:p>
      </w:sdtContent>
    </w:sdt>
    <w:p w14:paraId="1B1A8BD9"/>
    <w:p w14:paraId="52F5B1D6">
      <w:pPr>
        <w:pStyle w:val="5"/>
        <w:bidi w:val="0"/>
        <w:ind w:firstLine="2200" w:firstLineChars="500"/>
        <w:rPr>
          <w:rFonts w:hint="eastAsia" w:ascii="方正小标宋简体" w:hAnsi="方正小标宋简体" w:eastAsia="方正小标宋简体" w:cs="方正小标宋简体"/>
          <w:b w:val="0"/>
          <w:bCs w:val="0"/>
        </w:rPr>
      </w:pPr>
      <w:bookmarkStart w:id="14" w:name="_Toc5571"/>
      <w:r>
        <w:rPr>
          <w:rFonts w:hint="eastAsia" w:ascii="方正小标宋简体" w:hAnsi="方正小标宋简体" w:eastAsia="方正小标宋简体" w:cs="方正小标宋简体"/>
          <w:b w:val="0"/>
          <w:bCs w:val="0"/>
        </w:rPr>
        <w:t>第一部分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 xml:space="preserve"> 部门概况</w:t>
      </w:r>
      <w:bookmarkEnd w:id="12"/>
      <w:bookmarkEnd w:id="13"/>
      <w:bookmarkEnd w:id="14"/>
    </w:p>
    <w:p w14:paraId="64C3D5E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Style w:val="30"/>
          <w:rFonts w:hint="eastAsia" w:ascii="Times New Roman" w:hAnsi="Times New Roman" w:eastAsia="黑体"/>
          <w:b w:val="0"/>
          <w:bCs w:val="0"/>
          <w:color w:val="auto"/>
          <w:highlight w:val="none"/>
          <w:lang w:val="en-US" w:eastAsia="zh-CN" w:bidi="ar-SA"/>
        </w:rPr>
      </w:pPr>
      <w:bookmarkStart w:id="15" w:name="_Toc21899"/>
      <w:r>
        <w:rPr>
          <w:rStyle w:val="30"/>
          <w:rFonts w:hint="eastAsia" w:ascii="Times New Roman" w:hAnsi="Times New Roman" w:eastAsia="黑体"/>
          <w:b w:val="0"/>
          <w:bCs w:val="0"/>
          <w:color w:val="auto"/>
          <w:highlight w:val="none"/>
          <w:lang w:val="en-US" w:eastAsia="zh-CN" w:bidi="ar-SA"/>
        </w:rPr>
        <w:t>部门职责</w:t>
      </w:r>
    </w:p>
    <w:bookmarkEnd w:id="15"/>
    <w:p w14:paraId="1EF504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（1）贯彻执行党和国家的路线方针政策和上级党委、政府各项决策部署，以及本级党员代表大会（党员大会）、人民代表大会的决议决定。</w:t>
      </w:r>
    </w:p>
    <w:p w14:paraId="0CEE36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3DBBF5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16" w:name="_Toc15378446"/>
      <w:bookmarkStart w:id="17" w:name="_Toc15377199"/>
      <w:bookmarkStart w:id="18" w:name="_Toc79163854"/>
      <w:bookmarkStart w:id="19" w:name="_Toc79163604"/>
      <w:r>
        <w:rPr>
          <w:rFonts w:hint="eastAsia" w:ascii="仿宋_GB2312" w:hAnsi="仿宋_GB2312" w:eastAsia="仿宋_GB2312" w:cs="仿宋_GB2312"/>
          <w:sz w:val="32"/>
          <w:szCs w:val="32"/>
          <w:lang w:val="en-US" w:eastAsia="zh-CN"/>
        </w:rPr>
        <w:t>（3）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14:paraId="6896FC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统筹区域发展。落实关于辖区发展的重大决策，制定辖区经济和社会发展规划、公共服务设施布局；负责乡村振兴工作，做好民生保障、扶贫开发、民族宗教等工作，推动辖区经济社会健康、有序、可持续发展。</w:t>
      </w:r>
    </w:p>
    <w:p w14:paraId="27C5D2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73F267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（6）优化公共服务。推进服务型政府建设，组织实施并优化教育、卫生健康、文化、民政、社会保障、退役军人事务等各项公共服务。</w:t>
      </w:r>
    </w:p>
    <w:p w14:paraId="1431CA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（7）负责本行政区域内的民政、文化教育、卫生、体育等社会公益事业的综合性工作，维护一切经济单位和个人的正当经济权益，取缔非法经济活动，调解和处理民事纠纷，打击刑事犯罪维护社会稳定。 </w:t>
      </w:r>
    </w:p>
    <w:p w14:paraId="149E74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（8）抓好精神文明建设，丰富群众文化生活，提倡移风易俗，反对封建迷信，破除陈规陋习，树立社会主义新风尚。 </w:t>
      </w:r>
    </w:p>
    <w:p w14:paraId="12EA41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（9）完成上级政府交办的其它事项。 </w:t>
      </w:r>
      <w:bookmarkEnd w:id="16"/>
      <w:bookmarkEnd w:id="17"/>
      <w:bookmarkEnd w:id="18"/>
      <w:bookmarkEnd w:id="19"/>
    </w:p>
    <w:p w14:paraId="2139806B">
      <w:pPr>
        <w:pageBreakBefore w:val="0"/>
        <w:widowControl w:val="0"/>
        <w:kinsoku/>
        <w:wordWrap/>
        <w:overflowPunct/>
        <w:topLinePunct w:val="0"/>
        <w:autoSpaceDE/>
        <w:autoSpaceDN/>
        <w:bidi w:val="0"/>
        <w:spacing w:line="576" w:lineRule="exact"/>
        <w:ind w:firstLine="640" w:firstLineChars="200"/>
        <w:textAlignment w:val="auto"/>
        <w:outlineLvl w:val="9"/>
        <w:rPr>
          <w:rStyle w:val="30"/>
          <w:rFonts w:ascii="Times New Roman" w:hAnsi="Times New Roman"/>
          <w:b w:val="0"/>
          <w:bCs w:val="0"/>
          <w:color w:val="auto"/>
          <w:sz w:val="32"/>
          <w:szCs w:val="32"/>
          <w:highlight w:val="none"/>
        </w:rPr>
      </w:pPr>
      <w:bookmarkStart w:id="20" w:name="_Toc15396601"/>
      <w:bookmarkStart w:id="21" w:name="_Toc15377200"/>
      <w:bookmarkStart w:id="22" w:name="_Toc11293"/>
      <w:r>
        <w:rPr>
          <w:rFonts w:hint="eastAsia" w:ascii="Times New Roman" w:hAnsi="Times New Roman" w:eastAsia="黑体"/>
          <w:b w:val="0"/>
          <w:color w:val="auto"/>
          <w:sz w:val="32"/>
          <w:szCs w:val="32"/>
          <w:highlight w:val="none"/>
        </w:rPr>
        <w:t>二、机</w:t>
      </w:r>
      <w:r>
        <w:rPr>
          <w:rStyle w:val="30"/>
          <w:rFonts w:hint="eastAsia" w:ascii="Times New Roman" w:hAnsi="Times New Roman" w:eastAsia="黑体"/>
          <w:b w:val="0"/>
          <w:bCs w:val="0"/>
          <w:color w:val="auto"/>
          <w:sz w:val="32"/>
          <w:szCs w:val="32"/>
          <w:highlight w:val="none"/>
        </w:rPr>
        <w:t>构设置</w:t>
      </w:r>
      <w:bookmarkEnd w:id="20"/>
      <w:bookmarkEnd w:id="21"/>
      <w:bookmarkEnd w:id="22"/>
    </w:p>
    <w:p w14:paraId="0AE48F21">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bookmarkStart w:id="23" w:name="_Toc15396602"/>
      <w:bookmarkStart w:id="24" w:name="_Toc15377204"/>
      <w:r>
        <w:rPr>
          <w:rFonts w:hint="eastAsia" w:ascii="仿宋_GB2312" w:hAnsi="仿宋_GB2312" w:eastAsia="仿宋_GB2312" w:cs="仿宋_GB2312"/>
          <w:color w:val="auto"/>
          <w:sz w:val="32"/>
          <w:szCs w:val="32"/>
          <w:highlight w:val="none"/>
        </w:rPr>
        <w:t>阿坝州茂县沟口镇人民政府（本级）下属二级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w:t>
      </w:r>
    </w:p>
    <w:p w14:paraId="347B304F">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9"/>
        <w:rPr>
          <w:rFonts w:hint="eastAsia" w:ascii="Times New Roman"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sz w:val="32"/>
          <w:szCs w:val="32"/>
        </w:rPr>
        <w:t>阿坝州茂县沟口镇人民政府（本级）</w:t>
      </w: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部门决算编制范围的二级预算单位包括：</w:t>
      </w:r>
      <w:r>
        <w:rPr>
          <w:rFonts w:hint="eastAsia" w:ascii="仿宋_GB2312" w:hAnsi="仿宋_GB2312" w:eastAsia="仿宋_GB2312" w:cs="仿宋_GB2312"/>
          <w:color w:val="auto"/>
          <w:sz w:val="32"/>
          <w:szCs w:val="32"/>
          <w:highlight w:val="none"/>
          <w:lang w:val="en-US" w:eastAsia="zh-CN"/>
        </w:rPr>
        <w:t>茂县沟口镇便民服务中</w:t>
      </w:r>
      <w:r>
        <w:rPr>
          <w:rFonts w:hint="eastAsia" w:ascii="Times New Roman" w:cs="仿宋_GB2312"/>
          <w:color w:val="auto"/>
          <w:sz w:val="32"/>
          <w:szCs w:val="32"/>
          <w:highlight w:val="none"/>
          <w:lang w:val="en-US" w:eastAsia="zh-CN"/>
        </w:rPr>
        <w:t>心。</w:t>
      </w:r>
      <w:bookmarkStart w:id="25" w:name="_Toc18458"/>
    </w:p>
    <w:p w14:paraId="0EFA3B51">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9"/>
        <w:rPr>
          <w:rFonts w:hint="eastAsia" w:ascii="Times New Roman" w:cs="仿宋_GB2312"/>
          <w:color w:val="auto"/>
          <w:sz w:val="32"/>
          <w:szCs w:val="32"/>
          <w:highlight w:val="none"/>
          <w:lang w:val="en-US" w:eastAsia="zh-CN"/>
        </w:rPr>
      </w:pPr>
    </w:p>
    <w:p w14:paraId="164A8E60">
      <w:pPr>
        <w:pStyle w:val="5"/>
        <w:bidi w:val="0"/>
        <w:ind w:firstLine="440" w:firstLineChars="10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第二部分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 xml:space="preserve"> </w:t>
      </w:r>
      <w:r>
        <w:rPr>
          <w:rFonts w:hint="eastAsia" w:ascii="方正小标宋简体" w:hAnsi="方正小标宋简体" w:eastAsia="方正小标宋简体" w:cs="方正小标宋简体"/>
          <w:b w:val="0"/>
          <w:bCs w:val="0"/>
          <w:lang w:val="en-US" w:eastAsia="zh-CN"/>
        </w:rPr>
        <w:t>2024年度</w:t>
      </w:r>
      <w:r>
        <w:rPr>
          <w:rFonts w:hint="eastAsia" w:ascii="方正小标宋简体" w:hAnsi="方正小标宋简体" w:eastAsia="方正小标宋简体" w:cs="方正小标宋简体"/>
          <w:b w:val="0"/>
          <w:bCs w:val="0"/>
        </w:rPr>
        <w:t>部门决算情况说明</w:t>
      </w:r>
      <w:bookmarkEnd w:id="23"/>
      <w:bookmarkEnd w:id="24"/>
      <w:bookmarkEnd w:id="25"/>
    </w:p>
    <w:p w14:paraId="48A346E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5377205"/>
      <w:bookmarkStart w:id="27" w:name="_Toc12474"/>
      <w:bookmarkStart w:id="2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6"/>
      <w:bookmarkEnd w:id="27"/>
      <w:bookmarkEnd w:id="28"/>
    </w:p>
    <w:p w14:paraId="285B903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bookmarkStart w:id="29" w:name="_Toc11782"/>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316.71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5.00</w:t>
      </w:r>
      <w:bookmarkStart w:id="105" w:name="_GoBack"/>
      <w:bookmarkEnd w:id="105"/>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1.60</w:t>
      </w:r>
      <w:r>
        <w:rPr>
          <w:rFonts w:hint="eastAsia" w:ascii="Times New Roman" w:hAnsi="Times New Roman" w:eastAsia="仿宋_GB2312" w:cs="仿宋_GB2312"/>
          <w:color w:val="auto"/>
          <w:sz w:val="32"/>
          <w:szCs w:val="32"/>
          <w:highlight w:val="none"/>
        </w:rPr>
        <w:t>%。主要变动原因是</w:t>
      </w:r>
      <w:bookmarkEnd w:id="29"/>
      <w:r>
        <w:rPr>
          <w:rFonts w:hint="eastAsia" w:eastAsia="仿宋_GB2312" w:cs="仿宋_GB2312"/>
          <w:color w:val="auto"/>
          <w:sz w:val="32"/>
          <w:szCs w:val="32"/>
          <w:highlight w:val="none"/>
          <w:lang w:eastAsia="zh-CN"/>
        </w:rPr>
        <w:t>本年度人员工资上涨。</w:t>
      </w:r>
    </w:p>
    <w:p w14:paraId="3924EB5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1140460</wp:posOffset>
            </wp:positionH>
            <wp:positionV relativeFrom="paragraph">
              <wp:posOffset>179705</wp:posOffset>
            </wp:positionV>
            <wp:extent cx="2924175" cy="1962150"/>
            <wp:effectExtent l="4445" t="4445" r="5080" b="1460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BC231E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sz w:val="32"/>
          <w:szCs w:val="32"/>
          <w:highlight w:val="none"/>
        </w:rPr>
      </w:pPr>
    </w:p>
    <w:p w14:paraId="42601B2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sz w:val="32"/>
          <w:szCs w:val="32"/>
          <w:highlight w:val="none"/>
        </w:rPr>
      </w:pPr>
    </w:p>
    <w:p w14:paraId="2C60CF6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14:paraId="63119BC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14:paraId="13CA3FF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sz w:val="32"/>
          <w:szCs w:val="32"/>
          <w:highlight w:val="none"/>
          <w:lang w:eastAsia="zh-CN"/>
        </w:rPr>
      </w:pPr>
    </w:p>
    <w:p w14:paraId="573F230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5396604"/>
      <w:bookmarkStart w:id="31" w:name="_Toc20463"/>
      <w:bookmarkStart w:id="32" w:name="_Toc15377206"/>
      <w:r>
        <w:rPr>
          <w:rFonts w:hint="eastAsia" w:ascii="Times New Roman" w:hAnsi="Times New Roman" w:eastAsia="黑体"/>
          <w:color w:val="auto"/>
          <w:sz w:val="32"/>
          <w:szCs w:val="32"/>
          <w:highlight w:val="none"/>
          <w:lang w:eastAsia="zh-CN"/>
        </w:rPr>
        <w:t>二、收入决算情况说明</w:t>
      </w:r>
      <w:bookmarkEnd w:id="30"/>
      <w:bookmarkEnd w:id="31"/>
      <w:bookmarkEnd w:id="32"/>
    </w:p>
    <w:p w14:paraId="0BFCAD10">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b/>
          <w:bCs/>
          <w:color w:val="auto"/>
          <w:sz w:val="32"/>
          <w:szCs w:val="32"/>
          <w:highlight w:val="none"/>
          <w:lang w:eastAsia="zh-CN"/>
        </w:rPr>
      </w:pPr>
      <w:bookmarkStart w:id="33" w:name="_Toc13277"/>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316.71万元，其中：一般公共预算财政拨款收入316.71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33"/>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14:paraId="4D1EA08E">
      <w:pPr>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2112645" cy="1814830"/>
            <wp:effectExtent l="4445" t="4445" r="16510" b="952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11B463">
      <w:pPr>
        <w:ind w:firstLine="1760" w:firstLineChars="550"/>
        <w:rPr>
          <w:rFonts w:hint="eastAsia" w:ascii="Times New Roman" w:hAnsi="Times New Roman" w:eastAsia="仿宋_GB2312" w:cs="仿宋_GB2312"/>
          <w:color w:val="auto"/>
          <w:sz w:val="32"/>
          <w:szCs w:val="32"/>
          <w:highlight w:val="none"/>
          <w:lang w:eastAsia="zh-CN"/>
        </w:rPr>
      </w:pPr>
    </w:p>
    <w:p w14:paraId="455A8C13">
      <w:pPr>
        <w:ind w:firstLine="800" w:firstLineChars="250"/>
        <w:rPr>
          <w:rFonts w:hint="eastAsia" w:ascii="Times New Roman" w:hAnsi="Times New Roman" w:eastAsia="仿宋_GB2312" w:cs="仿宋_GB2312"/>
          <w:color w:val="auto"/>
          <w:sz w:val="32"/>
          <w:szCs w:val="32"/>
          <w:highlight w:val="none"/>
          <w:lang w:eastAsia="zh-CN"/>
        </w:rPr>
      </w:pPr>
    </w:p>
    <w:p w14:paraId="18A1322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4" w:name="_Toc15396605"/>
      <w:bookmarkStart w:id="35" w:name="_Toc23788"/>
      <w:bookmarkStart w:id="36"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4"/>
      <w:bookmarkEnd w:id="35"/>
      <w:bookmarkEnd w:id="36"/>
    </w:p>
    <w:p w14:paraId="1BD7E6F4">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7" w:name="_Toc15207"/>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316.71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316.71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End w:id="37"/>
    </w:p>
    <w:p w14:paraId="08915365">
      <w:pPr>
        <w:rPr>
          <w:rFonts w:hint="eastAsia"/>
          <w:lang w:val="en-US" w:eastAsia="zh-CN"/>
        </w:rPr>
      </w:pPr>
      <w:r>
        <w:rPr>
          <w:rFonts w:hint="eastAsia"/>
          <w:lang w:val="en-US" w:eastAsia="zh-CN"/>
        </w:rPr>
        <w:t xml:space="preserve">                 </w:t>
      </w:r>
    </w:p>
    <w:p w14:paraId="3E18D7D9">
      <w:pPr>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2766695" cy="1924050"/>
            <wp:effectExtent l="4445" t="4445" r="10160" b="14605"/>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3944C3">
      <w:pPr>
        <w:spacing w:line="600" w:lineRule="exact"/>
        <w:ind w:firstLine="640" w:firstLineChars="200"/>
        <w:outlineLvl w:val="1"/>
        <w:rPr>
          <w:rStyle w:val="30"/>
          <w:rFonts w:ascii="Times New Roman" w:hAnsi="Times New Roman" w:eastAsia="黑体"/>
          <w:b w:val="0"/>
          <w:color w:val="auto"/>
          <w:highlight w:val="none"/>
        </w:rPr>
      </w:pPr>
      <w:bookmarkStart w:id="38" w:name="_Toc19056"/>
      <w:bookmarkStart w:id="39" w:name="_Toc15396606"/>
      <w:bookmarkStart w:id="40"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8"/>
      <w:bookmarkEnd w:id="39"/>
      <w:bookmarkEnd w:id="40"/>
    </w:p>
    <w:p w14:paraId="277CAD51">
      <w:pPr>
        <w:pStyle w:val="2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316.71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万元。与2023年度相比，财政拨款收入、支出总计各增加</w:t>
      </w:r>
      <w:r>
        <w:rPr>
          <w:rFonts w:hint="eastAsia" w:eastAsia="仿宋_GB2312" w:cs="仿宋_GB2312"/>
          <w:color w:val="auto"/>
          <w:kern w:val="2"/>
          <w:sz w:val="32"/>
          <w:szCs w:val="32"/>
          <w:highlight w:val="none"/>
          <w:lang w:val="en-US" w:eastAsia="zh-CN" w:bidi="ar-SA"/>
        </w:rPr>
        <w:t>5.00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w:t>
      </w:r>
      <w:r>
        <w:rPr>
          <w:rFonts w:hint="eastAsia" w:eastAsia="仿宋_GB2312" w:cs="仿宋_GB2312"/>
          <w:color w:val="auto"/>
          <w:sz w:val="32"/>
          <w:szCs w:val="32"/>
          <w:highlight w:val="none"/>
          <w:lang w:eastAsia="zh-CN"/>
        </w:rPr>
        <w:t>人员工资上涨。</w:t>
      </w:r>
    </w:p>
    <w:p w14:paraId="0986EA34">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1047750</wp:posOffset>
            </wp:positionH>
            <wp:positionV relativeFrom="paragraph">
              <wp:posOffset>231140</wp:posOffset>
            </wp:positionV>
            <wp:extent cx="2924175" cy="1962150"/>
            <wp:effectExtent l="4445" t="4445" r="5080" b="14605"/>
            <wp:wrapNone/>
            <wp:docPr id="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F44F12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55C4093D">
      <w:pPr>
        <w:pStyle w:val="14"/>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p>
    <w:p w14:paraId="10D035A8">
      <w:pPr>
        <w:rPr>
          <w:rFonts w:hint="eastAsia" w:ascii="Times New Roman" w:hAnsi="Times New Roman" w:eastAsia="仿宋_GB2312" w:cs="仿宋_GB2312"/>
          <w:color w:val="auto"/>
          <w:kern w:val="2"/>
          <w:sz w:val="32"/>
          <w:szCs w:val="32"/>
          <w:highlight w:val="none"/>
          <w:lang w:val="en-US" w:eastAsia="zh-CN" w:bidi="ar-SA"/>
        </w:rPr>
      </w:pPr>
    </w:p>
    <w:p w14:paraId="3197539B">
      <w:pPr>
        <w:pStyle w:val="14"/>
        <w:rPr>
          <w:rFonts w:hint="eastAsia" w:ascii="Times New Roman" w:hAnsi="Times New Roman" w:eastAsia="仿宋_GB2312" w:cs="仿宋_GB2312"/>
          <w:color w:val="auto"/>
          <w:kern w:val="2"/>
          <w:sz w:val="32"/>
          <w:szCs w:val="32"/>
          <w:highlight w:val="none"/>
          <w:lang w:val="en-US" w:eastAsia="zh-CN" w:bidi="ar-SA"/>
        </w:rPr>
      </w:pPr>
    </w:p>
    <w:p w14:paraId="5F1D75A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70E55C0">
      <w:pPr>
        <w:spacing w:line="600" w:lineRule="exact"/>
        <w:ind w:firstLine="640" w:firstLineChars="200"/>
        <w:outlineLvl w:val="1"/>
        <w:rPr>
          <w:rStyle w:val="30"/>
          <w:rFonts w:ascii="Times New Roman" w:hAnsi="Times New Roman" w:eastAsia="黑体"/>
          <w:b w:val="0"/>
          <w:color w:val="auto"/>
          <w:highlight w:val="none"/>
        </w:rPr>
      </w:pPr>
      <w:bookmarkStart w:id="41" w:name="_Toc14229"/>
      <w:bookmarkStart w:id="42" w:name="_Toc15396607"/>
      <w:bookmarkStart w:id="4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1"/>
      <w:bookmarkEnd w:id="42"/>
      <w:bookmarkEnd w:id="43"/>
    </w:p>
    <w:p w14:paraId="29F354E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4"/>
    </w:p>
    <w:p w14:paraId="73DAB6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316.71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%。与2023年度相比，一般公共预算财政拨款支出增加5.00万元，增长1.60%。主要变动原因是本年度人员工资上涨。</w:t>
      </w:r>
    </w:p>
    <w:p w14:paraId="6897A3D0">
      <w:pPr>
        <w:pStyle w:val="14"/>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1216660</wp:posOffset>
            </wp:positionH>
            <wp:positionV relativeFrom="paragraph">
              <wp:posOffset>213360</wp:posOffset>
            </wp:positionV>
            <wp:extent cx="2814320" cy="1987550"/>
            <wp:effectExtent l="4445" t="4445" r="19685" b="8255"/>
            <wp:wrapNone/>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B111A37">
      <w:pPr>
        <w:rPr>
          <w:rFonts w:hint="eastAsia" w:ascii="Times New Roman" w:hAnsi="Times New Roman" w:eastAsia="仿宋_GB2312" w:cs="仿宋_GB2312"/>
          <w:color w:val="auto"/>
          <w:kern w:val="2"/>
          <w:sz w:val="32"/>
          <w:szCs w:val="32"/>
          <w:highlight w:val="none"/>
          <w:lang w:val="en-US" w:eastAsia="zh-CN" w:bidi="ar-SA"/>
        </w:rPr>
      </w:pPr>
    </w:p>
    <w:p w14:paraId="7F2CB47C">
      <w:pPr>
        <w:pStyle w:val="14"/>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p>
    <w:p w14:paraId="501A8612">
      <w:pPr>
        <w:rPr>
          <w:rFonts w:hint="eastAsia" w:ascii="Times New Roman" w:hAnsi="Times New Roman" w:eastAsia="仿宋_GB2312" w:cs="仿宋_GB2312"/>
          <w:color w:val="auto"/>
          <w:kern w:val="2"/>
          <w:sz w:val="32"/>
          <w:szCs w:val="32"/>
          <w:highlight w:val="none"/>
          <w:lang w:val="en-US" w:eastAsia="zh-CN" w:bidi="ar-SA"/>
        </w:rPr>
      </w:pPr>
    </w:p>
    <w:p w14:paraId="384448CE">
      <w:pPr>
        <w:pStyle w:val="14"/>
        <w:rPr>
          <w:rFonts w:hint="eastAsia"/>
          <w:lang w:val="en-US" w:eastAsia="zh-CN"/>
        </w:rPr>
      </w:pPr>
    </w:p>
    <w:p w14:paraId="78079A97">
      <w:pPr>
        <w:rPr>
          <w:rFonts w:hint="eastAsia"/>
          <w:lang w:val="en-US" w:eastAsia="zh-CN"/>
        </w:rPr>
      </w:pPr>
    </w:p>
    <w:p w14:paraId="029A3B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507E36">
      <w:pPr>
        <w:spacing w:line="600" w:lineRule="exact"/>
        <w:ind w:firstLine="643" w:firstLineChars="200"/>
        <w:outlineLvl w:val="2"/>
        <w:rPr>
          <w:rFonts w:hint="eastAsia" w:ascii="楷体" w:hAnsi="楷体" w:eastAsia="楷体" w:cs="楷体"/>
          <w:b/>
          <w:color w:val="auto"/>
          <w:sz w:val="32"/>
          <w:szCs w:val="32"/>
          <w:highlight w:val="none"/>
        </w:rPr>
      </w:pPr>
      <w:bookmarkStart w:id="45" w:name="_Toc15377211"/>
      <w:r>
        <w:rPr>
          <w:rFonts w:hint="eastAsia" w:ascii="楷体" w:hAnsi="楷体" w:eastAsia="楷体" w:cs="楷体"/>
          <w:b/>
          <w:color w:val="auto"/>
          <w:sz w:val="32"/>
          <w:szCs w:val="32"/>
          <w:highlight w:val="none"/>
        </w:rPr>
        <w:t>（二）一般公共预算财政拨款支出决算结构情况</w:t>
      </w:r>
      <w:bookmarkEnd w:id="45"/>
    </w:p>
    <w:p w14:paraId="70E84ED6">
      <w:pPr>
        <w:keepNext w:val="0"/>
        <w:keepLines w:val="0"/>
        <w:pageBreakBefore w:val="0"/>
        <w:widowControl w:val="0"/>
        <w:kinsoku/>
        <w:wordWrap/>
        <w:overflowPunct/>
        <w:topLinePunct w:val="0"/>
        <w:autoSpaceDE/>
        <w:autoSpaceDN/>
        <w:bidi w:val="0"/>
        <w:adjustRightInd/>
        <w:snapToGrid/>
        <w:spacing w:line="576" w:lineRule="exact"/>
        <w:ind w:firstLine="1134"/>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316.71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社会保障和就业支出44.25万元，占</w:t>
      </w:r>
      <w:r>
        <w:rPr>
          <w:rFonts w:hint="eastAsia" w:eastAsia="仿宋_GB2312" w:cs="仿宋_GB2312"/>
          <w:color w:val="auto"/>
          <w:kern w:val="2"/>
          <w:sz w:val="32"/>
          <w:szCs w:val="32"/>
          <w:highlight w:val="none"/>
          <w:lang w:val="en-US" w:eastAsia="zh-CN" w:bidi="ar-SA"/>
        </w:rPr>
        <w:t>13.97</w:t>
      </w:r>
      <w:r>
        <w:rPr>
          <w:rFonts w:hint="eastAsia" w:ascii="Times New Roman" w:hAnsi="Times New Roman" w:eastAsia="仿宋_GB2312" w:cs="仿宋_GB2312"/>
          <w:color w:val="auto"/>
          <w:kern w:val="2"/>
          <w:sz w:val="32"/>
          <w:szCs w:val="32"/>
          <w:highlight w:val="none"/>
          <w:lang w:val="en-US" w:eastAsia="zh-CN" w:bidi="ar-SA"/>
        </w:rPr>
        <w:t>%；卫生健康支出18.46万元，占</w:t>
      </w:r>
      <w:r>
        <w:rPr>
          <w:rFonts w:hint="eastAsia" w:eastAsia="仿宋_GB2312" w:cs="仿宋_GB2312"/>
          <w:color w:val="auto"/>
          <w:kern w:val="2"/>
          <w:sz w:val="32"/>
          <w:szCs w:val="32"/>
          <w:highlight w:val="none"/>
          <w:lang w:val="en-US" w:eastAsia="zh-CN" w:bidi="ar-SA"/>
        </w:rPr>
        <w:t>5.83</w:t>
      </w:r>
      <w:r>
        <w:rPr>
          <w:rFonts w:hint="eastAsia" w:ascii="Times New Roman" w:hAnsi="Times New Roman" w:eastAsia="仿宋_GB2312" w:cs="仿宋_GB2312"/>
          <w:color w:val="auto"/>
          <w:kern w:val="2"/>
          <w:sz w:val="32"/>
          <w:szCs w:val="32"/>
          <w:highlight w:val="none"/>
          <w:lang w:val="en-US" w:eastAsia="zh-CN" w:bidi="ar-SA"/>
        </w:rPr>
        <w:t>%；农林水支出230.42</w:t>
      </w:r>
      <w:r>
        <w:rPr>
          <w:rFonts w:hint="eastAsia" w:eastAsia="仿宋_GB2312" w:cs="仿宋_GB2312"/>
          <w:color w:val="auto"/>
          <w:kern w:val="2"/>
          <w:sz w:val="32"/>
          <w:szCs w:val="32"/>
          <w:highlight w:val="none"/>
          <w:lang w:val="en-US" w:eastAsia="zh-CN" w:bidi="ar-SA"/>
        </w:rPr>
        <w:t>万元，占72.75%；</w:t>
      </w:r>
      <w:r>
        <w:rPr>
          <w:rFonts w:hint="eastAsia" w:ascii="Times New Roman" w:hAnsi="Times New Roman" w:eastAsia="仿宋_GB2312" w:cs="仿宋_GB2312"/>
          <w:color w:val="auto"/>
          <w:kern w:val="2"/>
          <w:sz w:val="32"/>
          <w:szCs w:val="32"/>
          <w:highlight w:val="none"/>
          <w:lang w:val="en-US" w:eastAsia="zh-CN" w:bidi="ar-SA"/>
        </w:rPr>
        <w:t>住房保障支出23.58万元，占</w:t>
      </w:r>
      <w:r>
        <w:rPr>
          <w:rFonts w:hint="eastAsia" w:eastAsia="仿宋_GB2312" w:cs="仿宋_GB2312"/>
          <w:color w:val="auto"/>
          <w:kern w:val="2"/>
          <w:sz w:val="32"/>
          <w:szCs w:val="32"/>
          <w:highlight w:val="none"/>
          <w:lang w:val="en-US" w:eastAsia="zh-CN" w:bidi="ar-SA"/>
        </w:rPr>
        <w:t>7.45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18B558E">
      <w:pPr>
        <w:pStyle w:val="14"/>
        <w:rPr>
          <w:rFonts w:hint="eastAsia"/>
          <w:lang w:val="en-US" w:eastAsia="zh-CN"/>
        </w:rPr>
      </w:pPr>
      <w:r>
        <w:rPr>
          <w:rFonts w:hint="eastAsia"/>
          <w:lang w:val="en-US" w:eastAsia="zh-CN"/>
        </w:rPr>
        <w:t xml:space="preserve">         </w:t>
      </w:r>
    </w:p>
    <w:p w14:paraId="7CAC2C13">
      <w:pPr>
        <w:pStyle w:val="14"/>
        <w:rPr>
          <w:rFonts w:hint="eastAsia"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2761615" cy="1566545"/>
            <wp:effectExtent l="4445" t="4445" r="15240" b="1016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442191">
      <w:pPr>
        <w:rPr>
          <w:rFonts w:hint="default"/>
          <w:lang w:val="en-US" w:eastAsia="zh-CN"/>
        </w:rPr>
      </w:pPr>
    </w:p>
    <w:p w14:paraId="0D512B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6"/>
    </w:p>
    <w:p w14:paraId="346538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7" w:name="_Toc15377213"/>
      <w:bookmarkStart w:id="48" w:name="_Toc15377444"/>
      <w:bookmarkStart w:id="4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316.71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7"/>
      <w:bookmarkEnd w:id="48"/>
      <w:bookmarkEnd w:id="49"/>
    </w:p>
    <w:p w14:paraId="41AE411A">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.社会保障和就业（208）行政事业单位养老支出（05）机关事业单位基本养老保险缴费支出（05）：支出决算为30.25万元，完成预算100%，决算数与预算数持平。</w:t>
      </w:r>
    </w:p>
    <w:p w14:paraId="1FFEF10F">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.社会保障和就业（208）行政事业单位养老支出（05）机关事业单位职业年金缴费支出（06）：支出决算为14.01万元，完成预算100%，决算数与预算数持平。</w:t>
      </w:r>
    </w:p>
    <w:p w14:paraId="366D731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卫生健康（210）行政事业单位医疗（11）事业单位医疗（02）：支出决算为18.46万元，完成预算100%，决算数与预算数持平。</w:t>
      </w:r>
    </w:p>
    <w:p w14:paraId="7C65638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农林水支出（213）农业农村（01）事业运行（04）：支出决算为230.42万元，完成预算100%，决算数与预算数持平。</w:t>
      </w:r>
    </w:p>
    <w:p w14:paraId="220F5CE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住房保障支出（221）住房改革支出（02）住房公积金（01）：支出决算为23.58万元，完成预算100%，决算数与预算数持平。</w:t>
      </w:r>
    </w:p>
    <w:p w14:paraId="36440E3A">
      <w:pPr>
        <w:tabs>
          <w:tab w:val="right" w:pos="8306"/>
        </w:tabs>
        <w:spacing w:line="600" w:lineRule="exact"/>
        <w:ind w:firstLine="640"/>
        <w:outlineLvl w:val="1"/>
        <w:rPr>
          <w:rStyle w:val="30"/>
          <w:rFonts w:ascii="Times New Roman" w:hAnsi="Times New Roman"/>
          <w:color w:val="auto"/>
          <w:highlight w:val="none"/>
        </w:rPr>
      </w:pPr>
      <w:bookmarkStart w:id="50" w:name="_Toc15377214"/>
      <w:bookmarkStart w:id="51" w:name="_Toc5208"/>
      <w:bookmarkStart w:id="52"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0"/>
      <w:bookmarkEnd w:id="51"/>
      <w:bookmarkEnd w:id="52"/>
      <w:r>
        <w:rPr>
          <w:rStyle w:val="30"/>
          <w:rFonts w:ascii="Times New Roman" w:hAnsi="Times New Roman" w:eastAsia="黑体"/>
          <w:b w:val="0"/>
          <w:color w:val="auto"/>
          <w:highlight w:val="none"/>
        </w:rPr>
        <w:tab/>
      </w:r>
    </w:p>
    <w:p w14:paraId="13D078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316.71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18E5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303.49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58F8CA8">
      <w:pPr>
        <w:spacing w:line="600" w:lineRule="exact"/>
        <w:ind w:firstLine="640"/>
        <w:outlineLvl w:val="1"/>
        <w:rPr>
          <w:rStyle w:val="30"/>
          <w:rFonts w:ascii="Times New Roman" w:hAnsi="Times New Roman" w:eastAsia="黑体"/>
          <w:b w:val="0"/>
          <w:color w:val="auto"/>
          <w:highlight w:val="none"/>
        </w:rPr>
      </w:pPr>
      <w:bookmarkStart w:id="53" w:name="_Toc15396609"/>
      <w:bookmarkStart w:id="54" w:name="_Toc30894"/>
      <w:bookmarkStart w:id="55"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3"/>
      <w:bookmarkEnd w:id="54"/>
      <w:bookmarkEnd w:id="55"/>
    </w:p>
    <w:p w14:paraId="491FEEC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6"/>
    </w:p>
    <w:p w14:paraId="6CD12C6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C3F0C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7"/>
    </w:p>
    <w:p w14:paraId="14725A3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20D8ABAC">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5A2EB5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290617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bookmarkStart w:id="58" w:name="_Toc15396610"/>
      <w:bookmarkStart w:id="59" w:name="_Toc15377218"/>
    </w:p>
    <w:p w14:paraId="01F496FE">
      <w:pPr>
        <w:spacing w:line="600" w:lineRule="exact"/>
        <w:ind w:firstLine="640"/>
        <w:outlineLvl w:val="1"/>
        <w:rPr>
          <w:rStyle w:val="30"/>
          <w:rFonts w:ascii="Times New Roman" w:hAnsi="Times New Roman" w:eastAsia="黑体"/>
          <w:color w:val="auto"/>
          <w:highlight w:val="none"/>
        </w:rPr>
      </w:pPr>
      <w:bookmarkStart w:id="60" w:name="_Toc26171"/>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8"/>
      <w:bookmarkEnd w:id="59"/>
      <w:bookmarkEnd w:id="60"/>
    </w:p>
    <w:p w14:paraId="555B62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1B2601FF">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61" w:name="_Toc15396611"/>
      <w:bookmarkStart w:id="62" w:name="_Toc28308"/>
      <w:bookmarkStart w:id="6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1"/>
      <w:bookmarkEnd w:id="62"/>
      <w:bookmarkEnd w:id="63"/>
    </w:p>
    <w:p w14:paraId="2E455D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4AC73226">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64" w:name="_Toc16507"/>
      <w:bookmarkStart w:id="65" w:name="_Toc15396612"/>
      <w:bookmarkStart w:id="66"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4"/>
      <w:bookmarkEnd w:id="65"/>
      <w:bookmarkEnd w:id="66"/>
    </w:p>
    <w:p w14:paraId="65BF655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7" w:name="_Toc15377222"/>
      <w:r>
        <w:rPr>
          <w:rFonts w:hint="eastAsia" w:ascii="Times New Roman" w:hAnsi="Times New Roman" w:eastAsia="楷体_GB2312" w:cs="楷体_GB2312"/>
          <w:b/>
          <w:color w:val="auto"/>
          <w:sz w:val="32"/>
          <w:szCs w:val="32"/>
          <w:highlight w:val="none"/>
        </w:rPr>
        <w:t>（一）机关运行经费支出情况</w:t>
      </w:r>
      <w:bookmarkEnd w:id="67"/>
    </w:p>
    <w:p w14:paraId="53EB7A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阿坝州茂县沟口镇人民政府（事业）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p>
    <w:p w14:paraId="5A34C18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23"/>
      <w:r>
        <w:rPr>
          <w:rFonts w:hint="eastAsia" w:ascii="Times New Roman" w:hAnsi="Times New Roman" w:eastAsia="楷体_GB2312" w:cs="楷体_GB2312"/>
          <w:b/>
          <w:color w:val="auto"/>
          <w:sz w:val="32"/>
          <w:szCs w:val="32"/>
          <w:highlight w:val="none"/>
        </w:rPr>
        <w:t>（二）政府采购支出情况</w:t>
      </w:r>
      <w:bookmarkEnd w:id="68"/>
    </w:p>
    <w:p w14:paraId="2EDFCD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阿坝州茂县沟口镇人民政府（事业）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0AC818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9" w:name="_Toc15377224"/>
      <w:r>
        <w:rPr>
          <w:rFonts w:hint="eastAsia" w:ascii="Times New Roman" w:hAnsi="Times New Roman" w:eastAsia="楷体_GB2312" w:cs="楷体_GB2312"/>
          <w:b/>
          <w:color w:val="auto"/>
          <w:sz w:val="32"/>
          <w:szCs w:val="32"/>
          <w:highlight w:val="none"/>
        </w:rPr>
        <w:t>（三）国有资产占有使用情况</w:t>
      </w:r>
      <w:bookmarkEnd w:id="69"/>
    </w:p>
    <w:p w14:paraId="0FB0E2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阿坝州茂县沟口镇人民政府（事业）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p>
    <w:p w14:paraId="5DE8D2E2">
      <w:pPr>
        <w:rPr>
          <w:rFonts w:hint="eastAsia" w:ascii="Times New Roman" w:hAnsi="Times New Roman" w:eastAsia="仿宋_GB2312" w:cs="仿宋_GB2312"/>
          <w:color w:val="auto"/>
          <w:kern w:val="2"/>
          <w:sz w:val="32"/>
          <w:szCs w:val="32"/>
          <w:highlight w:val="none"/>
          <w:lang w:val="en-US" w:eastAsia="zh-CN" w:bidi="ar-SA"/>
        </w:rPr>
      </w:pPr>
    </w:p>
    <w:p w14:paraId="11F34773">
      <w:pPr>
        <w:pStyle w:val="14"/>
        <w:rPr>
          <w:rFonts w:hint="eastAsia" w:ascii="Times New Roman" w:hAnsi="Times New Roman" w:eastAsia="仿宋_GB2312" w:cs="仿宋_GB2312"/>
          <w:color w:val="auto"/>
          <w:kern w:val="2"/>
          <w:sz w:val="32"/>
          <w:szCs w:val="32"/>
          <w:highlight w:val="none"/>
          <w:lang w:val="en-US" w:eastAsia="zh-CN" w:bidi="ar-SA"/>
        </w:rPr>
      </w:pPr>
    </w:p>
    <w:p w14:paraId="3954E43A">
      <w:pPr>
        <w:rPr>
          <w:rFonts w:hint="eastAsia" w:ascii="Times New Roman" w:hAnsi="Times New Roman" w:eastAsia="仿宋_GB2312" w:cs="仿宋_GB2312"/>
          <w:color w:val="auto"/>
          <w:kern w:val="2"/>
          <w:sz w:val="32"/>
          <w:szCs w:val="32"/>
          <w:highlight w:val="none"/>
          <w:lang w:val="en-US" w:eastAsia="zh-CN" w:bidi="ar-SA"/>
        </w:rPr>
      </w:pPr>
    </w:p>
    <w:p w14:paraId="16F34E75">
      <w:pPr>
        <w:pStyle w:val="14"/>
        <w:rPr>
          <w:rFonts w:hint="eastAsia" w:ascii="Times New Roman" w:hAnsi="Times New Roman" w:eastAsia="仿宋_GB2312" w:cs="仿宋_GB2312"/>
          <w:color w:val="auto"/>
          <w:kern w:val="2"/>
          <w:sz w:val="32"/>
          <w:szCs w:val="32"/>
          <w:highlight w:val="none"/>
          <w:lang w:val="en-US" w:eastAsia="zh-CN" w:bidi="ar-SA"/>
        </w:rPr>
      </w:pPr>
    </w:p>
    <w:p w14:paraId="37EFAA29">
      <w:pPr>
        <w:rPr>
          <w:rFonts w:hint="eastAsia" w:ascii="Times New Roman" w:hAnsi="Times New Roman" w:eastAsia="仿宋_GB2312" w:cs="仿宋_GB2312"/>
          <w:color w:val="auto"/>
          <w:kern w:val="2"/>
          <w:sz w:val="32"/>
          <w:szCs w:val="32"/>
          <w:highlight w:val="none"/>
          <w:lang w:val="en-US" w:eastAsia="zh-CN" w:bidi="ar-SA"/>
        </w:rPr>
      </w:pPr>
    </w:p>
    <w:p w14:paraId="37C300A7">
      <w:pPr>
        <w:pStyle w:val="14"/>
        <w:rPr>
          <w:rFonts w:hint="eastAsia" w:ascii="Times New Roman" w:hAnsi="Times New Roman" w:eastAsia="仿宋_GB2312" w:cs="仿宋_GB2312"/>
          <w:color w:val="auto"/>
          <w:kern w:val="2"/>
          <w:sz w:val="32"/>
          <w:szCs w:val="32"/>
          <w:highlight w:val="none"/>
          <w:lang w:val="en-US" w:eastAsia="zh-CN" w:bidi="ar-SA"/>
        </w:rPr>
      </w:pPr>
    </w:p>
    <w:p w14:paraId="5C9C143D">
      <w:pPr>
        <w:rPr>
          <w:rFonts w:hint="eastAsia" w:ascii="Times New Roman" w:hAnsi="Times New Roman" w:eastAsia="仿宋_GB2312" w:cs="仿宋_GB2312"/>
          <w:color w:val="auto"/>
          <w:kern w:val="2"/>
          <w:sz w:val="32"/>
          <w:szCs w:val="32"/>
          <w:highlight w:val="none"/>
          <w:lang w:val="en-US" w:eastAsia="zh-CN" w:bidi="ar-SA"/>
        </w:rPr>
      </w:pPr>
    </w:p>
    <w:p w14:paraId="4EF361A8">
      <w:pPr>
        <w:pStyle w:val="2"/>
        <w:rPr>
          <w:rFonts w:hint="eastAsia" w:ascii="Times New Roman" w:hAnsi="Times New Roman" w:eastAsia="仿宋_GB2312" w:cs="仿宋_GB2312"/>
          <w:color w:val="auto"/>
          <w:kern w:val="2"/>
          <w:sz w:val="32"/>
          <w:szCs w:val="32"/>
          <w:highlight w:val="none"/>
          <w:lang w:val="en-US" w:eastAsia="zh-CN" w:bidi="ar-SA"/>
        </w:rPr>
      </w:pPr>
    </w:p>
    <w:p w14:paraId="25BF6A0C">
      <w:pPr>
        <w:pStyle w:val="3"/>
        <w:rPr>
          <w:rFonts w:hint="eastAsia" w:ascii="Times New Roman" w:hAnsi="Times New Roman" w:eastAsia="仿宋_GB2312" w:cs="仿宋_GB2312"/>
          <w:color w:val="auto"/>
          <w:kern w:val="2"/>
          <w:sz w:val="32"/>
          <w:szCs w:val="32"/>
          <w:highlight w:val="none"/>
          <w:lang w:val="en-US" w:eastAsia="zh-CN" w:bidi="ar-SA"/>
        </w:rPr>
      </w:pPr>
    </w:p>
    <w:p w14:paraId="5C574C87">
      <w:pPr>
        <w:pStyle w:val="3"/>
        <w:rPr>
          <w:rFonts w:hint="eastAsia" w:ascii="Times New Roman" w:hAnsi="Times New Roman" w:eastAsia="仿宋_GB2312" w:cs="仿宋_GB2312"/>
          <w:color w:val="auto"/>
          <w:kern w:val="2"/>
          <w:sz w:val="32"/>
          <w:szCs w:val="32"/>
          <w:highlight w:val="none"/>
          <w:lang w:val="en-US" w:eastAsia="zh-CN" w:bidi="ar-SA"/>
        </w:rPr>
      </w:pPr>
    </w:p>
    <w:p w14:paraId="6B036FB0">
      <w:pPr>
        <w:rPr>
          <w:rFonts w:hint="eastAsia" w:ascii="Times New Roman" w:hAnsi="Times New Roman" w:eastAsia="仿宋_GB2312" w:cs="仿宋_GB2312"/>
          <w:color w:val="auto"/>
          <w:kern w:val="2"/>
          <w:sz w:val="32"/>
          <w:szCs w:val="32"/>
          <w:highlight w:val="none"/>
          <w:lang w:val="en-US" w:eastAsia="zh-CN" w:bidi="ar-SA"/>
        </w:rPr>
      </w:pPr>
    </w:p>
    <w:p w14:paraId="7ED73CC8">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83B341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0" w:name="_Toc15396613"/>
      <w:bookmarkStart w:id="71" w:name="_Toc15377225"/>
      <w:bookmarkStart w:id="72" w:name="_Toc12316"/>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0"/>
      <w:bookmarkEnd w:id="71"/>
      <w:bookmarkEnd w:id="72"/>
    </w:p>
    <w:p w14:paraId="16A0DFBE">
      <w:pPr>
        <w:spacing w:line="600" w:lineRule="exact"/>
        <w:jc w:val="left"/>
        <w:rPr>
          <w:rFonts w:ascii="Times New Roman" w:hAnsi="Times New Roman"/>
          <w:b/>
          <w:color w:val="auto"/>
          <w:sz w:val="44"/>
          <w:szCs w:val="44"/>
          <w:highlight w:val="none"/>
        </w:rPr>
      </w:pPr>
    </w:p>
    <w:p w14:paraId="2A61ED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DEBDE06">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事业收入：指事业单位开展专业业务活动及辅助活动取得的收入。</w:t>
      </w:r>
    </w:p>
    <w:p w14:paraId="6C56430C">
      <w:pPr>
        <w:pStyle w:val="2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5FCF0B15">
      <w:pPr>
        <w:pStyle w:val="27"/>
        <w:spacing w:line="560" w:lineRule="exact"/>
        <w:ind w:firstLine="640" w:firstLineChars="200"/>
        <w:outlineLvl w:val="1"/>
        <w:rPr>
          <w:rFonts w:ascii="仿宋_GB2312" w:eastAsia="仿宋_GB2312"/>
          <w:color w:val="auto"/>
          <w:sz w:val="32"/>
          <w:szCs w:val="32"/>
          <w:highlight w:val="none"/>
        </w:rPr>
      </w:pPr>
      <w:bookmarkStart w:id="73" w:name="_Toc32428"/>
      <w:r>
        <w:rPr>
          <w:rFonts w:hint="eastAsia" w:ascii="Times New Roman" w:hAnsi="Times New Roman" w:eastAsia="仿宋_GB2312" w:cs="仿宋_GB2312"/>
          <w:color w:val="auto"/>
          <w:kern w:val="2"/>
          <w:sz w:val="32"/>
          <w:szCs w:val="32"/>
          <w:highlight w:val="none"/>
          <w:lang w:val="en-US" w:eastAsia="zh-CN" w:bidi="ar-SA"/>
        </w:rPr>
        <w:t>4.</w:t>
      </w:r>
      <w:bookmarkStart w:id="74" w:name="_Toc29469"/>
      <w:r>
        <w:rPr>
          <w:rFonts w:hint="eastAsia" w:ascii="仿宋_GB2312" w:eastAsia="仿宋_GB2312"/>
          <w:color w:val="auto"/>
          <w:sz w:val="32"/>
          <w:szCs w:val="32"/>
          <w:highlight w:val="none"/>
        </w:rPr>
        <w:t>其他收入：指单位取得的除上述收入以外的各项收入。</w:t>
      </w:r>
      <w:bookmarkEnd w:id="73"/>
      <w:bookmarkEnd w:id="74"/>
      <w:r>
        <w:rPr>
          <w:rFonts w:ascii="仿宋_GB2312" w:eastAsia="仿宋_GB2312"/>
          <w:color w:val="auto"/>
          <w:sz w:val="32"/>
          <w:szCs w:val="32"/>
          <w:highlight w:val="none"/>
        </w:rPr>
        <w:t xml:space="preserve"> </w:t>
      </w:r>
    </w:p>
    <w:p w14:paraId="4BDA99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12F3F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C0767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51497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C09A44D">
      <w:pPr>
        <w:spacing w:line="576" w:lineRule="atLeast"/>
        <w:ind w:firstLine="640" w:firstLineChars="200"/>
        <w:rPr>
          <w:rStyle w:val="18"/>
          <w:rFonts w:ascii="仿宋_GB2312" w:eastAsia="仿宋_GB2312"/>
          <w:b w:val="0"/>
          <w:color w:val="0000FF"/>
          <w:sz w:val="32"/>
          <w:szCs w:val="32"/>
        </w:rPr>
      </w:pPr>
      <w:r>
        <w:rPr>
          <w:rFonts w:hint="eastAsia" w:ascii="Times New Roman" w:hAnsi="Times New Roman" w:eastAsia="仿宋_GB2312" w:cs="仿宋_GB2312"/>
          <w:color w:val="auto"/>
          <w:kern w:val="2"/>
          <w:sz w:val="32"/>
          <w:szCs w:val="32"/>
          <w:highlight w:val="none"/>
          <w:lang w:val="en-US" w:eastAsia="zh-CN" w:bidi="ar-SA"/>
        </w:rPr>
        <w:t>9.一般公共服务（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）人大事务</w:t>
      </w:r>
      <w:r>
        <w:rPr>
          <w:rFonts w:hint="eastAsia" w:eastAsia="仿宋_GB2312" w:cs="仿宋_GB2312"/>
          <w:color w:val="auto"/>
          <w:kern w:val="2"/>
          <w:sz w:val="32"/>
          <w:szCs w:val="32"/>
          <w:highlight w:val="none"/>
          <w:lang w:val="en-US" w:eastAsia="zh-CN" w:bidi="ar-SA"/>
        </w:rPr>
        <w:t>（款）代表工作（项）</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8"/>
          <w:rFonts w:hint="eastAsia" w:ascii="仿宋_GB2312" w:eastAsia="仿宋_GB2312" w:cs="仿宋_GB2312"/>
          <w:b w:val="0"/>
          <w:color w:val="0000FF"/>
          <w:sz w:val="32"/>
          <w:szCs w:val="32"/>
        </w:rPr>
        <w:t>。</w:t>
      </w:r>
    </w:p>
    <w:p w14:paraId="26E66714">
      <w:pPr>
        <w:spacing w:line="576" w:lineRule="atLeas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政府办公厅（室）及相关机构事务（款）行政运行（项）：</w:t>
      </w:r>
      <w:r>
        <w:rPr>
          <w:rStyle w:val="18"/>
          <w:rFonts w:hint="eastAsia" w:ascii="仿宋_GB2312" w:eastAsia="仿宋_GB2312" w:cs="仿宋_GB2312"/>
          <w:b w:val="0"/>
          <w:color w:val="000000"/>
          <w:sz w:val="32"/>
          <w:szCs w:val="32"/>
        </w:rPr>
        <w:t>指单位（包括实行公务员管理的事业单位）的基本支出。</w:t>
      </w:r>
    </w:p>
    <w:p w14:paraId="38086D97">
      <w:pPr>
        <w:spacing w:line="576" w:lineRule="atLeas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11.社会保障和就业（</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）机关事业单位基本养老保险缴费支出（</w:t>
      </w:r>
      <w:r>
        <w:rPr>
          <w:rFonts w:hint="eastAsia" w:eastAsia="仿宋_GB2312" w:cs="仿宋_GB2312"/>
          <w:color w:val="auto"/>
          <w:kern w:val="2"/>
          <w:sz w:val="32"/>
          <w:szCs w:val="32"/>
          <w:highlight w:val="none"/>
          <w:lang w:val="en-US" w:eastAsia="zh-CN" w:bidi="ar-SA"/>
        </w:rPr>
        <w:t>项）：</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单位实施养老保险制度由单位缴纳的养老保险费的支出</w:t>
      </w:r>
      <w:r>
        <w:rPr>
          <w:rStyle w:val="18"/>
          <w:rFonts w:hint="eastAsia" w:ascii="仿宋_GB2312" w:eastAsia="仿宋_GB2312" w:cs="仿宋_GB2312"/>
          <w:b w:val="0"/>
          <w:color w:val="000000"/>
          <w:sz w:val="32"/>
          <w:szCs w:val="32"/>
        </w:rPr>
        <w:t>。</w:t>
      </w:r>
    </w:p>
    <w:p w14:paraId="43000F47">
      <w:pPr>
        <w:spacing w:line="576" w:lineRule="atLeast"/>
        <w:ind w:firstLine="640" w:firstLineChars="200"/>
        <w:rPr>
          <w:rStyle w:val="18"/>
          <w:rFonts w:ascii="仿宋_GB2312" w:eastAsia="仿宋_GB2312"/>
          <w:b w:val="0"/>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12.文社会保障和就业（</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）机关事业单位职业年金缴费支出（</w:t>
      </w:r>
      <w:r>
        <w:rPr>
          <w:rFonts w:hint="eastAsia" w:eastAsia="仿宋_GB2312" w:cs="仿宋_GB2312"/>
          <w:color w:val="auto"/>
          <w:kern w:val="2"/>
          <w:sz w:val="32"/>
          <w:szCs w:val="32"/>
          <w:highlight w:val="none"/>
          <w:lang w:val="en-US" w:eastAsia="zh-CN" w:bidi="ar-SA"/>
        </w:rPr>
        <w:t>项）：</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单位实施养老保险制度由单位缴纳的职业年金的支出</w:t>
      </w:r>
      <w:r>
        <w:rPr>
          <w:rStyle w:val="18"/>
          <w:rFonts w:hint="eastAsia" w:ascii="仿宋_GB2312" w:eastAsia="仿宋_GB2312" w:cs="仿宋_GB2312"/>
          <w:b w:val="0"/>
          <w:color w:val="000000"/>
          <w:sz w:val="32"/>
          <w:szCs w:val="32"/>
        </w:rPr>
        <w:t>。</w:t>
      </w:r>
    </w:p>
    <w:p w14:paraId="459938E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）事业单位医疗（</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w:t>
      </w:r>
      <w:r>
        <w:rPr>
          <w:rFonts w:hint="eastAsia" w:ascii="仿宋_GB2312" w:eastAsia="仿宋_GB2312" w:cs="仿宋_GB2312"/>
          <w:color w:val="000000"/>
          <w:kern w:val="0"/>
          <w:sz w:val="32"/>
          <w:szCs w:val="32"/>
          <w:lang w:eastAsia="zh-CN"/>
        </w:rPr>
        <w:t>安排的事业单位基本医疗保险缴纳经费，未参加医疗保险的行政单位的公费医疗经费，按国家规定享受离休人员的医疗经费。</w:t>
      </w:r>
    </w:p>
    <w:p w14:paraId="31EEC86E">
      <w:pPr>
        <w:spacing w:line="576" w:lineRule="atLeas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）农业农村（</w:t>
      </w:r>
      <w:r>
        <w:rPr>
          <w:rFonts w:hint="eastAsia" w:eastAsia="仿宋_GB2312" w:cs="仿宋_GB2312"/>
          <w:color w:val="auto"/>
          <w:kern w:val="2"/>
          <w:sz w:val="32"/>
          <w:szCs w:val="32"/>
          <w:highlight w:val="none"/>
          <w:lang w:val="en-US" w:eastAsia="zh-CN" w:bidi="ar-SA"/>
        </w:rPr>
        <w:t>款</w:t>
      </w:r>
      <w:r>
        <w:rPr>
          <w:rFonts w:hint="eastAsia" w:ascii="Times New Roman" w:hAnsi="Times New Roman" w:eastAsia="仿宋_GB2312" w:cs="仿宋_GB2312"/>
          <w:color w:val="auto"/>
          <w:kern w:val="2"/>
          <w:sz w:val="32"/>
          <w:szCs w:val="32"/>
          <w:highlight w:val="none"/>
          <w:lang w:val="en-US" w:eastAsia="zh-CN" w:bidi="ar-SA"/>
        </w:rPr>
        <w:t>）事业运行（</w:t>
      </w:r>
      <w:r>
        <w:rPr>
          <w:rFonts w:hint="eastAsia" w:eastAsia="仿宋_GB2312" w:cs="仿宋_GB2312"/>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仿宋_GB2312" w:eastAsia="仿宋_GB2312" w:cs="仿宋_GB2312"/>
          <w:b w:val="0"/>
          <w:color w:val="000000"/>
          <w:sz w:val="32"/>
          <w:szCs w:val="32"/>
        </w:rPr>
        <w:t>指用于农业事业单位基本支出，事业单位设施、系统运行与资产维护等方面的支出。</w:t>
      </w:r>
    </w:p>
    <w:p w14:paraId="067029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1D537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5CB4F3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26429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067B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B9727E">
      <w:pPr>
        <w:spacing w:line="600" w:lineRule="exact"/>
        <w:jc w:val="center"/>
        <w:rPr>
          <w:rFonts w:hint="eastAsia" w:ascii="Times New Roman" w:hAnsi="Times New Roman" w:eastAsia="黑体"/>
          <w:color w:val="auto"/>
          <w:sz w:val="44"/>
          <w:szCs w:val="44"/>
          <w:highlight w:val="none"/>
        </w:rPr>
      </w:pPr>
      <w:bookmarkStart w:id="75" w:name="_Toc15396614"/>
      <w:bookmarkStart w:id="76" w:name="_Toc15377226"/>
    </w:p>
    <w:p w14:paraId="74FB715C">
      <w:pPr>
        <w:spacing w:line="600" w:lineRule="exact"/>
        <w:jc w:val="center"/>
        <w:rPr>
          <w:rFonts w:hint="eastAsia" w:ascii="Times New Roman" w:hAnsi="Times New Roman" w:eastAsia="黑体"/>
          <w:color w:val="auto"/>
          <w:sz w:val="44"/>
          <w:szCs w:val="44"/>
          <w:highlight w:val="none"/>
        </w:rPr>
      </w:pPr>
    </w:p>
    <w:p w14:paraId="25D8A2BE">
      <w:pPr>
        <w:spacing w:line="600" w:lineRule="exact"/>
        <w:jc w:val="center"/>
        <w:rPr>
          <w:rFonts w:hint="eastAsia" w:ascii="Times New Roman" w:hAnsi="Times New Roman" w:eastAsia="黑体"/>
          <w:color w:val="auto"/>
          <w:sz w:val="44"/>
          <w:szCs w:val="44"/>
          <w:highlight w:val="none"/>
        </w:rPr>
      </w:pPr>
    </w:p>
    <w:p w14:paraId="69A3C27A">
      <w:pPr>
        <w:spacing w:line="600" w:lineRule="exact"/>
        <w:jc w:val="center"/>
        <w:rPr>
          <w:rFonts w:hint="eastAsia" w:ascii="Times New Roman" w:hAnsi="Times New Roman" w:eastAsia="黑体"/>
          <w:color w:val="auto"/>
          <w:sz w:val="44"/>
          <w:szCs w:val="44"/>
          <w:highlight w:val="none"/>
        </w:rPr>
      </w:pPr>
    </w:p>
    <w:p w14:paraId="0EBD9CCF">
      <w:pPr>
        <w:spacing w:line="600" w:lineRule="exact"/>
        <w:jc w:val="center"/>
        <w:rPr>
          <w:rFonts w:hint="eastAsia" w:ascii="Times New Roman" w:hAnsi="Times New Roman" w:eastAsia="黑体"/>
          <w:color w:val="auto"/>
          <w:sz w:val="44"/>
          <w:szCs w:val="44"/>
          <w:highlight w:val="none"/>
        </w:rPr>
      </w:pPr>
    </w:p>
    <w:p w14:paraId="39D29E75">
      <w:pPr>
        <w:spacing w:line="600" w:lineRule="exact"/>
        <w:jc w:val="center"/>
        <w:rPr>
          <w:rFonts w:hint="eastAsia" w:ascii="Times New Roman" w:hAnsi="Times New Roman" w:eastAsia="黑体"/>
          <w:color w:val="auto"/>
          <w:sz w:val="44"/>
          <w:szCs w:val="44"/>
          <w:highlight w:val="none"/>
        </w:rPr>
      </w:pPr>
    </w:p>
    <w:p w14:paraId="6BEF57B5">
      <w:pPr>
        <w:spacing w:line="600" w:lineRule="exact"/>
        <w:jc w:val="center"/>
        <w:rPr>
          <w:rFonts w:hint="eastAsia" w:ascii="Times New Roman" w:hAnsi="Times New Roman" w:eastAsia="黑体"/>
          <w:color w:val="auto"/>
          <w:sz w:val="44"/>
          <w:szCs w:val="44"/>
          <w:highlight w:val="none"/>
        </w:rPr>
      </w:pPr>
    </w:p>
    <w:p w14:paraId="2C014E44">
      <w:pPr>
        <w:spacing w:line="600" w:lineRule="exact"/>
        <w:jc w:val="center"/>
        <w:rPr>
          <w:rFonts w:hint="eastAsia" w:ascii="Times New Roman" w:hAnsi="Times New Roman" w:eastAsia="黑体"/>
          <w:color w:val="auto"/>
          <w:sz w:val="44"/>
          <w:szCs w:val="44"/>
          <w:highlight w:val="none"/>
        </w:rPr>
      </w:pPr>
    </w:p>
    <w:p w14:paraId="1E230141">
      <w:pPr>
        <w:spacing w:line="600" w:lineRule="exact"/>
        <w:jc w:val="center"/>
        <w:rPr>
          <w:rFonts w:hint="eastAsia" w:ascii="Times New Roman" w:hAnsi="Times New Roman" w:eastAsia="黑体"/>
          <w:color w:val="auto"/>
          <w:sz w:val="44"/>
          <w:szCs w:val="44"/>
          <w:highlight w:val="none"/>
        </w:rPr>
      </w:pPr>
    </w:p>
    <w:p w14:paraId="6903F3CC">
      <w:pPr>
        <w:spacing w:line="600" w:lineRule="exact"/>
        <w:jc w:val="both"/>
        <w:rPr>
          <w:rFonts w:hint="eastAsia" w:ascii="Times New Roman" w:hAnsi="Times New Roman" w:eastAsia="黑体"/>
          <w:color w:val="auto"/>
          <w:sz w:val="44"/>
          <w:szCs w:val="44"/>
          <w:highlight w:val="none"/>
        </w:rPr>
      </w:pPr>
    </w:p>
    <w:p w14:paraId="0B1D4DFC">
      <w:pPr>
        <w:pStyle w:val="14"/>
        <w:rPr>
          <w:rFonts w:hint="eastAsia"/>
        </w:rPr>
      </w:pPr>
    </w:p>
    <w:p w14:paraId="2F5C2344">
      <w:pPr>
        <w:spacing w:line="600" w:lineRule="exact"/>
        <w:jc w:val="center"/>
        <w:rPr>
          <w:rFonts w:hint="eastAsia" w:ascii="Times New Roman" w:hAnsi="Times New Roman" w:eastAsia="黑体"/>
          <w:color w:val="auto"/>
          <w:sz w:val="44"/>
          <w:szCs w:val="44"/>
          <w:highlight w:val="none"/>
        </w:rPr>
      </w:pPr>
    </w:p>
    <w:bookmarkEnd w:id="75"/>
    <w:p w14:paraId="62D21635">
      <w:pPr>
        <w:pStyle w:val="5"/>
        <w:bidi w:val="0"/>
        <w:ind w:firstLine="2650" w:firstLineChars="600"/>
        <w:rPr>
          <w:rFonts w:hint="eastAsia" w:ascii="Times New Roman" w:hAnsi="Times New Roman" w:eastAsia="仿宋_GB2312" w:cs="仿宋_GB2312"/>
          <w:color w:val="auto"/>
          <w:sz w:val="32"/>
          <w:szCs w:val="32"/>
          <w:highlight w:val="none"/>
        </w:rPr>
      </w:pPr>
      <w:bookmarkStart w:id="77" w:name="_Toc4692"/>
      <w:bookmarkStart w:id="78" w:name="_Toc15396618"/>
      <w:r>
        <w:rPr>
          <w:rFonts w:hint="eastAsia"/>
        </w:rPr>
        <w:t>第</w:t>
      </w:r>
      <w:r>
        <w:rPr>
          <w:rFonts w:hint="eastAsia"/>
          <w:lang w:eastAsia="zh-CN"/>
        </w:rPr>
        <w:t>四</w:t>
      </w:r>
      <w:r>
        <w:rPr>
          <w:rFonts w:hint="eastAsia"/>
        </w:rPr>
        <w:t>部分 附表</w:t>
      </w:r>
      <w:bookmarkEnd w:id="76"/>
      <w:bookmarkEnd w:id="77"/>
      <w:bookmarkEnd w:id="78"/>
      <w:bookmarkStart w:id="79" w:name="_Toc15396619"/>
    </w:p>
    <w:p w14:paraId="347D2659">
      <w:pPr>
        <w:pStyle w:val="6"/>
        <w:spacing w:line="415" w:lineRule="auto"/>
        <w:ind w:firstLine="640" w:firstLineChars="200"/>
        <w:rPr>
          <w:rFonts w:hint="eastAsia" w:ascii="黑体" w:hAnsi="Cambria" w:eastAsia="黑体" w:cs="Times New Roman"/>
          <w:b w:val="0"/>
          <w:bCs w:val="0"/>
          <w:color w:val="000000"/>
        </w:rPr>
      </w:pPr>
      <w:bookmarkStart w:id="80" w:name="_Toc4673"/>
      <w:r>
        <w:rPr>
          <w:rFonts w:hint="eastAsia" w:ascii="黑体" w:hAnsi="Cambria" w:eastAsia="黑体" w:cs="Times New Roman"/>
          <w:b w:val="0"/>
          <w:bCs w:val="0"/>
          <w:color w:val="000000"/>
        </w:rPr>
        <w:t>一、收入支出决算总表</w:t>
      </w:r>
      <w:bookmarkEnd w:id="79"/>
      <w:bookmarkEnd w:id="80"/>
    </w:p>
    <w:p w14:paraId="48ECE083">
      <w:pPr>
        <w:pStyle w:val="6"/>
        <w:spacing w:line="415" w:lineRule="auto"/>
        <w:ind w:firstLine="640" w:firstLineChars="200"/>
        <w:rPr>
          <w:rFonts w:hint="eastAsia" w:ascii="黑体" w:hAnsi="Cambria" w:eastAsia="黑体" w:cs="Times New Roman"/>
          <w:b w:val="0"/>
          <w:bCs w:val="0"/>
          <w:color w:val="000000"/>
        </w:rPr>
      </w:pPr>
      <w:bookmarkStart w:id="81" w:name="_Toc15396620"/>
      <w:bookmarkStart w:id="82" w:name="_Toc30463"/>
      <w:r>
        <w:rPr>
          <w:rFonts w:hint="eastAsia" w:ascii="黑体" w:hAnsi="Cambria" w:eastAsia="黑体" w:cs="Times New Roman"/>
          <w:b w:val="0"/>
          <w:bCs w:val="0"/>
          <w:color w:val="000000"/>
        </w:rPr>
        <w:t>二、收入决算表</w:t>
      </w:r>
      <w:bookmarkEnd w:id="81"/>
      <w:bookmarkEnd w:id="82"/>
    </w:p>
    <w:p w14:paraId="6B7E252D">
      <w:pPr>
        <w:pStyle w:val="6"/>
        <w:spacing w:line="415" w:lineRule="auto"/>
        <w:ind w:firstLine="640" w:firstLineChars="200"/>
        <w:rPr>
          <w:rFonts w:hint="eastAsia" w:ascii="黑体" w:hAnsi="Cambria" w:eastAsia="黑体" w:cs="Times New Roman"/>
          <w:b w:val="0"/>
          <w:bCs w:val="0"/>
          <w:color w:val="000000"/>
        </w:rPr>
      </w:pPr>
      <w:bookmarkStart w:id="83" w:name="_Toc7078"/>
      <w:bookmarkStart w:id="84" w:name="_Toc15396621"/>
      <w:r>
        <w:rPr>
          <w:rFonts w:hint="eastAsia" w:ascii="黑体" w:hAnsi="Cambria" w:eastAsia="黑体" w:cs="Times New Roman"/>
          <w:b w:val="0"/>
          <w:bCs w:val="0"/>
          <w:color w:val="000000"/>
        </w:rPr>
        <w:t>三、支出决算表</w:t>
      </w:r>
      <w:bookmarkEnd w:id="83"/>
      <w:bookmarkEnd w:id="84"/>
    </w:p>
    <w:p w14:paraId="26898BB7">
      <w:pPr>
        <w:pStyle w:val="6"/>
        <w:spacing w:line="415" w:lineRule="auto"/>
        <w:ind w:firstLine="640" w:firstLineChars="200"/>
        <w:rPr>
          <w:rFonts w:hint="eastAsia" w:ascii="黑体" w:hAnsi="Cambria" w:eastAsia="黑体" w:cs="Times New Roman"/>
          <w:b w:val="0"/>
          <w:bCs w:val="0"/>
          <w:color w:val="000000"/>
        </w:rPr>
      </w:pPr>
      <w:bookmarkStart w:id="85" w:name="_Toc29632"/>
      <w:bookmarkStart w:id="86" w:name="_Toc15396622"/>
      <w:r>
        <w:rPr>
          <w:rFonts w:hint="eastAsia" w:ascii="黑体" w:hAnsi="Cambria" w:eastAsia="黑体" w:cs="Times New Roman"/>
          <w:b w:val="0"/>
          <w:bCs w:val="0"/>
          <w:color w:val="000000"/>
        </w:rPr>
        <w:t>四、财政拨款收入支出决算总表</w:t>
      </w:r>
      <w:bookmarkEnd w:id="85"/>
      <w:bookmarkEnd w:id="86"/>
    </w:p>
    <w:p w14:paraId="6D6AB489">
      <w:pPr>
        <w:pStyle w:val="6"/>
        <w:spacing w:line="415" w:lineRule="auto"/>
        <w:ind w:firstLine="640" w:firstLineChars="200"/>
        <w:rPr>
          <w:rFonts w:hint="eastAsia" w:ascii="黑体" w:hAnsi="Cambria" w:eastAsia="黑体" w:cs="Times New Roman"/>
          <w:b w:val="0"/>
          <w:bCs w:val="0"/>
          <w:color w:val="000000"/>
        </w:rPr>
      </w:pPr>
      <w:bookmarkStart w:id="87" w:name="_Toc15396623"/>
      <w:bookmarkStart w:id="88" w:name="_Toc7473"/>
      <w:r>
        <w:rPr>
          <w:rFonts w:hint="eastAsia" w:ascii="黑体" w:hAnsi="Cambria" w:eastAsia="黑体" w:cs="Times New Roman"/>
          <w:b w:val="0"/>
          <w:bCs w:val="0"/>
          <w:color w:val="000000"/>
        </w:rPr>
        <w:t>五、财政拨款支出决算明细表</w:t>
      </w:r>
      <w:bookmarkEnd w:id="87"/>
      <w:bookmarkEnd w:id="88"/>
      <w:bookmarkStart w:id="89" w:name="_Toc15396624"/>
    </w:p>
    <w:p w14:paraId="61F5D6BF">
      <w:pPr>
        <w:pStyle w:val="6"/>
        <w:spacing w:line="415" w:lineRule="auto"/>
        <w:ind w:firstLine="640" w:firstLineChars="200"/>
        <w:rPr>
          <w:rFonts w:hint="eastAsia" w:ascii="黑体" w:hAnsi="Cambria" w:eastAsia="黑体" w:cs="Times New Roman"/>
          <w:b w:val="0"/>
          <w:bCs w:val="0"/>
          <w:color w:val="000000"/>
        </w:rPr>
      </w:pPr>
      <w:bookmarkStart w:id="90" w:name="_Toc16335"/>
      <w:r>
        <w:rPr>
          <w:rFonts w:hint="eastAsia" w:ascii="黑体" w:hAnsi="Cambria" w:eastAsia="黑体" w:cs="Times New Roman"/>
          <w:b w:val="0"/>
          <w:bCs w:val="0"/>
          <w:color w:val="000000"/>
        </w:rPr>
        <w:t>六、一般公共预算财政拨款支出决算表</w:t>
      </w:r>
      <w:bookmarkEnd w:id="89"/>
      <w:bookmarkEnd w:id="90"/>
    </w:p>
    <w:p w14:paraId="1A2C0094">
      <w:pPr>
        <w:pStyle w:val="6"/>
        <w:spacing w:line="415" w:lineRule="auto"/>
        <w:ind w:firstLine="640" w:firstLineChars="200"/>
        <w:rPr>
          <w:rFonts w:hint="eastAsia" w:ascii="黑体" w:hAnsi="Cambria" w:eastAsia="黑体" w:cs="Times New Roman"/>
          <w:b w:val="0"/>
          <w:bCs w:val="0"/>
          <w:color w:val="000000"/>
        </w:rPr>
      </w:pPr>
      <w:bookmarkStart w:id="91" w:name="_Toc7824"/>
      <w:bookmarkStart w:id="92" w:name="_Toc15396625"/>
      <w:r>
        <w:rPr>
          <w:rFonts w:hint="eastAsia" w:ascii="黑体" w:hAnsi="Cambria" w:eastAsia="黑体" w:cs="Times New Roman"/>
          <w:b w:val="0"/>
          <w:bCs w:val="0"/>
          <w:color w:val="000000"/>
        </w:rPr>
        <w:t>七、一般公共预算财政拨款支出决算明细表</w:t>
      </w:r>
      <w:bookmarkEnd w:id="91"/>
      <w:bookmarkEnd w:id="92"/>
    </w:p>
    <w:p w14:paraId="672F5357">
      <w:pPr>
        <w:pStyle w:val="6"/>
        <w:spacing w:line="415" w:lineRule="auto"/>
        <w:ind w:firstLine="640" w:firstLineChars="200"/>
        <w:rPr>
          <w:rFonts w:hint="eastAsia" w:ascii="黑体" w:hAnsi="Cambria" w:eastAsia="黑体" w:cs="Times New Roman"/>
          <w:b w:val="0"/>
          <w:bCs w:val="0"/>
          <w:color w:val="000000"/>
        </w:rPr>
      </w:pPr>
      <w:bookmarkStart w:id="93" w:name="_Toc1073"/>
      <w:bookmarkStart w:id="94" w:name="_Toc15396626"/>
      <w:r>
        <w:rPr>
          <w:rFonts w:hint="eastAsia" w:ascii="黑体" w:hAnsi="Cambria" w:eastAsia="黑体" w:cs="Times New Roman"/>
          <w:b w:val="0"/>
          <w:bCs w:val="0"/>
          <w:color w:val="000000"/>
        </w:rPr>
        <w:t>八、一般公共预算财政拨款基本支出决算表</w:t>
      </w:r>
      <w:bookmarkEnd w:id="93"/>
      <w:bookmarkEnd w:id="94"/>
    </w:p>
    <w:p w14:paraId="213A7867">
      <w:pPr>
        <w:pStyle w:val="6"/>
        <w:spacing w:line="415" w:lineRule="auto"/>
        <w:ind w:firstLine="640" w:firstLineChars="200"/>
        <w:rPr>
          <w:rFonts w:hint="eastAsia" w:ascii="黑体" w:hAnsi="Cambria" w:eastAsia="黑体" w:cs="Times New Roman"/>
          <w:b w:val="0"/>
          <w:bCs w:val="0"/>
          <w:color w:val="000000"/>
        </w:rPr>
      </w:pPr>
      <w:bookmarkStart w:id="95" w:name="_Toc15396627"/>
      <w:bookmarkStart w:id="96" w:name="_Toc3222"/>
      <w:r>
        <w:rPr>
          <w:rFonts w:hint="eastAsia" w:ascii="黑体" w:hAnsi="Cambria" w:eastAsia="黑体" w:cs="Times New Roman"/>
          <w:b w:val="0"/>
          <w:bCs w:val="0"/>
          <w:color w:val="000000"/>
        </w:rPr>
        <w:t>九、一般公共预算财政拨款项目支出决算表</w:t>
      </w:r>
      <w:bookmarkEnd w:id="95"/>
      <w:bookmarkEnd w:id="96"/>
    </w:p>
    <w:p w14:paraId="32A2B43A">
      <w:pPr>
        <w:pStyle w:val="6"/>
        <w:spacing w:line="415" w:lineRule="auto"/>
        <w:ind w:firstLine="640" w:firstLineChars="200"/>
        <w:rPr>
          <w:rFonts w:hint="eastAsia" w:ascii="黑体" w:hAnsi="Cambria" w:eastAsia="黑体" w:cs="Times New Roman"/>
          <w:b w:val="0"/>
          <w:bCs w:val="0"/>
          <w:color w:val="000000"/>
        </w:rPr>
      </w:pPr>
      <w:bookmarkStart w:id="97" w:name="_Toc15396628"/>
      <w:bookmarkStart w:id="98" w:name="_Toc19137"/>
      <w:r>
        <w:rPr>
          <w:rFonts w:hint="eastAsia" w:ascii="黑体" w:hAnsi="Cambria" w:eastAsia="黑体" w:cs="Times New Roman"/>
          <w:b w:val="0"/>
          <w:bCs w:val="0"/>
          <w:color w:val="000000"/>
        </w:rPr>
        <w:t>十、</w:t>
      </w:r>
      <w:bookmarkEnd w:id="97"/>
      <w:r>
        <w:rPr>
          <w:rFonts w:hint="eastAsia" w:ascii="黑体" w:hAnsi="Cambria" w:eastAsia="黑体" w:cs="Times New Roman"/>
          <w:b w:val="0"/>
          <w:bCs w:val="0"/>
          <w:color w:val="000000"/>
        </w:rPr>
        <w:t>政府性基金预算财政拨款收入支出决算表</w:t>
      </w:r>
      <w:bookmarkEnd w:id="98"/>
    </w:p>
    <w:p w14:paraId="0BCF4261">
      <w:pPr>
        <w:pStyle w:val="6"/>
        <w:spacing w:line="415" w:lineRule="auto"/>
        <w:ind w:firstLine="640" w:firstLineChars="200"/>
        <w:rPr>
          <w:rFonts w:hint="eastAsia" w:ascii="黑体" w:hAnsi="Cambria" w:eastAsia="黑体" w:cs="Times New Roman"/>
          <w:b w:val="0"/>
          <w:bCs w:val="0"/>
          <w:color w:val="000000"/>
        </w:rPr>
      </w:pPr>
      <w:bookmarkStart w:id="99" w:name="_Toc15396629"/>
      <w:bookmarkStart w:id="100" w:name="_Toc16541"/>
      <w:r>
        <w:rPr>
          <w:rFonts w:hint="eastAsia" w:ascii="黑体" w:hAnsi="Cambria" w:eastAsia="黑体" w:cs="Times New Roman"/>
          <w:b w:val="0"/>
          <w:bCs w:val="0"/>
          <w:color w:val="000000"/>
        </w:rPr>
        <w:t>十一、</w:t>
      </w:r>
      <w:bookmarkEnd w:id="99"/>
      <w:r>
        <w:rPr>
          <w:rFonts w:hint="eastAsia" w:ascii="黑体" w:hAnsi="Cambria" w:eastAsia="黑体" w:cs="Times New Roman"/>
          <w:b w:val="0"/>
          <w:bCs w:val="0"/>
          <w:color w:val="000000"/>
        </w:rPr>
        <w:t>国有资本经营预算</w:t>
      </w:r>
      <w:r>
        <w:rPr>
          <w:rFonts w:hint="eastAsia" w:ascii="黑体" w:hAnsi="Cambria" w:eastAsia="黑体" w:cs="Times New Roman"/>
          <w:b w:val="0"/>
          <w:bCs w:val="0"/>
          <w:color w:val="000000"/>
          <w:lang w:eastAsia="zh-CN"/>
        </w:rPr>
        <w:t>财政拨款收入</w:t>
      </w:r>
      <w:r>
        <w:rPr>
          <w:rFonts w:hint="eastAsia" w:ascii="黑体" w:hAnsi="Cambria" w:eastAsia="黑体" w:cs="Times New Roman"/>
          <w:b w:val="0"/>
          <w:bCs w:val="0"/>
          <w:color w:val="000000"/>
        </w:rPr>
        <w:t>支出决算表</w:t>
      </w:r>
      <w:bookmarkEnd w:id="100"/>
    </w:p>
    <w:p w14:paraId="09C19159">
      <w:pPr>
        <w:pStyle w:val="6"/>
        <w:spacing w:line="415" w:lineRule="auto"/>
        <w:ind w:firstLine="640" w:firstLineChars="200"/>
        <w:rPr>
          <w:rFonts w:hint="eastAsia" w:ascii="黑体" w:hAnsi="Cambria" w:eastAsia="黑体" w:cs="Times New Roman"/>
          <w:b w:val="0"/>
          <w:bCs w:val="0"/>
          <w:color w:val="000000"/>
        </w:rPr>
      </w:pPr>
      <w:bookmarkStart w:id="101" w:name="_Toc15396630"/>
      <w:bookmarkStart w:id="102" w:name="_Toc27291"/>
      <w:r>
        <w:rPr>
          <w:rFonts w:hint="eastAsia" w:ascii="黑体" w:hAnsi="Cambria" w:eastAsia="黑体" w:cs="Times New Roman"/>
          <w:b w:val="0"/>
          <w:bCs w:val="0"/>
          <w:color w:val="000000"/>
        </w:rPr>
        <w:t>十二、</w:t>
      </w:r>
      <w:bookmarkEnd w:id="101"/>
      <w:r>
        <w:rPr>
          <w:rFonts w:hint="eastAsia" w:ascii="黑体" w:hAnsi="Cambria" w:eastAsia="黑体" w:cs="Times New Roman"/>
          <w:b w:val="0"/>
          <w:bCs w:val="0"/>
          <w:color w:val="000000"/>
          <w:lang w:eastAsia="zh-CN"/>
        </w:rPr>
        <w:t>国有资本经营预算财政拨款支出决算表</w:t>
      </w:r>
      <w:bookmarkEnd w:id="102"/>
    </w:p>
    <w:p w14:paraId="09309CCB">
      <w:pPr>
        <w:pStyle w:val="6"/>
        <w:spacing w:line="415" w:lineRule="auto"/>
        <w:ind w:firstLine="640" w:firstLineChars="200"/>
        <w:rPr>
          <w:rFonts w:hint="eastAsia" w:ascii="黑体" w:hAnsi="Cambria" w:eastAsia="黑体" w:cs="Times New Roman"/>
          <w:b w:val="0"/>
          <w:bCs w:val="0"/>
          <w:color w:val="000000"/>
          <w:lang w:eastAsia="zh-CN"/>
        </w:rPr>
      </w:pPr>
      <w:bookmarkStart w:id="103" w:name="_Toc15396631"/>
      <w:bookmarkStart w:id="104" w:name="_Toc13276"/>
      <w:r>
        <w:rPr>
          <w:rFonts w:hint="eastAsia" w:ascii="黑体" w:hAnsi="Cambria" w:eastAsia="黑体" w:cs="Times New Roman"/>
          <w:b w:val="0"/>
          <w:bCs w:val="0"/>
          <w:color w:val="000000"/>
        </w:rPr>
        <w:t>十三、</w:t>
      </w:r>
      <w:bookmarkEnd w:id="103"/>
      <w:r>
        <w:rPr>
          <w:rFonts w:hint="eastAsia" w:ascii="黑体" w:hAnsi="Cambria" w:eastAsia="黑体" w:cs="Times New Roman"/>
          <w:b w:val="0"/>
          <w:bCs w:val="0"/>
          <w:color w:val="000000"/>
          <w:lang w:eastAsia="zh-CN"/>
        </w:rPr>
        <w:t>财政拨款“三公”经费支出决算表</w:t>
      </w:r>
      <w:bookmarkEnd w:id="104"/>
    </w:p>
    <w:p w14:paraId="2C534B7D">
      <w:pPr>
        <w:pStyle w:val="6"/>
        <w:spacing w:line="415" w:lineRule="auto"/>
        <w:ind w:firstLine="640" w:firstLineChars="200"/>
        <w:rPr>
          <w:rFonts w:hint="eastAsia" w:ascii="黑体" w:hAnsi="Cambria" w:eastAsia="黑体" w:cs="Times New Roman"/>
          <w:b w:val="0"/>
          <w:bCs w:val="0"/>
          <w:color w:val="000000"/>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9D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D3FDE">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9D3FDE">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AC1224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258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D4C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D0D4CC">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C93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8CD52"/>
    <w:multiLevelType w:val="singleLevel"/>
    <w:tmpl w:val="E458CD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zdkOWRlZjBmNzM5Y2E3YTRjYzk2MThhNjNl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596"/>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03F7B"/>
    <w:rsid w:val="02FEBE30"/>
    <w:rsid w:val="042266CA"/>
    <w:rsid w:val="04336444"/>
    <w:rsid w:val="04912ACD"/>
    <w:rsid w:val="04916F1E"/>
    <w:rsid w:val="061E35DE"/>
    <w:rsid w:val="063D305A"/>
    <w:rsid w:val="066E0107"/>
    <w:rsid w:val="06E2459D"/>
    <w:rsid w:val="06F2019A"/>
    <w:rsid w:val="07245E7A"/>
    <w:rsid w:val="07976AFA"/>
    <w:rsid w:val="07996F6E"/>
    <w:rsid w:val="07DFD8BA"/>
    <w:rsid w:val="08BB0925"/>
    <w:rsid w:val="08FF0793"/>
    <w:rsid w:val="0930579C"/>
    <w:rsid w:val="09867E8F"/>
    <w:rsid w:val="09DB4F16"/>
    <w:rsid w:val="0A2032A3"/>
    <w:rsid w:val="0A6A4724"/>
    <w:rsid w:val="0A794463"/>
    <w:rsid w:val="0B316DB7"/>
    <w:rsid w:val="0B554854"/>
    <w:rsid w:val="0B6640CB"/>
    <w:rsid w:val="0B6D2CFE"/>
    <w:rsid w:val="0C216E2C"/>
    <w:rsid w:val="0CA8290A"/>
    <w:rsid w:val="0D131C66"/>
    <w:rsid w:val="0D35B1ED"/>
    <w:rsid w:val="0DA34C18"/>
    <w:rsid w:val="0DE46363"/>
    <w:rsid w:val="0E254B6B"/>
    <w:rsid w:val="0E8A515C"/>
    <w:rsid w:val="0EF36922"/>
    <w:rsid w:val="0F98263C"/>
    <w:rsid w:val="101860EC"/>
    <w:rsid w:val="101F47CC"/>
    <w:rsid w:val="10C055FF"/>
    <w:rsid w:val="10D26947"/>
    <w:rsid w:val="113D64B6"/>
    <w:rsid w:val="11694EBD"/>
    <w:rsid w:val="11772AA4"/>
    <w:rsid w:val="118107EC"/>
    <w:rsid w:val="12983341"/>
    <w:rsid w:val="12E24EE2"/>
    <w:rsid w:val="133D279D"/>
    <w:rsid w:val="136D3EEE"/>
    <w:rsid w:val="13D50BC4"/>
    <w:rsid w:val="14B17F78"/>
    <w:rsid w:val="1534197E"/>
    <w:rsid w:val="157D0C04"/>
    <w:rsid w:val="15CB1D25"/>
    <w:rsid w:val="15DD60E1"/>
    <w:rsid w:val="15F33E49"/>
    <w:rsid w:val="165E0673"/>
    <w:rsid w:val="16AD2BAC"/>
    <w:rsid w:val="16B831D5"/>
    <w:rsid w:val="16BB723D"/>
    <w:rsid w:val="16CF506D"/>
    <w:rsid w:val="17E50567"/>
    <w:rsid w:val="182B6DD0"/>
    <w:rsid w:val="186504BB"/>
    <w:rsid w:val="18D94D16"/>
    <w:rsid w:val="19A445FC"/>
    <w:rsid w:val="19DB4ABE"/>
    <w:rsid w:val="1A7C2A0F"/>
    <w:rsid w:val="1AA42B4A"/>
    <w:rsid w:val="1BE8440E"/>
    <w:rsid w:val="1D155CEE"/>
    <w:rsid w:val="1D1638FE"/>
    <w:rsid w:val="1D531B48"/>
    <w:rsid w:val="1D62418B"/>
    <w:rsid w:val="1DD8480B"/>
    <w:rsid w:val="1E312DEB"/>
    <w:rsid w:val="1E740ACF"/>
    <w:rsid w:val="1E975EC3"/>
    <w:rsid w:val="1FBD0C37"/>
    <w:rsid w:val="1FDA1374"/>
    <w:rsid w:val="1FF35744"/>
    <w:rsid w:val="1FF6BC77"/>
    <w:rsid w:val="20A0788B"/>
    <w:rsid w:val="20CD4FA8"/>
    <w:rsid w:val="21156AFA"/>
    <w:rsid w:val="2186353C"/>
    <w:rsid w:val="21E6657A"/>
    <w:rsid w:val="223207CB"/>
    <w:rsid w:val="22C73E32"/>
    <w:rsid w:val="230E1A60"/>
    <w:rsid w:val="2377559F"/>
    <w:rsid w:val="23841D23"/>
    <w:rsid w:val="23860B96"/>
    <w:rsid w:val="240371BF"/>
    <w:rsid w:val="244F3473"/>
    <w:rsid w:val="24A00DDE"/>
    <w:rsid w:val="24C97D99"/>
    <w:rsid w:val="25455AD1"/>
    <w:rsid w:val="25635E63"/>
    <w:rsid w:val="25A718F0"/>
    <w:rsid w:val="25BB59F6"/>
    <w:rsid w:val="260F557C"/>
    <w:rsid w:val="26970054"/>
    <w:rsid w:val="26A12BEB"/>
    <w:rsid w:val="275A34C6"/>
    <w:rsid w:val="281408E2"/>
    <w:rsid w:val="294E0E09"/>
    <w:rsid w:val="29FD04D3"/>
    <w:rsid w:val="2A0C06D1"/>
    <w:rsid w:val="2A2F78A6"/>
    <w:rsid w:val="2A735B21"/>
    <w:rsid w:val="2BF50816"/>
    <w:rsid w:val="2BFF7BC6"/>
    <w:rsid w:val="2C8A61B5"/>
    <w:rsid w:val="2CF033E4"/>
    <w:rsid w:val="2DF04E50"/>
    <w:rsid w:val="2E36630F"/>
    <w:rsid w:val="2E374561"/>
    <w:rsid w:val="2E586DFA"/>
    <w:rsid w:val="2F040D46"/>
    <w:rsid w:val="2F6B035B"/>
    <w:rsid w:val="2FAE5751"/>
    <w:rsid w:val="2FB1A395"/>
    <w:rsid w:val="2FD9A7D8"/>
    <w:rsid w:val="2FDBF714"/>
    <w:rsid w:val="30766E97"/>
    <w:rsid w:val="30AB6865"/>
    <w:rsid w:val="30D8545C"/>
    <w:rsid w:val="319C0B4F"/>
    <w:rsid w:val="319F7F4E"/>
    <w:rsid w:val="31F66ACE"/>
    <w:rsid w:val="321B04DE"/>
    <w:rsid w:val="321D29EA"/>
    <w:rsid w:val="32250B75"/>
    <w:rsid w:val="325D030E"/>
    <w:rsid w:val="32BD1EF1"/>
    <w:rsid w:val="33016EEC"/>
    <w:rsid w:val="3304709D"/>
    <w:rsid w:val="331A7FAD"/>
    <w:rsid w:val="33A773CB"/>
    <w:rsid w:val="33E421E4"/>
    <w:rsid w:val="34574FF0"/>
    <w:rsid w:val="345C12B5"/>
    <w:rsid w:val="349D6851"/>
    <w:rsid w:val="35AD335B"/>
    <w:rsid w:val="35E5532F"/>
    <w:rsid w:val="36AA5135"/>
    <w:rsid w:val="36BE0DA7"/>
    <w:rsid w:val="36CE51E4"/>
    <w:rsid w:val="370F76FD"/>
    <w:rsid w:val="376B6AA6"/>
    <w:rsid w:val="376D39B2"/>
    <w:rsid w:val="37A80CC1"/>
    <w:rsid w:val="37E16F03"/>
    <w:rsid w:val="37F53A3B"/>
    <w:rsid w:val="3836588A"/>
    <w:rsid w:val="389B6C89"/>
    <w:rsid w:val="38CB1241"/>
    <w:rsid w:val="38D469F0"/>
    <w:rsid w:val="395F6A2C"/>
    <w:rsid w:val="39627CCD"/>
    <w:rsid w:val="397BAF1F"/>
    <w:rsid w:val="3AB79AF3"/>
    <w:rsid w:val="3AD35612"/>
    <w:rsid w:val="3AE834C0"/>
    <w:rsid w:val="3B7EF35A"/>
    <w:rsid w:val="3B9FDB6C"/>
    <w:rsid w:val="3BD0698E"/>
    <w:rsid w:val="3BF5BC2F"/>
    <w:rsid w:val="3C0637C5"/>
    <w:rsid w:val="3CEBA265"/>
    <w:rsid w:val="3D8926B4"/>
    <w:rsid w:val="3D98207C"/>
    <w:rsid w:val="3DEE7CF3"/>
    <w:rsid w:val="3E740A63"/>
    <w:rsid w:val="3E78745D"/>
    <w:rsid w:val="3EE17838"/>
    <w:rsid w:val="3EED47C8"/>
    <w:rsid w:val="3F05660B"/>
    <w:rsid w:val="3F514749"/>
    <w:rsid w:val="3F55381A"/>
    <w:rsid w:val="3F7F7599"/>
    <w:rsid w:val="3FF4CAE0"/>
    <w:rsid w:val="3FF7B227"/>
    <w:rsid w:val="3FFA7ABB"/>
    <w:rsid w:val="402B37FA"/>
    <w:rsid w:val="40806076"/>
    <w:rsid w:val="40F947A5"/>
    <w:rsid w:val="41B9283A"/>
    <w:rsid w:val="42044303"/>
    <w:rsid w:val="42A65C00"/>
    <w:rsid w:val="42F87F92"/>
    <w:rsid w:val="43525FE7"/>
    <w:rsid w:val="44E268DA"/>
    <w:rsid w:val="450D13D7"/>
    <w:rsid w:val="4534713E"/>
    <w:rsid w:val="45506656"/>
    <w:rsid w:val="455B5F6E"/>
    <w:rsid w:val="465B295F"/>
    <w:rsid w:val="468679DC"/>
    <w:rsid w:val="46EA34DA"/>
    <w:rsid w:val="486A6C7A"/>
    <w:rsid w:val="4A0E204E"/>
    <w:rsid w:val="4A2D5BF3"/>
    <w:rsid w:val="4A627F82"/>
    <w:rsid w:val="4ACC3E2B"/>
    <w:rsid w:val="4B0E749A"/>
    <w:rsid w:val="4B2477C4"/>
    <w:rsid w:val="4B4F25DA"/>
    <w:rsid w:val="4B8F4681"/>
    <w:rsid w:val="4BE068DB"/>
    <w:rsid w:val="4BFE1DC3"/>
    <w:rsid w:val="4CFD651E"/>
    <w:rsid w:val="4D577224"/>
    <w:rsid w:val="4DBF1CEB"/>
    <w:rsid w:val="4DF0007C"/>
    <w:rsid w:val="4E261B2B"/>
    <w:rsid w:val="4E6D517D"/>
    <w:rsid w:val="4EAB630A"/>
    <w:rsid w:val="4ECE2238"/>
    <w:rsid w:val="4F833267"/>
    <w:rsid w:val="4FBA6948"/>
    <w:rsid w:val="4FE9BD67"/>
    <w:rsid w:val="4FFB052F"/>
    <w:rsid w:val="51DA6E2E"/>
    <w:rsid w:val="52AA6150"/>
    <w:rsid w:val="537E6D0A"/>
    <w:rsid w:val="53E72F5C"/>
    <w:rsid w:val="53EA66CB"/>
    <w:rsid w:val="53F74C96"/>
    <w:rsid w:val="54324CFF"/>
    <w:rsid w:val="54E97FB4"/>
    <w:rsid w:val="55170BA8"/>
    <w:rsid w:val="553218C9"/>
    <w:rsid w:val="55807CEC"/>
    <w:rsid w:val="5650034D"/>
    <w:rsid w:val="567E1AA5"/>
    <w:rsid w:val="568A3B11"/>
    <w:rsid w:val="56AE7493"/>
    <w:rsid w:val="56E47B74"/>
    <w:rsid w:val="57175D52"/>
    <w:rsid w:val="57BD3DD4"/>
    <w:rsid w:val="581243D7"/>
    <w:rsid w:val="58E00DE3"/>
    <w:rsid w:val="59227AA7"/>
    <w:rsid w:val="596F60AE"/>
    <w:rsid w:val="5AF92295"/>
    <w:rsid w:val="5B250254"/>
    <w:rsid w:val="5B61236E"/>
    <w:rsid w:val="5B994B33"/>
    <w:rsid w:val="5BDD79E6"/>
    <w:rsid w:val="5BE508A9"/>
    <w:rsid w:val="5BF161F2"/>
    <w:rsid w:val="5BF561CA"/>
    <w:rsid w:val="5BFF5DFC"/>
    <w:rsid w:val="5C545A2F"/>
    <w:rsid w:val="5CD71FC4"/>
    <w:rsid w:val="5D1F11B5"/>
    <w:rsid w:val="5D280E34"/>
    <w:rsid w:val="5D695134"/>
    <w:rsid w:val="5DA46FBF"/>
    <w:rsid w:val="5DAE1B18"/>
    <w:rsid w:val="5DE7D9E5"/>
    <w:rsid w:val="5E0F330D"/>
    <w:rsid w:val="5ECEC941"/>
    <w:rsid w:val="5EFD415C"/>
    <w:rsid w:val="5FBF9FF3"/>
    <w:rsid w:val="5FCD4E2C"/>
    <w:rsid w:val="5FEF394A"/>
    <w:rsid w:val="5FF67715"/>
    <w:rsid w:val="60145C01"/>
    <w:rsid w:val="60194FC5"/>
    <w:rsid w:val="60B13450"/>
    <w:rsid w:val="60E9305E"/>
    <w:rsid w:val="629B2980"/>
    <w:rsid w:val="62BF3928"/>
    <w:rsid w:val="62E1509A"/>
    <w:rsid w:val="63350A29"/>
    <w:rsid w:val="6390559E"/>
    <w:rsid w:val="63B3701E"/>
    <w:rsid w:val="643F0D73"/>
    <w:rsid w:val="644F7208"/>
    <w:rsid w:val="647F5392"/>
    <w:rsid w:val="6495406A"/>
    <w:rsid w:val="64D23995"/>
    <w:rsid w:val="65E66580"/>
    <w:rsid w:val="664B1D71"/>
    <w:rsid w:val="664B4E8E"/>
    <w:rsid w:val="66AB18E8"/>
    <w:rsid w:val="67277B67"/>
    <w:rsid w:val="67AA3209"/>
    <w:rsid w:val="67E83794"/>
    <w:rsid w:val="68FC5484"/>
    <w:rsid w:val="698D0931"/>
    <w:rsid w:val="69CC4E56"/>
    <w:rsid w:val="6A7FE5F3"/>
    <w:rsid w:val="6B053271"/>
    <w:rsid w:val="6B323A42"/>
    <w:rsid w:val="6B39651C"/>
    <w:rsid w:val="6B9A16B0"/>
    <w:rsid w:val="6BA633A5"/>
    <w:rsid w:val="6BDD78B3"/>
    <w:rsid w:val="6C4A05C8"/>
    <w:rsid w:val="6C81461E"/>
    <w:rsid w:val="6C8742B8"/>
    <w:rsid w:val="6C8B0FF9"/>
    <w:rsid w:val="6DBF5E93"/>
    <w:rsid w:val="6DC5678C"/>
    <w:rsid w:val="6DFF077E"/>
    <w:rsid w:val="6E3851B0"/>
    <w:rsid w:val="6E714EF0"/>
    <w:rsid w:val="6E7E3605"/>
    <w:rsid w:val="6E7FDCC7"/>
    <w:rsid w:val="6ED6A62E"/>
    <w:rsid w:val="6EE00B15"/>
    <w:rsid w:val="6F2F65B3"/>
    <w:rsid w:val="6F6FB3EB"/>
    <w:rsid w:val="6F8731EA"/>
    <w:rsid w:val="6FCE6052"/>
    <w:rsid w:val="6FD57C00"/>
    <w:rsid w:val="6FEFFFD8"/>
    <w:rsid w:val="6FF5CC65"/>
    <w:rsid w:val="6FFB47EC"/>
    <w:rsid w:val="6FFF034A"/>
    <w:rsid w:val="70484440"/>
    <w:rsid w:val="712A28F1"/>
    <w:rsid w:val="71527F70"/>
    <w:rsid w:val="715C0E4B"/>
    <w:rsid w:val="718C342D"/>
    <w:rsid w:val="71992E7C"/>
    <w:rsid w:val="72033FC8"/>
    <w:rsid w:val="72233669"/>
    <w:rsid w:val="72734D90"/>
    <w:rsid w:val="73160E6D"/>
    <w:rsid w:val="7332FE48"/>
    <w:rsid w:val="733C47ED"/>
    <w:rsid w:val="73AB61DA"/>
    <w:rsid w:val="73AD73D5"/>
    <w:rsid w:val="73B6EB34"/>
    <w:rsid w:val="73D46043"/>
    <w:rsid w:val="73FA497D"/>
    <w:rsid w:val="744731E5"/>
    <w:rsid w:val="74BBD01D"/>
    <w:rsid w:val="74ED5379"/>
    <w:rsid w:val="75004B37"/>
    <w:rsid w:val="75263FB5"/>
    <w:rsid w:val="755B01BC"/>
    <w:rsid w:val="75B23A9A"/>
    <w:rsid w:val="75C91453"/>
    <w:rsid w:val="75DEEEC2"/>
    <w:rsid w:val="75E32345"/>
    <w:rsid w:val="76856AB9"/>
    <w:rsid w:val="76965B16"/>
    <w:rsid w:val="76E3355F"/>
    <w:rsid w:val="76FF5125"/>
    <w:rsid w:val="7750662E"/>
    <w:rsid w:val="776F6FFA"/>
    <w:rsid w:val="778769C8"/>
    <w:rsid w:val="77A75DCA"/>
    <w:rsid w:val="77B235B4"/>
    <w:rsid w:val="77DC22F5"/>
    <w:rsid w:val="77FF1187"/>
    <w:rsid w:val="781400F4"/>
    <w:rsid w:val="783E271A"/>
    <w:rsid w:val="78616DE9"/>
    <w:rsid w:val="78E875D7"/>
    <w:rsid w:val="79086DAD"/>
    <w:rsid w:val="792C3B64"/>
    <w:rsid w:val="79D7FD79"/>
    <w:rsid w:val="79EE5BA4"/>
    <w:rsid w:val="7A28432B"/>
    <w:rsid w:val="7A894339"/>
    <w:rsid w:val="7AAC3B76"/>
    <w:rsid w:val="7ACE0058"/>
    <w:rsid w:val="7AD284E8"/>
    <w:rsid w:val="7AFF7572"/>
    <w:rsid w:val="7B6C7DFB"/>
    <w:rsid w:val="7BBFBED0"/>
    <w:rsid w:val="7BC3E394"/>
    <w:rsid w:val="7C1F3737"/>
    <w:rsid w:val="7CBFC87B"/>
    <w:rsid w:val="7CFE0F48"/>
    <w:rsid w:val="7D272ABC"/>
    <w:rsid w:val="7D7EC23E"/>
    <w:rsid w:val="7DA243F4"/>
    <w:rsid w:val="7E2F667A"/>
    <w:rsid w:val="7E8ADEBF"/>
    <w:rsid w:val="7EEF11D3"/>
    <w:rsid w:val="7EFE4840"/>
    <w:rsid w:val="7F0971A6"/>
    <w:rsid w:val="7F1D62E7"/>
    <w:rsid w:val="7F3F679B"/>
    <w:rsid w:val="7F4FC4EF"/>
    <w:rsid w:val="7F5E4D54"/>
    <w:rsid w:val="7F6E0135"/>
    <w:rsid w:val="7F7678E7"/>
    <w:rsid w:val="7F79F205"/>
    <w:rsid w:val="7F9D1964"/>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4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UserData\Downloads\&#39033;&#30446;&#20837;&#24211;&#26597;&#35810;202509221638221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UserData\Downloads\&#39033;&#30446;&#20837;&#24211;&#26597;&#35810;2025092216382210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UserData\Downloads\&#39033;&#30446;&#20837;&#24211;&#26597;&#35810;2025092216382210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Data\Downloads\&#39033;&#30446;&#20837;&#24211;&#26597;&#35810;2025092216382210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Data\Downloads\&#39033;&#30446;&#20837;&#24211;&#26597;&#35810;2025092216382210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Data\Downloads\&#39033;&#30446;&#20837;&#24211;&#26597;&#35810;202509221638221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收入、支出决算总计</a:t>
            </a:r>
            <a:endParaRPr sz="1440"/>
          </a:p>
          <a:p>
            <a:pPr defTabSz="914400">
              <a:defRPr lang="zh-CN" sz="1440" b="0" i="0" u="none" strike="noStrike" kern="1200" spc="0" baseline="0">
                <a:solidFill>
                  <a:schemeClr val="tx1">
                    <a:lumMod val="65000"/>
                    <a:lumOff val="35000"/>
                  </a:schemeClr>
                </a:solidFill>
                <a:latin typeface="+mn-lt"/>
                <a:ea typeface="+mn-ea"/>
                <a:cs typeface="+mn-cs"/>
              </a:defRPr>
            </a:pPr>
            <a:endParaRPr sz="1440"/>
          </a:p>
        </c:rich>
      </c:tx>
      <c:layout>
        <c:manualLayout>
          <c:xMode val="edge"/>
          <c:yMode val="edge"/>
          <c:x val="0.236772875816993"/>
          <c:y val="0.0399431324253839"/>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[项目入库查询20250922163822101.xlsx]Sheet2!$A$1:$A$2</c:f>
              <c:strCache>
                <c:ptCount val="2"/>
                <c:pt idx="0">
                  <c:v>2023年收入、支出总计</c:v>
                </c:pt>
                <c:pt idx="1">
                  <c:v>2024年收入、支出总计</c:v>
                </c:pt>
              </c:strCache>
            </c:strRef>
          </c:cat>
          <c:val>
            <c:numRef>
              <c:f>[项目入库查询20250922163822101.xlsx]Sheet2!$B$1:$B$2</c:f>
              <c:numCache>
                <c:formatCode>General</c:formatCode>
                <c:ptCount val="2"/>
                <c:pt idx="0">
                  <c:v>311.71</c:v>
                </c:pt>
                <c:pt idx="1">
                  <c:v>316.71</c:v>
                </c:pt>
              </c:numCache>
            </c:numRef>
          </c:val>
        </c:ser>
        <c:dLbls>
          <c:showLegendKey val="0"/>
          <c:showVal val="1"/>
          <c:showCatName val="0"/>
          <c:showSerName val="0"/>
          <c:showPercent val="0"/>
          <c:showBubbleSize val="0"/>
        </c:dLbls>
        <c:gapWidth val="219"/>
        <c:overlap val="-27"/>
        <c:axId val="216591560"/>
        <c:axId val="589941937"/>
      </c:barChart>
      <c:catAx>
        <c:axId val="216591560"/>
        <c:scaling>
          <c:orientation val="minMax"/>
        </c:scaling>
        <c:delete val="0"/>
        <c:axPos val="b"/>
        <c:title>
          <c:tx>
            <c:rich>
              <a:bodyPr rot="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a:t>收入、支出决算总计（单位：万元）</a:t>
                </a:r>
                <a:endParaRPr sz="1100"/>
              </a:p>
            </c:rich>
          </c:tx>
          <c:layout>
            <c:manualLayout>
              <c:xMode val="edge"/>
              <c:yMode val="edge"/>
              <c:x val="0.127687296416938"/>
              <c:y val="0.862787416596748"/>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941937"/>
        <c:crosses val="autoZero"/>
        <c:auto val="1"/>
        <c:lblAlgn val="ctr"/>
        <c:lblOffset val="100"/>
        <c:noMultiLvlLbl val="0"/>
      </c:catAx>
      <c:valAx>
        <c:axId val="5899419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16591560"/>
        <c:crosses val="autoZero"/>
        <c:crossBetween val="between"/>
      </c:valAx>
      <c:spPr>
        <a:noFill/>
        <a:ln>
          <a:noFill/>
        </a:ln>
        <a:effectLst/>
      </c:spPr>
    </c:plotArea>
    <c:plotVisOnly val="1"/>
    <c:dispBlanksAs val="gap"/>
    <c:showDLblsOverMax val="0"/>
    <c:extLst>
      <c:ext uri="{0b15fc19-7d7d-44ad-8c2d-2c3a37ce22c3}">
        <chartProps xmlns="https://web.wps.cn/et/2018/main" chartId="{da342b79-7fe3-409e-a620-9aa4220d05e1}"/>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660" b="0" i="0" u="none" strike="noStrike" kern="1200" spc="0" baseline="0">
                <a:solidFill>
                  <a:schemeClr val="tx1">
                    <a:lumMod val="65000"/>
                    <a:lumOff val="35000"/>
                  </a:schemeClr>
                </a:solidFill>
                <a:latin typeface="+mn-lt"/>
                <a:ea typeface="+mn-ea"/>
                <a:cs typeface="+mn-cs"/>
              </a:defRPr>
            </a:pPr>
            <a:r>
              <a:rPr sz="660"/>
              <a:t>一般公共预算财政拨款收入（单位：万元）</a:t>
            </a:r>
            <a:endParaRPr sz="660"/>
          </a:p>
        </c:rich>
      </c:tx>
      <c:layout>
        <c:manualLayout>
          <c:xMode val="edge"/>
          <c:yMode val="edge"/>
          <c:x val="0.110159302675083"/>
          <c:y val="0.0419874037788663"/>
        </c:manualLayout>
      </c:layout>
      <c:overlay val="0"/>
      <c:spPr>
        <a:noFill/>
        <a:ln>
          <a:noFill/>
        </a:ln>
        <a:effectLst/>
      </c:spPr>
    </c:title>
    <c:autoTitleDeleted val="0"/>
    <c:plotArea>
      <c:layout/>
      <c:pieChart>
        <c:varyColors val="1"/>
        <c:ser>
          <c:idx val="0"/>
          <c:order val="0"/>
          <c:tx>
            <c:strRef>
              <c:f>[项目入库查询20250922163822101.xlsx]Sheet2!$A$1</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55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[项目入库查询20250922163822101.xlsx]Sheet2!$B$1</c:f>
              <c:numCache>
                <c:formatCode>General</c:formatCode>
                <c:ptCount val="1"/>
                <c:pt idx="0">
                  <c:v>316.71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55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5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96fa4e-0fa8-4a0b-b7e7-69a68b7f0c06}"/>
      </c:ext>
    </c:extLst>
  </c:chart>
  <c:spPr>
    <a:solidFill>
      <a:schemeClr val="bg1"/>
    </a:solidFill>
    <a:ln w="9525" cap="flat" cmpd="sng" algn="ctr">
      <a:solidFill>
        <a:schemeClr val="tx1">
          <a:lumMod val="15000"/>
          <a:lumOff val="85000"/>
        </a:schemeClr>
      </a:solidFill>
      <a:round/>
    </a:ln>
    <a:effectLst/>
  </c:spPr>
  <c:txPr>
    <a:bodyPr/>
    <a:lstStyle/>
    <a:p>
      <a:pPr>
        <a:defRPr lang="zh-CN" sz="55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[项目入库查询20250922163822101.xlsx]Sheet2!$A$1:$A$2</c:f>
              <c:strCache>
                <c:ptCount val="2"/>
                <c:pt idx="0">
                  <c:v>基本支出</c:v>
                </c:pt>
                <c:pt idx="1">
                  <c:v>项目支出</c:v>
                </c:pt>
              </c:strCache>
            </c:strRef>
          </c:cat>
          <c:val>
            <c:numRef>
              <c:f>[项目入库查询20250922163822101.xlsx]Sheet2!$B$1:$B$2</c:f>
              <c:numCache>
                <c:formatCode>General</c:formatCode>
                <c:ptCount val="2"/>
                <c:pt idx="0">
                  <c:v>316.71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c9e4e0-b385-4ade-b18f-f0862686b6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收入、支出决算总计</a:t>
            </a:r>
            <a:endParaRPr sz="1440"/>
          </a:p>
          <a:p>
            <a:pPr defTabSz="914400">
              <a:defRPr lang="zh-CN" sz="1440" b="0" i="0" u="none" strike="noStrike" kern="1200" spc="0" baseline="0">
                <a:solidFill>
                  <a:schemeClr val="tx1">
                    <a:lumMod val="65000"/>
                    <a:lumOff val="35000"/>
                  </a:schemeClr>
                </a:solidFill>
                <a:latin typeface="+mn-lt"/>
                <a:ea typeface="+mn-ea"/>
                <a:cs typeface="+mn-cs"/>
              </a:defRPr>
            </a:pPr>
            <a:endParaRPr sz="1440"/>
          </a:p>
        </c:rich>
      </c:tx>
      <c:layout>
        <c:manualLayout>
          <c:xMode val="edge"/>
          <c:yMode val="edge"/>
          <c:x val="0.219109663409338"/>
          <c:y val="0.054045307443365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[项目入库查询20250922163822101.xlsx]Sheet2!$A$1:$A$2</c:f>
              <c:strCache>
                <c:ptCount val="2"/>
                <c:pt idx="0">
                  <c:v>2023年收入、支出总计</c:v>
                </c:pt>
                <c:pt idx="1">
                  <c:v>2024年收入、支出总计</c:v>
                </c:pt>
              </c:strCache>
            </c:strRef>
          </c:cat>
          <c:val>
            <c:numRef>
              <c:f>[项目入库查询20250922163822101.xlsx]Sheet2!$B$1:$B$2</c:f>
              <c:numCache>
                <c:formatCode>General</c:formatCode>
                <c:ptCount val="2"/>
                <c:pt idx="0">
                  <c:v>311.71</c:v>
                </c:pt>
                <c:pt idx="1">
                  <c:v>316.71</c:v>
                </c:pt>
              </c:numCache>
            </c:numRef>
          </c:val>
        </c:ser>
        <c:dLbls>
          <c:showLegendKey val="0"/>
          <c:showVal val="1"/>
          <c:showCatName val="0"/>
          <c:showSerName val="0"/>
          <c:showPercent val="0"/>
          <c:showBubbleSize val="0"/>
        </c:dLbls>
        <c:gapWidth val="219"/>
        <c:overlap val="-27"/>
        <c:axId val="216591560"/>
        <c:axId val="589941937"/>
      </c:barChart>
      <c:catAx>
        <c:axId val="216591560"/>
        <c:scaling>
          <c:orientation val="minMax"/>
        </c:scaling>
        <c:delete val="0"/>
        <c:axPos val="b"/>
        <c:title>
          <c:tx>
            <c:rich>
              <a:bodyPr rot="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a:t>收入、支出决算总计（单位：万元）</a:t>
                </a:r>
                <a:endParaRPr sz="1100"/>
              </a:p>
            </c:rich>
          </c:tx>
          <c:layout>
            <c:manualLayout>
              <c:xMode val="edge"/>
              <c:yMode val="edge"/>
              <c:x val="0.127687296416938"/>
              <c:y val="0.862787416596748"/>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941937"/>
        <c:crosses val="autoZero"/>
        <c:auto val="1"/>
        <c:lblAlgn val="ctr"/>
        <c:lblOffset val="100"/>
        <c:noMultiLvlLbl val="0"/>
      </c:catAx>
      <c:valAx>
        <c:axId val="5899419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16591560"/>
        <c:crosses val="autoZero"/>
        <c:crossBetween val="between"/>
      </c:valAx>
      <c:spPr>
        <a:noFill/>
        <a:ln>
          <a:noFill/>
        </a:ln>
        <a:effectLst/>
      </c:spPr>
    </c:plotArea>
    <c:plotVisOnly val="1"/>
    <c:dispBlanksAs val="gap"/>
    <c:showDLblsOverMax val="0"/>
    <c:extLst>
      <c:ext uri="{0b15fc19-7d7d-44ad-8c2d-2c3a37ce22c3}">
        <chartProps xmlns="https://web.wps.cn/et/2018/main" chartId="{c293ea02-f23d-4213-9de9-7dfbbe81face}"/>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一般公共预算财政拨款支出决算总体情况</a:t>
            </a:r>
            <a:endParaRPr sz="900"/>
          </a:p>
        </c:rich>
      </c:tx>
      <c:layout>
        <c:manualLayout>
          <c:xMode val="edge"/>
          <c:yMode val="edge"/>
          <c:x val="0.131111111111111"/>
          <c:y val="0.0243055555555556"/>
        </c:manualLayout>
      </c:layout>
      <c:overlay val="0"/>
      <c:spPr>
        <a:noFill/>
        <a:ln>
          <a:noFill/>
        </a:ln>
        <a:effectLst/>
      </c:spPr>
    </c:title>
    <c:autoTitleDeleted val="0"/>
    <c:plotArea>
      <c:layout>
        <c:manualLayout>
          <c:layoutTarget val="inner"/>
          <c:xMode val="edge"/>
          <c:yMode val="edge"/>
          <c:x val="0.0706388888888889"/>
          <c:y val="0.172916666666667"/>
          <c:w val="0.894638888888889"/>
          <c:h val="0.6153703703703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[项目入库查询20250922163822101.xlsx]Sheet2!$A$1:$A$2</c:f>
              <c:strCache>
                <c:ptCount val="2"/>
                <c:pt idx="0">
                  <c:v>2023年</c:v>
                </c:pt>
                <c:pt idx="1">
                  <c:v>2024年</c:v>
                </c:pt>
              </c:strCache>
            </c:strRef>
          </c:cat>
          <c:val>
            <c:numRef>
              <c:f>[项目入库查询20250922163822101.xlsx]Sheet2!$B$1:$B$2</c:f>
              <c:numCache>
                <c:formatCode>General</c:formatCode>
                <c:ptCount val="2"/>
                <c:pt idx="0">
                  <c:v>311.71</c:v>
                </c:pt>
                <c:pt idx="1">
                  <c:v>316.71</c:v>
                </c:pt>
              </c:numCache>
            </c:numRef>
          </c:val>
        </c:ser>
        <c:dLbls>
          <c:showLegendKey val="0"/>
          <c:showVal val="1"/>
          <c:showCatName val="0"/>
          <c:showSerName val="0"/>
          <c:showPercent val="0"/>
          <c:showBubbleSize val="0"/>
        </c:dLbls>
        <c:gapWidth val="219"/>
        <c:overlap val="-27"/>
        <c:axId val="495273102"/>
        <c:axId val="566682772"/>
      </c:barChart>
      <c:catAx>
        <c:axId val="495273102"/>
        <c:scaling>
          <c:orientation val="minMax"/>
        </c:scaling>
        <c:delete val="0"/>
        <c:axPos val="b"/>
        <c:title>
          <c:tx>
            <c:rich>
              <a:bodyPr rot="0" spcFirstLastPara="0" vertOverflow="ellipsis" vert="horz" wrap="square" anchor="ctr" anchorCtr="1"/>
              <a:lstStyle/>
              <a:p>
                <a:pPr defTabSz="914400">
                  <a:defRPr lang="zh-CN" sz="750" b="0" i="0" u="none" strike="noStrike" kern="1200" baseline="0">
                    <a:solidFill>
                      <a:schemeClr val="tx1">
                        <a:lumMod val="65000"/>
                        <a:lumOff val="35000"/>
                      </a:schemeClr>
                    </a:solidFill>
                    <a:latin typeface="+mn-lt"/>
                    <a:ea typeface="+mn-ea"/>
                    <a:cs typeface="+mn-cs"/>
                  </a:defRPr>
                </a:pPr>
                <a:r>
                  <a:rPr sz="750"/>
                  <a:t>单位：万元</a:t>
                </a:r>
                <a:endParaRPr sz="750"/>
              </a:p>
            </c:rich>
          </c:tx>
          <c:layout>
            <c:manualLayout>
              <c:xMode val="edge"/>
              <c:yMode val="edge"/>
              <c:x val="0.776152777777778"/>
              <c:y val="0.89791666666666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566682772"/>
        <c:crosses val="autoZero"/>
        <c:auto val="1"/>
        <c:lblAlgn val="ctr"/>
        <c:lblOffset val="100"/>
        <c:noMultiLvlLbl val="0"/>
      </c:catAx>
      <c:valAx>
        <c:axId val="5666827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495273102"/>
        <c:crosses val="autoZero"/>
        <c:crossBetween val="between"/>
      </c:valAx>
      <c:spPr>
        <a:noFill/>
        <a:ln>
          <a:noFill/>
        </a:ln>
        <a:effectLst/>
      </c:spPr>
    </c:plotArea>
    <c:plotVisOnly val="1"/>
    <c:dispBlanksAs val="gap"/>
    <c:showDLblsOverMax val="0"/>
    <c:extLst>
      <c:ext uri="{0b15fc19-7d7d-44ad-8c2d-2c3a37ce22c3}">
        <chartProps xmlns="https://web.wps.cn/et/2018/main" chartId="{dd852d35-ed03-45ce-a226-34174d26dfae}"/>
      </c:ext>
    </c:extLst>
  </c:chart>
  <c:spPr>
    <a:solidFill>
      <a:schemeClr val="bg1"/>
    </a:solidFill>
    <a:ln w="9525" cap="flat" cmpd="sng" algn="ctr">
      <a:solidFill>
        <a:schemeClr val="tx1">
          <a:lumMod val="15000"/>
          <a:lumOff val="85000"/>
        </a:schemeClr>
      </a:solidFill>
      <a:round/>
    </a:ln>
    <a:effectLst/>
  </c:spPr>
  <c:txPr>
    <a:bodyPr/>
    <a:lstStyle/>
    <a:p>
      <a:pPr>
        <a:defRPr lang="zh-CN" sz="75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650"/>
              <a:t>一般公共预算财政拨款支出决算结构图（单位：万元）</a:t>
            </a:r>
            <a:endParaRPr sz="650"/>
          </a:p>
        </c:rich>
      </c:tx>
      <c:layout>
        <c:manualLayout>
          <c:xMode val="edge"/>
          <c:yMode val="edge"/>
          <c:x val="0.167930400192786"/>
          <c:y val="0.04162040561688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[项目入库查询20250922163822101.xlsx]Sheet2!$A$1:$A$4</c:f>
              <c:strCache>
                <c:ptCount val="4"/>
                <c:pt idx="0">
                  <c:v>社会保障和就业支出</c:v>
                </c:pt>
                <c:pt idx="1">
                  <c:v>卫生健康支出</c:v>
                </c:pt>
                <c:pt idx="2">
                  <c:v>农林水支出</c:v>
                </c:pt>
                <c:pt idx="3">
                  <c:v>住房保障支出</c:v>
                </c:pt>
              </c:strCache>
            </c:strRef>
          </c:cat>
          <c:val>
            <c:numRef>
              <c:f>[项目入库查询20250922163822101.xlsx]Sheet2!$B$1:$B$4</c:f>
              <c:numCache>
                <c:formatCode>General</c:formatCode>
                <c:ptCount val="4"/>
                <c:pt idx="0">
                  <c:v>44.25</c:v>
                </c:pt>
                <c:pt idx="1">
                  <c:v>18.46</c:v>
                </c:pt>
                <c:pt idx="2">
                  <c:v>230.42</c:v>
                </c:pt>
                <c:pt idx="3">
                  <c:v>23.58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204f6a-8195-47d6-8ace-b9cde89c55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4462</Words>
  <Characters>4796</Characters>
  <Lines>61</Lines>
  <Paragraphs>17</Paragraphs>
  <TotalTime>1</TotalTime>
  <ScaleCrop>false</ScaleCrop>
  <LinksUpToDate>false</LinksUpToDate>
  <CharactersWithSpaces>5064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WPS_1694850168</cp:lastModifiedBy>
  <cp:lastPrinted>2025-09-24T03:18:00Z</cp:lastPrinted>
  <dcterms:modified xsi:type="dcterms:W3CDTF">2025-09-26T08:34:05Z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233546BB832C45519F689D9AD98FDD5F_13</vt:lpwstr>
  </property>
  <property fmtid="{D5CDD505-2E9C-101B-9397-08002B2CF9AE}" pid="4" name="KSOTemplateDocerSaveRecord">
    <vt:lpwstr>eyJoZGlkIjoiZjY3MGU5ZTRlYjBmNjUxZmIwODI5OTMxNWRkMGZlNjQiLCJ1c2VySWQiOiIxNTM1OTU3NTM4In0=</vt:lpwstr>
  </property>
</Properties>
</file>