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30C4">
      <w:pPr>
        <w:rPr>
          <w:rFonts w:ascii="Times New Roman" w:hAnsi="Times New Roman"/>
        </w:rPr>
      </w:pPr>
      <w:bookmarkStart w:id="0" w:name="_Toc15396475"/>
      <w:bookmarkStart w:id="1" w:name="_Toc15396597"/>
      <w:bookmarkStart w:id="2" w:name="_Toc15377193"/>
      <w:bookmarkStart w:id="3" w:name="_Toc15378441"/>
      <w:bookmarkStart w:id="4" w:name="_Toc15377425"/>
      <w:bookmarkStart w:id="5" w:name="_Toc15306267"/>
    </w:p>
    <w:p w14:paraId="21904245">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382FF185">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0773B58">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9D9872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57E6106F">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96476"/>
      <w:bookmarkStart w:id="7" w:name="_Toc15378442"/>
      <w:bookmarkStart w:id="8" w:name="_Toc15377194"/>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11" w:name="_Toc15306268"/>
      <w:r>
        <w:rPr>
          <w:rFonts w:hint="eastAsia" w:ascii="Times New Roman" w:eastAsia="方正小标宋简体" w:cs="Times New Roman"/>
          <w:color w:val="auto"/>
          <w:kern w:val="2"/>
          <w:sz w:val="44"/>
          <w:szCs w:val="44"/>
          <w:highlight w:val="none"/>
          <w:lang w:val="en-US" w:eastAsia="zh-CN" w:bidi="ar-SA"/>
        </w:rPr>
        <w:t>阿坝州</w:t>
      </w:r>
    </w:p>
    <w:p w14:paraId="6E65D10D">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茂县沟口镇人民政府</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公开报告</w:t>
      </w:r>
    </w:p>
    <w:p w14:paraId="62E160F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C2E5912">
      <w:pPr>
        <w:widowControl/>
        <w:jc w:val="center"/>
        <w:rPr>
          <w:rFonts w:ascii="Times New Roman" w:hAnsi="Times New Roman" w:eastAsia="黑体" w:cstheme="minorBidi"/>
          <w:color w:val="auto"/>
          <w:sz w:val="28"/>
          <w:szCs w:val="28"/>
          <w:highlight w:val="none"/>
        </w:rPr>
      </w:pPr>
    </w:p>
    <w:p w14:paraId="28C7363B">
      <w:pPr>
        <w:pStyle w:val="13"/>
        <w:rPr>
          <w:rFonts w:hint="eastAsia" w:ascii="楷体_GB2312" w:hAnsi="楷体_GB2312" w:eastAsia="楷体_GB2312" w:cs="楷体_GB2312"/>
          <w:b/>
          <w:bCs/>
          <w:kern w:val="2"/>
          <w:sz w:val="28"/>
          <w:szCs w:val="28"/>
          <w:highlight w:val="none"/>
          <w:lang w:val="en-US" w:eastAsia="zh-CN" w:bidi="ar-SA"/>
        </w:rPr>
      </w:pPr>
      <w:r>
        <w:rPr>
          <w:rFonts w:hint="eastAsia" w:ascii="楷体_GB2312" w:hAnsi="楷体_GB2312" w:eastAsia="楷体_GB2312" w:cs="楷体_GB2312"/>
          <w:b/>
          <w:bCs/>
          <w:kern w:val="2"/>
          <w:sz w:val="28"/>
          <w:szCs w:val="28"/>
          <w:highlight w:val="none"/>
          <w:lang w:val="en-US" w:eastAsia="zh-CN" w:bidi="ar-SA"/>
        </w:rPr>
        <w:t>公开时间：2025年9月25日</w:t>
      </w:r>
    </w:p>
    <w:p w14:paraId="13DF0F59">
      <w:pPr>
        <w:rPr>
          <w:rFonts w:ascii="Times New Roman" w:hAnsi="Times New Roman"/>
          <w:color w:val="auto"/>
          <w:highlight w:val="none"/>
        </w:rPr>
      </w:pPr>
    </w:p>
    <w:sdt>
      <w:sdtPr>
        <w:rPr>
          <w:lang w:val="en-US" w:eastAsia="zh-CN"/>
        </w:rPr>
        <w:id w:val="147481398"/>
        <w15:color w:val="DBDBDB"/>
        <w:docPartObj>
          <w:docPartGallery w:val="Table of Contents"/>
          <w:docPartUnique/>
        </w:docPartObj>
      </w:sdtPr>
      <w:sdtEndPr>
        <w:rPr>
          <w:rFonts w:hint="eastAsia" w:ascii="黑体" w:hAnsi="黑体" w:eastAsia="黑体" w:cs="黑体"/>
          <w:b/>
          <w:bCs/>
          <w:kern w:val="2"/>
          <w:sz w:val="21"/>
          <w:szCs w:val="21"/>
          <w:lang w:val="en-US" w:eastAsia="zh-CN" w:bidi="ar-SA"/>
        </w:rPr>
      </w:sdtEndPr>
      <w:sdtContent>
        <w:p w14:paraId="6BA26255">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TOC \o "1-2" \h \u </w:instrText>
          </w:r>
          <w:r>
            <w:rPr>
              <w:rFonts w:hint="eastAsia" w:ascii="黑体" w:hAnsi="黑体" w:eastAsia="黑体" w:cs="黑体"/>
              <w:b/>
              <w:bCs/>
              <w:sz w:val="21"/>
              <w:szCs w:val="21"/>
            </w:rPr>
            <w:fldChar w:fldCharType="separate"/>
          </w:r>
          <w:r>
            <w:rPr>
              <w:rFonts w:hint="eastAsia" w:ascii="Times New Roman" w:hAnsi="Times New Roman" w:eastAsia="方正小标宋简体" w:cs="方正小标宋简体"/>
              <w:kern w:val="2"/>
              <w:sz w:val="28"/>
              <w:szCs w:val="28"/>
              <w:highlight w:val="none"/>
              <w:lang w:val="en-US" w:eastAsia="zh-CN" w:bidi="ar-SA"/>
            </w:rPr>
            <w:fldChar w:fldCharType="begin"/>
          </w:r>
          <w:r>
            <w:rPr>
              <w:rFonts w:hint="eastAsia" w:ascii="Times New Roman" w:hAnsi="Times New Roman" w:eastAsia="方正小标宋简体" w:cs="方正小标宋简体"/>
              <w:kern w:val="2"/>
              <w:sz w:val="28"/>
              <w:szCs w:val="28"/>
              <w:highlight w:val="none"/>
              <w:lang w:val="en-US" w:eastAsia="zh-CN" w:bidi="ar-SA"/>
            </w:rPr>
            <w:instrText xml:space="preserve"> HYPERLINK \l _Toc25546 </w:instrText>
          </w:r>
          <w:r>
            <w:rPr>
              <w:rFonts w:hint="eastAsia" w:ascii="Times New Roman" w:hAnsi="Times New Roman" w:eastAsia="方正小标宋简体" w:cs="方正小标宋简体"/>
              <w:kern w:val="2"/>
              <w:sz w:val="28"/>
              <w:szCs w:val="28"/>
              <w:highlight w:val="none"/>
              <w:lang w:val="en-US" w:eastAsia="zh-CN" w:bidi="ar-SA"/>
            </w:rPr>
            <w:fldChar w:fldCharType="separate"/>
          </w:r>
          <w:r>
            <w:rPr>
              <w:rFonts w:hint="eastAsia" w:ascii="Times New Roman" w:hAnsi="Times New Roman" w:eastAsia="方正小标宋简体" w:cs="方正小标宋简体"/>
              <w:kern w:val="2"/>
              <w:sz w:val="28"/>
              <w:szCs w:val="28"/>
              <w:highlight w:val="none"/>
              <w:lang w:val="en-US" w:eastAsia="zh-CN" w:bidi="ar-SA"/>
            </w:rPr>
            <w:t>第一部分  部门概况</w:t>
          </w:r>
          <w:r>
            <w:rPr>
              <w:rFonts w:hint="eastAsia" w:ascii="Times New Roman" w:hAnsi="Times New Roman" w:eastAsia="方正小标宋简体" w:cs="方正小标宋简体"/>
              <w:kern w:val="2"/>
              <w:sz w:val="28"/>
              <w:szCs w:val="28"/>
              <w:highlight w:val="none"/>
              <w:lang w:val="en-US" w:eastAsia="zh-CN" w:bidi="ar-SA"/>
            </w:rPr>
            <w:tab/>
          </w:r>
          <w:r>
            <w:rPr>
              <w:rFonts w:hint="eastAsia" w:ascii="Times New Roman" w:hAnsi="Times New Roman" w:eastAsia="方正小标宋简体" w:cs="方正小标宋简体"/>
              <w:kern w:val="2"/>
              <w:sz w:val="28"/>
              <w:szCs w:val="28"/>
              <w:highlight w:val="none"/>
              <w:lang w:val="en-US" w:eastAsia="zh-CN" w:bidi="ar-SA"/>
            </w:rPr>
            <w:fldChar w:fldCharType="begin"/>
          </w:r>
          <w:r>
            <w:rPr>
              <w:rFonts w:hint="eastAsia" w:ascii="Times New Roman" w:hAnsi="Times New Roman" w:eastAsia="方正小标宋简体" w:cs="方正小标宋简体"/>
              <w:kern w:val="2"/>
              <w:sz w:val="28"/>
              <w:szCs w:val="28"/>
              <w:highlight w:val="none"/>
              <w:lang w:val="en-US" w:eastAsia="zh-CN" w:bidi="ar-SA"/>
            </w:rPr>
            <w:instrText xml:space="preserve"> PAGEREF _Toc25546 \h </w:instrText>
          </w:r>
          <w:r>
            <w:rPr>
              <w:rFonts w:hint="eastAsia" w:ascii="Times New Roman" w:hAnsi="Times New Roman" w:eastAsia="方正小标宋简体" w:cs="方正小标宋简体"/>
              <w:kern w:val="2"/>
              <w:sz w:val="28"/>
              <w:szCs w:val="28"/>
              <w:highlight w:val="none"/>
              <w:lang w:val="en-US" w:eastAsia="zh-CN" w:bidi="ar-SA"/>
            </w:rPr>
            <w:fldChar w:fldCharType="separate"/>
          </w:r>
          <w:r>
            <w:rPr>
              <w:rFonts w:hint="eastAsia" w:ascii="Times New Roman" w:hAnsi="Times New Roman" w:eastAsia="方正小标宋简体" w:cs="方正小标宋简体"/>
              <w:kern w:val="2"/>
              <w:sz w:val="28"/>
              <w:szCs w:val="28"/>
              <w:highlight w:val="none"/>
              <w:lang w:val="en-US" w:eastAsia="zh-CN" w:bidi="ar-SA"/>
            </w:rPr>
            <w:t>- 4 -</w:t>
          </w:r>
          <w:r>
            <w:rPr>
              <w:rFonts w:hint="eastAsia" w:ascii="Times New Roman" w:hAnsi="Times New Roman" w:eastAsia="方正小标宋简体" w:cs="方正小标宋简体"/>
              <w:kern w:val="2"/>
              <w:sz w:val="28"/>
              <w:szCs w:val="28"/>
              <w:highlight w:val="none"/>
              <w:lang w:val="en-US" w:eastAsia="zh-CN" w:bidi="ar-SA"/>
            </w:rPr>
            <w:fldChar w:fldCharType="end"/>
          </w:r>
          <w:r>
            <w:rPr>
              <w:rFonts w:hint="eastAsia" w:ascii="Times New Roman" w:hAnsi="Times New Roman" w:eastAsia="方正小标宋简体" w:cs="方正小标宋简体"/>
              <w:kern w:val="2"/>
              <w:sz w:val="28"/>
              <w:szCs w:val="28"/>
              <w:highlight w:val="none"/>
              <w:lang w:val="en-US" w:eastAsia="zh-CN" w:bidi="ar-SA"/>
            </w:rPr>
            <w:fldChar w:fldCharType="end"/>
          </w:r>
        </w:p>
        <w:p w14:paraId="15129EE2">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_Toc5388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val="en-US" w:eastAsia="zh-CN"/>
            </w:rPr>
            <w:t>一、 部门职责</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_Toc5388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300168D1">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_Toc6614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二、机构设置</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_Toc6614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- 5 -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6B8E4C95">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_Toc32567 </w:instrText>
          </w:r>
          <w:r>
            <w:rPr>
              <w:rFonts w:hint="eastAsia" w:ascii="黑体" w:hAnsi="黑体" w:eastAsia="黑体" w:cs="黑体"/>
              <w:b/>
              <w:bCs/>
              <w:sz w:val="21"/>
              <w:szCs w:val="21"/>
            </w:rPr>
            <w:fldChar w:fldCharType="separate"/>
          </w:r>
          <w:r>
            <w:rPr>
              <w:rFonts w:hint="eastAsia" w:ascii="Times New Roman" w:hAnsi="Times New Roman" w:eastAsia="方正小标宋简体" w:cs="方正小标宋简体"/>
              <w:kern w:val="2"/>
              <w:sz w:val="28"/>
              <w:szCs w:val="28"/>
              <w:highlight w:val="none"/>
              <w:lang w:val="en-US" w:eastAsia="zh-CN" w:bidi="ar-SA"/>
            </w:rPr>
            <w:t>第二部分  2024年度部门决算情况说明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_Toc32567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- 6 -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2DE12F8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_Toc31625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eastAsia="zh-CN"/>
            </w:rPr>
            <w:t>一、</w:t>
          </w:r>
          <w:r>
            <w:rPr>
              <w:rFonts w:hint="eastAsia" w:ascii="黑体" w:hAnsi="黑体" w:eastAsia="黑体" w:cs="黑体"/>
              <w:b/>
              <w:bCs/>
              <w:sz w:val="21"/>
              <w:szCs w:val="21"/>
            </w:rPr>
            <w:t>收入支出决算总体情况说明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_Toc31625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- 6 -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6599591">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_Toc10787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val="en-US" w:eastAsia="zh-CN"/>
            </w:rPr>
            <w:t>二、收入决算情况说明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_Toc10787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- 6 -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7C102723">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_Toc23315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eastAsia="zh-CN"/>
            </w:rPr>
            <w:t>三、</w:t>
          </w:r>
          <w:r>
            <w:rPr>
              <w:rFonts w:hint="eastAsia" w:ascii="黑体" w:hAnsi="黑体" w:eastAsia="黑体" w:cs="黑体"/>
              <w:b/>
              <w:bCs/>
              <w:sz w:val="21"/>
              <w:szCs w:val="21"/>
            </w:rPr>
            <w:t>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_Toc23315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- 7 -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359B1B2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_Toc32466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四、财政拨款收入支出决算总体情况说明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_Toc32466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- 7 -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3DF9B90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_Toc25569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五、一般公共预算财政拨款支出决算情况说明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_Toc25569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- 7 -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3C317EA">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_Toc20787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六、一般公共预算财政拨款基本支出决算情况说明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_Toc20787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- 11 -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0E412A4A">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_Toc25262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七、财政拨款“三公”经费支出决算情况说明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_Toc25262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- 11 -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268A674">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_Toc21781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八、政府性基金预算支出决算情况说明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_Toc21781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- 13 -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32045A9A">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_Toc12236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eastAsia="zh-CN"/>
            </w:rPr>
            <w:t>九、</w:t>
          </w:r>
          <w:r>
            <w:rPr>
              <w:rFonts w:hint="eastAsia" w:ascii="黑体" w:hAnsi="黑体" w:eastAsia="黑体" w:cs="黑体"/>
              <w:b/>
              <w:bCs/>
              <w:sz w:val="21"/>
              <w:szCs w:val="21"/>
            </w:rPr>
            <w:t>国有资本经营预算支出决算情况说明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_Toc12236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- 13 -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480A871C">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_Toc22165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lang w:eastAsia="zh-CN"/>
            </w:rPr>
            <w:t>十、</w:t>
          </w:r>
          <w:r>
            <w:rPr>
              <w:rFonts w:hint="eastAsia" w:ascii="黑体" w:hAnsi="黑体" w:eastAsia="黑体" w:cs="黑体"/>
              <w:b/>
              <w:bCs/>
              <w:sz w:val="21"/>
              <w:szCs w:val="21"/>
            </w:rPr>
            <w:t>其他重要事项的情况说明</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_Toc22165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- 13 -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20BAE8B9">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_Toc5985 </w:instrText>
          </w:r>
          <w:r>
            <w:rPr>
              <w:rFonts w:hint="eastAsia" w:ascii="黑体" w:hAnsi="黑体" w:eastAsia="黑体" w:cs="黑体"/>
              <w:b/>
              <w:bCs/>
              <w:sz w:val="21"/>
              <w:szCs w:val="21"/>
            </w:rPr>
            <w:fldChar w:fldCharType="separate"/>
          </w:r>
          <w:r>
            <w:rPr>
              <w:rFonts w:hint="eastAsia" w:ascii="Times New Roman" w:hAnsi="Times New Roman" w:eastAsia="方正小标宋简体" w:cs="方正小标宋简体"/>
              <w:kern w:val="2"/>
              <w:sz w:val="28"/>
              <w:szCs w:val="28"/>
              <w:highlight w:val="none"/>
              <w:lang w:val="en-US" w:eastAsia="zh-CN" w:bidi="ar-SA"/>
            </w:rPr>
            <w:t>第三部分  名词解释</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_Toc5985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- 16 -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15ADBEE5">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_Toc22322 </w:instrText>
          </w:r>
          <w:r>
            <w:rPr>
              <w:rFonts w:hint="eastAsia" w:ascii="黑体" w:hAnsi="黑体" w:eastAsia="黑体" w:cs="黑体"/>
              <w:b/>
              <w:bCs/>
              <w:sz w:val="21"/>
              <w:szCs w:val="21"/>
            </w:rPr>
            <w:fldChar w:fldCharType="separate"/>
          </w:r>
          <w:r>
            <w:rPr>
              <w:rFonts w:hint="eastAsia" w:ascii="Times New Roman" w:hAnsi="Times New Roman" w:eastAsia="方正小标宋简体" w:cs="方正小标宋简体"/>
              <w:kern w:val="2"/>
              <w:sz w:val="28"/>
              <w:szCs w:val="28"/>
              <w:highlight w:val="none"/>
              <w:lang w:val="en-US" w:eastAsia="zh-CN" w:bidi="ar-SA"/>
            </w:rPr>
            <w:t>第四部分  附件</w:t>
          </w:r>
          <w:r>
            <w:rPr>
              <w:rFonts w:hint="eastAsia" w:ascii="黑体" w:hAnsi="黑体" w:eastAsia="黑体" w:cs="黑体"/>
              <w:b/>
              <w:bCs/>
              <w:sz w:val="21"/>
              <w:szCs w:val="21"/>
            </w:rPr>
            <w:tab/>
          </w:r>
          <w:r>
            <w:rPr>
              <w:rFonts w:hint="eastAsia" w:ascii="黑体" w:hAnsi="黑体" w:eastAsia="黑体" w:cs="黑体"/>
              <w:b/>
              <w:bCs/>
              <w:sz w:val="21"/>
              <w:szCs w:val="21"/>
              <w:lang w:val="en-US" w:eastAsia="zh-CN"/>
            </w:rPr>
            <w:t>-2</w:t>
          </w:r>
          <w:r>
            <w:rPr>
              <w:rFonts w:hint="eastAsia" w:ascii="黑体" w:hAnsi="黑体" w:eastAsia="黑体" w:cs="黑体"/>
              <w:b/>
              <w:bCs/>
              <w:sz w:val="21"/>
              <w:szCs w:val="21"/>
            </w:rPr>
            <w:fldChar w:fldCharType="end"/>
          </w:r>
          <w:r>
            <w:rPr>
              <w:rFonts w:hint="eastAsia" w:ascii="黑体" w:hAnsi="黑体" w:eastAsia="黑体" w:cs="黑体"/>
              <w:b/>
              <w:bCs/>
              <w:sz w:val="21"/>
              <w:szCs w:val="21"/>
              <w:lang w:val="en-US" w:eastAsia="zh-CN"/>
            </w:rPr>
            <w:t>1-</w:t>
          </w:r>
        </w:p>
        <w:p w14:paraId="18537607">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_Toc12303 </w:instrText>
          </w:r>
          <w:r>
            <w:rPr>
              <w:rFonts w:hint="eastAsia" w:ascii="黑体" w:hAnsi="黑体" w:eastAsia="黑体" w:cs="黑体"/>
              <w:b/>
              <w:bCs/>
              <w:sz w:val="21"/>
              <w:szCs w:val="21"/>
            </w:rPr>
            <w:fldChar w:fldCharType="separate"/>
          </w:r>
          <w:r>
            <w:rPr>
              <w:rFonts w:hint="eastAsia" w:ascii="Times New Roman" w:hAnsi="Times New Roman" w:eastAsia="方正小标宋简体" w:cs="方正小标宋简体"/>
              <w:kern w:val="2"/>
              <w:sz w:val="28"/>
              <w:szCs w:val="28"/>
              <w:highlight w:val="none"/>
              <w:lang w:val="en-US" w:eastAsia="zh-CN" w:bidi="ar-SA"/>
            </w:rPr>
            <w:t>第五部分 附表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_Toc12303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- 48 -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18DA9890">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_Toc11091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一、收入支出决算总表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_Toc11091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4CAD79B6">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_Toc21824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二、收入决算表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_Toc21824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0DF257CF">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_Toc957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三、支出决算表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_Toc957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60BEAE86">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_Toc13607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四、财政拨款收入支出决算总表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_Toc13607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7904FE3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_Toc25908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五、财政拨款支出决算明细表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_Toc25908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4B42D0D6">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_Toc22366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六、一般公共预算财政拨款支出决算表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_Toc22366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8991196">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_Toc19547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七、一般公共预算财政拨款支出决算明细表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_Toc19547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3873FAD3">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_Toc21413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八、一般公共预算财政拨款基本支出决算表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_Toc21413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5E01656">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_Toc28916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九、一般公共预算财政拨款项目支出决算表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_Toc28916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5C326A1D">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_Toc3503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十、政府性基金预算财政拨款收入支出决算表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_Toc3503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7DC8E01A">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_Toc28409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十一、国有资本经营预算</w:t>
          </w:r>
          <w:r>
            <w:rPr>
              <w:rFonts w:hint="eastAsia" w:ascii="黑体" w:hAnsi="黑体" w:eastAsia="黑体" w:cs="黑体"/>
              <w:b/>
              <w:bCs/>
              <w:sz w:val="21"/>
              <w:szCs w:val="21"/>
              <w:lang w:eastAsia="zh-CN"/>
            </w:rPr>
            <w:t>财政拨款收入</w:t>
          </w:r>
          <w:r>
            <w:rPr>
              <w:rFonts w:hint="eastAsia" w:ascii="黑体" w:hAnsi="黑体" w:eastAsia="黑体" w:cs="黑体"/>
              <w:b/>
              <w:bCs/>
              <w:sz w:val="21"/>
              <w:szCs w:val="21"/>
            </w:rPr>
            <w:t>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_Toc28409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485427D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_Toc9303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十二、</w:t>
          </w:r>
          <w:r>
            <w:rPr>
              <w:rFonts w:hint="eastAsia" w:ascii="黑体" w:hAnsi="黑体" w:eastAsia="黑体" w:cs="黑体"/>
              <w:b/>
              <w:bCs/>
              <w:sz w:val="21"/>
              <w:szCs w:val="21"/>
              <w:lang w:eastAsia="zh-CN"/>
            </w:rPr>
            <w:t>国有资本经营预算财政拨款支出决算表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_Toc9303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0E560B6C">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HYPERLINK \l _Toc14714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十三、</w:t>
          </w:r>
          <w:r>
            <w:rPr>
              <w:rFonts w:hint="eastAsia" w:ascii="黑体" w:hAnsi="黑体" w:eastAsia="黑体" w:cs="黑体"/>
              <w:b/>
              <w:bCs/>
              <w:sz w:val="21"/>
              <w:szCs w:val="21"/>
              <w:lang w:eastAsia="zh-CN"/>
            </w:rPr>
            <w:t>财政拨款“三公”经费支出决算表</w:t>
          </w:r>
          <w:r>
            <w:rPr>
              <w:rFonts w:hint="eastAsia" w:ascii="黑体" w:hAnsi="黑体" w:eastAsia="黑体" w:cs="黑体"/>
              <w:b/>
              <w:bCs/>
              <w:sz w:val="21"/>
              <w:szCs w:val="21"/>
            </w:rPr>
            <w:tab/>
          </w: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PAGEREF _Toc14714 \h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- 49 -</w:t>
          </w:r>
          <w:r>
            <w:rPr>
              <w:rFonts w:hint="eastAsia" w:ascii="黑体" w:hAnsi="黑体" w:eastAsia="黑体" w:cs="黑体"/>
              <w:b/>
              <w:bCs/>
              <w:sz w:val="21"/>
              <w:szCs w:val="21"/>
            </w:rPr>
            <w:fldChar w:fldCharType="end"/>
          </w:r>
          <w:r>
            <w:rPr>
              <w:rFonts w:hint="eastAsia" w:ascii="黑体" w:hAnsi="黑体" w:eastAsia="黑体" w:cs="黑体"/>
              <w:b/>
              <w:bCs/>
              <w:sz w:val="21"/>
              <w:szCs w:val="21"/>
            </w:rPr>
            <w:fldChar w:fldCharType="end"/>
          </w:r>
        </w:p>
        <w:p w14:paraId="47A7D887">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rPr>
              <w:rFonts w:hint="eastAsia" w:ascii="黑体" w:hAnsi="黑体" w:eastAsia="黑体" w:cs="黑体"/>
              <w:b/>
              <w:bCs/>
              <w:kern w:val="2"/>
              <w:sz w:val="21"/>
              <w:szCs w:val="21"/>
              <w:lang w:val="en-US" w:eastAsia="zh-CN" w:bidi="ar-SA"/>
            </w:rPr>
          </w:pPr>
          <w:r>
            <w:rPr>
              <w:rFonts w:hint="eastAsia" w:ascii="黑体" w:hAnsi="黑体" w:eastAsia="黑体" w:cs="黑体"/>
              <w:b/>
              <w:bCs/>
              <w:sz w:val="21"/>
              <w:szCs w:val="21"/>
            </w:rPr>
            <w:fldChar w:fldCharType="end"/>
          </w:r>
        </w:p>
      </w:sdtContent>
    </w:sdt>
    <w:p w14:paraId="34CD6393">
      <w:pPr>
        <w:pStyle w:val="3"/>
        <w:rPr>
          <w:rFonts w:hint="eastAsia"/>
        </w:rPr>
      </w:pPr>
    </w:p>
    <w:p w14:paraId="5FF9B618">
      <w:pPr>
        <w:pStyle w:val="5"/>
        <w:bidi w:val="0"/>
        <w:ind w:firstLine="2200" w:firstLineChars="500"/>
        <w:rPr>
          <w:rFonts w:hint="eastAsia" w:ascii="方正小标宋简体" w:hAnsi="方正小标宋简体" w:eastAsia="方正小标宋简体" w:cs="方正小标宋简体"/>
          <w:b w:val="0"/>
          <w:bCs w:val="0"/>
          <w:lang w:val="en-US" w:eastAsia="zh-CN"/>
        </w:rPr>
      </w:pPr>
      <w:bookmarkStart w:id="12" w:name="_Toc25546"/>
      <w:r>
        <w:rPr>
          <w:rFonts w:hint="eastAsia" w:ascii="方正小标宋简体" w:hAnsi="方正小标宋简体" w:eastAsia="方正小标宋简体" w:cs="方正小标宋简体"/>
          <w:b w:val="0"/>
          <w:bCs w:val="0"/>
        </w:rPr>
        <w:t>第一部分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部门概况</w:t>
      </w:r>
      <w:bookmarkEnd w:id="12"/>
    </w:p>
    <w:p w14:paraId="26B77F1D">
      <w:pPr>
        <w:pStyle w:val="6"/>
        <w:pageBreakBefore w:val="0"/>
        <w:numPr>
          <w:ilvl w:val="0"/>
          <w:numId w:val="1"/>
        </w:numPr>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 w:val="0"/>
          <w:bCs w:val="0"/>
          <w:lang w:val="en-US" w:eastAsia="zh-CN"/>
        </w:rPr>
      </w:pPr>
      <w:bookmarkStart w:id="13" w:name="_Toc5388"/>
      <w:r>
        <w:rPr>
          <w:rFonts w:hint="eastAsia" w:ascii="黑体" w:hAnsi="黑体" w:eastAsia="黑体" w:cs="黑体"/>
          <w:b w:val="0"/>
          <w:bCs w:val="0"/>
          <w:lang w:val="en-US" w:eastAsia="zh-CN"/>
        </w:rPr>
        <w:t>部门职责</w:t>
      </w:r>
      <w:bookmarkEnd w:id="13"/>
    </w:p>
    <w:p w14:paraId="0A26F9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贯彻执行党和国家的路线方针政策和上级党委、政府各项决策部署，以及本级党员代表大会（党员大会）、人民代表大会的决议决定。</w:t>
      </w:r>
    </w:p>
    <w:p w14:paraId="52A2A5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020B728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bookmarkStart w:id="14" w:name="_Toc15377199"/>
      <w:bookmarkStart w:id="15" w:name="_Toc15378446"/>
      <w:bookmarkStart w:id="16" w:name="_Toc79163604"/>
      <w:bookmarkStart w:id="17" w:name="_Toc7916385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监督党员干部和其他工作人员严格遵守国家法律法规。</w:t>
      </w:r>
    </w:p>
    <w:p w14:paraId="0BE576F5">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hAnsi="仿宋_GB2312" w:eastAsia="仿宋_GB2312" w:cs="仿宋_GB2312"/>
          <w:sz w:val="32"/>
          <w:szCs w:val="32"/>
          <w:lang w:eastAsia="zh-CN"/>
        </w:rPr>
        <w:t>。</w:t>
      </w:r>
    </w:p>
    <w:p w14:paraId="6E093BA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00659DE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优化公共服务。推进服务型政府建设，组织实施并优化教育、卫生健康、文化、民政、社会保障、退役军人事务等各项公共服务。</w:t>
      </w:r>
    </w:p>
    <w:p w14:paraId="1C9C9C47">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）负责本行政区域内的民政、文化教育、卫生、体育等社会公益事业的综合性工作，维护一切经济单位和个人的正当经济权益，取缔非法经济活动，调解和处理民事纠纷，打击刑事犯罪维护社会稳定。 </w:t>
      </w:r>
    </w:p>
    <w:p w14:paraId="43D04D75">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）抓好精神文明建设，丰富群众文化生活，提倡移风易俗，反对封建迷信，破除陈规陋习，树立社会主义新风尚。 </w:t>
      </w:r>
    </w:p>
    <w:p w14:paraId="440BFDD1">
      <w:pPr>
        <w:pageBreakBefore w:val="0"/>
        <w:kinsoku/>
        <w:wordWrap/>
        <w:overflowPunct/>
        <w:topLinePunct w:val="0"/>
        <w:autoSpaceDE/>
        <w:autoSpaceDN/>
        <w:bidi w:val="0"/>
        <w:spacing w:line="576" w:lineRule="exact"/>
        <w:ind w:firstLine="640" w:firstLineChars="200"/>
        <w:textAlignment w:val="auto"/>
        <w:rPr>
          <w:rStyle w:val="30"/>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）完成上级政府交办的其它事项。 </w:t>
      </w:r>
      <w:bookmarkEnd w:id="14"/>
      <w:bookmarkEnd w:id="15"/>
      <w:bookmarkEnd w:id="16"/>
      <w:bookmarkEnd w:id="17"/>
    </w:p>
    <w:p w14:paraId="5254ABD6">
      <w:pPr>
        <w:pStyle w:val="6"/>
        <w:pageBreakBefore w:val="0"/>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 w:val="0"/>
          <w:bCs w:val="0"/>
        </w:rPr>
      </w:pPr>
      <w:bookmarkStart w:id="18" w:name="_Toc15396601"/>
      <w:bookmarkStart w:id="19" w:name="_Toc6614"/>
      <w:bookmarkStart w:id="20" w:name="_Toc15377200"/>
      <w:r>
        <w:rPr>
          <w:rFonts w:hint="eastAsia" w:ascii="黑体" w:hAnsi="黑体" w:eastAsia="黑体" w:cs="黑体"/>
          <w:b w:val="0"/>
          <w:bCs w:val="0"/>
        </w:rPr>
        <w:t>二、机构设置</w:t>
      </w:r>
      <w:bookmarkEnd w:id="18"/>
      <w:bookmarkEnd w:id="19"/>
      <w:bookmarkEnd w:id="20"/>
    </w:p>
    <w:p w14:paraId="6558260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阿坝州茂县沟口镇人民政府（本级）下属二级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w:t>
      </w:r>
    </w:p>
    <w:p w14:paraId="0CF80BFC">
      <w:pPr>
        <w:pStyle w:val="8"/>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纳入阿坝州茂县沟口镇人民政府（本级）2024年度部门决算编制范围二级预算单位包括：茂县沟口镇便民服务中心。</w:t>
      </w:r>
    </w:p>
    <w:p w14:paraId="484BE6D8">
      <w:pPr>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br w:type="page"/>
      </w:r>
    </w:p>
    <w:p w14:paraId="439C10CF">
      <w:pPr>
        <w:pStyle w:val="5"/>
        <w:bidi w:val="0"/>
        <w:ind w:firstLine="880" w:firstLineChars="200"/>
        <w:rPr>
          <w:rFonts w:hint="eastAsia" w:ascii="方正小标宋简体" w:hAnsi="方正小标宋简体" w:eastAsia="方正小标宋简体" w:cs="方正小标宋简体"/>
          <w:b w:val="0"/>
          <w:bCs w:val="0"/>
        </w:rPr>
      </w:pPr>
      <w:bookmarkStart w:id="21" w:name="_Toc15377204"/>
      <w:bookmarkStart w:id="22" w:name="_Toc32567"/>
      <w:bookmarkStart w:id="23" w:name="_Toc15396602"/>
      <w:r>
        <w:rPr>
          <w:rFonts w:hint="eastAsia" w:ascii="方正小标宋简体" w:hAnsi="方正小标宋简体" w:eastAsia="方正小标宋简体" w:cs="方正小标宋简体"/>
          <w:b w:val="0"/>
          <w:bCs w:val="0"/>
        </w:rPr>
        <w:t>第二部分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w:t>
      </w:r>
      <w:r>
        <w:rPr>
          <w:rFonts w:hint="eastAsia" w:ascii="方正小标宋简体" w:hAnsi="方正小标宋简体" w:eastAsia="方正小标宋简体" w:cs="方正小标宋简体"/>
          <w:b w:val="0"/>
          <w:bCs w:val="0"/>
          <w:lang w:val="en-US" w:eastAsia="zh-CN"/>
        </w:rPr>
        <w:t>2024年度</w:t>
      </w:r>
      <w:r>
        <w:rPr>
          <w:rFonts w:hint="eastAsia" w:ascii="方正小标宋简体" w:hAnsi="方正小标宋简体" w:eastAsia="方正小标宋简体" w:cs="方正小标宋简体"/>
          <w:b w:val="0"/>
          <w:bCs w:val="0"/>
        </w:rPr>
        <w:t>部门决算情况说明</w:t>
      </w:r>
      <w:bookmarkEnd w:id="21"/>
      <w:bookmarkEnd w:id="22"/>
      <w:bookmarkEnd w:id="23"/>
    </w:p>
    <w:p w14:paraId="20D2E355">
      <w:pPr>
        <w:pStyle w:val="6"/>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rPr>
      </w:pPr>
      <w:bookmarkStart w:id="24" w:name="_Toc15396603"/>
      <w:bookmarkStart w:id="25" w:name="_Toc31625"/>
      <w:bookmarkStart w:id="26" w:name="_Toc15377205"/>
      <w:r>
        <w:rPr>
          <w:rFonts w:hint="eastAsia" w:ascii="黑体" w:hAnsi="黑体" w:eastAsia="黑体" w:cs="黑体"/>
          <w:b w:val="0"/>
          <w:bCs w:val="0"/>
          <w:lang w:eastAsia="zh-CN"/>
        </w:rPr>
        <w:t>一、</w:t>
      </w:r>
      <w:r>
        <w:rPr>
          <w:rFonts w:hint="eastAsia" w:ascii="黑体" w:hAnsi="黑体" w:eastAsia="黑体" w:cs="黑体"/>
          <w:b w:val="0"/>
          <w:bCs w:val="0"/>
        </w:rPr>
        <w:t>收入支出决算总体情况说明</w:t>
      </w:r>
      <w:bookmarkEnd w:id="24"/>
      <w:bookmarkEnd w:id="25"/>
      <w:bookmarkEnd w:id="26"/>
    </w:p>
    <w:p w14:paraId="6D56523D">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71.42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5.08</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项目投资增加。</w:t>
      </w:r>
    </w:p>
    <w:p w14:paraId="0E40968B">
      <w:pPr>
        <w:pStyle w:val="14"/>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099560" cy="2167890"/>
            <wp:effectExtent l="5080" t="4445" r="10160"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98FAD1">
      <w:pPr>
        <w:pStyle w:val="6"/>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lang w:val="en-US" w:eastAsia="zh-CN"/>
        </w:rPr>
      </w:pPr>
      <w:bookmarkStart w:id="27" w:name="_Toc15396604"/>
      <w:bookmarkStart w:id="28" w:name="_Toc15377206"/>
      <w:bookmarkStart w:id="29" w:name="_Toc10787"/>
      <w:r>
        <w:rPr>
          <w:rFonts w:hint="eastAsia" w:ascii="黑体" w:hAnsi="黑体" w:eastAsia="黑体" w:cs="黑体"/>
          <w:b w:val="0"/>
          <w:bCs w:val="0"/>
          <w:lang w:val="en-US" w:eastAsia="zh-CN"/>
        </w:rPr>
        <w:t>二、收入决算情况说明</w:t>
      </w:r>
      <w:bookmarkEnd w:id="27"/>
      <w:bookmarkEnd w:id="28"/>
      <w:bookmarkEnd w:id="29"/>
    </w:p>
    <w:p w14:paraId="7DE7F53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bookmarkStart w:id="30" w:name="_Toc29620"/>
      <w:bookmarkStart w:id="31" w:name="_Toc30933"/>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万元，其中：一般公共预算财政拨款收入1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bookmarkEnd w:id="30"/>
      <w:bookmarkEnd w:id="31"/>
    </w:p>
    <w:p w14:paraId="18F4F49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sz w:val="32"/>
          <w:szCs w:val="32"/>
        </w:rPr>
      </w:pPr>
      <w:r>
        <w:drawing>
          <wp:anchor distT="0" distB="0" distL="114300" distR="114300" simplePos="0" relativeHeight="251660288" behindDoc="0" locked="0" layoutInCell="1" allowOverlap="1">
            <wp:simplePos x="0" y="0"/>
            <wp:positionH relativeFrom="column">
              <wp:posOffset>843280</wp:posOffset>
            </wp:positionH>
            <wp:positionV relativeFrom="paragraph">
              <wp:posOffset>17780</wp:posOffset>
            </wp:positionV>
            <wp:extent cx="3982085" cy="1943100"/>
            <wp:effectExtent l="4445" t="4445" r="13970" b="1460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309778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pPr>
    </w:p>
    <w:p w14:paraId="13622FE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pPr>
    </w:p>
    <w:p w14:paraId="710C6AB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pPr>
    </w:p>
    <w:p w14:paraId="4E73449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2" w:name="_Toc23315"/>
      <w:bookmarkStart w:id="33" w:name="_Toc15377207"/>
      <w:bookmarkStart w:id="34"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2"/>
      <w:bookmarkEnd w:id="33"/>
      <w:bookmarkEnd w:id="34"/>
    </w:p>
    <w:p w14:paraId="31E682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5" w:name="_Toc8970"/>
      <w:bookmarkStart w:id="36" w:name="_Toc5302"/>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558.2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918.39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62.19</w:t>
      </w:r>
      <w:r>
        <w:rPr>
          <w:rFonts w:hint="eastAsia" w:ascii="仿宋_GB2312" w:hAnsi="仿宋_GB2312" w:eastAsia="仿宋_GB2312" w:cs="仿宋_GB2312"/>
          <w:color w:val="auto"/>
          <w:sz w:val="32"/>
          <w:szCs w:val="32"/>
          <w:highlight w:val="none"/>
          <w:lang w:eastAsia="zh-CN"/>
        </w:rPr>
        <w:t>%。</w:t>
      </w:r>
      <w:bookmarkEnd w:id="35"/>
      <w:bookmarkEnd w:id="36"/>
    </w:p>
    <w:p w14:paraId="368BA05C">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3333115" cy="2475865"/>
            <wp:effectExtent l="4445" t="4445" r="15240" b="1524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9C1F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7" w:name="_Toc15396606"/>
      <w:bookmarkStart w:id="38" w:name="_Toc15377208"/>
      <w:bookmarkStart w:id="39" w:name="_Toc32466"/>
      <w:r>
        <w:rPr>
          <w:rFonts w:hint="eastAsia" w:ascii="Times New Roman" w:hAnsi="Times New Roman" w:eastAsia="黑体"/>
          <w:color w:val="auto"/>
          <w:sz w:val="32"/>
          <w:szCs w:val="32"/>
          <w:highlight w:val="none"/>
          <w:lang w:eastAsia="zh-CN"/>
        </w:rPr>
        <w:t>四、财政拨款收入支出决算总体情况说明</w:t>
      </w:r>
      <w:bookmarkEnd w:id="37"/>
      <w:bookmarkEnd w:id="38"/>
      <w:bookmarkEnd w:id="39"/>
    </w:p>
    <w:p w14:paraId="569698F7">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万元。与2023年度相比，财政拨款收入、支出总计各增加71.42万元，增长5.08%,主要变动原因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项目投资增加。</w:t>
      </w:r>
    </w:p>
    <w:p w14:paraId="78B30712">
      <w:pPr>
        <w:rPr>
          <w:rFonts w:hint="eastAsia" w:ascii="仿宋" w:hAnsi="仿宋" w:eastAsia="仿宋"/>
          <w:color w:val="auto"/>
          <w:sz w:val="32"/>
          <w:szCs w:val="32"/>
          <w:highlight w:val="none"/>
          <w:lang w:eastAsia="zh-CN"/>
        </w:rPr>
      </w:pPr>
      <w:r>
        <w:rPr>
          <w:rFonts w:hint="eastAsia"/>
          <w:lang w:val="en-US" w:eastAsia="zh-CN"/>
        </w:rPr>
        <w:t xml:space="preserve">         </w:t>
      </w:r>
      <w:r>
        <w:drawing>
          <wp:inline distT="0" distB="0" distL="114300" distR="114300">
            <wp:extent cx="4606925" cy="1945640"/>
            <wp:effectExtent l="4445" t="4445" r="17780" b="12065"/>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C96D9F">
      <w:pPr>
        <w:spacing w:line="600" w:lineRule="exact"/>
        <w:ind w:firstLine="640" w:firstLineChars="200"/>
        <w:outlineLvl w:val="1"/>
        <w:rPr>
          <w:rStyle w:val="30"/>
          <w:rFonts w:ascii="Times New Roman" w:hAnsi="Times New Roman" w:eastAsia="黑体"/>
          <w:b w:val="0"/>
          <w:color w:val="auto"/>
          <w:highlight w:val="none"/>
        </w:rPr>
      </w:pPr>
      <w:bookmarkStart w:id="40" w:name="_Toc25569"/>
      <w:bookmarkStart w:id="41" w:name="_Toc15377209"/>
      <w:bookmarkStart w:id="42"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0"/>
      <w:bookmarkEnd w:id="41"/>
      <w:bookmarkEnd w:id="42"/>
    </w:p>
    <w:p w14:paraId="0FE491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3"/>
    </w:p>
    <w:p w14:paraId="5F4CD5D1">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%。与2023年度相比，一般公共预算财政拨款支出增加77.42万元，增长5.53%。</w:t>
      </w:r>
      <w:r>
        <w:rPr>
          <w:rFonts w:hint="eastAsia" w:ascii="仿宋_GB2312" w:hAnsi="仿宋_GB2312" w:eastAsia="仿宋_GB2312" w:cs="仿宋_GB2312"/>
          <w:color w:val="auto"/>
          <w:sz w:val="32"/>
          <w:szCs w:val="32"/>
          <w:highlight w:val="none"/>
          <w:lang w:eastAsia="zh-CN"/>
        </w:rPr>
        <w:t>项目投资增加。</w:t>
      </w:r>
    </w:p>
    <w:p w14:paraId="77D2DA9D">
      <w:pPr>
        <w:spacing w:line="6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873760</wp:posOffset>
            </wp:positionH>
            <wp:positionV relativeFrom="paragraph">
              <wp:posOffset>127635</wp:posOffset>
            </wp:positionV>
            <wp:extent cx="3762375" cy="2066925"/>
            <wp:effectExtent l="4445" t="4445" r="5080" b="508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78F0C28">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1EAC1BD4">
      <w:pPr>
        <w:rPr>
          <w:rFonts w:hint="default"/>
          <w:lang w:val="en-US" w:eastAsia="zh-CN"/>
        </w:rPr>
      </w:pPr>
    </w:p>
    <w:p w14:paraId="6AB5A137">
      <w:pPr>
        <w:spacing w:line="600" w:lineRule="exact"/>
        <w:ind w:firstLine="640"/>
        <w:rPr>
          <w:rFonts w:hint="eastAsia" w:ascii="仿宋" w:hAnsi="仿宋" w:eastAsia="仿宋"/>
          <w:color w:val="auto"/>
          <w:sz w:val="32"/>
          <w:szCs w:val="32"/>
          <w:highlight w:val="none"/>
          <w:lang w:eastAsia="zh-CN"/>
        </w:rPr>
      </w:pPr>
    </w:p>
    <w:p w14:paraId="740F4945">
      <w:pPr>
        <w:spacing w:line="600" w:lineRule="exact"/>
        <w:ind w:firstLine="640"/>
        <w:rPr>
          <w:rFonts w:hint="eastAsia" w:ascii="仿宋" w:hAnsi="仿宋" w:eastAsia="仿宋"/>
          <w:color w:val="auto"/>
          <w:sz w:val="32"/>
          <w:szCs w:val="32"/>
          <w:highlight w:val="none"/>
          <w:lang w:eastAsia="zh-CN"/>
        </w:rPr>
      </w:pPr>
    </w:p>
    <w:p w14:paraId="4ABF7B1E">
      <w:pPr>
        <w:rPr>
          <w:rFonts w:hint="eastAsia"/>
          <w:lang w:eastAsia="zh-CN"/>
        </w:rPr>
      </w:pPr>
    </w:p>
    <w:p w14:paraId="37DF4E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B381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4"/>
    </w:p>
    <w:p w14:paraId="64220CC6">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537.91万元，占36.43%；文化旅游体育与传媒支出18.46万元，占1.25%；农林水支出763.94万元，占51.74%；灾害防治及应急管理支出10.00万元，占0.68%；社会保障和就业支出72.77万元，占4.93%；卫生健康支出31.63万元，占2.14%；住房保障支出41.89万元，占2.84%。</w:t>
      </w:r>
    </w:p>
    <w:p w14:paraId="49A5B970">
      <w:pPr>
        <w:pStyle w:val="14"/>
        <w:ind w:left="0" w:leftChars="0" w:firstLine="0" w:firstLineChars="0"/>
        <w:rPr>
          <w:rFonts w:hint="eastAsia"/>
          <w:lang w:val="en-US" w:eastAsia="zh-CN"/>
        </w:rPr>
      </w:pPr>
      <w:r>
        <w:rPr>
          <w:rFonts w:hint="eastAsia"/>
          <w:lang w:val="en-US" w:eastAsia="zh-CN"/>
        </w:rPr>
        <w:t xml:space="preserve">         </w:t>
      </w:r>
      <w:r>
        <w:drawing>
          <wp:inline distT="0" distB="0" distL="114300" distR="114300">
            <wp:extent cx="4421505" cy="2423795"/>
            <wp:effectExtent l="5080" t="4445" r="12065"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D10E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5"/>
    </w:p>
    <w:p w14:paraId="43D071C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6" w:name="_Toc15377444"/>
      <w:bookmarkStart w:id="47" w:name="_Toc15378460"/>
      <w:bookmarkStart w:id="48"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476.6</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46"/>
      <w:bookmarkEnd w:id="47"/>
      <w:bookmarkEnd w:id="48"/>
    </w:p>
    <w:p w14:paraId="47D72DC2">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1.一般公共服务（201）人大事务（01）代表工作（08）：支出决算为9.98万元，完成预算100%，决算数与预算数持平。</w:t>
      </w:r>
    </w:p>
    <w:p w14:paraId="55ED8028">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2.一般公共服务（201）政府办公厅（室）及相关机构事务（03）行政运行（01）：支出决算为:417.51万元，完成预算100%，决算数与预算数持平。</w:t>
      </w:r>
    </w:p>
    <w:p w14:paraId="6DD80B6A">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3.一般公共服务（201）政府办公厅（室）及相关机构事务（03）其他政府办公厅（室）及相关机构事务支出（99）：支出决算为110.42万元，完成预算100%，决算数与预算数持平。</w:t>
      </w:r>
    </w:p>
    <w:p w14:paraId="2FF4ED81">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4.文化旅游体育与传媒（207）其他文化旅游体育与传媒支出（99）其他文化旅游体育与传媒支出（99）：支出决算为18.46万元，完成预算100%，决算数与预算数持平。</w:t>
      </w:r>
    </w:p>
    <w:p w14:paraId="09791422">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5.社会保障和就业（208）行政事业单位养老支出（05）机关事业单位基本养老保险缴费支出（05）：支出决算为44.04万元，完成预算100%，决算数与预算数持平。</w:t>
      </w:r>
    </w:p>
    <w:p w14:paraId="2E0F7F5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6.社会保障和就业（208）行政事业单位养老支出（05）机关事业单位职业年金缴费支出（06）：支出决算为23.13万元，完成预算100%，决算数与预算数持平。</w:t>
      </w:r>
    </w:p>
    <w:p w14:paraId="36E7C4F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7.社会保障和就业（208）就业补助（07）公益性岗位补贴（05）：支出决算为5.60万元，完成预算100%，决算数与预算数持平。</w:t>
      </w:r>
    </w:p>
    <w:p w14:paraId="183C955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8.卫生健康（210）行政事业单位医疗（11）行政单位医疗（01）：支出决算为31.63万元，完成预算100%，决算数与预算数持平。</w:t>
      </w:r>
    </w:p>
    <w:p w14:paraId="132AF78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9.农林水支出（213）农业农村（01）其他农业农村支出（99）：支出决算为5.82万元，完成预算100%，决算数与预算数持平。</w:t>
      </w:r>
    </w:p>
    <w:p w14:paraId="3D48AA7D">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10.农林水支出（213）巩固脱贫攻坚成果衔接乡村振兴（05）其他巩固脱贫攻坚成果衔接乡村振兴支出（99）：支出决算为525.77万元，完成预算100%，决算数与预算数持平。</w:t>
      </w:r>
    </w:p>
    <w:p w14:paraId="1D7AC5B2">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11.农林水支出（213）农村综合改革（07）对村民委员会和村党支部的补助（05）：支出决算为232.35万元，完成预算100%，决算数与预算数持平。</w:t>
      </w:r>
    </w:p>
    <w:p w14:paraId="6ADB7D86">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12.住房保障支出（221）住房改革支出（02）住房公积金（01）：支出决算为40.69万元，完成预算100%，决算数与预算数持平。</w:t>
      </w:r>
    </w:p>
    <w:p w14:paraId="543C3208">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13.住房保障支出（221）住房改革支出（02）购房补贴（03）：支出决算为1.20万元，完成预算100%，决算数与预算数持平。</w:t>
      </w:r>
    </w:p>
    <w:p w14:paraId="69317BA1">
      <w:pPr>
        <w:spacing w:line="600" w:lineRule="exact"/>
        <w:ind w:firstLine="640" w:firstLineChars="20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14.灾害防治及应急管理支出（224）自然灾害救灾及恢复重建支出（07）其他自然灾害救灾及恢复重建支出（99）：支出决算为10.00万元，完成预算100%，决算数与预算数持平。</w:t>
      </w:r>
    </w:p>
    <w:p w14:paraId="31F108D4">
      <w:pPr>
        <w:tabs>
          <w:tab w:val="right" w:pos="8306"/>
        </w:tabs>
        <w:spacing w:line="600" w:lineRule="exact"/>
        <w:ind w:firstLine="640"/>
        <w:outlineLvl w:val="1"/>
        <w:rPr>
          <w:rStyle w:val="30"/>
          <w:rFonts w:ascii="Times New Roman" w:hAnsi="Times New Roman"/>
          <w:color w:val="auto"/>
          <w:highlight w:val="none"/>
        </w:rPr>
      </w:pPr>
      <w:bookmarkStart w:id="49" w:name="_Toc15377214"/>
      <w:bookmarkStart w:id="50" w:name="_Toc15396608"/>
      <w:bookmarkStart w:id="51" w:name="_Toc2078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9"/>
      <w:bookmarkEnd w:id="50"/>
      <w:bookmarkEnd w:id="51"/>
      <w:r>
        <w:rPr>
          <w:rStyle w:val="30"/>
          <w:rFonts w:ascii="Times New Roman" w:hAnsi="Times New Roman" w:eastAsia="黑体"/>
          <w:b w:val="0"/>
          <w:color w:val="auto"/>
          <w:highlight w:val="none"/>
        </w:rPr>
        <w:tab/>
      </w:r>
    </w:p>
    <w:p w14:paraId="41CD93C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558.2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w:t>
      </w:r>
    </w:p>
    <w:p w14:paraId="3C76E5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533.03</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25.17</w:t>
      </w:r>
      <w:r>
        <w:rPr>
          <w:rFonts w:hint="eastAsia" w:ascii="仿宋_GB2312" w:hAnsi="仿宋_GB2312" w:eastAsia="仿宋_GB2312" w:cs="仿宋_GB2312"/>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359E2AC">
      <w:pPr>
        <w:spacing w:line="600" w:lineRule="exact"/>
        <w:ind w:firstLine="640"/>
        <w:outlineLvl w:val="1"/>
        <w:rPr>
          <w:rStyle w:val="30"/>
          <w:rFonts w:ascii="Times New Roman" w:hAnsi="Times New Roman" w:eastAsia="黑体"/>
          <w:b w:val="0"/>
          <w:color w:val="auto"/>
          <w:highlight w:val="none"/>
        </w:rPr>
      </w:pPr>
      <w:bookmarkStart w:id="52" w:name="_Toc15396609"/>
      <w:bookmarkStart w:id="53" w:name="_Toc25262"/>
      <w:bookmarkStart w:id="54"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2"/>
      <w:bookmarkEnd w:id="53"/>
      <w:bookmarkEnd w:id="54"/>
    </w:p>
    <w:p w14:paraId="1EE51F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5"/>
    </w:p>
    <w:p w14:paraId="7E84CC7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%，与2023年相比无变化</w:t>
      </w:r>
      <w:r>
        <w:rPr>
          <w:rFonts w:hint="eastAsia" w:ascii="仿宋_GB2312" w:hAnsi="仿宋_GB2312" w:eastAsia="仿宋_GB2312" w:cs="仿宋_GB2312"/>
          <w:color w:val="auto"/>
          <w:sz w:val="32"/>
          <w:szCs w:val="32"/>
          <w:highlight w:val="none"/>
          <w:lang w:eastAsia="zh-CN"/>
        </w:rPr>
        <w:t>。</w:t>
      </w:r>
    </w:p>
    <w:p w14:paraId="083626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6"/>
    </w:p>
    <w:p w14:paraId="7D44F3A2">
      <w:pPr>
        <w:spacing w:line="600" w:lineRule="exact"/>
        <w:ind w:firstLine="640"/>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D8B6EE6">
      <w:pPr>
        <w:pStyle w:val="14"/>
        <w:ind w:left="0" w:leftChars="0" w:firstLine="1890" w:firstLineChars="900"/>
      </w:pPr>
      <w:r>
        <w:object>
          <v:shape id="_x0000_i1025" o:spt="75" type="#_x0000_t75" style="height:149.55pt;width:248.35pt;" o:ole="t" filled="f" o:preferrelative="t" stroked="f" coordsize="21600,21600" o:gfxdata="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">
            <v:path/>
            <v:fill on="f" focussize="0,0"/>
            <v:stroke on="f"/>
            <v:imagedata r:id="rId14" o:title=""/>
            <o:lock v:ext="edit" aspectratio="t"/>
            <w10:wrap type="none"/>
            <w10:anchorlock/>
          </v:shape>
          <o:OLEObject Type="Embed" ProgID="excel.sheet.8" ShapeID="_x0000_i1025" DrawAspect="Content" ObjectID="_1468075725" r:id="rId13">
            <o:LockedField>false</o:LockedField>
          </o:OLEObject>
        </w:object>
      </w:r>
    </w:p>
    <w:p w14:paraId="06BCADE9">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bookmarkStart w:id="57" w:name="_Toc15377218"/>
      <w:bookmarkStart w:id="58" w:name="_Toc15396610"/>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6F25E12F">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4.00万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相比无变化。</w:t>
      </w:r>
    </w:p>
    <w:p w14:paraId="7C2574F5">
      <w:pPr>
        <w:spacing w:line="600" w:lineRule="exact"/>
        <w:ind w:firstLine="640" w:firstLineChars="2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万元。全年按规定更新购置公务用车0辆，其中：轿车0辆、金额0万元，越野车0辆、金额0万元，载客汽车0辆、金额0万元。截至2024年12月31日，单位共有公务用车2辆，</w:t>
      </w:r>
      <w:r>
        <w:rPr>
          <w:rFonts w:hint="eastAsia" w:ascii="仿宋_GB2312" w:hAnsi="仿宋_GB2312" w:eastAsia="仿宋_GB2312" w:cs="仿宋_GB2312"/>
          <w:color w:val="auto"/>
          <w:sz w:val="32"/>
          <w:szCs w:val="32"/>
          <w:highlight w:val="none"/>
        </w:rPr>
        <w:t>其中：轿车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，消防用车</w:t>
      </w:r>
      <w:r>
        <w:rPr>
          <w:rFonts w:hint="eastAsia" w:ascii="仿宋_GB2312" w:hAnsi="仿宋_GB2312" w:eastAsia="仿宋_GB2312" w:cs="仿宋_GB2312"/>
          <w:color w:val="auto"/>
          <w:sz w:val="32"/>
          <w:szCs w:val="32"/>
          <w:highlight w:val="none"/>
          <w:lang w:val="en-US" w:eastAsia="zh-CN"/>
        </w:rPr>
        <w:t>1 辆。</w:t>
      </w:r>
    </w:p>
    <w:p w14:paraId="38D49A9E">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职工干部</w:t>
      </w:r>
      <w:r>
        <w:rPr>
          <w:rFonts w:hint="eastAsia" w:ascii="仿宋_GB2312" w:hAnsi="仿宋_GB2312" w:eastAsia="仿宋_GB2312" w:cs="仿宋_GB2312"/>
          <w:color w:val="000000"/>
          <w:sz w:val="32"/>
          <w:szCs w:val="32"/>
          <w:lang w:eastAsia="zh-CN"/>
        </w:rPr>
        <w:t>森林防火、产业发展、下乡扶贫</w:t>
      </w:r>
      <w:r>
        <w:rPr>
          <w:rFonts w:hint="eastAsia" w:ascii="仿宋_GB2312" w:hAnsi="仿宋_GB2312" w:eastAsia="仿宋_GB2312" w:cs="仿宋_GB2312"/>
          <w:color w:val="auto"/>
          <w:sz w:val="32"/>
          <w:szCs w:val="32"/>
          <w:highlight w:val="none"/>
        </w:rPr>
        <w:t>等所需的公务用车燃料费、维修费、过路过桥费、保险费等支出。</w:t>
      </w:r>
    </w:p>
    <w:p w14:paraId="543A5855">
      <w:pPr>
        <w:numPr>
          <w:ilvl w:val="0"/>
          <w:numId w:val="0"/>
        </w:numPr>
        <w:spacing w:line="60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8"/>
          <w:rFonts w:hint="eastAsia" w:ascii="仿宋_GB2312" w:hAnsi="仿宋_GB2312" w:eastAsia="仿宋_GB2312" w:cs="仿宋_GB2312"/>
          <w:b w:val="0"/>
          <w:bCs/>
          <w:color w:val="auto"/>
          <w:sz w:val="32"/>
          <w:szCs w:val="32"/>
          <w:highlight w:val="none"/>
        </w:rPr>
        <w:t>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公务接待费支出决算与2023年度相比无变化。</w:t>
      </w:r>
    </w:p>
    <w:p w14:paraId="052A6BE5">
      <w:pPr>
        <w:spacing w:line="600" w:lineRule="exact"/>
        <w:ind w:firstLine="640"/>
        <w:outlineLvl w:val="1"/>
        <w:rPr>
          <w:rStyle w:val="30"/>
          <w:rFonts w:ascii="Times New Roman" w:hAnsi="Times New Roman" w:eastAsia="黑体"/>
          <w:color w:val="auto"/>
          <w:highlight w:val="none"/>
        </w:rPr>
      </w:pPr>
      <w:bookmarkStart w:id="59" w:name="_Toc21781"/>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7"/>
      <w:bookmarkEnd w:id="58"/>
      <w:bookmarkEnd w:id="59"/>
    </w:p>
    <w:p w14:paraId="49687D4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60" w:name="_Toc15396611"/>
      <w:bookmarkStart w:id="61" w:name="_Toc15377219"/>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%。与2023年度相比政府性基金预算财政拨款支出减少6.00万元，下降100%。主要变动原因是：2024年度无政府性基金财政拨款支出。</w:t>
      </w:r>
    </w:p>
    <w:p w14:paraId="4DA20547">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62" w:name="_Toc12236"/>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0"/>
      <w:bookmarkEnd w:id="61"/>
      <w:bookmarkEnd w:id="62"/>
    </w:p>
    <w:p w14:paraId="6719CDD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%。与2023年度相比，国有资本经营预算财政拨款无变化。</w:t>
      </w:r>
    </w:p>
    <w:p w14:paraId="6FCDBAFC">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63" w:name="_Toc22165"/>
      <w:bookmarkStart w:id="64" w:name="_Toc15377221"/>
      <w:bookmarkStart w:id="65"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3"/>
      <w:bookmarkEnd w:id="64"/>
      <w:bookmarkEnd w:id="65"/>
    </w:p>
    <w:p w14:paraId="1D2309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Toc15377222"/>
      <w:r>
        <w:rPr>
          <w:rFonts w:hint="eastAsia" w:ascii="Times New Roman" w:hAnsi="Times New Roman" w:eastAsia="楷体_GB2312" w:cs="楷体_GB2312"/>
          <w:b/>
          <w:color w:val="auto"/>
          <w:sz w:val="32"/>
          <w:szCs w:val="32"/>
          <w:highlight w:val="none"/>
        </w:rPr>
        <w:t>（一）机关运行经费支出情况</w:t>
      </w:r>
      <w:bookmarkEnd w:id="66"/>
    </w:p>
    <w:p w14:paraId="3E9D4297">
      <w:pPr>
        <w:pageBreakBefore w:val="0"/>
        <w:widowControl w:val="0"/>
        <w:kinsoku/>
        <w:wordWrap/>
        <w:overflowPunct/>
        <w:topLinePunct w:val="0"/>
        <w:spacing w:line="560" w:lineRule="atLeas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茂县沟口镇人民政府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25.17</w:t>
      </w:r>
      <w:r>
        <w:rPr>
          <w:rFonts w:hint="eastAsia" w:ascii="仿宋_GB2312" w:hAnsi="仿宋_GB2312" w:eastAsia="仿宋_GB2312" w:cs="仿宋_GB2312"/>
          <w:color w:val="auto"/>
          <w:kern w:val="2"/>
          <w:sz w:val="32"/>
          <w:szCs w:val="32"/>
          <w:highlight w:val="none"/>
          <w:lang w:val="en-US" w:eastAsia="zh-CN" w:bidi="ar-SA"/>
        </w:rPr>
        <w:t>万元，比2023年度减少0.09万元，下降0.36%。主要原因是：人员减少，机关运行经费支出减少</w:t>
      </w:r>
      <w:r>
        <w:rPr>
          <w:rFonts w:hint="eastAsia" w:ascii="仿宋_GB2312" w:hAnsi="仿宋_GB2312" w:eastAsia="仿宋_GB2312" w:cs="仿宋_GB2312"/>
          <w:color w:val="auto"/>
          <w:sz w:val="32"/>
          <w:szCs w:val="32"/>
          <w:highlight w:val="none"/>
          <w:lang w:eastAsia="zh-CN"/>
        </w:rPr>
        <w:t>。</w:t>
      </w:r>
    </w:p>
    <w:p w14:paraId="50BCE8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7" w:name="_Toc15377223"/>
      <w:r>
        <w:rPr>
          <w:rFonts w:hint="eastAsia" w:ascii="Times New Roman" w:hAnsi="Times New Roman" w:eastAsia="楷体_GB2312" w:cs="楷体_GB2312"/>
          <w:b/>
          <w:color w:val="auto"/>
          <w:sz w:val="32"/>
          <w:szCs w:val="32"/>
          <w:highlight w:val="none"/>
        </w:rPr>
        <w:t>（二）政府采购支出情况</w:t>
      </w:r>
      <w:bookmarkEnd w:id="67"/>
    </w:p>
    <w:p w14:paraId="495FDB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阿坝州茂县沟口镇人民政府（本级）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82380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24"/>
      <w:r>
        <w:rPr>
          <w:rFonts w:hint="eastAsia" w:ascii="Times New Roman" w:hAnsi="Times New Roman" w:eastAsia="楷体_GB2312" w:cs="楷体_GB2312"/>
          <w:b/>
          <w:color w:val="auto"/>
          <w:sz w:val="32"/>
          <w:szCs w:val="32"/>
          <w:highlight w:val="none"/>
        </w:rPr>
        <w:t>（三）国有资产占有使用情况</w:t>
      </w:r>
      <w:bookmarkEnd w:id="68"/>
    </w:p>
    <w:p w14:paraId="4351F4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茂县沟口镇人民政府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6E205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374D4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color w:val="000000"/>
          <w:sz w:val="32"/>
          <w:szCs w:val="32"/>
          <w:lang w:val="en-US" w:eastAsia="zh-CN"/>
        </w:rPr>
        <w:t>茂县沟口镇人民</w:t>
      </w:r>
      <w:r>
        <w:rPr>
          <w:rFonts w:hint="eastAsia" w:ascii="仿宋_GB2312" w:eastAsia="仿宋_GB2312"/>
          <w:color w:val="000000"/>
          <w:sz w:val="32"/>
          <w:szCs w:val="32"/>
        </w:rPr>
        <w:t>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w:t>
      </w:r>
      <w:r>
        <w:rPr>
          <w:rFonts w:hint="eastAsia" w:ascii="仿宋_GB2312" w:hAnsi="仿宋_GB2312" w:eastAsia="仿宋_GB2312" w:cs="仿宋_GB2312"/>
          <w:color w:val="auto"/>
          <w:sz w:val="32"/>
          <w:szCs w:val="32"/>
          <w:highlight w:val="none"/>
          <w:lang w:eastAsia="zh-CN"/>
        </w:rPr>
        <w:t>茂县沟口大桥桥梁建设</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31E96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eastAsia="仿宋_GB2312"/>
          <w:color w:val="000000"/>
          <w:sz w:val="32"/>
          <w:szCs w:val="32"/>
          <w:lang w:val="en-US" w:eastAsia="zh-CN"/>
        </w:rPr>
        <w:t>茂县沟口镇人民</w:t>
      </w:r>
      <w:r>
        <w:rPr>
          <w:rFonts w:hint="eastAsia" w:ascii="仿宋_GB2312" w:eastAsia="仿宋_GB2312"/>
          <w:color w:val="000000"/>
          <w:sz w:val="32"/>
          <w:szCs w:val="32"/>
        </w:rPr>
        <w:t>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仿宋_GB2312" w:hAnsi="仿宋_GB2312" w:eastAsia="仿宋_GB2312" w:cs="仿宋_GB2312"/>
          <w:color w:val="auto"/>
          <w:sz w:val="32"/>
          <w:szCs w:val="32"/>
          <w:highlight w:val="none"/>
          <w:lang w:eastAsia="zh-CN"/>
        </w:rPr>
        <w:t>茂县沟口大桥桥梁建设</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ascii="仿宋_GB2312" w:eastAsia="仿宋_GB2312"/>
          <w:color w:val="000000"/>
          <w:sz w:val="32"/>
          <w:szCs w:val="32"/>
          <w:highlight w:val="none"/>
          <w:lang w:val="en-US" w:eastAsia="zh-CN"/>
        </w:rPr>
        <w:t>茂县沟口镇人民</w:t>
      </w:r>
      <w:r>
        <w:rPr>
          <w:rFonts w:hint="eastAsia" w:ascii="仿宋_GB2312" w:eastAsia="仿宋_GB2312"/>
          <w:color w:val="000000"/>
          <w:sz w:val="32"/>
          <w:szCs w:val="32"/>
          <w:highlight w:val="none"/>
        </w:rPr>
        <w:t>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整体实施优秀</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茂县沟口镇</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整体实施优秀</w:t>
      </w:r>
      <w:r>
        <w:rPr>
          <w:rFonts w:hint="eastAsia" w:ascii="Times New Roman" w:hAnsi="Times New Roman" w:eastAsia="仿宋_GB2312" w:cs="仿宋_GB2312"/>
          <w:color w:val="auto"/>
          <w:kern w:val="2"/>
          <w:sz w:val="32"/>
          <w:szCs w:val="32"/>
          <w:highlight w:val="none"/>
          <w:lang w:val="en-US" w:eastAsia="zh-CN" w:bidi="ar-SA"/>
        </w:rPr>
        <w:t>。茂县沟口镇基层政权建设补助资金—办公楼及宿舍楼安全维修绩效自评得分为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整体实施优秀</w:t>
      </w:r>
      <w:r>
        <w:rPr>
          <w:rFonts w:hint="eastAsia" w:ascii="Times New Roman" w:hAnsi="Times New Roman" w:eastAsia="仿宋_GB2312" w:cs="仿宋_GB2312"/>
          <w:color w:val="auto"/>
          <w:kern w:val="2"/>
          <w:sz w:val="32"/>
          <w:szCs w:val="32"/>
          <w:highlight w:val="none"/>
          <w:lang w:val="en-US" w:eastAsia="zh-CN" w:bidi="ar-SA"/>
        </w:rPr>
        <w:t>。水若村文化休闲居家养老建改项目自评得分为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整体实施优秀</w:t>
      </w:r>
      <w:r>
        <w:rPr>
          <w:rFonts w:hint="eastAsia" w:ascii="Times New Roman" w:hAnsi="Times New Roman" w:eastAsia="仿宋_GB2312" w:cs="仿宋_GB2312"/>
          <w:color w:val="auto"/>
          <w:kern w:val="2"/>
          <w:sz w:val="32"/>
          <w:szCs w:val="32"/>
          <w:highlight w:val="none"/>
          <w:lang w:val="en-US" w:eastAsia="zh-CN" w:bidi="ar-SA"/>
        </w:rPr>
        <w:t>。沟口镇产业结构调整示范点项目自评得分为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整体实施优秀</w:t>
      </w:r>
      <w:r>
        <w:rPr>
          <w:rFonts w:hint="eastAsia" w:ascii="Times New Roman" w:hAnsi="Times New Roman" w:eastAsia="仿宋_GB2312" w:cs="仿宋_GB2312"/>
          <w:color w:val="auto"/>
          <w:kern w:val="2"/>
          <w:sz w:val="32"/>
          <w:szCs w:val="32"/>
          <w:highlight w:val="none"/>
          <w:lang w:val="en-US" w:eastAsia="zh-CN" w:bidi="ar-SA"/>
        </w:rPr>
        <w:t>。</w:t>
      </w:r>
    </w:p>
    <w:p w14:paraId="21C143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78217C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69D4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5C252B">
      <w:pPr>
        <w:pStyle w:val="14"/>
        <w:rPr>
          <w:rFonts w:hint="eastAsia" w:ascii="Times New Roman" w:hAnsi="Times New Roman" w:eastAsia="仿宋_GB2312" w:cs="仿宋_GB2312"/>
          <w:color w:val="auto"/>
          <w:kern w:val="2"/>
          <w:sz w:val="32"/>
          <w:szCs w:val="32"/>
          <w:highlight w:val="none"/>
          <w:lang w:val="en-US" w:eastAsia="zh-CN" w:bidi="ar-SA"/>
        </w:rPr>
      </w:pPr>
    </w:p>
    <w:p w14:paraId="7B5FF64B">
      <w:pPr>
        <w:rPr>
          <w:rFonts w:hint="eastAsia" w:ascii="Times New Roman" w:hAnsi="Times New Roman" w:eastAsia="仿宋_GB2312" w:cs="仿宋_GB2312"/>
          <w:color w:val="auto"/>
          <w:kern w:val="2"/>
          <w:sz w:val="32"/>
          <w:szCs w:val="32"/>
          <w:highlight w:val="none"/>
          <w:lang w:val="en-US" w:eastAsia="zh-CN" w:bidi="ar-SA"/>
        </w:rPr>
      </w:pPr>
    </w:p>
    <w:p w14:paraId="028DB61B">
      <w:pPr>
        <w:pStyle w:val="14"/>
        <w:rPr>
          <w:rFonts w:hint="eastAsia" w:ascii="Times New Roman" w:hAnsi="Times New Roman" w:eastAsia="仿宋_GB2312" w:cs="仿宋_GB2312"/>
          <w:color w:val="auto"/>
          <w:kern w:val="2"/>
          <w:sz w:val="32"/>
          <w:szCs w:val="32"/>
          <w:highlight w:val="none"/>
          <w:lang w:val="en-US" w:eastAsia="zh-CN" w:bidi="ar-SA"/>
        </w:rPr>
      </w:pPr>
    </w:p>
    <w:p w14:paraId="615B8028">
      <w:pPr>
        <w:rPr>
          <w:rFonts w:hint="eastAsia"/>
          <w:lang w:val="en-US" w:eastAsia="zh-CN"/>
        </w:rPr>
      </w:pPr>
    </w:p>
    <w:p w14:paraId="6522996E">
      <w:pPr>
        <w:pStyle w:val="5"/>
        <w:bidi w:val="0"/>
        <w:ind w:firstLine="1767" w:firstLineChars="400"/>
        <w:rPr>
          <w:rFonts w:hint="eastAsia"/>
        </w:rPr>
      </w:pPr>
      <w:bookmarkStart w:id="69" w:name="_Toc15396613"/>
      <w:bookmarkStart w:id="70" w:name="_Toc15377225"/>
      <w:bookmarkStart w:id="71" w:name="_Toc5985"/>
      <w:bookmarkStart w:id="72" w:name="_Toc15377226"/>
    </w:p>
    <w:p w14:paraId="0563F849">
      <w:pPr>
        <w:rPr>
          <w:rFonts w:hint="eastAsia"/>
        </w:rPr>
      </w:pPr>
    </w:p>
    <w:p w14:paraId="21423BB4">
      <w:pPr>
        <w:pStyle w:val="2"/>
        <w:rPr>
          <w:rFonts w:hint="eastAsia"/>
        </w:rPr>
      </w:pPr>
    </w:p>
    <w:p w14:paraId="139C8578">
      <w:pPr>
        <w:pStyle w:val="3"/>
        <w:rPr>
          <w:rFonts w:hint="eastAsia"/>
        </w:rPr>
      </w:pPr>
    </w:p>
    <w:p w14:paraId="5FC79A52">
      <w:pPr>
        <w:pStyle w:val="5"/>
        <w:tabs>
          <w:tab w:val="left" w:pos="1006"/>
        </w:tabs>
        <w:bidi w:val="0"/>
        <w:rPr>
          <w:rFonts w:hint="eastAsia" w:ascii="方正小标宋简体" w:hAnsi="方正小标宋简体" w:eastAsia="方正小标宋简体" w:cs="方正小标宋简体"/>
          <w:b w:val="0"/>
          <w:bCs w:val="0"/>
          <w:lang w:eastAsia="zh-CN"/>
        </w:rPr>
      </w:pPr>
    </w:p>
    <w:p w14:paraId="398CB31C">
      <w:pPr>
        <w:rPr>
          <w:rFonts w:hint="eastAsia"/>
          <w:lang w:eastAsia="zh-CN"/>
        </w:rPr>
      </w:pPr>
    </w:p>
    <w:p w14:paraId="283B460C">
      <w:pPr>
        <w:pStyle w:val="5"/>
        <w:tabs>
          <w:tab w:val="left" w:pos="1006"/>
        </w:tabs>
        <w:bidi w:val="0"/>
        <w:ind w:firstLine="2200" w:firstLineChars="500"/>
        <w:rPr>
          <w:rFonts w:ascii="Times New Roman" w:hAnsi="Times New Roman"/>
          <w:b/>
          <w:color w:val="auto"/>
          <w:sz w:val="44"/>
          <w:szCs w:val="44"/>
          <w:highlight w:val="none"/>
        </w:rPr>
      </w:pPr>
      <w:r>
        <w:rPr>
          <w:rFonts w:hint="eastAsia" w:ascii="方正小标宋简体" w:hAnsi="方正小标宋简体" w:eastAsia="方正小标宋简体" w:cs="方正小标宋简体"/>
          <w:b w:val="0"/>
          <w:bCs w:val="0"/>
          <w:lang w:eastAsia="zh-CN"/>
        </w:rPr>
        <w:tab/>
      </w:r>
      <w:r>
        <w:rPr>
          <w:rFonts w:hint="eastAsia" w:ascii="方正小标宋简体" w:hAnsi="方正小标宋简体" w:eastAsia="方正小标宋简体" w:cs="方正小标宋简体"/>
          <w:b w:val="0"/>
          <w:bCs w:val="0"/>
        </w:rPr>
        <w:t>第</w:t>
      </w:r>
      <w:r>
        <w:rPr>
          <w:rFonts w:hint="eastAsia" w:ascii="方正小标宋简体" w:hAnsi="方正小标宋简体" w:eastAsia="方正小标宋简体" w:cs="方正小标宋简体"/>
          <w:b w:val="0"/>
          <w:bCs w:val="0"/>
          <w:lang w:eastAsia="zh-CN"/>
        </w:rPr>
        <w:t>三</w:t>
      </w:r>
      <w:r>
        <w:rPr>
          <w:rFonts w:hint="eastAsia" w:ascii="方正小标宋简体" w:hAnsi="方正小标宋简体" w:eastAsia="方正小标宋简体" w:cs="方正小标宋简体"/>
          <w:b w:val="0"/>
          <w:bCs w:val="0"/>
        </w:rPr>
        <w:t>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bookmarkEnd w:id="69"/>
      <w:bookmarkEnd w:id="70"/>
      <w:bookmarkEnd w:id="71"/>
    </w:p>
    <w:p w14:paraId="7C525502">
      <w:pPr>
        <w:pStyle w:val="27"/>
        <w:pageBreakBefore w:val="0"/>
        <w:widowControl w:val="0"/>
        <w:kinsoku/>
        <w:wordWrap/>
        <w:overflowPunct/>
        <w:topLinePunct w:val="0"/>
        <w:bidi w:val="0"/>
        <w:snapToGrid/>
        <w:spacing w:line="576" w:lineRule="exact"/>
        <w:ind w:firstLine="640" w:firstLineChars="200"/>
        <w:textAlignment w:val="auto"/>
        <w:outlineLvl w:val="1"/>
        <w:rPr>
          <w:rFonts w:ascii="仿宋_GB2312" w:eastAsia="仿宋_GB2312"/>
          <w:color w:val="auto"/>
          <w:sz w:val="32"/>
          <w:szCs w:val="32"/>
          <w:highlight w:val="none"/>
        </w:rPr>
      </w:pPr>
      <w:bookmarkStart w:id="73" w:name="_Toc12880"/>
      <w:bookmarkStart w:id="74" w:name="_Toc14089"/>
      <w:bookmarkStart w:id="75" w:name="_Toc26550"/>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3"/>
      <w:bookmarkEnd w:id="74"/>
      <w:bookmarkEnd w:id="75"/>
    </w:p>
    <w:p w14:paraId="3128B6E9">
      <w:pPr>
        <w:pStyle w:val="27"/>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BE51612">
      <w:pPr>
        <w:pStyle w:val="27"/>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2A0EE07C">
      <w:pPr>
        <w:pStyle w:val="27"/>
        <w:pageBreakBefore w:val="0"/>
        <w:widowControl w:val="0"/>
        <w:kinsoku/>
        <w:wordWrap/>
        <w:overflowPunct/>
        <w:topLinePunct w:val="0"/>
        <w:bidi w:val="0"/>
        <w:snapToGrid/>
        <w:spacing w:line="576" w:lineRule="exact"/>
        <w:ind w:firstLine="640" w:firstLineChars="200"/>
        <w:textAlignment w:val="auto"/>
        <w:outlineLvl w:val="1"/>
        <w:rPr>
          <w:rFonts w:ascii="仿宋_GB2312" w:eastAsia="仿宋_GB2312"/>
          <w:color w:val="auto"/>
          <w:sz w:val="32"/>
          <w:szCs w:val="32"/>
          <w:highlight w:val="none"/>
        </w:rPr>
      </w:pPr>
      <w:bookmarkStart w:id="76" w:name="_Toc29469"/>
      <w:bookmarkStart w:id="77" w:name="_Toc724"/>
      <w:bookmarkStart w:id="78" w:name="_Toc26613"/>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6"/>
      <w:bookmarkEnd w:id="77"/>
      <w:bookmarkEnd w:id="78"/>
      <w:r>
        <w:rPr>
          <w:rFonts w:ascii="仿宋_GB2312" w:eastAsia="仿宋_GB2312"/>
          <w:color w:val="auto"/>
          <w:sz w:val="32"/>
          <w:szCs w:val="32"/>
          <w:highlight w:val="none"/>
        </w:rPr>
        <w:t xml:space="preserve"> </w:t>
      </w:r>
    </w:p>
    <w:p w14:paraId="1EE51355">
      <w:pPr>
        <w:pStyle w:val="27"/>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FB9DDAE">
      <w:pPr>
        <w:pStyle w:val="27"/>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5ACA23A">
      <w:pPr>
        <w:pStyle w:val="27"/>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1ABF934">
      <w:pPr>
        <w:pStyle w:val="27"/>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30A7C1CC">
      <w:pPr>
        <w:spacing w:line="576" w:lineRule="atLeast"/>
        <w:ind w:firstLine="640" w:firstLineChars="200"/>
        <w:rPr>
          <w:rStyle w:val="18"/>
          <w:rFonts w:ascii="仿宋_GB2312" w:eastAsia="仿宋_GB2312"/>
          <w:b w:val="0"/>
          <w:color w:val="0000FF"/>
          <w:sz w:val="32"/>
          <w:szCs w:val="32"/>
        </w:rPr>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）人大事务</w:t>
      </w:r>
      <w:r>
        <w:rPr>
          <w:rFonts w:hint="eastAsia" w:eastAsia="仿宋_GB2312" w:cs="仿宋_GB2312"/>
          <w:color w:val="auto"/>
          <w:kern w:val="2"/>
          <w:sz w:val="32"/>
          <w:szCs w:val="32"/>
          <w:highlight w:val="none"/>
          <w:lang w:val="en-US" w:eastAsia="zh-CN" w:bidi="ar-SA"/>
        </w:rPr>
        <w:t>（款）代表工作（项）</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8"/>
          <w:rFonts w:hint="eastAsia" w:ascii="仿宋_GB2312" w:eastAsia="仿宋_GB2312" w:cs="仿宋_GB2312"/>
          <w:b w:val="0"/>
          <w:color w:val="0000FF"/>
          <w:sz w:val="32"/>
          <w:szCs w:val="32"/>
        </w:rPr>
        <w:t>。</w:t>
      </w:r>
    </w:p>
    <w:p w14:paraId="4C6B1ED7">
      <w:pPr>
        <w:spacing w:line="576" w:lineRule="atLeas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政府办公厅（室）及相关机构事务（款）行政运行（项）：</w:t>
      </w:r>
      <w:r>
        <w:rPr>
          <w:rStyle w:val="18"/>
          <w:rFonts w:hint="eastAsia" w:ascii="仿宋_GB2312" w:eastAsia="仿宋_GB2312" w:cs="仿宋_GB2312"/>
          <w:b w:val="0"/>
          <w:color w:val="000000"/>
          <w:sz w:val="32"/>
          <w:szCs w:val="32"/>
        </w:rPr>
        <w:t>指单位（包括实行公务员管理的事业单位）的基本支出。</w:t>
      </w:r>
    </w:p>
    <w:p w14:paraId="6CE15A55">
      <w:pPr>
        <w:spacing w:line="576" w:lineRule="atLeast"/>
        <w:ind w:firstLine="640" w:firstLineChars="200"/>
        <w:rPr>
          <w:rStyle w:val="18"/>
          <w:rFonts w:ascii="仿宋_GB2312" w:eastAsia="仿宋_GB2312"/>
          <w:b w:val="0"/>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11.一般公共服务（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政府办公厅（室）及相关机构事务（款）其他政府办公厅（室）及相关机构事务支出（项）：</w:t>
      </w:r>
      <w:r>
        <w:rPr>
          <w:rStyle w:val="18"/>
          <w:rFonts w:hint="eastAsia" w:ascii="仿宋_GB2312" w:eastAsia="仿宋_GB2312" w:cs="仿宋_GB2312"/>
          <w:b w:val="0"/>
          <w:color w:val="000000"/>
          <w:sz w:val="32"/>
          <w:szCs w:val="32"/>
        </w:rPr>
        <w:t>指单位</w:t>
      </w:r>
      <w:r>
        <w:rPr>
          <w:rFonts w:hint="eastAsia" w:ascii="仿宋_GB2312" w:eastAsia="仿宋_GB2312" w:cs="仿宋_GB2312"/>
          <w:color w:val="000000"/>
          <w:kern w:val="0"/>
          <w:sz w:val="32"/>
          <w:szCs w:val="32"/>
        </w:rPr>
        <w:t>用于保障机构正常运行、开展日常工作的基本支出</w:t>
      </w:r>
      <w:r>
        <w:rPr>
          <w:rStyle w:val="18"/>
          <w:rFonts w:hint="eastAsia" w:ascii="仿宋_GB2312" w:eastAsia="仿宋_GB2312" w:cs="仿宋_GB2312"/>
          <w:b w:val="0"/>
          <w:color w:val="000000"/>
          <w:sz w:val="32"/>
          <w:szCs w:val="32"/>
        </w:rPr>
        <w:t>。</w:t>
      </w:r>
    </w:p>
    <w:p w14:paraId="2CBE141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12.文化旅游体育与传媒（</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）其他文化旅游体育与传媒支出（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）其他文化旅游体育与传媒支出（</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指单位</w:t>
      </w:r>
      <w:r>
        <w:rPr>
          <w:rFonts w:hint="eastAsia" w:ascii="仿宋_GB2312" w:eastAsia="仿宋_GB2312" w:cs="仿宋_GB2312"/>
          <w:color w:val="000000"/>
          <w:kern w:val="0"/>
          <w:sz w:val="32"/>
          <w:szCs w:val="32"/>
        </w:rPr>
        <w:t>用于</w:t>
      </w:r>
      <w:r>
        <w:rPr>
          <w:rFonts w:hint="eastAsia" w:ascii="仿宋_GB2312" w:eastAsia="仿宋_GB2312" w:cs="仿宋_GB2312"/>
          <w:color w:val="000000"/>
          <w:kern w:val="0"/>
          <w:sz w:val="32"/>
          <w:szCs w:val="32"/>
          <w:lang w:eastAsia="zh-CN"/>
        </w:rPr>
        <w:t>安排的其他文化旅游体育与传媒支出。</w:t>
      </w:r>
    </w:p>
    <w:p w14:paraId="5C514808">
      <w:pPr>
        <w:spacing w:line="576" w:lineRule="atLeas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13.社会保障和就业（</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）机关事业单位基本养老保险缴费支出（</w:t>
      </w:r>
      <w:r>
        <w:rPr>
          <w:rFonts w:hint="eastAsia" w:eastAsia="仿宋_GB2312" w:cs="仿宋_GB2312"/>
          <w:color w:val="auto"/>
          <w:kern w:val="2"/>
          <w:sz w:val="32"/>
          <w:szCs w:val="32"/>
          <w:highlight w:val="none"/>
          <w:lang w:val="en-US" w:eastAsia="zh-CN" w:bidi="ar-SA"/>
        </w:rPr>
        <w:t>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单位实施养老保险制度由单位缴纳的养老保险费的支出</w:t>
      </w:r>
      <w:r>
        <w:rPr>
          <w:rStyle w:val="18"/>
          <w:rFonts w:hint="eastAsia" w:ascii="仿宋_GB2312" w:eastAsia="仿宋_GB2312" w:cs="仿宋_GB2312"/>
          <w:b w:val="0"/>
          <w:color w:val="000000"/>
          <w:sz w:val="32"/>
          <w:szCs w:val="32"/>
        </w:rPr>
        <w:t>。</w:t>
      </w:r>
    </w:p>
    <w:p w14:paraId="75BA3E68">
      <w:pPr>
        <w:spacing w:line="576" w:lineRule="atLeast"/>
        <w:ind w:firstLine="640" w:firstLineChars="200"/>
        <w:rPr>
          <w:rStyle w:val="18"/>
          <w:rFonts w:ascii="仿宋_GB2312" w:eastAsia="仿宋_GB2312"/>
          <w:b w:val="0"/>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14.文社会保障和就业（</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）机关事业单位职业年金缴费支出（</w:t>
      </w:r>
      <w:r>
        <w:rPr>
          <w:rFonts w:hint="eastAsia" w:eastAsia="仿宋_GB2312" w:cs="仿宋_GB2312"/>
          <w:color w:val="auto"/>
          <w:kern w:val="2"/>
          <w:sz w:val="32"/>
          <w:szCs w:val="32"/>
          <w:highlight w:val="none"/>
          <w:lang w:val="en-US" w:eastAsia="zh-CN" w:bidi="ar-SA"/>
        </w:rPr>
        <w:t>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单位实施养老保险制度由单位缴纳的职业年金的支出</w:t>
      </w:r>
      <w:r>
        <w:rPr>
          <w:rStyle w:val="18"/>
          <w:rFonts w:hint="eastAsia" w:ascii="仿宋_GB2312" w:eastAsia="仿宋_GB2312" w:cs="仿宋_GB2312"/>
          <w:b w:val="0"/>
          <w:color w:val="000000"/>
          <w:sz w:val="32"/>
          <w:szCs w:val="32"/>
        </w:rPr>
        <w:t>。</w:t>
      </w:r>
    </w:p>
    <w:p w14:paraId="1FF5276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）就业补助（</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）公益性岗位补贴（</w:t>
      </w:r>
      <w:r>
        <w:rPr>
          <w:rFonts w:hint="eastAsia" w:eastAsia="仿宋_GB2312" w:cs="仿宋_GB2312"/>
          <w:color w:val="auto"/>
          <w:kern w:val="2"/>
          <w:sz w:val="32"/>
          <w:szCs w:val="32"/>
          <w:highlight w:val="none"/>
          <w:lang w:val="en-US" w:eastAsia="zh-CN" w:bidi="ar-SA"/>
        </w:rPr>
        <w:t>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w:t>
      </w:r>
      <w:r>
        <w:rPr>
          <w:rFonts w:hint="eastAsia" w:ascii="仿宋_GB2312" w:eastAsia="仿宋_GB2312" w:cs="仿宋_GB2312"/>
          <w:color w:val="000000"/>
          <w:kern w:val="0"/>
          <w:sz w:val="32"/>
          <w:szCs w:val="32"/>
          <w:lang w:eastAsia="zh-CN"/>
        </w:rPr>
        <w:t>对符合条件的就业困难人员在公益性岗位就业给与的岗位补贴支出。</w:t>
      </w:r>
    </w:p>
    <w:p w14:paraId="0F14240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）行政单位医疗（</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w:t>
      </w:r>
      <w:r>
        <w:rPr>
          <w:rFonts w:hint="eastAsia" w:ascii="仿宋_GB2312" w:eastAsia="仿宋_GB2312" w:cs="仿宋_GB2312"/>
          <w:color w:val="000000"/>
          <w:kern w:val="0"/>
          <w:sz w:val="32"/>
          <w:szCs w:val="32"/>
          <w:lang w:eastAsia="zh-CN"/>
        </w:rPr>
        <w:t>安排的行政单位（包括公务员管理的事业单位，同下）基本医疗保险缴纳经费，未参加医疗保险的行政单位的公费医疗经费，按国家规定享受离休人员、红军老战士待遇人员的医疗经费。</w:t>
      </w:r>
    </w:p>
    <w:p w14:paraId="26258CE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）事业单位医疗（</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w:t>
      </w:r>
      <w:r>
        <w:rPr>
          <w:rFonts w:hint="eastAsia" w:ascii="仿宋_GB2312" w:eastAsia="仿宋_GB2312" w:cs="仿宋_GB2312"/>
          <w:color w:val="000000"/>
          <w:kern w:val="0"/>
          <w:sz w:val="32"/>
          <w:szCs w:val="32"/>
          <w:lang w:eastAsia="zh-CN"/>
        </w:rPr>
        <w:t>安排的事业单位基本医疗保险缴纳经费，未参加医疗保险的行政单位的公费医疗经费，按国家规定享受离休人员的医疗经费。</w:t>
      </w:r>
    </w:p>
    <w:p w14:paraId="5EB7BBFC">
      <w:pPr>
        <w:spacing w:line="576" w:lineRule="atLeas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）农业农村（</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）事业运行（</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指用于农业事业单位基本支出，事业单位设施、系统运行与资产维护等方面的支出。</w:t>
      </w:r>
    </w:p>
    <w:p w14:paraId="702514CC">
      <w:pPr>
        <w:numPr>
          <w:ilvl w:val="0"/>
          <w:numId w:val="2"/>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）农业农村（</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）其他农业农村支出（</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指用于</w:t>
      </w:r>
      <w:r>
        <w:rPr>
          <w:rStyle w:val="18"/>
          <w:rFonts w:hint="eastAsia" w:ascii="仿宋_GB2312" w:eastAsia="仿宋_GB2312" w:cs="仿宋_GB2312"/>
          <w:b w:val="0"/>
          <w:color w:val="000000"/>
          <w:sz w:val="32"/>
          <w:szCs w:val="32"/>
          <w:lang w:eastAsia="zh-CN"/>
        </w:rPr>
        <w:t>上述项目以外的其他用于农业农村方面的支出。</w:t>
      </w:r>
    </w:p>
    <w:p w14:paraId="0F3495BE">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）巩固脱贫攻坚成果衔接乡村振兴（</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）其他巩固脱贫攻坚成果衔接乡村振兴支出（</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指用于</w:t>
      </w:r>
      <w:r>
        <w:rPr>
          <w:rStyle w:val="18"/>
          <w:rFonts w:hint="eastAsia" w:ascii="仿宋_GB2312" w:eastAsia="仿宋_GB2312" w:cs="仿宋_GB2312"/>
          <w:b w:val="0"/>
          <w:color w:val="000000"/>
          <w:sz w:val="32"/>
          <w:szCs w:val="32"/>
          <w:lang w:eastAsia="zh-CN"/>
        </w:rPr>
        <w:t>上述项目以外的其他用于巩固拓展脱贫攻坚成果同乡村振兴有效衔接方面的支出。</w:t>
      </w:r>
    </w:p>
    <w:p w14:paraId="6623BA36">
      <w:pPr>
        <w:spacing w:line="576" w:lineRule="atLeas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）农村综合改革（</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）对村民委员会和村党支部的补助（</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指对村民委员会和对村党支部的补助支出，以及支持建立县级基本财力保障机制安排的村级组织运转奖补资金。</w:t>
      </w:r>
    </w:p>
    <w:p w14:paraId="69026865">
      <w:pPr>
        <w:spacing w:line="576" w:lineRule="atLeast"/>
        <w:ind w:firstLine="640" w:firstLineChars="200"/>
        <w:rPr>
          <w:rFonts w:ascii="仿宋" w:hAnsi="仿宋" w:eastAsia="仿宋"/>
          <w:b/>
          <w:color w:val="auto"/>
          <w:sz w:val="32"/>
          <w:szCs w:val="32"/>
          <w:highlight w:val="none"/>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反映行政事业单位按规定为职工缴纳的住房公积金</w:t>
      </w:r>
      <w:r>
        <w:rPr>
          <w:rStyle w:val="18"/>
          <w:rFonts w:hint="eastAsia" w:ascii="仿宋_GB2312" w:eastAsia="仿宋_GB2312" w:cs="仿宋_GB2312"/>
          <w:b w:val="0"/>
          <w:color w:val="000000"/>
          <w:sz w:val="32"/>
          <w:szCs w:val="32"/>
        </w:rPr>
        <w:t>。</w:t>
      </w:r>
    </w:p>
    <w:p w14:paraId="41711D77">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）购房补贴（</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：指按房改政策规定，行政事业单位向符合条件的职工（含离退休人员）、军队（含武警）向转役复员离退休人员发放的用于购买住房的补贴。</w:t>
      </w:r>
    </w:p>
    <w:p w14:paraId="4E685490">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.灾害防治及应急管理支出（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）自然灾害救灾及恢复重建支出（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）其他自然灾害救灾及恢复重建支出（</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指除上述项目以外的其他用于自然灾害救灾、灾后恢复重建等方面的支出。</w:t>
      </w:r>
    </w:p>
    <w:p w14:paraId="4F484B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F4F64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8EAC6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99520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A2C4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ADB77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仿宋_GB2312" w:cs="仿宋_GB2312"/>
          <w:color w:val="auto"/>
          <w:kern w:val="2"/>
          <w:szCs w:val="32"/>
          <w:highlight w:val="none"/>
          <w:lang w:val="en-US" w:eastAsia="zh-CN" w:bidi="ar-SA"/>
        </w:rPr>
        <w:br w:type="page"/>
      </w:r>
    </w:p>
    <w:p w14:paraId="161841AC">
      <w:pPr>
        <w:pStyle w:val="5"/>
        <w:bidi w:val="0"/>
        <w:ind w:firstLine="2650" w:firstLineChars="600"/>
        <w:rPr>
          <w:rFonts w:hint="default" w:ascii="Times New Roman" w:hAnsi="Times New Roman" w:eastAsia="方正小标宋简体" w:cs="Times New Roman"/>
          <w:b w:val="0"/>
          <w:bCs/>
          <w:color w:val="FFFFFF" w:themeColor="background1"/>
          <w:sz w:val="44"/>
          <w:szCs w:val="44"/>
          <w:highlight w:val="none"/>
          <w:shd w:val="clear" w:color="auto" w:fill="FFFFFF"/>
          <w14:textFill>
            <w14:solidFill>
              <w14:schemeClr w14:val="bg1"/>
            </w14:solidFill>
          </w14:textFill>
        </w:rPr>
      </w:pPr>
      <w:bookmarkStart w:id="79" w:name="_Toc5182"/>
      <w:r>
        <w:rPr>
          <w:rFonts w:hint="eastAsia"/>
        </w:rPr>
        <w:t>第四部分</w:t>
      </w:r>
      <w:r>
        <w:rPr>
          <w:rFonts w:hint="eastAsia"/>
          <w:lang w:val="en-US" w:eastAsia="zh-CN"/>
        </w:rPr>
        <w:t xml:space="preserve"> </w:t>
      </w:r>
      <w:r>
        <w:rPr>
          <w:rFonts w:hint="eastAsia"/>
        </w:rPr>
        <w:t xml:space="preserve"> 附件</w:t>
      </w:r>
      <w:bookmarkEnd w:id="79"/>
    </w:p>
    <w:p w14:paraId="25EF26AB">
      <w:pPr>
        <w:keepNext w:val="0"/>
        <w:keepLines w:val="0"/>
        <w:pageBreakBefore w:val="0"/>
        <w:widowControl/>
        <w:kinsoku/>
        <w:wordWrap/>
        <w:overflowPunct/>
        <w:topLinePunct w:val="0"/>
        <w:autoSpaceDE/>
        <w:autoSpaceDN/>
        <w:bidi w:val="0"/>
        <w:spacing w:line="578" w:lineRule="exact"/>
        <w:ind w:firstLine="2200" w:firstLineChars="500"/>
        <w:contextualSpacing/>
        <w:jc w:val="both"/>
        <w:textAlignment w:val="auto"/>
        <w:outlineLvl w:val="9"/>
        <w:rPr>
          <w:rFonts w:hint="eastAsia" w:ascii="方正小标宋简体" w:hAnsi="方正小标宋简体" w:eastAsia="方正小标宋简体" w:cs="方正小标宋简体"/>
          <w:b w:val="0"/>
          <w:bCs/>
          <w:sz w:val="44"/>
          <w:szCs w:val="44"/>
          <w:highlight w:val="none"/>
          <w:shd w:val="clear" w:color="auto" w:fill="FFFFFF"/>
          <w:lang w:eastAsia="zh-CN"/>
        </w:rPr>
      </w:pPr>
      <w:r>
        <w:rPr>
          <w:rFonts w:hint="eastAsia" w:ascii="方正小标宋简体" w:hAnsi="方正小标宋简体" w:eastAsia="方正小标宋简体" w:cs="方正小标宋简体"/>
          <w:b w:val="0"/>
          <w:bCs/>
          <w:sz w:val="44"/>
          <w:szCs w:val="44"/>
          <w:highlight w:val="none"/>
          <w:shd w:val="clear" w:color="auto" w:fill="FFFFFF"/>
          <w:lang w:val="en-US" w:eastAsia="zh-CN"/>
        </w:rPr>
        <w:t xml:space="preserve"> </w:t>
      </w:r>
      <w:r>
        <w:rPr>
          <w:rFonts w:hint="eastAsia" w:ascii="方正小标宋简体" w:hAnsi="方正小标宋简体" w:eastAsia="方正小标宋简体" w:cs="方正小标宋简体"/>
          <w:b w:val="0"/>
          <w:bCs/>
          <w:sz w:val="44"/>
          <w:szCs w:val="44"/>
          <w:highlight w:val="none"/>
          <w:shd w:val="clear" w:color="auto" w:fill="FFFFFF"/>
          <w:lang w:eastAsia="zh-CN"/>
        </w:rPr>
        <w:t>茂县沟口镇人民政府</w:t>
      </w:r>
    </w:p>
    <w:p w14:paraId="6BAC7313">
      <w:pPr>
        <w:keepNext w:val="0"/>
        <w:keepLines w:val="0"/>
        <w:pageBreakBefore w:val="0"/>
        <w:widowControl/>
        <w:kinsoku/>
        <w:wordWrap/>
        <w:overflowPunct/>
        <w:topLinePunct w:val="0"/>
        <w:autoSpaceDE/>
        <w:autoSpaceDN/>
        <w:bidi w:val="0"/>
        <w:spacing w:line="578" w:lineRule="exact"/>
        <w:ind w:firstLine="2200" w:firstLineChars="500"/>
        <w:contextualSpacing/>
        <w:jc w:val="both"/>
        <w:textAlignment w:val="auto"/>
        <w:outlineLvl w:val="9"/>
        <w:rPr>
          <w:rFonts w:hint="eastAsia" w:ascii="方正小标宋简体" w:hAnsi="方正小标宋简体" w:eastAsia="方正小标宋简体" w:cs="方正小标宋简体"/>
          <w:b w:val="0"/>
          <w:bCs/>
          <w:sz w:val="44"/>
          <w:szCs w:val="44"/>
          <w:highlight w:val="none"/>
          <w:shd w:val="clear" w:color="auto" w:fill="FFFFFF"/>
          <w:lang w:eastAsia="zh-CN"/>
        </w:rPr>
      </w:pPr>
      <w:r>
        <w:rPr>
          <w:rFonts w:hint="default" w:ascii="方正小标宋简体" w:hAnsi="方正小标宋简体" w:eastAsia="方正小标宋简体" w:cs="方正小标宋简体"/>
          <w:b w:val="0"/>
          <w:bCs/>
          <w:sz w:val="44"/>
          <w:szCs w:val="44"/>
          <w:highlight w:val="none"/>
          <w:shd w:val="clear" w:color="auto" w:fill="FFFFFF"/>
          <w:lang w:eastAsia="zh-CN"/>
        </w:rPr>
        <w:t>部门预算绩效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default" w:ascii="方正小标宋简体" w:hAnsi="方正小标宋简体" w:eastAsia="方正小标宋简体" w:cs="方正小标宋简体"/>
          <w:b w:val="0"/>
          <w:bCs/>
          <w:sz w:val="44"/>
          <w:szCs w:val="44"/>
          <w:highlight w:val="none"/>
          <w:shd w:val="clear" w:color="auto" w:fill="FFFFFF"/>
          <w:lang w:eastAsia="zh-CN"/>
        </w:rPr>
        <w:t>报告</w:t>
      </w:r>
      <w:r>
        <w:rPr>
          <w:rFonts w:hint="eastAsia" w:ascii="方正小标宋简体" w:hAnsi="方正小标宋简体" w:eastAsia="方正小标宋简体" w:cs="方正小标宋简体"/>
          <w:b w:val="0"/>
          <w:bCs/>
          <w:sz w:val="44"/>
          <w:szCs w:val="44"/>
          <w:highlight w:val="none"/>
          <w:shd w:val="clear" w:color="auto" w:fill="FFFFFF"/>
          <w:lang w:eastAsia="zh-CN"/>
        </w:rPr>
        <w:tab/>
      </w:r>
    </w:p>
    <w:p w14:paraId="07CB5F7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FFFFFF" w:themeColor="background1"/>
          <w:kern w:val="0"/>
          <w:sz w:val="24"/>
          <w:szCs w:val="32"/>
          <w:highlight w:val="none"/>
          <w:shd w:val="clear" w:color="auto" w:fill="FFFFFF"/>
          <w14:textFill>
            <w14:solidFill>
              <w14:schemeClr w14:val="bg1"/>
            </w14:solidFill>
          </w14:textFill>
        </w:rPr>
      </w:pPr>
    </w:p>
    <w:p w14:paraId="4D8AC0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64BB7D6">
      <w:pPr>
        <w:widowControl/>
        <w:adjustRightInd w:val="0"/>
        <w:snapToGrid w:val="0"/>
        <w:spacing w:line="580" w:lineRule="exact"/>
        <w:ind w:firstLine="643" w:firstLineChars="200"/>
        <w:contextualSpacing/>
        <w:jc w:val="left"/>
        <w:rPr>
          <w:rFonts w:hint="default" w:ascii="仿宋_GB2312" w:eastAsia="仿宋_GB2312" w:cs="仿宋_GB2312"/>
          <w:sz w:val="32"/>
          <w:szCs w:val="32"/>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eastAsia="仿宋_GB2312" w:cs="仿宋_GB2312"/>
          <w:sz w:val="32"/>
          <w:szCs w:val="32"/>
          <w:lang w:val="zh-CN"/>
        </w:rPr>
        <w:t>沟口镇内设行政办公室2个、财政所1个、事业机构6个，分别是：党政办公室、综合发展办公室、财政所、经济发展中心、社会事业服务中心、就业社会保障服务中心、综合文化服务中心、农技站、兽防站。</w:t>
      </w:r>
    </w:p>
    <w:p w14:paraId="1A3F693C">
      <w:pPr>
        <w:widowControl/>
        <w:numPr>
          <w:ilvl w:val="0"/>
          <w:numId w:val="0"/>
        </w:numPr>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eastAsia="仿宋_GB2312" w:cs="仿宋_GB2312"/>
          <w:sz w:val="32"/>
          <w:szCs w:val="32"/>
          <w:lang w:val="zh-CN"/>
        </w:rPr>
        <w:t>负责调查了解农业产业结构状况及市场走向，及时提供农业结构调整参考信息；努力提高人口素质；负责组织军烈属慰问、民政救灾救济工作；宣传贯彻国土管理、城建规划的法律法规，拟定全镇国土、城建管理规划措施；宣传教育、文化、科技、卫生等方面的政策、知识；严格按规定做好财务管理工作。</w:t>
      </w:r>
    </w:p>
    <w:p w14:paraId="18F77F3D">
      <w:pPr>
        <w:widowControl/>
        <w:numPr>
          <w:ilvl w:val="0"/>
          <w:numId w:val="0"/>
        </w:numPr>
        <w:adjustRightInd w:val="0"/>
        <w:snapToGrid w:val="0"/>
        <w:spacing w:line="580" w:lineRule="exact"/>
        <w:ind w:firstLine="643" w:firstLineChars="200"/>
        <w:contextualSpacing/>
        <w:jc w:val="left"/>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cs="仿宋_GB2312"/>
          <w:sz w:val="32"/>
          <w:szCs w:val="32"/>
          <w:lang w:val="zh-CN" w:eastAsia="zh-CN"/>
        </w:rPr>
        <w:t>截至</w:t>
      </w:r>
      <w:r>
        <w:rPr>
          <w:rFonts w:hint="eastAsia" w:ascii="仿宋_GB2312" w:eastAsia="仿宋_GB2312" w:cs="仿宋_GB2312"/>
          <w:sz w:val="32"/>
          <w:szCs w:val="32"/>
          <w:lang w:val="en-US" w:eastAsia="zh-CN"/>
        </w:rPr>
        <w:t>2024年末，</w:t>
      </w:r>
      <w:r>
        <w:rPr>
          <w:rFonts w:hint="eastAsia" w:ascii="仿宋_GB2312" w:eastAsia="仿宋_GB2312" w:cs="仿宋_GB2312"/>
          <w:sz w:val="32"/>
          <w:szCs w:val="32"/>
          <w:lang w:val="zh-CN"/>
        </w:rPr>
        <w:t>沟口镇总编制51个,其中:行政编制27个,行政工勤编制4个，事业编制20个。在职人员</w:t>
      </w:r>
      <w:r>
        <w:rPr>
          <w:rFonts w:hint="eastAsia" w:ascii="仿宋_GB2312" w:eastAsia="仿宋_GB2312" w:cs="仿宋_GB2312"/>
          <w:sz w:val="32"/>
          <w:szCs w:val="32"/>
          <w:lang w:val="en-US" w:eastAsia="zh-CN"/>
        </w:rPr>
        <w:t>39</w:t>
      </w:r>
      <w:r>
        <w:rPr>
          <w:rFonts w:hint="eastAsia" w:ascii="仿宋_GB2312" w:eastAsia="仿宋_GB2312" w:cs="仿宋_GB2312"/>
          <w:sz w:val="32"/>
          <w:szCs w:val="32"/>
          <w:lang w:val="zh-CN"/>
        </w:rPr>
        <w:t>人（其中公务员</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val="zh-CN"/>
        </w:rPr>
        <w:t>人，机关工勤人员</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人，事业人员</w:t>
      </w:r>
      <w:r>
        <w:rPr>
          <w:rFonts w:hint="eastAsia" w:ascii="仿宋_GB2312" w:eastAsia="仿宋_GB2312" w:cs="仿宋_GB2312"/>
          <w:sz w:val="32"/>
          <w:szCs w:val="32"/>
          <w:lang w:val="en-US" w:eastAsia="zh-CN"/>
        </w:rPr>
        <w:t>15</w:t>
      </w:r>
      <w:r>
        <w:rPr>
          <w:rFonts w:hint="eastAsia" w:ascii="仿宋_GB2312" w:eastAsia="仿宋_GB2312" w:cs="仿宋_GB2312"/>
          <w:sz w:val="32"/>
          <w:szCs w:val="32"/>
          <w:lang w:val="zh-CN"/>
        </w:rPr>
        <w:t>人）；退休人员</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val="zh-CN"/>
        </w:rPr>
        <w:t>人；遗属3人。</w:t>
      </w:r>
    </w:p>
    <w:p w14:paraId="7EBF5A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0BE3A0A">
      <w:pPr>
        <w:spacing w:line="576" w:lineRule="atLeast"/>
        <w:ind w:firstLine="643" w:firstLineChars="200"/>
        <w:rPr>
          <w:rFonts w:ascii="仿宋_GB2312" w:eastAsia="仿宋_GB2312" w:cs="宋体"/>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年本部门财政拨款收入决算总额为1,476.60</w:t>
      </w:r>
      <w:r>
        <w:rPr>
          <w:rFonts w:hint="eastAsia" w:ascii="仿宋_GB2312" w:eastAsia="仿宋_GB2312" w:cs="仿宋_GB2312"/>
          <w:sz w:val="32"/>
          <w:szCs w:val="32"/>
          <w:lang w:eastAsia="zh-CN"/>
        </w:rPr>
        <w:t>万</w:t>
      </w:r>
      <w:r>
        <w:rPr>
          <w:rFonts w:hint="eastAsia" w:ascii="仿宋_GB2312" w:eastAsia="仿宋_GB2312" w:cs="仿宋_GB2312"/>
          <w:sz w:val="32"/>
          <w:szCs w:val="32"/>
        </w:rPr>
        <w:t>元，其中：当年财政拨款收入</w:t>
      </w:r>
      <w:r>
        <w:rPr>
          <w:rFonts w:hint="eastAsia" w:ascii="仿宋_GB2312" w:eastAsia="仿宋_GB2312" w:cs="仿宋_GB2312"/>
          <w:sz w:val="32"/>
          <w:szCs w:val="32"/>
          <w:lang w:val="en-US" w:eastAsia="zh-CN"/>
        </w:rPr>
        <w:t>1,476.60</w:t>
      </w:r>
      <w:r>
        <w:rPr>
          <w:rFonts w:hint="eastAsia" w:ascii="仿宋_GB2312" w:eastAsia="仿宋_GB2312" w:cs="仿宋_GB2312"/>
          <w:sz w:val="32"/>
          <w:szCs w:val="32"/>
          <w:lang w:eastAsia="zh-CN"/>
        </w:rPr>
        <w:t>万</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均为一般公共预算财政拨款。</w:t>
      </w:r>
    </w:p>
    <w:p w14:paraId="10AEE30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1,476.60</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537.91万元；文化旅游体育与传媒支出18.46万元；社会保障和就业支出72.77万元；卫生健康支出31.63万元；住房保障支出41.89万元；农林水支出763.94万元；灾害防治及应急管理支出10万元。</w:t>
      </w:r>
    </w:p>
    <w:p w14:paraId="6C46528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outlineLvl w:val="9"/>
        <w:rPr>
          <w:rFonts w:hint="default"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en-US" w:eastAsia="zh-CN" w:bidi="ar-SA"/>
        </w:rPr>
        <w:t>2024年决算报表无结转结余的情况。</w:t>
      </w:r>
    </w:p>
    <w:p w14:paraId="3F64BE1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eastAsia="黑体" w:cs="Times New Roman"/>
          <w:color w:val="000000"/>
          <w:kern w:val="0"/>
          <w:sz w:val="32"/>
          <w:szCs w:val="32"/>
          <w:highlight w:val="none"/>
          <w:shd w:val="clear" w:color="auto" w:fill="FFFFFF"/>
          <w:lang w:val="zh-CN" w:eastAsia="zh-CN"/>
        </w:rPr>
        <w:t>二</w:t>
      </w:r>
      <w:r>
        <w:rPr>
          <w:rFonts w:hint="default" w:ascii="Times New Roman" w:hAnsi="Times New Roman" w:eastAsia="黑体" w:cs="Times New Roman"/>
          <w:color w:val="000000"/>
          <w:kern w:val="0"/>
          <w:sz w:val="32"/>
          <w:szCs w:val="32"/>
          <w:highlight w:val="none"/>
          <w:shd w:val="clear" w:color="auto" w:fill="FFFFFF"/>
          <w:lang w:val="zh-CN" w:eastAsia="zh-CN"/>
        </w:rPr>
        <w:t>、部门预算绩效分析</w:t>
      </w:r>
    </w:p>
    <w:p w14:paraId="7B0C4399">
      <w:pPr>
        <w:spacing w:line="60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zh-CN"/>
        </w:rPr>
        <w:t>履职效能。工作成果方面：项目工作人员能够按时完成任务并达到预期目标；财务人员能够按照项目合同资金支付要求，对验收合格的项目按时足额支付项目资金。工作质量方面</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项目工作人员注重细节，保证工作的准确性和可靠性。执行力方面</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项目工作人员能够按照项目要求主动、迅速地执行工作。</w:t>
      </w:r>
    </w:p>
    <w:p w14:paraId="575655CB">
      <w:pPr>
        <w:spacing w:line="60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预算管理。我镇严格按照县级部门预算编制通知和有关要求，按时完成基础库、项目库报送工作，按时完成20</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年预算编制工作，并按时提交部门预算草案。按规定编制政府采购预算，预算编制全面、科学。</w:t>
      </w:r>
    </w:p>
    <w:p w14:paraId="1AE2BD5F">
      <w:pPr>
        <w:spacing w:line="60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zh-CN"/>
        </w:rPr>
        <w:t>财务管理。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w:t>
      </w:r>
    </w:p>
    <w:p w14:paraId="168D590C">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zh-CN"/>
        </w:rPr>
        <w:t>资产管理。</w:t>
      </w:r>
      <w:r>
        <w:rPr>
          <w:rFonts w:hint="eastAsia" w:ascii="仿宋_GB2312" w:hAnsi="仿宋_GB2312" w:eastAsia="仿宋_GB2312" w:cs="仿宋_GB2312"/>
          <w:color w:val="auto"/>
          <w:sz w:val="32"/>
          <w:szCs w:val="32"/>
          <w:highlight w:val="none"/>
        </w:rPr>
        <w:t>加强对固定资产的管理，规范机关固定资产的配置、使用和管理，强化固定资产的管理责任，建立节约型机关</w:t>
      </w:r>
      <w:r>
        <w:rPr>
          <w:rFonts w:hint="eastAsia" w:ascii="仿宋_GB2312" w:hAnsi="仿宋_GB2312" w:eastAsia="仿宋_GB2312" w:cs="仿宋_GB2312"/>
          <w:color w:val="auto"/>
          <w:sz w:val="32"/>
          <w:szCs w:val="32"/>
          <w:highlight w:val="none"/>
          <w:lang w:eastAsia="zh-CN"/>
        </w:rPr>
        <w:t>。</w:t>
      </w:r>
    </w:p>
    <w:p w14:paraId="1F32790D">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zh-CN"/>
        </w:rPr>
        <w:t>采购管理。</w:t>
      </w:r>
      <w:r>
        <w:rPr>
          <w:rFonts w:hint="eastAsia" w:ascii="仿宋_GB2312" w:hAnsi="仿宋_GB2312" w:eastAsia="仿宋_GB2312" w:cs="仿宋_GB2312"/>
          <w:color w:val="auto"/>
          <w:sz w:val="32"/>
          <w:szCs w:val="32"/>
          <w:highlight w:val="none"/>
        </w:rPr>
        <w:t>确保办理采购业务的不相容岗位相互分离制约和监督，并根据具体情况对办理采购业务的人员定期进行岗位轮换。加强采购业务的记录控制。由档案室负责妥善保管采购业务的相关文件。对于大宗设备、物资或重大服务采购业务需求，由单位领导班子集体研究决定，并成立由单位内部资产、财会、审计、纪检监察等部门人员组成的采购工作小组，形成各部门相互协调、相互制约的机制， 加强对采购业务各个环节的控制。</w:t>
      </w:r>
    </w:p>
    <w:p w14:paraId="0DDE9645">
      <w:pPr>
        <w:keepNext w:val="0"/>
        <w:keepLines w:val="0"/>
        <w:pageBreakBefore w:val="0"/>
        <w:kinsoku/>
        <w:wordWrap/>
        <w:overflowPunct/>
        <w:topLinePunct w:val="0"/>
        <w:autoSpaceDE/>
        <w:autoSpaceDN/>
        <w:bidi w:val="0"/>
        <w:adjustRightInd/>
        <w:snapToGrid/>
        <w:spacing w:line="576" w:lineRule="exact"/>
        <w:ind w:left="0" w:firstLine="723" w:firstLineChars="225"/>
        <w:textAlignment w:val="auto"/>
        <w:rPr>
          <w:rFonts w:hint="eastAsia" w:ascii="仿宋" w:hAnsi="仿宋" w:eastAsia="仿宋" w:cs="Times New Roman"/>
          <w:sz w:val="32"/>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仿宋" w:hAnsi="仿宋" w:eastAsia="仿宋" w:cs="Times New Roman"/>
          <w:sz w:val="32"/>
          <w:szCs w:val="32"/>
          <w:highlight w:val="none"/>
          <w:lang w:val="zh-CN" w:eastAsia="zh-CN"/>
        </w:rPr>
        <w:t>常年项目绩效分析。该类项目总数</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val="zh-CN" w:eastAsia="zh-CN"/>
        </w:rPr>
        <w:t>个，涉及预算总金额</w:t>
      </w:r>
      <w:r>
        <w:rPr>
          <w:rFonts w:hint="eastAsia" w:ascii="仿宋" w:hAnsi="仿宋" w:eastAsia="仿宋" w:cs="Times New Roman"/>
          <w:sz w:val="32"/>
          <w:szCs w:val="32"/>
          <w:highlight w:val="none"/>
          <w:lang w:val="en-US" w:eastAsia="zh-CN"/>
        </w:rPr>
        <w:t>189.54</w:t>
      </w:r>
      <w:r>
        <w:rPr>
          <w:rFonts w:hint="eastAsia" w:ascii="仿宋" w:hAnsi="仿宋" w:eastAsia="仿宋" w:cs="Times New Roman"/>
          <w:sz w:val="32"/>
          <w:szCs w:val="32"/>
          <w:highlight w:val="none"/>
          <w:lang w:val="zh-CN" w:eastAsia="zh-CN"/>
        </w:rPr>
        <w:t>万元，1—12月预算执行总体进度为</w:t>
      </w:r>
      <w:r>
        <w:rPr>
          <w:rFonts w:hint="eastAsia" w:ascii="仿宋" w:hAnsi="仿宋" w:eastAsia="仿宋" w:cs="Times New Roman"/>
          <w:sz w:val="32"/>
          <w:szCs w:val="32"/>
          <w:highlight w:val="none"/>
          <w:lang w:val="en-US" w:eastAsia="zh-CN"/>
        </w:rPr>
        <w:t>100</w:t>
      </w:r>
      <w:r>
        <w:rPr>
          <w:rFonts w:hint="eastAsia" w:ascii="仿宋" w:hAnsi="仿宋" w:eastAsia="仿宋" w:cs="Times New Roman"/>
          <w:sz w:val="32"/>
          <w:szCs w:val="32"/>
          <w:highlight w:val="none"/>
          <w:lang w:val="zh-CN" w:eastAsia="zh-CN"/>
        </w:rPr>
        <w:t xml:space="preserve"> %，其中：预算结余率大于10%的项目共计</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val="zh-CN" w:eastAsia="zh-CN"/>
        </w:rPr>
        <w:t>个。</w:t>
      </w:r>
    </w:p>
    <w:p w14:paraId="1DE34983">
      <w:pPr>
        <w:keepNext w:val="0"/>
        <w:keepLines w:val="0"/>
        <w:pageBreakBefore w:val="0"/>
        <w:kinsoku/>
        <w:wordWrap/>
        <w:overflowPunct/>
        <w:topLinePunct w:val="0"/>
        <w:autoSpaceDE/>
        <w:autoSpaceDN/>
        <w:bidi w:val="0"/>
        <w:adjustRightInd/>
        <w:snapToGrid/>
        <w:spacing w:line="576" w:lineRule="exact"/>
        <w:ind w:left="0" w:firstLine="720" w:firstLineChars="225"/>
        <w:textAlignment w:val="auto"/>
        <w:rPr>
          <w:rFonts w:hint="eastAsia" w:ascii="仿宋" w:hAnsi="仿宋" w:eastAsia="仿宋" w:cs="Times New Roman"/>
          <w:sz w:val="32"/>
          <w:szCs w:val="32"/>
          <w:highlight w:val="yellow"/>
          <w:lang w:val="zh-CN" w:eastAsia="zh-CN"/>
        </w:rPr>
      </w:pPr>
      <w:r>
        <w:rPr>
          <w:rFonts w:hint="eastAsia" w:ascii="仿宋" w:hAnsi="仿宋" w:eastAsia="仿宋" w:cs="Times New Roman"/>
          <w:sz w:val="32"/>
          <w:szCs w:val="32"/>
          <w:highlight w:val="none"/>
          <w:lang w:val="zh-CN" w:eastAsia="zh-CN"/>
        </w:rPr>
        <w:t xml:space="preserve">阶段（一次性）项目绩效分析。该类项目总数 </w:t>
      </w:r>
      <w:r>
        <w:rPr>
          <w:rFonts w:hint="eastAsia" w:ascii="仿宋" w:hAnsi="仿宋" w:eastAsia="仿宋" w:cs="Times New Roman"/>
          <w:sz w:val="32"/>
          <w:szCs w:val="32"/>
          <w:highlight w:val="none"/>
          <w:lang w:val="en-US" w:eastAsia="zh-CN"/>
        </w:rPr>
        <w:t>30</w:t>
      </w:r>
      <w:r>
        <w:rPr>
          <w:rFonts w:hint="eastAsia" w:ascii="仿宋" w:hAnsi="仿宋" w:eastAsia="仿宋" w:cs="Times New Roman"/>
          <w:sz w:val="32"/>
          <w:szCs w:val="32"/>
          <w:highlight w:val="none"/>
          <w:lang w:val="zh-CN" w:eastAsia="zh-CN"/>
        </w:rPr>
        <w:t xml:space="preserve">个，涉及预算总金额 </w:t>
      </w:r>
      <w:r>
        <w:rPr>
          <w:rFonts w:hint="eastAsia" w:ascii="仿宋" w:hAnsi="仿宋" w:eastAsia="仿宋" w:cs="Times New Roman"/>
          <w:color w:val="auto"/>
          <w:sz w:val="32"/>
          <w:szCs w:val="32"/>
          <w:highlight w:val="none"/>
          <w:lang w:val="en-US" w:eastAsia="zh-CN"/>
        </w:rPr>
        <w:t>854.23</w:t>
      </w:r>
      <w:r>
        <w:rPr>
          <w:rFonts w:hint="eastAsia" w:ascii="仿宋" w:hAnsi="仿宋" w:eastAsia="仿宋" w:cs="Times New Roman"/>
          <w:sz w:val="32"/>
          <w:szCs w:val="32"/>
          <w:highlight w:val="none"/>
          <w:lang w:val="zh-CN" w:eastAsia="zh-CN"/>
        </w:rPr>
        <w:t>万元，1—12月预算执行总体进度为</w:t>
      </w:r>
      <w:r>
        <w:rPr>
          <w:rFonts w:hint="eastAsia" w:ascii="仿宋" w:hAnsi="仿宋" w:eastAsia="仿宋" w:cs="Times New Roman"/>
          <w:sz w:val="32"/>
          <w:szCs w:val="32"/>
          <w:highlight w:val="none"/>
          <w:lang w:val="en-US" w:eastAsia="zh-CN"/>
        </w:rPr>
        <w:t>95.26</w:t>
      </w:r>
      <w:r>
        <w:rPr>
          <w:rFonts w:hint="eastAsia" w:ascii="仿宋" w:hAnsi="仿宋" w:eastAsia="仿宋" w:cs="Times New Roman"/>
          <w:sz w:val="32"/>
          <w:szCs w:val="32"/>
          <w:highlight w:val="none"/>
          <w:lang w:val="zh-CN" w:eastAsia="zh-CN"/>
        </w:rPr>
        <w:t xml:space="preserve"> %，其中：预算结余率大于10%的项目共计</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val="zh-CN" w:eastAsia="zh-CN"/>
        </w:rPr>
        <w:t>个。</w:t>
      </w:r>
    </w:p>
    <w:p w14:paraId="26663EC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highlight w:val="none"/>
          <w:lang w:val="zh-CN" w:eastAsia="zh-CN"/>
        </w:rPr>
      </w:pPr>
      <w:r>
        <w:rPr>
          <w:rFonts w:hint="eastAsia" w:ascii="仿宋" w:hAnsi="仿宋" w:eastAsia="仿宋" w:cs="Times New Roman"/>
          <w:sz w:val="32"/>
          <w:szCs w:val="32"/>
          <w:highlight w:val="none"/>
          <w:lang w:val="zh-CN" w:eastAsia="zh-CN"/>
        </w:rPr>
        <w:t>1.项目决策。采购、施工、服务类项目采用政府集采、</w:t>
      </w:r>
      <w:r>
        <w:rPr>
          <w:rFonts w:hint="eastAsia" w:ascii="Times New Roman" w:hAnsi="Times New Roman" w:eastAsia="仿宋_GB2312" w:cs="Times New Roman"/>
          <w:sz w:val="32"/>
          <w:szCs w:val="32"/>
          <w:highlight w:val="none"/>
          <w:lang w:val="zh-CN" w:eastAsia="zh-CN"/>
        </w:rPr>
        <w:t xml:space="preserve">签订合同（协议）方式实施。按程序确定承接机构，通过制定实施方案、图纸设计、财评、项目立项等程序，项目由沟口镇组织实施，由具体项目实施单位承办，项目实施完成后，经验收合格，项目资金支付到具体项目实施单位账户。全部项目实施过程中，我镇负责指导和监督。 </w:t>
      </w:r>
    </w:p>
    <w:p w14:paraId="5D401F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2.项目执行。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14:paraId="3E34E4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3.目标实现。</w:t>
      </w:r>
      <w:r>
        <w:rPr>
          <w:rFonts w:hint="eastAsia"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年沟口镇项目工作符合年初绩效总体目标，未偏离原定计划。下一步工作将继续按照总体绩效目标要求，不断完善制度，落实政策，保障群众利益。</w:t>
      </w:r>
    </w:p>
    <w:p w14:paraId="483A76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我镇202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年度不涉及国有资本经营预算、社会保险基金预算。</w:t>
      </w:r>
    </w:p>
    <w:p w14:paraId="7C9C507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E68EA72">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bCs/>
          <w:kern w:val="0"/>
          <w:sz w:val="32"/>
          <w:szCs w:val="32"/>
        </w:rPr>
        <w:t>资产整体情况</w:t>
      </w:r>
    </w:p>
    <w:p w14:paraId="52FF0A11">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茂县沟口镇202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单位资产合计金额为</w:t>
      </w:r>
      <w:r>
        <w:rPr>
          <w:rFonts w:hint="eastAsia" w:ascii="仿宋_GB2312" w:hAnsi="仿宋_GB2312" w:eastAsia="仿宋_GB2312" w:cs="仿宋_GB2312"/>
          <w:sz w:val="32"/>
          <w:szCs w:val="32"/>
          <w:lang w:val="en-US" w:eastAsia="zh-CN"/>
        </w:rPr>
        <w:t>2,616.40万</w:t>
      </w:r>
      <w:r>
        <w:rPr>
          <w:rFonts w:hint="eastAsia" w:ascii="仿宋_GB2312" w:hAnsi="仿宋_GB2312" w:eastAsia="仿宋_GB2312" w:cs="仿宋_GB2312"/>
          <w:sz w:val="32"/>
          <w:szCs w:val="32"/>
        </w:rPr>
        <w:t>元，其中流动资产</w:t>
      </w:r>
      <w:r>
        <w:rPr>
          <w:rFonts w:hint="eastAsia" w:ascii="仿宋_GB2312" w:hAnsi="仿宋_GB2312" w:eastAsia="仿宋_GB2312" w:cs="仿宋_GB2312"/>
          <w:sz w:val="32"/>
          <w:szCs w:val="32"/>
          <w:lang w:val="en-US" w:eastAsia="zh-CN"/>
        </w:rPr>
        <w:t>39.05万</w:t>
      </w:r>
      <w:r>
        <w:rPr>
          <w:rFonts w:hint="eastAsia" w:ascii="仿宋_GB2312" w:hAnsi="仿宋_GB2312" w:eastAsia="仿宋_GB2312" w:cs="仿宋_GB2312"/>
          <w:sz w:val="32"/>
          <w:szCs w:val="32"/>
        </w:rPr>
        <w:t>元，占总资产的</w:t>
      </w:r>
      <w:r>
        <w:rPr>
          <w:rFonts w:hint="eastAsia" w:ascii="仿宋_GB2312" w:hAnsi="仿宋_GB2312" w:eastAsia="仿宋_GB2312" w:cs="仿宋_GB2312"/>
          <w:sz w:val="32"/>
          <w:szCs w:val="32"/>
          <w:lang w:val="en-US" w:eastAsia="zh-CN"/>
        </w:rPr>
        <w:t xml:space="preserve">1.50 </w:t>
      </w:r>
      <w:r>
        <w:rPr>
          <w:rFonts w:hint="eastAsia" w:ascii="仿宋_GB2312" w:hAnsi="仿宋_GB2312" w:eastAsia="仿宋_GB2312" w:cs="仿宋_GB2312"/>
          <w:sz w:val="32"/>
          <w:szCs w:val="32"/>
        </w:rPr>
        <w:t>%；非流动资产</w:t>
      </w:r>
      <w:r>
        <w:rPr>
          <w:rFonts w:hint="eastAsia" w:ascii="仿宋_GB2312" w:hAnsi="仿宋_GB2312" w:eastAsia="仿宋_GB2312" w:cs="仿宋_GB2312"/>
          <w:sz w:val="32"/>
          <w:szCs w:val="32"/>
          <w:lang w:val="en-US" w:eastAsia="zh-CN"/>
        </w:rPr>
        <w:t>2,577.35万</w:t>
      </w:r>
      <w:r>
        <w:rPr>
          <w:rFonts w:hint="eastAsia" w:ascii="仿宋_GB2312" w:hAnsi="仿宋_GB2312" w:eastAsia="仿宋_GB2312" w:cs="仿宋_GB2312"/>
          <w:sz w:val="32"/>
          <w:szCs w:val="32"/>
        </w:rPr>
        <w:t>元，占总资产的</w:t>
      </w:r>
      <w:r>
        <w:rPr>
          <w:rFonts w:hint="eastAsia" w:ascii="仿宋_GB2312" w:hAnsi="仿宋_GB2312" w:eastAsia="仿宋_GB2312" w:cs="仿宋_GB2312"/>
          <w:sz w:val="32"/>
          <w:szCs w:val="32"/>
          <w:lang w:val="en-US" w:eastAsia="zh-CN"/>
        </w:rPr>
        <w:t>98.51</w:t>
      </w:r>
      <w:r>
        <w:rPr>
          <w:rFonts w:hint="eastAsia" w:ascii="仿宋_GB2312" w:hAnsi="仿宋_GB2312" w:eastAsia="仿宋_GB2312" w:cs="仿宋_GB2312"/>
          <w:sz w:val="32"/>
          <w:szCs w:val="32"/>
        </w:rPr>
        <w:t>%；本单位并未拥有无形资产、长期投资、在建工程等其他资产。</w:t>
      </w:r>
    </w:p>
    <w:p w14:paraId="5C6A2812">
      <w:pPr>
        <w:keepNext w:val="0"/>
        <w:keepLines w:val="0"/>
        <w:pageBreakBefore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固定资产情况</w:t>
      </w:r>
    </w:p>
    <w:p w14:paraId="34763FB0">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盘点统计，截至2024年底本单位固定资产原值为1,135.88万元，累计折旧为404.92万元，固定资产净值为730.96万元。其中：房屋为951.39万元，占固定资产总额的83.76%；设备为139.10万元，占固定资产总额的12.25%；图书档案0.19万元，占固定资产总额的0.02 %；家具、用具、装具及动植物45.21万元，占固定资产总额的3.98%。公共基础设施为1,186.13万元，</w:t>
      </w:r>
      <w:r>
        <w:rPr>
          <w:rFonts w:hint="eastAsia" w:ascii="仿宋_GB2312" w:hAnsi="仿宋_GB2312" w:eastAsia="仿宋_GB2312" w:cs="仿宋_GB2312"/>
          <w:sz w:val="32"/>
          <w:szCs w:val="32"/>
        </w:rPr>
        <w:t>占非流动资产总额的</w:t>
      </w:r>
      <w:r>
        <w:rPr>
          <w:rFonts w:hint="eastAsia" w:ascii="仿宋_GB2312" w:hAnsi="仿宋_GB2312" w:eastAsia="仿宋_GB2312" w:cs="仿宋_GB2312"/>
          <w:sz w:val="32"/>
          <w:szCs w:val="32"/>
          <w:lang w:val="en-US" w:eastAsia="zh-CN"/>
        </w:rPr>
        <w:t>46.02</w:t>
      </w:r>
      <w:r>
        <w:rPr>
          <w:rFonts w:hint="eastAsia" w:ascii="仿宋_GB2312" w:hAnsi="仿宋_GB2312" w:eastAsia="仿宋_GB2312" w:cs="仿宋_GB2312"/>
          <w:sz w:val="32"/>
          <w:szCs w:val="32"/>
        </w:rPr>
        <w:t>%，为原飞虹乡水草坪村道路硬化和安保。本单位有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辆公车，净值</w:t>
      </w:r>
      <w:r>
        <w:rPr>
          <w:rFonts w:hint="eastAsia" w:ascii="仿宋_GB2312" w:hAnsi="仿宋_GB2312" w:eastAsia="仿宋_GB2312" w:cs="仿宋_GB2312"/>
          <w:sz w:val="32"/>
          <w:szCs w:val="32"/>
          <w:lang w:val="en-US" w:eastAsia="zh-CN"/>
        </w:rPr>
        <w:t>22.37万</w:t>
      </w:r>
      <w:r>
        <w:rPr>
          <w:rFonts w:hint="eastAsia" w:ascii="仿宋_GB2312" w:hAnsi="仿宋_GB2312" w:eastAsia="仿宋_GB2312" w:cs="仿宋_GB2312"/>
          <w:sz w:val="32"/>
          <w:szCs w:val="32"/>
        </w:rPr>
        <w:t>元。单位无单价50万元（含）以上的通用设备及单价100万元（含）以上的专用设备。</w:t>
      </w:r>
    </w:p>
    <w:p w14:paraId="2C3C577A">
      <w:pPr>
        <w:widowControl/>
        <w:numPr>
          <w:ilvl w:val="0"/>
          <w:numId w:val="3"/>
        </w:numPr>
        <w:adjustRightInd w:val="0"/>
        <w:snapToGrid w:val="0"/>
        <w:spacing w:line="540" w:lineRule="exact"/>
        <w:ind w:left="0" w:leftChars="0" w:firstLine="643" w:firstLineChars="200"/>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29B4E83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镇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r>
        <w:rPr>
          <w:rFonts w:hint="eastAsia" w:ascii="仿宋_GB2312" w:hAnsi="仿宋_GB2312" w:eastAsia="仿宋_GB2312" w:cs="仿宋_GB2312"/>
          <w:sz w:val="32"/>
          <w:szCs w:val="32"/>
          <w:lang w:eastAsia="zh-CN"/>
        </w:rPr>
        <w:t>。</w:t>
      </w:r>
    </w:p>
    <w:p w14:paraId="7E5386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5224C08">
      <w:pPr>
        <w:spacing w:line="576" w:lineRule="atLeast"/>
        <w:ind w:firstLine="643" w:firstLineChars="200"/>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年我单位部门整体支出绩效评价自查自评结果良好，全年基本支出保证了部门的正常运行和日常工作的正常开展，项目支出保障了重点工作的开展，达到预期绩效目标。</w:t>
      </w:r>
    </w:p>
    <w:p w14:paraId="6C2546BD">
      <w:pPr>
        <w:spacing w:line="576" w:lineRule="atLeas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4237E564">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14:paraId="6F5F40A1">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需严格报账审批，切实履行各自职能职责，保障会计资料的真实性、完整性。</w:t>
      </w:r>
    </w:p>
    <w:p w14:paraId="612CE1D5">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财务核算和档案管理需进一步规范。</w:t>
      </w:r>
    </w:p>
    <w:p w14:paraId="2E0FD76A">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财务人员工作量大、业务水平要求更高，需要进一步提高会计业务水平。</w:t>
      </w:r>
    </w:p>
    <w:p w14:paraId="48FA1C70">
      <w:pPr>
        <w:spacing w:line="576" w:lineRule="atLeas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0" w:name="_Hlk110546638"/>
    </w:p>
    <w:p w14:paraId="561E7FC9">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14:paraId="383FC234">
      <w:pPr>
        <w:spacing w:line="576" w:lineRule="atLeast"/>
        <w:ind w:firstLine="640" w:firstLineChars="200"/>
        <w:rPr>
          <w:rFonts w:hint="eastAsia" w:hAnsi="Times New Roman" w:cs="Times New Roman"/>
          <w:color w:val="auto"/>
          <w:sz w:val="32"/>
          <w:szCs w:val="32"/>
          <w:highlight w:val="none"/>
          <w:lang w:val="zh-CN"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bookmarkEnd w:id="80"/>
    <w:p w14:paraId="09383DC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2FAE492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CC6BC7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8F37357">
      <w:pPr>
        <w:rPr>
          <w:rFonts w:hint="eastAsia" w:ascii="Times New Roman" w:hAnsi="Times New Roman" w:eastAsia="黑体" w:cs="黑体"/>
          <w:color w:val="auto"/>
          <w:kern w:val="0"/>
          <w:sz w:val="32"/>
          <w:szCs w:val="32"/>
          <w:highlight w:val="none"/>
          <w:shd w:val="clear" w:color="auto" w:fill="FFFFFF"/>
          <w:lang w:val="zh-CN"/>
        </w:rPr>
      </w:pPr>
    </w:p>
    <w:p w14:paraId="750F608B">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000000"/>
          <w:kern w:val="0"/>
          <w:sz w:val="32"/>
          <w:szCs w:val="32"/>
          <w:highlight w:val="none"/>
          <w:shd w:val="clear" w:color="auto" w:fill="FFFFFF"/>
          <w:lang w:val="zh-CN"/>
        </w:rPr>
      </w:pPr>
      <w:r>
        <w:rPr>
          <w:rFonts w:hint="eastAsia" w:ascii="黑体" w:hAnsi="黑体" w:eastAsia="黑体" w:cs="黑体"/>
          <w:b w:val="0"/>
          <w:bCs w:val="0"/>
          <w:color w:val="000000"/>
          <w:kern w:val="0"/>
          <w:sz w:val="32"/>
          <w:szCs w:val="32"/>
          <w:highlight w:val="none"/>
          <w:shd w:val="clear" w:color="auto" w:fill="FFFFFF"/>
          <w:lang w:val="zh-CN"/>
        </w:rPr>
        <w:t>附表</w:t>
      </w:r>
    </w:p>
    <w:p w14:paraId="3140E6B2">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6"/>
        <w:tblW w:w="10819" w:type="dxa"/>
        <w:jc w:val="center"/>
        <w:tblLayout w:type="fixed"/>
        <w:tblCellMar>
          <w:top w:w="0" w:type="dxa"/>
          <w:left w:w="108" w:type="dxa"/>
          <w:bottom w:w="0" w:type="dxa"/>
          <w:right w:w="108" w:type="dxa"/>
        </w:tblCellMar>
      </w:tblPr>
      <w:tblGrid>
        <w:gridCol w:w="1252"/>
        <w:gridCol w:w="1214"/>
        <w:gridCol w:w="1665"/>
        <w:gridCol w:w="720"/>
        <w:gridCol w:w="4734"/>
        <w:gridCol w:w="756"/>
        <w:gridCol w:w="478"/>
      </w:tblGrid>
      <w:tr w14:paraId="7E14B751">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1E089">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C03D">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22D56EB6">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4C0D8702">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14:paraId="6F947BFD">
        <w:tblPrEx>
          <w:tblCellMar>
            <w:top w:w="0" w:type="dxa"/>
            <w:left w:w="108" w:type="dxa"/>
            <w:bottom w:w="0" w:type="dxa"/>
            <w:right w:w="108" w:type="dxa"/>
          </w:tblCellMar>
        </w:tblPrEx>
        <w:trPr>
          <w:trHeight w:val="23" w:hRule="atLeast"/>
          <w:jc w:val="center"/>
        </w:trPr>
        <w:tc>
          <w:tcPr>
            <w:tcW w:w="1252" w:type="dxa"/>
            <w:tcBorders>
              <w:top w:val="single" w:color="000000" w:sz="4" w:space="0"/>
              <w:left w:val="single" w:color="000000" w:sz="4" w:space="0"/>
              <w:bottom w:val="single" w:color="000000" w:sz="4" w:space="0"/>
              <w:right w:val="nil"/>
            </w:tcBorders>
            <w:shd w:val="clear" w:color="auto" w:fill="auto"/>
            <w:vAlign w:val="center"/>
          </w:tcPr>
          <w:p w14:paraId="70D67DA4">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882">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027">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C13">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9808">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5C4C4451">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4413F794">
            <w:pPr>
              <w:widowControl/>
              <w:spacing w:line="240" w:lineRule="exact"/>
              <w:jc w:val="center"/>
              <w:rPr>
                <w:rFonts w:ascii="黑体" w:hAnsi="宋体" w:eastAsia="黑体" w:cs="黑体"/>
                <w:color w:val="000000"/>
                <w:sz w:val="24"/>
              </w:rPr>
            </w:pPr>
          </w:p>
        </w:tc>
      </w:tr>
      <w:tr w14:paraId="1DE8B276">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B4B8">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总体绩效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817">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履职效能</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BF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5BDBD4F5">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86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23F">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CECB">
            <w:pPr>
              <w:widowControl/>
              <w:spacing w:line="240" w:lineRule="exact"/>
              <w:jc w:val="left"/>
              <w:textAlignment w:val="center"/>
              <w:rPr>
                <w:rFonts w:ascii="宋体" w:hAnsi="宋体" w:eastAsia="宋体" w:cs="宋体"/>
                <w:color w:val="000000"/>
                <w:kern w:val="0"/>
                <w:sz w:val="21"/>
                <w:szCs w:val="21"/>
                <w:lang w:bidi="ar"/>
              </w:rPr>
            </w:pPr>
          </w:p>
        </w:tc>
      </w:tr>
      <w:tr w14:paraId="3DF6B8FB">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45C7">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21905">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预算管理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80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14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B5B">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209">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ACD">
            <w:pPr>
              <w:widowControl/>
              <w:spacing w:line="240" w:lineRule="exact"/>
              <w:jc w:val="left"/>
              <w:textAlignment w:val="center"/>
              <w:rPr>
                <w:rFonts w:ascii="宋体" w:hAnsi="宋体" w:eastAsia="宋体" w:cs="宋体"/>
                <w:color w:val="000000"/>
                <w:kern w:val="0"/>
                <w:sz w:val="21"/>
                <w:szCs w:val="21"/>
                <w:lang w:bidi="ar"/>
              </w:rPr>
            </w:pPr>
          </w:p>
        </w:tc>
      </w:tr>
      <w:tr w14:paraId="1FE780FF">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1646">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8A6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F6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75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5CB">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0A8">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D6E">
            <w:pPr>
              <w:widowControl/>
              <w:spacing w:line="240" w:lineRule="exact"/>
              <w:jc w:val="left"/>
              <w:textAlignment w:val="center"/>
              <w:rPr>
                <w:rFonts w:ascii="宋体" w:hAnsi="宋体" w:eastAsia="宋体" w:cs="宋体"/>
                <w:color w:val="000000"/>
                <w:kern w:val="0"/>
                <w:sz w:val="21"/>
                <w:szCs w:val="21"/>
                <w:lang w:bidi="ar"/>
              </w:rPr>
            </w:pPr>
          </w:p>
        </w:tc>
      </w:tr>
      <w:tr w14:paraId="0C1DBCA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2C9A">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210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D1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9F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F0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B7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EA8">
            <w:pPr>
              <w:widowControl/>
              <w:spacing w:line="240" w:lineRule="exact"/>
              <w:jc w:val="left"/>
              <w:textAlignment w:val="center"/>
              <w:rPr>
                <w:rFonts w:ascii="宋体" w:hAnsi="宋体" w:eastAsia="宋体" w:cs="宋体"/>
                <w:color w:val="000000"/>
                <w:kern w:val="0"/>
                <w:sz w:val="21"/>
                <w:szCs w:val="21"/>
                <w:lang w:bidi="ar"/>
              </w:rPr>
            </w:pPr>
          </w:p>
        </w:tc>
      </w:tr>
      <w:tr w14:paraId="25391CB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87E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D46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E6E">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B93">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14D">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9A6">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3C3">
            <w:pPr>
              <w:widowControl/>
              <w:spacing w:line="240" w:lineRule="exact"/>
              <w:jc w:val="left"/>
              <w:textAlignment w:val="center"/>
              <w:rPr>
                <w:rFonts w:ascii="宋体" w:hAnsi="宋体" w:eastAsia="宋体" w:cs="宋体"/>
                <w:color w:val="000000"/>
                <w:kern w:val="0"/>
                <w:sz w:val="21"/>
                <w:szCs w:val="21"/>
                <w:lang w:bidi="ar"/>
              </w:rPr>
            </w:pPr>
          </w:p>
        </w:tc>
      </w:tr>
      <w:tr w14:paraId="4F45D75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3B6E">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6029">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75E">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3C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3B51">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FD64">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5811">
            <w:pPr>
              <w:widowControl/>
              <w:spacing w:line="240" w:lineRule="exact"/>
              <w:jc w:val="left"/>
              <w:textAlignment w:val="center"/>
              <w:rPr>
                <w:rFonts w:ascii="宋体" w:hAnsi="宋体" w:eastAsia="宋体" w:cs="宋体"/>
                <w:color w:val="000000"/>
                <w:kern w:val="0"/>
                <w:sz w:val="21"/>
                <w:szCs w:val="21"/>
                <w:lang w:bidi="ar"/>
              </w:rPr>
            </w:pPr>
          </w:p>
        </w:tc>
      </w:tr>
      <w:tr w14:paraId="04665662">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9CA9">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DC56A">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财务管理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6CC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44F">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2591">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2D2">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221">
            <w:pPr>
              <w:widowControl/>
              <w:spacing w:line="240" w:lineRule="exact"/>
              <w:jc w:val="left"/>
              <w:textAlignment w:val="center"/>
              <w:rPr>
                <w:rFonts w:ascii="宋体" w:hAnsi="宋体" w:eastAsia="宋体" w:cs="宋体"/>
                <w:color w:val="000000"/>
                <w:kern w:val="0"/>
                <w:sz w:val="21"/>
                <w:szCs w:val="21"/>
                <w:lang w:bidi="ar"/>
              </w:rPr>
            </w:pPr>
          </w:p>
        </w:tc>
      </w:tr>
      <w:tr w14:paraId="5C0589F3">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925D">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985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2E7">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48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03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43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7CC0">
            <w:pPr>
              <w:widowControl/>
              <w:spacing w:line="240" w:lineRule="exact"/>
              <w:jc w:val="left"/>
              <w:textAlignment w:val="center"/>
              <w:rPr>
                <w:rFonts w:ascii="宋体" w:hAnsi="宋体" w:eastAsia="宋体" w:cs="宋体"/>
                <w:color w:val="000000"/>
                <w:kern w:val="0"/>
                <w:sz w:val="21"/>
                <w:szCs w:val="21"/>
                <w:lang w:bidi="ar"/>
              </w:rPr>
            </w:pPr>
          </w:p>
        </w:tc>
      </w:tr>
      <w:tr w14:paraId="17FEAD6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F610">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400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FA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40C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998">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1C1">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7C0">
            <w:pPr>
              <w:widowControl/>
              <w:spacing w:line="240" w:lineRule="exact"/>
              <w:jc w:val="left"/>
              <w:textAlignment w:val="center"/>
              <w:rPr>
                <w:rFonts w:ascii="宋体" w:hAnsi="宋体" w:eastAsia="宋体" w:cs="宋体"/>
                <w:color w:val="000000"/>
                <w:kern w:val="0"/>
                <w:sz w:val="21"/>
                <w:szCs w:val="21"/>
                <w:lang w:bidi="ar"/>
              </w:rPr>
            </w:pPr>
          </w:p>
        </w:tc>
      </w:tr>
      <w:tr w14:paraId="7644BE0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3ED0">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3136">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资产管理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499">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E04">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6FF">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FE00">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584">
            <w:pPr>
              <w:widowControl/>
              <w:spacing w:line="240" w:lineRule="exact"/>
              <w:jc w:val="left"/>
              <w:textAlignment w:val="center"/>
              <w:rPr>
                <w:rFonts w:ascii="宋体" w:hAnsi="宋体" w:eastAsia="宋体" w:cs="宋体"/>
                <w:color w:val="000000"/>
                <w:kern w:val="0"/>
                <w:sz w:val="21"/>
                <w:szCs w:val="21"/>
                <w:lang w:bidi="ar"/>
              </w:rPr>
            </w:pPr>
          </w:p>
        </w:tc>
      </w:tr>
      <w:tr w14:paraId="04D8A7D3">
        <w:tblPrEx>
          <w:tblCellMar>
            <w:top w:w="0" w:type="dxa"/>
            <w:left w:w="108" w:type="dxa"/>
            <w:bottom w:w="0" w:type="dxa"/>
            <w:right w:w="108" w:type="dxa"/>
          </w:tblCellMar>
        </w:tblPrEx>
        <w:trPr>
          <w:trHeight w:val="202"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A07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BB4D">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5300">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D8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35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94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F1F4">
            <w:pPr>
              <w:widowControl/>
              <w:spacing w:line="240" w:lineRule="exact"/>
              <w:jc w:val="left"/>
              <w:textAlignment w:val="center"/>
              <w:rPr>
                <w:rFonts w:ascii="宋体" w:hAnsi="宋体" w:eastAsia="宋体" w:cs="宋体"/>
                <w:color w:val="000000"/>
                <w:kern w:val="0"/>
                <w:sz w:val="21"/>
                <w:szCs w:val="21"/>
                <w:lang w:bidi="ar"/>
              </w:rPr>
            </w:pPr>
          </w:p>
        </w:tc>
      </w:tr>
      <w:tr w14:paraId="4C6BD0F5">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4522C">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总体绩效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C64">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资产管理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BA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88D3">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859">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A11">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68A9">
            <w:pPr>
              <w:widowControl/>
              <w:spacing w:line="240" w:lineRule="exact"/>
              <w:jc w:val="left"/>
              <w:textAlignment w:val="center"/>
              <w:rPr>
                <w:rFonts w:ascii="宋体" w:hAnsi="宋体" w:eastAsia="宋体" w:cs="宋体"/>
                <w:color w:val="000000"/>
                <w:kern w:val="0"/>
                <w:sz w:val="21"/>
                <w:szCs w:val="21"/>
                <w:lang w:bidi="ar"/>
              </w:rPr>
            </w:pPr>
          </w:p>
        </w:tc>
      </w:tr>
      <w:tr w14:paraId="61D5C3C7">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EC7E">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D09BE">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采购管理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56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4B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34A">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9AF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18A9">
            <w:pPr>
              <w:widowControl/>
              <w:spacing w:line="240" w:lineRule="exact"/>
              <w:jc w:val="left"/>
              <w:textAlignment w:val="center"/>
              <w:rPr>
                <w:rFonts w:ascii="宋体" w:hAnsi="宋体" w:eastAsia="宋体" w:cs="宋体"/>
                <w:color w:val="000000"/>
                <w:kern w:val="0"/>
                <w:sz w:val="21"/>
                <w:szCs w:val="21"/>
                <w:lang w:bidi="ar"/>
              </w:rPr>
            </w:pPr>
          </w:p>
        </w:tc>
      </w:tr>
      <w:tr w14:paraId="60B7E60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CB0C">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80DD">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CEF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A8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8B9">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095">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6C9A">
            <w:pPr>
              <w:widowControl/>
              <w:spacing w:line="240" w:lineRule="exact"/>
              <w:jc w:val="left"/>
              <w:textAlignment w:val="center"/>
              <w:rPr>
                <w:rFonts w:ascii="宋体" w:hAnsi="宋体" w:eastAsia="宋体" w:cs="宋体"/>
                <w:color w:val="000000"/>
                <w:kern w:val="0"/>
                <w:sz w:val="21"/>
                <w:szCs w:val="21"/>
                <w:lang w:bidi="ar"/>
              </w:rPr>
            </w:pPr>
          </w:p>
        </w:tc>
      </w:tr>
      <w:tr w14:paraId="1D21EF90">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2FF93">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（35分）</w:t>
            </w: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14:paraId="23D2AB05">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项目决策</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B92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D2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0B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3C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39E">
            <w:pPr>
              <w:widowControl/>
              <w:spacing w:line="240" w:lineRule="exact"/>
              <w:jc w:val="left"/>
              <w:textAlignment w:val="center"/>
              <w:rPr>
                <w:rFonts w:ascii="宋体" w:hAnsi="宋体" w:eastAsia="宋体" w:cs="宋体"/>
                <w:color w:val="000000"/>
                <w:kern w:val="0"/>
                <w:sz w:val="21"/>
                <w:szCs w:val="21"/>
                <w:lang w:bidi="ar"/>
              </w:rPr>
            </w:pPr>
          </w:p>
        </w:tc>
      </w:tr>
      <w:tr w14:paraId="16FBBB30">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5A57">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1825146F">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E1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7460">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CA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C7F">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4E1">
            <w:pPr>
              <w:widowControl/>
              <w:spacing w:line="240" w:lineRule="exact"/>
              <w:jc w:val="left"/>
              <w:textAlignment w:val="center"/>
              <w:rPr>
                <w:rFonts w:ascii="宋体" w:hAnsi="宋体" w:eastAsia="宋体" w:cs="宋体"/>
                <w:color w:val="000000"/>
                <w:kern w:val="0"/>
                <w:sz w:val="21"/>
                <w:szCs w:val="21"/>
                <w:lang w:bidi="ar"/>
              </w:rPr>
            </w:pPr>
          </w:p>
        </w:tc>
      </w:tr>
      <w:tr w14:paraId="75D6FEF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E92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75E6E791">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BB85">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585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C02">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DDC">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F520">
            <w:pPr>
              <w:widowControl/>
              <w:spacing w:line="240" w:lineRule="exact"/>
              <w:jc w:val="left"/>
              <w:textAlignment w:val="center"/>
              <w:rPr>
                <w:rFonts w:ascii="宋体" w:hAnsi="宋体" w:eastAsia="宋体" w:cs="宋体"/>
                <w:color w:val="000000"/>
                <w:kern w:val="0"/>
                <w:sz w:val="21"/>
                <w:szCs w:val="21"/>
                <w:lang w:bidi="ar"/>
              </w:rPr>
            </w:pPr>
          </w:p>
        </w:tc>
      </w:tr>
      <w:tr w14:paraId="2AD4FBC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6BCA">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14:paraId="120145AF">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项目执行</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7AA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3F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AC7">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8EC8">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859">
            <w:pPr>
              <w:widowControl/>
              <w:spacing w:line="240" w:lineRule="exact"/>
              <w:jc w:val="left"/>
              <w:textAlignment w:val="center"/>
              <w:rPr>
                <w:rFonts w:ascii="宋体" w:hAnsi="宋体" w:eastAsia="宋体" w:cs="宋体"/>
                <w:color w:val="000000"/>
                <w:kern w:val="0"/>
                <w:sz w:val="21"/>
                <w:szCs w:val="21"/>
                <w:lang w:bidi="ar"/>
              </w:rPr>
            </w:pPr>
          </w:p>
        </w:tc>
      </w:tr>
      <w:tr w14:paraId="27F060D7">
        <w:tblPrEx>
          <w:tblCellMar>
            <w:top w:w="0" w:type="dxa"/>
            <w:left w:w="108" w:type="dxa"/>
            <w:bottom w:w="0" w:type="dxa"/>
            <w:right w:w="108" w:type="dxa"/>
          </w:tblCellMar>
        </w:tblPrEx>
        <w:trPr>
          <w:trHeight w:val="51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0A4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091FFF34">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031DC1B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D7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66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7B2">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860">
            <w:pPr>
              <w:widowControl/>
              <w:spacing w:line="240" w:lineRule="exact"/>
              <w:jc w:val="left"/>
              <w:textAlignment w:val="center"/>
              <w:rPr>
                <w:rFonts w:ascii="宋体" w:hAnsi="宋体" w:eastAsia="宋体" w:cs="宋体"/>
                <w:color w:val="000000"/>
                <w:kern w:val="0"/>
                <w:sz w:val="21"/>
                <w:szCs w:val="21"/>
                <w:lang w:bidi="ar"/>
              </w:rPr>
            </w:pPr>
          </w:p>
        </w:tc>
      </w:tr>
      <w:tr w14:paraId="70D58ABD">
        <w:tblPrEx>
          <w:tblCellMar>
            <w:top w:w="0" w:type="dxa"/>
            <w:left w:w="108" w:type="dxa"/>
            <w:bottom w:w="0" w:type="dxa"/>
            <w:right w:w="108" w:type="dxa"/>
          </w:tblCellMar>
        </w:tblPrEx>
        <w:trPr>
          <w:trHeight w:val="249"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6E77">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3FEEB246">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3A5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6D7">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008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17A">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64B3">
            <w:pPr>
              <w:widowControl/>
              <w:spacing w:line="240" w:lineRule="exact"/>
              <w:jc w:val="left"/>
              <w:textAlignment w:val="center"/>
              <w:rPr>
                <w:rFonts w:ascii="宋体" w:hAnsi="宋体" w:eastAsia="宋体" w:cs="宋体"/>
                <w:color w:val="000000"/>
                <w:kern w:val="0"/>
                <w:sz w:val="21"/>
                <w:szCs w:val="21"/>
                <w:lang w:bidi="ar"/>
              </w:rPr>
            </w:pPr>
          </w:p>
        </w:tc>
      </w:tr>
      <w:tr w14:paraId="132F879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BDD5">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480F">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目标实现</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4E9">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4B3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35C2">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DB9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204">
            <w:pPr>
              <w:widowControl/>
              <w:spacing w:line="240" w:lineRule="exact"/>
              <w:jc w:val="left"/>
              <w:textAlignment w:val="center"/>
              <w:rPr>
                <w:rFonts w:ascii="宋体" w:hAnsi="宋体" w:eastAsia="宋体" w:cs="宋体"/>
                <w:color w:val="000000"/>
                <w:kern w:val="0"/>
                <w:sz w:val="21"/>
                <w:szCs w:val="21"/>
                <w:lang w:bidi="ar"/>
              </w:rPr>
            </w:pPr>
          </w:p>
        </w:tc>
      </w:tr>
      <w:tr w14:paraId="0A8D7228">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7BF8">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3D1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83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73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290F">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B7EC">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D4E8">
            <w:pPr>
              <w:widowControl/>
              <w:spacing w:line="240" w:lineRule="exact"/>
              <w:jc w:val="left"/>
              <w:textAlignment w:val="center"/>
              <w:rPr>
                <w:rFonts w:ascii="宋体" w:hAnsi="宋体" w:eastAsia="宋体" w:cs="宋体"/>
                <w:color w:val="000000"/>
                <w:kern w:val="0"/>
                <w:sz w:val="21"/>
                <w:szCs w:val="21"/>
                <w:lang w:bidi="ar"/>
              </w:rPr>
            </w:pPr>
          </w:p>
        </w:tc>
      </w:tr>
      <w:tr w14:paraId="5A235E80">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62A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15C7">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66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539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B5B0">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AD0">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A6E">
            <w:pPr>
              <w:widowControl/>
              <w:spacing w:line="240" w:lineRule="exact"/>
              <w:jc w:val="left"/>
              <w:textAlignment w:val="center"/>
              <w:rPr>
                <w:rFonts w:ascii="宋体" w:hAnsi="宋体" w:eastAsia="宋体" w:cs="宋体"/>
                <w:color w:val="000000"/>
                <w:kern w:val="0"/>
                <w:sz w:val="21"/>
                <w:szCs w:val="21"/>
                <w:lang w:bidi="ar"/>
              </w:rPr>
            </w:pPr>
          </w:p>
        </w:tc>
      </w:tr>
      <w:tr w14:paraId="00CD7B04">
        <w:tblPrEx>
          <w:tblCellMar>
            <w:top w:w="0" w:type="dxa"/>
            <w:left w:w="108" w:type="dxa"/>
            <w:bottom w:w="0" w:type="dxa"/>
            <w:right w:w="108" w:type="dxa"/>
          </w:tblCellMar>
        </w:tblPrEx>
        <w:trPr>
          <w:trHeight w:val="47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0E0">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扣分项</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（10分）</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50D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21B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6B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B232">
            <w:pPr>
              <w:widowControl/>
              <w:spacing w:line="240" w:lineRule="exact"/>
              <w:jc w:val="left"/>
              <w:textAlignment w:val="center"/>
              <w:rPr>
                <w:rFonts w:ascii="宋体" w:hAnsi="宋体" w:eastAsia="宋体" w:cs="宋体"/>
                <w:color w:val="000000"/>
                <w:kern w:val="0"/>
                <w:sz w:val="21"/>
                <w:szCs w:val="21"/>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A1C">
            <w:pPr>
              <w:widowControl/>
              <w:spacing w:line="240" w:lineRule="exact"/>
              <w:jc w:val="left"/>
              <w:textAlignment w:val="center"/>
              <w:rPr>
                <w:rFonts w:ascii="宋体" w:hAnsi="宋体" w:eastAsia="宋体" w:cs="宋体"/>
                <w:color w:val="000000"/>
                <w:kern w:val="0"/>
                <w:sz w:val="21"/>
                <w:szCs w:val="21"/>
                <w:lang w:bidi="ar"/>
              </w:rPr>
            </w:pPr>
          </w:p>
        </w:tc>
      </w:tr>
      <w:tr w14:paraId="5EDC6757">
        <w:tblPrEx>
          <w:tblCellMar>
            <w:top w:w="0" w:type="dxa"/>
            <w:left w:w="108" w:type="dxa"/>
            <w:bottom w:w="0" w:type="dxa"/>
            <w:right w:w="108" w:type="dxa"/>
          </w:tblCellMar>
        </w:tblPrEx>
        <w:trPr>
          <w:trHeight w:val="69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E0B">
            <w:pPr>
              <w:widowControl/>
              <w:spacing w:line="240" w:lineRule="exact"/>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cs="宋体"/>
                <w:b/>
                <w:color w:val="000000"/>
                <w:kern w:val="0"/>
                <w:sz w:val="21"/>
                <w:szCs w:val="21"/>
                <w:lang w:val="en-US" w:eastAsia="zh-CN" w:bidi="ar"/>
              </w:rPr>
              <w:t>合计</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AF127">
            <w:pPr>
              <w:widowControl/>
              <w:spacing w:line="240" w:lineRule="exact"/>
              <w:jc w:val="center"/>
              <w:textAlignment w:val="center"/>
              <w:rPr>
                <w:rFonts w:hint="eastAsia" w:ascii="宋体" w:hAnsi="宋体" w:eastAsia="宋体" w:cs="宋体"/>
                <w:color w:val="000000"/>
                <w:kern w:val="0"/>
                <w:sz w:val="21"/>
                <w:szCs w:val="21"/>
                <w:lang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A7B">
            <w:pPr>
              <w:widowControl/>
              <w:spacing w:line="240" w:lineRule="exact"/>
              <w:jc w:val="center"/>
              <w:textAlignment w:val="center"/>
              <w:rPr>
                <w:rFonts w:hint="eastAsia" w:ascii="宋体" w:hAnsi="宋体" w:eastAsia="宋体" w:cs="宋体"/>
                <w:color w:val="000000"/>
                <w:kern w:val="0"/>
                <w:sz w:val="21"/>
                <w:szCs w:val="21"/>
                <w:lang w:bidi="ar"/>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57C">
            <w:pPr>
              <w:widowControl/>
              <w:spacing w:line="240" w:lineRule="exact"/>
              <w:jc w:val="left"/>
              <w:textAlignment w:val="center"/>
              <w:rPr>
                <w:rFonts w:hint="eastAsia" w:ascii="宋体" w:hAnsi="宋体" w:eastAsia="宋体" w:cs="宋体"/>
                <w:color w:val="000000"/>
                <w:kern w:val="0"/>
                <w:sz w:val="21"/>
                <w:szCs w:val="21"/>
                <w:lang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C37">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5E9F">
            <w:pPr>
              <w:widowControl/>
              <w:spacing w:line="240" w:lineRule="exact"/>
              <w:jc w:val="left"/>
              <w:textAlignment w:val="center"/>
              <w:rPr>
                <w:rFonts w:ascii="宋体" w:hAnsi="宋体" w:eastAsia="宋体" w:cs="宋体"/>
                <w:color w:val="000000"/>
                <w:kern w:val="0"/>
                <w:sz w:val="21"/>
                <w:szCs w:val="21"/>
                <w:lang w:bidi="ar"/>
              </w:rPr>
            </w:pPr>
          </w:p>
        </w:tc>
      </w:tr>
    </w:tbl>
    <w:p w14:paraId="6094C1C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b w:val="0"/>
          <w:bCs w:val="0"/>
          <w:kern w:val="2"/>
          <w:sz w:val="32"/>
          <w:szCs w:val="32"/>
          <w:u w:val="none"/>
          <w:lang w:val="zh-CN" w:eastAsia="zh-CN" w:bidi="ar"/>
        </w:rPr>
      </w:pPr>
      <w:r>
        <w:rPr>
          <w:rFonts w:hint="eastAsia" w:ascii="黑体" w:hAnsi="黑体" w:eastAsia="黑体" w:cs="黑体"/>
          <w:b w:val="0"/>
          <w:bCs w:val="0"/>
          <w:kern w:val="2"/>
          <w:sz w:val="32"/>
          <w:szCs w:val="32"/>
          <w:u w:val="none"/>
          <w:lang w:val="zh-CN" w:eastAsia="zh-CN" w:bidi="ar"/>
        </w:rPr>
        <w:t>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270"/>
        <w:gridCol w:w="975"/>
        <w:gridCol w:w="1289"/>
        <w:gridCol w:w="1058"/>
        <w:gridCol w:w="926"/>
        <w:gridCol w:w="1114"/>
      </w:tblGrid>
      <w:tr w14:paraId="73639F3A">
        <w:tblPrEx>
          <w:tblCellMar>
            <w:top w:w="15" w:type="dxa"/>
            <w:left w:w="15" w:type="dxa"/>
            <w:bottom w:w="15" w:type="dxa"/>
            <w:right w:w="15" w:type="dxa"/>
          </w:tblCellMar>
        </w:tblPrEx>
        <w:trPr>
          <w:trHeight w:val="762" w:hRule="exact"/>
          <w:jc w:val="center"/>
        </w:trPr>
        <w:tc>
          <w:tcPr>
            <w:tcW w:w="10560" w:type="dxa"/>
            <w:gridSpan w:val="9"/>
            <w:noWrap w:val="0"/>
            <w:vAlign w:val="center"/>
          </w:tcPr>
          <w:p w14:paraId="6967B49D">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00E9577A">
        <w:tblPrEx>
          <w:tblCellMar>
            <w:top w:w="15" w:type="dxa"/>
            <w:left w:w="15" w:type="dxa"/>
            <w:bottom w:w="15" w:type="dxa"/>
            <w:right w:w="15" w:type="dxa"/>
          </w:tblCellMar>
        </w:tblPrEx>
        <w:trPr>
          <w:trHeight w:val="23" w:hRule="atLeast"/>
          <w:jc w:val="center"/>
        </w:trPr>
        <w:tc>
          <w:tcPr>
            <w:tcW w:w="10560" w:type="dxa"/>
            <w:gridSpan w:val="9"/>
            <w:noWrap w:val="0"/>
            <w:vAlign w:val="center"/>
          </w:tcPr>
          <w:p w14:paraId="2C373A7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w:t>
            </w:r>
            <w:r>
              <w:rPr>
                <w:rFonts w:hint="eastAsia" w:ascii="仿宋_GB2312" w:hAnsi="仿宋_GB2312" w:eastAsia="仿宋_GB2312" w:cs="仿宋_GB2312"/>
                <w:color w:val="000000"/>
                <w:kern w:val="0"/>
                <w:sz w:val="28"/>
                <w:szCs w:val="28"/>
                <w:lang w:val="en-US" w:eastAsia="zh-CN" w:bidi="ar"/>
              </w:rPr>
              <w:t>4</w:t>
            </w:r>
            <w:r>
              <w:rPr>
                <w:rFonts w:hint="eastAsia" w:ascii="仿宋_GB2312" w:hAnsi="仿宋_GB2312" w:eastAsia="仿宋_GB2312" w:cs="仿宋_GB2312"/>
                <w:color w:val="000000"/>
                <w:kern w:val="0"/>
                <w:sz w:val="28"/>
                <w:szCs w:val="28"/>
                <w:lang w:bidi="ar"/>
              </w:rPr>
              <w:t>年度）</w:t>
            </w:r>
          </w:p>
        </w:tc>
      </w:tr>
      <w:tr w14:paraId="606E33A0">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noWrap w:val="0"/>
            <w:vAlign w:val="center"/>
          </w:tcPr>
          <w:p w14:paraId="259471C1">
            <w:pPr>
              <w:keepNext w:val="0"/>
              <w:keepLines w:val="0"/>
              <w:pageBreakBefore w:val="0"/>
              <w:widowControl/>
              <w:kinsoku/>
              <w:wordWrap/>
              <w:overflowPunct/>
              <w:topLinePunct w:val="0"/>
              <w:autoSpaceDE/>
              <w:autoSpaceDN/>
              <w:bidi w:val="0"/>
              <w:adjustRightInd/>
              <w:snapToGrid/>
              <w:spacing w:line="260" w:lineRule="exact"/>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单位：万元</w:t>
            </w:r>
          </w:p>
        </w:tc>
      </w:tr>
      <w:tr w14:paraId="34BEB331">
        <w:tblPrEx>
          <w:tblCellMar>
            <w:top w:w="15" w:type="dxa"/>
            <w:left w:w="15" w:type="dxa"/>
            <w:bottom w:w="15" w:type="dxa"/>
            <w:right w:w="15" w:type="dxa"/>
          </w:tblCellMar>
        </w:tblPrEx>
        <w:trPr>
          <w:trHeight w:val="245"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135A1D5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7A47109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eastAsia="zh-CN" w:bidi="ar"/>
              </w:rPr>
              <w:t>茂县沟口镇人民政府</w:t>
            </w:r>
          </w:p>
        </w:tc>
      </w:tr>
      <w:tr w14:paraId="0C15977B">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F9C4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653A5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563CD0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1E07A8D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r>
      <w:tr w14:paraId="58CECE33">
        <w:tblPrEx>
          <w:tblCellMar>
            <w:top w:w="15" w:type="dxa"/>
            <w:left w:w="15" w:type="dxa"/>
            <w:bottom w:w="15" w:type="dxa"/>
            <w:right w:w="15" w:type="dxa"/>
          </w:tblCellMar>
        </w:tblPrEx>
        <w:trPr>
          <w:trHeight w:val="329"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F40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1F3C52A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bidi="ar"/>
              </w:rPr>
              <w:t>1793.31</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2A449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en-US" w:eastAsia="zh-CN" w:bidi="ar"/>
              </w:rPr>
              <w:t>1793.31</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2BE6419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bidi="ar"/>
              </w:rPr>
              <w:t>0</w:t>
            </w:r>
          </w:p>
        </w:tc>
      </w:tr>
      <w:tr w14:paraId="523DB756">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24C91A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年度总体</w:t>
            </w:r>
          </w:p>
          <w:p w14:paraId="7922586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noWrap w:val="0"/>
            <w:vAlign w:val="center"/>
          </w:tcPr>
          <w:p w14:paraId="0AA0305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目标1：贯彻执行上级的各项方针政策，抓好基层党建工作，稳定和完善政府各项决策部署，加强农业基层设施建设，改善农业生产条件，确保各项工作目标任务圆满完成。</w:t>
            </w:r>
          </w:p>
          <w:p w14:paraId="232F692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目标2：抓好</w:t>
            </w:r>
            <w:r>
              <w:rPr>
                <w:rFonts w:hint="eastAsia" w:ascii="仿宋_GB2312" w:hAnsi="仿宋_GB2312" w:eastAsia="仿宋_GB2312" w:cs="仿宋_GB2312"/>
                <w:color w:val="000000"/>
                <w:kern w:val="0"/>
                <w:sz w:val="18"/>
                <w:szCs w:val="18"/>
                <w:lang w:eastAsia="zh-CN" w:bidi="ar"/>
              </w:rPr>
              <w:t>沟口</w:t>
            </w:r>
            <w:r>
              <w:rPr>
                <w:rFonts w:hint="eastAsia" w:ascii="仿宋_GB2312" w:hAnsi="仿宋_GB2312" w:eastAsia="仿宋_GB2312" w:cs="仿宋_GB2312"/>
                <w:color w:val="000000"/>
                <w:kern w:val="0"/>
                <w:sz w:val="18"/>
                <w:szCs w:val="18"/>
                <w:lang w:bidi="ar"/>
              </w:rPr>
              <w:t>镇农业、经济、第三产业的发展、安全生产、经济可持续发展等工作，加强农村各项奖扶政策落实到位。</w:t>
            </w:r>
          </w:p>
          <w:p w14:paraId="5129D16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目标3：抓好</w:t>
            </w:r>
            <w:r>
              <w:rPr>
                <w:rFonts w:hint="eastAsia" w:ascii="仿宋_GB2312" w:hAnsi="仿宋_GB2312" w:eastAsia="仿宋_GB2312" w:cs="仿宋_GB2312"/>
                <w:color w:val="000000"/>
                <w:kern w:val="0"/>
                <w:sz w:val="18"/>
                <w:szCs w:val="18"/>
                <w:lang w:eastAsia="zh-CN" w:bidi="ar"/>
              </w:rPr>
              <w:t>沟口</w:t>
            </w:r>
            <w:r>
              <w:rPr>
                <w:rFonts w:hint="eastAsia" w:ascii="仿宋_GB2312" w:hAnsi="仿宋_GB2312" w:eastAsia="仿宋_GB2312" w:cs="仿宋_GB2312"/>
                <w:color w:val="000000"/>
                <w:kern w:val="0"/>
                <w:sz w:val="18"/>
                <w:szCs w:val="18"/>
                <w:lang w:bidi="ar"/>
              </w:rPr>
              <w:t>镇的行政事业单位和村级财务的管理、集中核算、全面监督，负责农村医疗合作管理、社会养老保险、卫生整治、绿化环保等上级交办的其他各项工作任务。</w:t>
            </w:r>
          </w:p>
          <w:p w14:paraId="26DE622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目标4：严格执行相关政策，保障工资及时发放。</w:t>
            </w:r>
          </w:p>
        </w:tc>
      </w:tr>
      <w:tr w14:paraId="7DDEE3F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DF2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年度主要</w:t>
            </w:r>
          </w:p>
          <w:p w14:paraId="04016C7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0A2E6B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382D28A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主要内容</w:t>
            </w:r>
          </w:p>
        </w:tc>
      </w:tr>
      <w:tr w14:paraId="5C10844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F014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C6E4F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抓好基层党建及脱贫工作</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69023E6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抓好基层党建，稳定和完善政府各项决策部署，加强农业基层设施建设，改善农业生产条件，确保各项工作目标任务圆满完成。</w:t>
            </w:r>
          </w:p>
        </w:tc>
      </w:tr>
      <w:tr w14:paraId="3F63C99F">
        <w:tblPrEx>
          <w:tblCellMar>
            <w:top w:w="15" w:type="dxa"/>
            <w:left w:w="15" w:type="dxa"/>
            <w:bottom w:w="15" w:type="dxa"/>
            <w:right w:w="15" w:type="dxa"/>
          </w:tblCellMar>
        </w:tblPrEx>
        <w:trPr>
          <w:trHeight w:val="85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4AE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D658889">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抓好农村基础设施建设</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341BB6DE">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14:paraId="0C101FEE">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CED6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年度绩效</w:t>
            </w:r>
          </w:p>
          <w:p w14:paraId="06F24A7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1603FAF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C9CBC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7E0EAD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EBD0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绩效指标</w:t>
            </w:r>
          </w:p>
          <w:p w14:paraId="0CC45E2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7791E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D1BE5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35A55B4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75C68B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实际完成</w:t>
            </w:r>
          </w:p>
          <w:p w14:paraId="28DDD34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r>
      <w:tr w14:paraId="558CCF0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F55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restart"/>
            <w:tcBorders>
              <w:top w:val="single" w:color="000000" w:sz="4" w:space="0"/>
              <w:left w:val="single" w:color="000000" w:sz="4" w:space="0"/>
              <w:right w:val="single" w:color="000000" w:sz="4" w:space="0"/>
            </w:tcBorders>
            <w:noWrap w:val="0"/>
            <w:vAlign w:val="center"/>
          </w:tcPr>
          <w:p w14:paraId="703A727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A0487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DA0944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工作成绩突出，质量达标率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F777E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3AF33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69D3A2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73290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4B978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5A23389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286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F365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4F5A4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6670E2F">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落实</w:t>
            </w:r>
            <w:r>
              <w:rPr>
                <w:rFonts w:hint="eastAsia" w:ascii="仿宋_GB2312" w:hAnsi="仿宋_GB2312" w:eastAsia="仿宋_GB2312" w:cs="仿宋_GB2312"/>
                <w:color w:val="000000"/>
                <w:sz w:val="18"/>
                <w:szCs w:val="18"/>
                <w:lang w:eastAsia="zh-CN"/>
              </w:rPr>
              <w:t>沟口</w:t>
            </w:r>
            <w:r>
              <w:rPr>
                <w:rFonts w:hint="eastAsia" w:ascii="仿宋_GB2312" w:hAnsi="仿宋_GB2312" w:eastAsia="仿宋_GB2312" w:cs="仿宋_GB2312"/>
                <w:color w:val="000000"/>
                <w:sz w:val="18"/>
                <w:szCs w:val="18"/>
              </w:rPr>
              <w:t>镇202</w:t>
            </w: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年工作目标完成及时率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75A80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21E8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034B82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年</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98DD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0F7D59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4DC20B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5E2D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A478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73" w:type="dxa"/>
            <w:tcBorders>
              <w:top w:val="single" w:color="000000" w:sz="4" w:space="0"/>
              <w:left w:val="single" w:color="000000" w:sz="4" w:space="0"/>
              <w:right w:val="single" w:color="000000" w:sz="4" w:space="0"/>
            </w:tcBorders>
            <w:noWrap w:val="0"/>
            <w:vAlign w:val="center"/>
          </w:tcPr>
          <w:p w14:paraId="4CF0554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440D776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FB2374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社会效益良好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9E800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4F44050">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优良中低差</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F8C31C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E182E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BCE414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242378B5">
        <w:tblPrEx>
          <w:tblCellMar>
            <w:top w:w="15" w:type="dxa"/>
            <w:left w:w="15" w:type="dxa"/>
            <w:bottom w:w="15" w:type="dxa"/>
            <w:right w:w="15" w:type="dxa"/>
          </w:tblCellMar>
        </w:tblPrEx>
        <w:trPr>
          <w:trHeight w:val="9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B3A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2A12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56659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生态效益指标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EA3DD33">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环境卫生及国土合理管理，有效地促进生态发展</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C3C74CD">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6487F1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进一步保障</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A8D441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52BEE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1159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68B9123">
        <w:tblPrEx>
          <w:tblCellMar>
            <w:top w:w="15" w:type="dxa"/>
            <w:left w:w="15" w:type="dxa"/>
            <w:bottom w:w="15" w:type="dxa"/>
            <w:right w:w="15" w:type="dxa"/>
          </w:tblCellMar>
        </w:tblPrEx>
        <w:trPr>
          <w:trHeight w:val="9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9B4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6ABC07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B004A8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29B06A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能有效控制成本，三公经费控制率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9382C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2E6B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C6EEA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7040F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FF836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E38C37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FBE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8B12D8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D4B4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85C014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收益群众满意度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C6CCA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D5FB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EEE720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F20539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CC650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E60A6F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24770">
            <w:pPr>
              <w:widowControl/>
              <w:spacing w:line="300" w:lineRule="exact"/>
              <w:jc w:val="center"/>
              <w:rPr>
                <w:rFonts w:hint="eastAsia" w:ascii="仿宋_GB2312" w:hAnsi="仿宋_GB2312" w:eastAsia="仿宋_GB2312" w:cs="仿宋_GB2312"/>
                <w:color w:val="000000"/>
                <w:sz w:val="18"/>
                <w:szCs w:val="18"/>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EEC5AE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EB46BD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E282BD0">
            <w:pPr>
              <w:widowControl/>
              <w:spacing w:line="300" w:lineRule="exact"/>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收益群众满意度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38C1EB">
            <w:pPr>
              <w:widowControl/>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5E7E42C">
            <w:pPr>
              <w:widowControl/>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7F9B494">
            <w:pPr>
              <w:widowControl/>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68ECD80">
            <w:pPr>
              <w:widowControl/>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5ABDC03">
            <w:pPr>
              <w:widowControl/>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16DC5B19">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茂县沟口镇人民政府</w:t>
      </w:r>
    </w:p>
    <w:p w14:paraId="5849D3D2">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14:paraId="72AA1167">
      <w:pPr>
        <w:pStyle w:val="35"/>
        <w:spacing w:line="600" w:lineRule="exact"/>
        <w:ind w:firstLine="2570" w:firstLineChars="800"/>
        <w:jc w:val="both"/>
        <w:rPr>
          <w:rFonts w:hint="eastAsia" w:ascii="仿宋_GB2312" w:eastAsia="仿宋_GB2312"/>
          <w:b/>
          <w:bCs/>
          <w:color w:val="auto"/>
          <w:kern w:val="2"/>
          <w:sz w:val="32"/>
          <w:szCs w:val="32"/>
        </w:rPr>
      </w:pPr>
      <w:r>
        <w:rPr>
          <w:rFonts w:hint="eastAsia" w:ascii="仿宋_GB2312" w:eastAsia="仿宋_GB2312"/>
          <w:b/>
          <w:bCs/>
          <w:color w:val="auto"/>
          <w:kern w:val="2"/>
          <w:sz w:val="32"/>
          <w:szCs w:val="32"/>
        </w:rPr>
        <w:t>（茂县沟口大桥桥梁建设）</w:t>
      </w:r>
    </w:p>
    <w:p w14:paraId="32C599DE">
      <w:pPr>
        <w:pStyle w:val="35"/>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14:paraId="3F626E8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0AB05E25">
      <w:pPr>
        <w:widowControl/>
        <w:numPr>
          <w:ilvl w:val="0"/>
          <w:numId w:val="0"/>
        </w:numPr>
        <w:ind w:firstLine="643" w:firstLineChars="200"/>
        <w:jc w:val="left"/>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宋体" w:eastAsia="仿宋_GB2312"/>
          <w:color w:val="auto"/>
          <w:kern w:val="2"/>
          <w:sz w:val="32"/>
          <w:szCs w:val="32"/>
          <w:lang w:val="zh-CN"/>
        </w:rPr>
        <w:t>茂县沟口大桥桥梁建设。新建一座长110米、宽8米大桥，采用10米现浇板+3*30米预制T 梁，引道长约 235 米；</w:t>
      </w:r>
      <w:r>
        <w:rPr>
          <w:rFonts w:hint="eastAsia" w:ascii="仿宋_GB2312" w:hAnsi="宋体"/>
          <w:color w:val="auto"/>
          <w:kern w:val="2"/>
          <w:sz w:val="32"/>
          <w:szCs w:val="32"/>
          <w:lang w:val="zh-CN" w:eastAsia="zh-CN"/>
        </w:rPr>
        <w:t>今年完成支付金额</w:t>
      </w:r>
      <w:r>
        <w:rPr>
          <w:rFonts w:hint="eastAsia" w:ascii="仿宋_GB2312" w:hAnsi="宋体" w:eastAsia="仿宋_GB2312"/>
          <w:color w:val="auto"/>
          <w:kern w:val="2"/>
          <w:sz w:val="32"/>
          <w:szCs w:val="32"/>
          <w:lang w:val="zh-CN"/>
        </w:rPr>
        <w:t>：</w:t>
      </w:r>
      <w:r>
        <w:rPr>
          <w:rFonts w:hint="eastAsia" w:ascii="仿宋_GB2312" w:hAnsi="宋体"/>
          <w:color w:val="auto"/>
          <w:kern w:val="2"/>
          <w:sz w:val="32"/>
          <w:szCs w:val="32"/>
          <w:lang w:val="en-US" w:eastAsia="zh-CN"/>
        </w:rPr>
        <w:t>509.90万</w:t>
      </w:r>
      <w:r>
        <w:rPr>
          <w:rFonts w:hint="eastAsia" w:ascii="仿宋_GB2312" w:hAnsi="宋体" w:eastAsia="仿宋_GB2312"/>
          <w:color w:val="auto"/>
          <w:kern w:val="2"/>
          <w:sz w:val="32"/>
          <w:szCs w:val="32"/>
          <w:lang w:val="zh-CN"/>
        </w:rPr>
        <w:t>元 。</w:t>
      </w:r>
    </w:p>
    <w:p w14:paraId="5F59918B">
      <w:pPr>
        <w:widowControl/>
        <w:numPr>
          <w:ilvl w:val="0"/>
          <w:numId w:val="0"/>
        </w:numPr>
        <w:ind w:firstLine="643" w:firstLineChars="200"/>
        <w:jc w:val="left"/>
        <w:rPr>
          <w:rFonts w:eastAsia="楷体_GB2312"/>
          <w:b/>
          <w:lang w:val="zh-CN"/>
        </w:rPr>
      </w:pPr>
      <w:r>
        <w:rPr>
          <w:rFonts w:hint="eastAsia" w:ascii="Times New Roman" w:hAnsi="Times New Roman" w:eastAsia="楷体_GB2312" w:cs="Times New Roman"/>
          <w:b/>
          <w:color w:val="auto"/>
          <w:sz w:val="32"/>
          <w:szCs w:val="32"/>
          <w:highlight w:val="none"/>
          <w:u w:val="none"/>
          <w:lang w:val="zh-CN"/>
        </w:rPr>
        <w:t>（二）实施目的及支持方向。</w:t>
      </w:r>
      <w:r>
        <w:rPr>
          <w:rFonts w:hint="eastAsia" w:ascii="仿宋_GB2312" w:hAnsi="宋体" w:eastAsia="仿宋_GB2312"/>
          <w:color w:val="auto"/>
          <w:kern w:val="2"/>
          <w:sz w:val="32"/>
          <w:szCs w:val="32"/>
        </w:rPr>
        <w:t>该项目有利于乡村党群事业发展，为实现乡村振兴添砖加瓦，为发展经济提供基础指挥平台，能为茂县社会经济带来更多正面影响。</w:t>
      </w:r>
    </w:p>
    <w:p w14:paraId="615E49F3">
      <w:pPr>
        <w:widowControl/>
        <w:numPr>
          <w:ilvl w:val="0"/>
          <w:numId w:val="0"/>
        </w:numPr>
        <w:ind w:firstLine="643" w:firstLineChars="200"/>
        <w:jc w:val="left"/>
        <w:rPr>
          <w:rFonts w:hint="default" w:ascii="仿宋_GB2312" w:hAnsi="宋体" w:eastAsia="仿宋_GB2312"/>
          <w:color w:val="auto"/>
          <w:kern w:val="2"/>
          <w:sz w:val="32"/>
          <w:szCs w:val="32"/>
          <w:lang w:val="en-US" w:eastAsia="zh-CN"/>
        </w:rPr>
      </w:pPr>
      <w:r>
        <w:rPr>
          <w:rFonts w:hint="eastAsia" w:ascii="Times New Roman" w:hAnsi="Times New Roman" w:eastAsia="楷体_GB2312" w:cs="Times New Roman"/>
          <w:b/>
          <w:color w:val="auto"/>
          <w:sz w:val="32"/>
          <w:szCs w:val="32"/>
          <w:highlight w:val="none"/>
          <w:u w:val="none"/>
          <w:lang w:val="zh-CN"/>
        </w:rPr>
        <w:t>（三）预算安排及分配管理。</w:t>
      </w:r>
      <w:r>
        <w:rPr>
          <w:rFonts w:hint="eastAsia" w:ascii="仿宋_GB2312" w:hAnsi="宋体" w:eastAsia="仿宋_GB2312"/>
          <w:color w:val="auto"/>
          <w:kern w:val="2"/>
          <w:sz w:val="32"/>
          <w:szCs w:val="32"/>
          <w:lang w:val="zh-CN"/>
        </w:rPr>
        <w:t>我镇</w:t>
      </w:r>
      <w:r>
        <w:rPr>
          <w:rFonts w:hint="eastAsia" w:ascii="仿宋_GB2312" w:hAnsi="宋体" w:eastAsia="仿宋_GB2312"/>
          <w:color w:val="auto"/>
          <w:kern w:val="2"/>
          <w:sz w:val="32"/>
          <w:szCs w:val="32"/>
        </w:rPr>
        <w:t>202</w:t>
      </w:r>
      <w:r>
        <w:rPr>
          <w:rFonts w:hint="eastAsia" w:ascii="仿宋_GB2312" w:hAnsi="宋体" w:eastAsia="仿宋_GB2312"/>
          <w:color w:val="auto"/>
          <w:kern w:val="2"/>
          <w:sz w:val="32"/>
          <w:szCs w:val="32"/>
          <w:lang w:val="en-US" w:eastAsia="zh-CN"/>
        </w:rPr>
        <w:t>4</w:t>
      </w:r>
      <w:r>
        <w:rPr>
          <w:rFonts w:hint="eastAsia" w:ascii="仿宋_GB2312" w:hAnsi="宋体" w:eastAsia="仿宋_GB2312"/>
          <w:color w:val="auto"/>
          <w:kern w:val="2"/>
          <w:sz w:val="32"/>
          <w:szCs w:val="32"/>
        </w:rPr>
        <w:t>年</w:t>
      </w:r>
      <w:r>
        <w:rPr>
          <w:rFonts w:hint="eastAsia" w:ascii="仿宋_GB2312" w:hAnsi="宋体" w:eastAsia="仿宋_GB2312"/>
          <w:color w:val="auto"/>
          <w:kern w:val="2"/>
          <w:sz w:val="32"/>
          <w:szCs w:val="32"/>
          <w:lang w:val="zh-CN"/>
        </w:rPr>
        <w:t>收到财政拨款</w:t>
      </w:r>
      <w:r>
        <w:rPr>
          <w:rFonts w:hint="eastAsia" w:ascii="仿宋_GB2312" w:hAnsi="宋体" w:eastAsia="仿宋_GB2312"/>
          <w:color w:val="auto"/>
          <w:kern w:val="2"/>
          <w:sz w:val="32"/>
          <w:szCs w:val="32"/>
          <w:lang w:val="en-US" w:eastAsia="zh-CN"/>
        </w:rPr>
        <w:t>509.90万</w:t>
      </w:r>
      <w:r>
        <w:rPr>
          <w:rFonts w:hint="eastAsia" w:ascii="仿宋_GB2312" w:hAnsi="宋体" w:eastAsia="仿宋_GB2312"/>
          <w:color w:val="auto"/>
          <w:kern w:val="2"/>
          <w:sz w:val="32"/>
          <w:szCs w:val="32"/>
        </w:rPr>
        <w:t>元，</w:t>
      </w:r>
      <w:r>
        <w:rPr>
          <w:rFonts w:hint="eastAsia" w:ascii="仿宋_GB2312" w:hAnsi="宋体" w:eastAsia="仿宋_GB2312"/>
          <w:color w:val="auto"/>
          <w:kern w:val="2"/>
          <w:sz w:val="32"/>
          <w:szCs w:val="32"/>
          <w:lang w:val="zh-CN"/>
        </w:rPr>
        <w:t>资金到位率100%。实际支出</w:t>
      </w:r>
      <w:r>
        <w:rPr>
          <w:rFonts w:hint="eastAsia" w:ascii="仿宋_GB2312" w:hAnsi="宋体" w:eastAsia="仿宋_GB2312"/>
          <w:color w:val="auto"/>
          <w:kern w:val="2"/>
          <w:sz w:val="32"/>
          <w:szCs w:val="32"/>
          <w:lang w:val="en-US" w:eastAsia="zh-CN"/>
        </w:rPr>
        <w:t>509.90万</w:t>
      </w:r>
      <w:r>
        <w:rPr>
          <w:rFonts w:hint="eastAsia" w:ascii="仿宋_GB2312" w:hAnsi="宋体" w:eastAsia="仿宋_GB2312"/>
          <w:color w:val="auto"/>
          <w:kern w:val="2"/>
          <w:sz w:val="32"/>
          <w:szCs w:val="32"/>
          <w:lang w:val="zh-CN"/>
        </w:rPr>
        <w:t>元，支付完成率</w:t>
      </w:r>
      <w:r>
        <w:rPr>
          <w:rFonts w:hint="eastAsia" w:ascii="仿宋_GB2312" w:hAnsi="宋体" w:eastAsia="仿宋_GB2312"/>
          <w:color w:val="auto"/>
          <w:kern w:val="2"/>
          <w:sz w:val="32"/>
          <w:szCs w:val="32"/>
          <w:lang w:val="en-US" w:eastAsia="zh-CN"/>
        </w:rPr>
        <w:t>100%。</w:t>
      </w:r>
    </w:p>
    <w:p w14:paraId="4BAB192B">
      <w:pPr>
        <w:widowControl/>
        <w:numPr>
          <w:ilvl w:val="0"/>
          <w:numId w:val="0"/>
        </w:numPr>
        <w:ind w:firstLine="643" w:firstLineChars="200"/>
        <w:jc w:val="left"/>
        <w:rPr>
          <w:rFonts w:hint="eastAsia" w:ascii="楷体_GB2312" w:hAnsi="宋体" w:eastAsia="楷体_GB2312"/>
          <w:b/>
          <w:lang w:val="zh-CN"/>
        </w:rPr>
      </w:pPr>
      <w:r>
        <w:rPr>
          <w:rFonts w:hint="eastAsia" w:ascii="Times New Roman" w:hAnsi="Times New Roman" w:eastAsia="楷体_GB2312" w:cs="Times New Roman"/>
          <w:b/>
          <w:color w:val="auto"/>
          <w:sz w:val="32"/>
          <w:szCs w:val="32"/>
          <w:highlight w:val="none"/>
          <w:u w:val="none"/>
          <w:lang w:val="zh-CN"/>
        </w:rPr>
        <w:t>（四）项目绩效目标设置。</w:t>
      </w:r>
      <w:r>
        <w:rPr>
          <w:rFonts w:hint="eastAsia" w:ascii="仿宋_GB2312" w:hAnsi="宋体" w:eastAsia="仿宋_GB2312"/>
          <w:color w:val="auto"/>
          <w:kern w:val="2"/>
          <w:sz w:val="32"/>
          <w:szCs w:val="32"/>
          <w:lang w:val="zh-CN"/>
        </w:rPr>
        <w:t>本项目的建设，对加强各村人民直接的经济联系起到了巨大的作用，也为地方经济发展提供了必要的基础设施。有利于各村人民来往，起到了分流的作用，加强各村人民的来往和联系，改善区域人行交通环境。极大缓解周边人民的出行状况，促进社会经济快速发展，对实现城乡统筹协调发展，建设社会主义新农村，实现小康社会有着促进作用。</w:t>
      </w:r>
    </w:p>
    <w:p w14:paraId="31D1C2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9E4432F">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eastAsia" w:ascii="仿宋_GB2312" w:hAnsi="宋体" w:eastAsia="仿宋_GB2312" w:cs="Times New Roman"/>
          <w:color w:val="auto"/>
          <w:kern w:val="2"/>
          <w:sz w:val="32"/>
          <w:szCs w:val="32"/>
          <w:lang w:val="zh-CN"/>
        </w:rPr>
      </w:pPr>
      <w:r>
        <w:rPr>
          <w:rFonts w:hint="eastAsia" w:ascii="Times New Roman" w:hAnsi="Times New Roman" w:eastAsia="楷体_GB2312" w:cs="Times New Roman"/>
          <w:b/>
          <w:color w:val="auto"/>
          <w:sz w:val="32"/>
          <w:szCs w:val="32"/>
          <w:highlight w:val="none"/>
          <w:u w:val="none"/>
          <w:lang w:val="zh-CN"/>
        </w:rPr>
        <w:t>（一）评价目的。</w:t>
      </w:r>
      <w:r>
        <w:rPr>
          <w:rFonts w:hint="eastAsia" w:ascii="仿宋_GB2312" w:hAnsi="宋体" w:eastAsia="仿宋_GB2312" w:cs="Times New Roman"/>
          <w:color w:val="auto"/>
          <w:kern w:val="2"/>
          <w:sz w:val="32"/>
          <w:szCs w:val="32"/>
          <w:lang w:val="zh-CN"/>
        </w:rPr>
        <w:t>通为进一步提升预算管理水平、提高公共服务质量、优化公共资源配置提供决策参考，为以后年度类似项目专项资金安排、政策制度建设、预算绩效的推进提供必要的借鉴。</w:t>
      </w:r>
    </w:p>
    <w:p w14:paraId="1FCF7B8C">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_GB2312" w:hAnsi="宋体" w:eastAsia="仿宋_GB2312" w:cs="Times New Roman"/>
          <w:color w:val="auto"/>
          <w:kern w:val="2"/>
          <w:sz w:val="32"/>
          <w:szCs w:val="32"/>
          <w:lang w:val="zh-CN"/>
        </w:rPr>
      </w:pPr>
      <w:r>
        <w:rPr>
          <w:rFonts w:hint="eastAsia" w:ascii="Times New Roman" w:hAnsi="Times New Roman" w:eastAsia="楷体_GB2312" w:cs="Times New Roman"/>
          <w:b/>
          <w:color w:val="auto"/>
          <w:sz w:val="32"/>
          <w:szCs w:val="32"/>
          <w:highlight w:val="none"/>
          <w:u w:val="none"/>
          <w:lang w:val="zh-CN"/>
        </w:rPr>
        <w:t>（二）预设问题及评价重点。</w:t>
      </w:r>
      <w:r>
        <w:rPr>
          <w:rFonts w:hint="eastAsia" w:ascii="仿宋_GB2312" w:hAnsi="宋体" w:eastAsia="仿宋_GB2312" w:cs="Times New Roman"/>
          <w:color w:val="auto"/>
          <w:kern w:val="2"/>
          <w:sz w:val="32"/>
          <w:szCs w:val="32"/>
          <w:lang w:val="zh-CN" w:eastAsia="zh-CN"/>
        </w:rPr>
        <w:t>重点评价该项目财政专项资金使用的规范性、安全性和有效性及评价项目的社会效益、经济效益、可持续性。</w:t>
      </w:r>
    </w:p>
    <w:p w14:paraId="6773627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Times New Roman" w:hAnsi="Times New Roman" w:eastAsia="楷体_GB2312" w:cs="Times New Roman"/>
          <w:b/>
          <w:color w:val="auto"/>
          <w:sz w:val="32"/>
          <w:szCs w:val="32"/>
          <w:highlight w:val="none"/>
          <w:u w:val="none"/>
          <w:lang w:val="zh-CN"/>
        </w:rPr>
        <w:t>（三）评价选点。</w:t>
      </w:r>
      <w:r>
        <w:rPr>
          <w:rFonts w:hint="eastAsia" w:ascii="仿宋_GB2312" w:hAnsi="仿宋_GB2312" w:eastAsia="仿宋_GB2312" w:cs="仿宋_GB2312"/>
          <w:color w:val="000000"/>
          <w:kern w:val="0"/>
          <w:sz w:val="32"/>
          <w:szCs w:val="32"/>
          <w:shd w:val="clear" w:color="auto" w:fill="FFFFFF"/>
        </w:rPr>
        <w:t>项目资金由镇财政所具体管理，按投资计划，对项目资金按项目单独核算</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实行“专款专用、专人管理”，不得挤占</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挪用项目资金</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指派专人对项目的实施定期或不定期的</w:t>
      </w:r>
      <w:r>
        <w:rPr>
          <w:rFonts w:hint="eastAsia" w:ascii="仿宋_GB2312" w:hAnsi="宋体" w:eastAsia="仿宋_GB2312" w:cs="Times New Roman"/>
          <w:color w:val="auto"/>
          <w:kern w:val="2"/>
          <w:sz w:val="32"/>
          <w:szCs w:val="32"/>
          <w:lang w:val="zh-CN" w:eastAsia="zh-CN"/>
        </w:rPr>
        <w:t>进行现场检查和监督，及时协调解决困难和问题，保证工程质量。</w:t>
      </w:r>
    </w:p>
    <w:p w14:paraId="56B2E641">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_GB2312" w:hAnsi="宋体" w:eastAsia="仿宋_GB2312" w:cs="Times New Roman"/>
          <w:color w:val="auto"/>
          <w:kern w:val="2"/>
          <w:sz w:val="32"/>
          <w:szCs w:val="32"/>
          <w:lang w:val="en-US" w:eastAsia="zh-CN"/>
        </w:rPr>
      </w:pPr>
      <w:r>
        <w:rPr>
          <w:rFonts w:hint="eastAsia" w:ascii="Times New Roman" w:hAnsi="Times New Roman" w:eastAsia="楷体_GB2312" w:cs="Times New Roman"/>
          <w:b/>
          <w:color w:val="auto"/>
          <w:sz w:val="32"/>
          <w:szCs w:val="32"/>
          <w:highlight w:val="none"/>
          <w:u w:val="none"/>
          <w:lang w:val="zh-CN" w:eastAsia="zh-CN"/>
        </w:rPr>
        <w:t>（四）评价方法。</w:t>
      </w:r>
      <w:r>
        <w:rPr>
          <w:rFonts w:hint="eastAsia" w:ascii="仿宋_GB2312" w:hAnsi="宋体" w:eastAsia="仿宋_GB2312" w:cs="Times New Roman"/>
          <w:color w:val="auto"/>
          <w:kern w:val="2"/>
          <w:sz w:val="32"/>
          <w:szCs w:val="32"/>
          <w:lang w:val="zh-CN" w:eastAsia="zh-CN"/>
        </w:rPr>
        <w:t>该项目采用单位自评法。</w:t>
      </w:r>
      <w:r>
        <w:rPr>
          <w:rFonts w:hint="eastAsia" w:ascii="仿宋_GB2312" w:hAnsi="宋体" w:eastAsia="仿宋_GB2312" w:cs="Times New Roman"/>
          <w:color w:val="auto"/>
          <w:kern w:val="2"/>
          <w:sz w:val="32"/>
          <w:szCs w:val="32"/>
          <w:lang w:val="en-US" w:eastAsia="zh-CN"/>
        </w:rPr>
        <w:t xml:space="preserve"> </w:t>
      </w:r>
    </w:p>
    <w:p w14:paraId="6F5713F7">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zh-CN" w:eastAsia="zh-CN"/>
        </w:rPr>
        <w:t>1.前期工作：成立项目绩效自评领导小组，安排专人收集整理相关数据档案、拟定实地核查方案。</w:t>
      </w:r>
    </w:p>
    <w:p w14:paraId="3126DCFF">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zh-CN" w:eastAsia="zh-CN"/>
        </w:rPr>
        <w:t>2.实地核查：自评工作小组，根据评价指标对资金使用情况进行调查核实，沟口镇财经审查办公室对项目资金完善进行自评。</w:t>
      </w:r>
    </w:p>
    <w:p w14:paraId="68B08BE2">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zh-CN" w:eastAsia="zh-CN"/>
        </w:rPr>
        <w:t>3.分析评价：根据自查结果，对绩效评价指标进行全面的分析形成绩效评价报告。</w:t>
      </w:r>
    </w:p>
    <w:p w14:paraId="133850E2">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（五）评价组织。</w:t>
      </w:r>
      <w:r>
        <w:rPr>
          <w:rFonts w:hint="eastAsia" w:ascii="仿宋_GB2312" w:hAnsi="宋体" w:eastAsia="仿宋_GB2312" w:cs="Times New Roman"/>
          <w:color w:val="auto"/>
          <w:kern w:val="2"/>
          <w:sz w:val="32"/>
          <w:szCs w:val="32"/>
          <w:lang w:val="zh-CN" w:eastAsia="zh-CN"/>
        </w:rPr>
        <w:t>成立项目绩效自评领导小组，由分管财务副镇长牵头，沟口镇财经审查办公室、沟口镇各驻村工作组组成自评小组，通过数据分析、实地核查、分析评价形成绩效评价报告。</w:t>
      </w:r>
    </w:p>
    <w:p w14:paraId="3800C64D">
      <w:pPr>
        <w:adjustRightInd w:val="0"/>
        <w:snapToGrid w:val="0"/>
        <w:spacing w:line="580" w:lineRule="exact"/>
        <w:ind w:firstLine="640" w:firstLineChars="200"/>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val="0"/>
          <w:bCs w:val="0"/>
          <w:color w:val="000000"/>
          <w:kern w:val="0"/>
          <w:sz w:val="32"/>
          <w:szCs w:val="32"/>
          <w:shd w:val="clear" w:color="auto" w:fill="FFFFFF"/>
          <w:lang w:val="zh-CN"/>
        </w:rPr>
        <w:t>三、</w:t>
      </w:r>
      <w:r>
        <w:rPr>
          <w:rFonts w:hint="eastAsia" w:ascii="黑体" w:hAnsi="黑体" w:eastAsia="黑体" w:cs="黑体"/>
          <w:b w:val="0"/>
          <w:bCs w:val="0"/>
          <w:color w:val="000000"/>
          <w:kern w:val="0"/>
          <w:sz w:val="32"/>
          <w:szCs w:val="32"/>
          <w:shd w:val="clear" w:color="auto" w:fill="FFFFFF"/>
          <w:lang w:val="zh-CN" w:eastAsia="zh-CN"/>
        </w:rPr>
        <w:t>绩效分析</w:t>
      </w:r>
      <w:r>
        <w:rPr>
          <w:rFonts w:hint="eastAsia" w:ascii="黑体" w:hAnsi="黑体" w:eastAsia="黑体" w:cs="黑体"/>
          <w:b w:val="0"/>
          <w:bCs w:val="0"/>
          <w:color w:val="000000"/>
          <w:kern w:val="0"/>
          <w:sz w:val="32"/>
          <w:szCs w:val="32"/>
          <w:shd w:val="clear" w:color="auto" w:fill="FFFFFF"/>
          <w:lang w:val="zh-CN"/>
        </w:rPr>
        <w:tab/>
      </w:r>
    </w:p>
    <w:p w14:paraId="2610D43B">
      <w:pPr>
        <w:adjustRightInd w:val="0"/>
        <w:snapToGrid w:val="0"/>
        <w:spacing w:line="580" w:lineRule="exact"/>
        <w:ind w:firstLine="643" w:firstLineChars="20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（一）通用指标绩效分析</w:t>
      </w:r>
    </w:p>
    <w:p w14:paraId="41701E1D">
      <w:pPr>
        <w:adjustRightInd w:val="0"/>
        <w:snapToGrid w:val="0"/>
        <w:spacing w:line="58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1.项目决策。茂县</w:t>
      </w:r>
      <w:r>
        <w:rPr>
          <w:rFonts w:hint="eastAsia" w:ascii="仿宋_GB2312" w:hAnsi="仿宋_GB2312" w:eastAsia="仿宋_GB2312" w:cs="仿宋_GB2312"/>
          <w:color w:val="000000"/>
          <w:kern w:val="0"/>
          <w:sz w:val="32"/>
          <w:szCs w:val="32"/>
          <w:shd w:val="clear" w:color="auto" w:fill="FFFFFF"/>
          <w:lang w:val="zh-CN" w:eastAsia="zh-CN"/>
        </w:rPr>
        <w:t>沟口镇</w:t>
      </w:r>
      <w:r>
        <w:rPr>
          <w:rFonts w:hint="eastAsia" w:ascii="仿宋_GB2312" w:hAnsi="仿宋_GB2312" w:eastAsia="仿宋_GB2312" w:cs="仿宋_GB2312"/>
          <w:color w:val="000000"/>
          <w:kern w:val="0"/>
          <w:sz w:val="32"/>
          <w:szCs w:val="32"/>
          <w:shd w:val="clear" w:color="auto" w:fill="FFFFFF"/>
          <w:lang w:val="zh-CN"/>
        </w:rPr>
        <w:t>人民政府负责</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补助资金根据各村人口、幅员面积、地理区位、村集体收入和工作绩效等因素分村确定具体的补助标准，</w:t>
      </w:r>
      <w:r>
        <w:rPr>
          <w:rFonts w:hint="eastAsia" w:ascii="仿宋_GB2312" w:hAnsi="仿宋_GB2312" w:eastAsia="仿宋_GB2312" w:cs="仿宋_GB2312"/>
          <w:color w:val="000000"/>
          <w:kern w:val="0"/>
          <w:sz w:val="32"/>
          <w:szCs w:val="32"/>
          <w:shd w:val="clear" w:color="auto" w:fill="FFFFFF"/>
          <w:lang w:val="zh-CN" w:eastAsia="zh-CN"/>
        </w:rPr>
        <w:t>沟口镇</w:t>
      </w:r>
      <w:r>
        <w:rPr>
          <w:rFonts w:hint="eastAsia" w:ascii="仿宋_GB2312" w:hAnsi="仿宋_GB2312" w:eastAsia="仿宋_GB2312" w:cs="仿宋_GB2312"/>
          <w:color w:val="000000"/>
          <w:kern w:val="0"/>
          <w:sz w:val="32"/>
          <w:szCs w:val="32"/>
          <w:shd w:val="clear" w:color="auto" w:fill="FFFFFF"/>
          <w:lang w:val="zh-CN"/>
        </w:rPr>
        <w:t>驻村工作组对完工内容进行验收，</w:t>
      </w:r>
      <w:r>
        <w:rPr>
          <w:rFonts w:hint="eastAsia" w:ascii="仿宋_GB2312" w:hAnsi="仿宋_GB2312" w:eastAsia="仿宋_GB2312" w:cs="仿宋_GB2312"/>
          <w:color w:val="000000"/>
          <w:kern w:val="0"/>
          <w:sz w:val="32"/>
          <w:szCs w:val="32"/>
          <w:shd w:val="clear" w:color="auto" w:fill="FFFFFF"/>
          <w:lang w:val="zh-CN" w:eastAsia="zh-CN"/>
        </w:rPr>
        <w:t>沟口镇财务室</w:t>
      </w:r>
      <w:r>
        <w:rPr>
          <w:rFonts w:hint="eastAsia" w:ascii="仿宋_GB2312" w:hAnsi="仿宋_GB2312" w:eastAsia="仿宋_GB2312" w:cs="仿宋_GB2312"/>
          <w:color w:val="000000"/>
          <w:kern w:val="0"/>
          <w:sz w:val="32"/>
          <w:szCs w:val="32"/>
          <w:shd w:val="clear" w:color="auto" w:fill="FFFFFF"/>
          <w:lang w:val="zh-CN"/>
        </w:rPr>
        <w:t>支付资金。</w:t>
      </w:r>
    </w:p>
    <w:p w14:paraId="33110DD5">
      <w:pPr>
        <w:adjustRightInd w:val="0"/>
        <w:snapToGrid w:val="0"/>
        <w:spacing w:line="58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2.项目管理。镇政府统一监督管理，严禁弄虚作假</w:t>
      </w:r>
      <w:r>
        <w:rPr>
          <w:rFonts w:hint="eastAsia" w:ascii="仿宋_GB2312" w:hAnsi="仿宋_GB2312" w:eastAsia="仿宋_GB2312" w:cs="仿宋_GB2312"/>
          <w:color w:val="000000"/>
          <w:kern w:val="0"/>
          <w:sz w:val="32"/>
          <w:szCs w:val="32"/>
          <w:shd w:val="clear" w:color="auto" w:fill="FFFFFF"/>
          <w:lang w:val="zh-CN" w:eastAsia="zh-CN"/>
        </w:rPr>
        <w:t>。</w:t>
      </w:r>
    </w:p>
    <w:p w14:paraId="75DBE7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3.项目实施。为确保项目的顺利实施，负责建设相关事宜，以确保项目保质保量按时完工。对项目资金按项目单独核算实行“专款专用、专人管理”，不得挤占、挪用项目资金。</w:t>
      </w:r>
    </w:p>
    <w:p w14:paraId="404265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4.项目结果。项目在上级有关部门的关心、帮助下，在镇党委政府的领导下，顺利推进，圆满完成任务。截至20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rPr>
        <w:t>年12月，项目已全面完成并验收。</w:t>
      </w:r>
    </w:p>
    <w:p w14:paraId="1BA38A82">
      <w:pPr>
        <w:adjustRightInd w:val="0"/>
        <w:snapToGrid w:val="0"/>
        <w:spacing w:line="580" w:lineRule="exact"/>
        <w:ind w:firstLine="643" w:firstLineChars="20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（二）专用指标绩效分析</w:t>
      </w:r>
    </w:p>
    <w:p w14:paraId="32141A2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rPr>
        <w:t>1.产业发展类。通过完善基础设施建设，进一步改善了村级的基础设施和公共服务，扩大了农村基层民主</w:t>
      </w:r>
      <w:r>
        <w:rPr>
          <w:rFonts w:hint="eastAsia" w:ascii="仿宋_GB2312" w:hAnsi="仿宋_GB2312" w:eastAsia="仿宋_GB2312" w:cs="仿宋_GB2312"/>
          <w:color w:val="000000"/>
          <w:kern w:val="0"/>
          <w:sz w:val="32"/>
          <w:szCs w:val="32"/>
          <w:shd w:val="clear" w:color="auto" w:fill="FFFFFF"/>
          <w:lang w:val="zh-CN" w:eastAsia="zh-CN"/>
        </w:rPr>
        <w:t>。</w:t>
      </w:r>
    </w:p>
    <w:p w14:paraId="29C5911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2.民生保障类。完善了村民自治，密切了党和政府同农民群众的关系，满足了农民群众的需求，也为我镇的村级项目建设起到了示范和引领作用。</w:t>
      </w:r>
    </w:p>
    <w:p w14:paraId="4F1968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3.基础设施类。采取专户核算、专款专用、</w:t>
      </w:r>
      <w:r>
        <w:rPr>
          <w:rFonts w:hint="eastAsia" w:ascii="仿宋_GB2312" w:hAnsi="仿宋_GB2312" w:eastAsia="仿宋_GB2312" w:cs="仿宋_GB2312"/>
          <w:color w:val="000000"/>
          <w:kern w:val="0"/>
          <w:sz w:val="32"/>
          <w:szCs w:val="32"/>
          <w:shd w:val="clear" w:color="auto" w:fill="FFFFFF"/>
          <w:lang w:val="en-US" w:eastAsia="zh-CN"/>
        </w:rPr>
        <w:t>建立台账，明确到村保障资金数额，确保保障资金用于村内</w:t>
      </w:r>
      <w:r>
        <w:rPr>
          <w:rFonts w:hint="eastAsia" w:ascii="仿宋_GB2312" w:hAnsi="仿宋_GB2312" w:eastAsia="仿宋_GB2312" w:cs="仿宋_GB2312"/>
          <w:color w:val="000000"/>
          <w:kern w:val="0"/>
          <w:sz w:val="32"/>
          <w:szCs w:val="32"/>
          <w:shd w:val="clear" w:color="auto" w:fill="FFFFFF"/>
          <w:lang w:val="en-US" w:eastAsia="zh-CN"/>
        </w:rPr>
        <w:fldChar w:fldCharType="begin"/>
      </w:r>
      <w:r>
        <w:rPr>
          <w:rFonts w:hint="eastAsia" w:ascii="仿宋_GB2312" w:hAnsi="仿宋_GB2312" w:eastAsia="仿宋_GB2312" w:cs="仿宋_GB2312"/>
          <w:color w:val="000000"/>
          <w:kern w:val="0"/>
          <w:sz w:val="32"/>
          <w:szCs w:val="32"/>
          <w:shd w:val="clear" w:color="auto" w:fill="FFFFFF"/>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color w:val="000000"/>
          <w:kern w:val="0"/>
          <w:sz w:val="32"/>
          <w:szCs w:val="32"/>
          <w:shd w:val="clear" w:color="auto" w:fill="FFFFFF"/>
          <w:lang w:val="en-US" w:eastAsia="zh-CN"/>
        </w:rPr>
        <w:fldChar w:fldCharType="separate"/>
      </w:r>
      <w:r>
        <w:rPr>
          <w:rFonts w:hint="eastAsia" w:ascii="仿宋_GB2312" w:hAnsi="仿宋_GB2312" w:eastAsia="仿宋_GB2312" w:cs="仿宋_GB2312"/>
          <w:color w:val="000000"/>
          <w:kern w:val="0"/>
          <w:sz w:val="32"/>
          <w:szCs w:val="32"/>
          <w:shd w:val="clear" w:color="auto" w:fill="FFFFFF"/>
          <w:lang w:val="en-US" w:eastAsia="zh-CN"/>
        </w:rPr>
        <w:t>公共服务设施</w:t>
      </w:r>
      <w:r>
        <w:rPr>
          <w:rFonts w:hint="eastAsia" w:ascii="仿宋_GB2312" w:hAnsi="仿宋_GB2312" w:eastAsia="仿宋_GB2312" w:cs="仿宋_GB2312"/>
          <w:color w:val="000000"/>
          <w:kern w:val="0"/>
          <w:sz w:val="32"/>
          <w:szCs w:val="32"/>
          <w:shd w:val="clear" w:color="auto" w:fill="FFFFFF"/>
          <w:lang w:val="en-US" w:eastAsia="zh-CN"/>
        </w:rPr>
        <w:fldChar w:fldCharType="end"/>
      </w:r>
      <w:r>
        <w:rPr>
          <w:rFonts w:hint="eastAsia" w:ascii="仿宋_GB2312" w:hAnsi="仿宋_GB2312" w:eastAsia="仿宋_GB2312" w:cs="仿宋_GB2312"/>
          <w:color w:val="000000"/>
          <w:kern w:val="0"/>
          <w:sz w:val="32"/>
          <w:szCs w:val="32"/>
          <w:shd w:val="clear" w:color="auto" w:fill="FFFFFF"/>
          <w:lang w:val="en-US" w:eastAsia="zh-CN"/>
        </w:rPr>
        <w:t>运行维护，防止挪用和平调。</w:t>
      </w:r>
    </w:p>
    <w:p w14:paraId="7B2B69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4.行政运转类。</w:t>
      </w:r>
      <w:r>
        <w:rPr>
          <w:rFonts w:hint="eastAsia" w:ascii="仿宋_GB2312" w:hAnsi="仿宋_GB2312" w:eastAsia="仿宋_GB2312" w:cs="仿宋_GB2312"/>
          <w:color w:val="000000"/>
          <w:kern w:val="0"/>
          <w:sz w:val="32"/>
          <w:szCs w:val="32"/>
          <w:shd w:val="clear" w:color="auto" w:fill="FFFFFF"/>
          <w:lang w:val="zh-CN" w:eastAsia="zh-CN"/>
        </w:rPr>
        <w:t>项目用途合规、程序合规、标准合规，</w:t>
      </w:r>
      <w:r>
        <w:rPr>
          <w:rFonts w:hint="eastAsia" w:ascii="仿宋_GB2312" w:hAnsi="仿宋_GB2312" w:eastAsia="仿宋_GB2312" w:cs="仿宋_GB2312"/>
          <w:color w:val="000000"/>
          <w:kern w:val="0"/>
          <w:sz w:val="32"/>
          <w:szCs w:val="32"/>
          <w:shd w:val="clear" w:color="auto" w:fill="FFFFFF"/>
          <w:lang w:val="en-US" w:eastAsia="zh-CN"/>
        </w:rPr>
        <w:t>收支合理、手续完备、数字准确、帐目清楚。</w:t>
      </w:r>
    </w:p>
    <w:p w14:paraId="5C918F96">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（三）个性指标绩效分析</w:t>
      </w:r>
    </w:p>
    <w:p w14:paraId="1E362A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时效指标：项目于2024年完成，与计划完成时间相一致。资金支付及时，符合相关工作安排及实施办法要求。</w:t>
      </w:r>
    </w:p>
    <w:p w14:paraId="280E2DA0">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066993D5">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宋体" w:eastAsia="仿宋_GB2312"/>
          <w:color w:val="auto"/>
          <w:kern w:val="2"/>
          <w:sz w:val="32"/>
          <w:szCs w:val="32"/>
          <w:lang w:val="zh-CN"/>
        </w:rPr>
      </w:pPr>
      <w:r>
        <w:rPr>
          <w:rFonts w:hint="eastAsia" w:ascii="仿宋_GB2312" w:hAnsi="宋体" w:eastAsia="仿宋_GB2312"/>
          <w:color w:val="auto"/>
          <w:kern w:val="2"/>
          <w:sz w:val="32"/>
          <w:szCs w:val="32"/>
          <w:lang w:val="zh-CN"/>
        </w:rPr>
        <w:t>本项目的建设，对加强各村人民直接的经济联系起到了巨大的作用，也为地方经济发展提供了必要的基础设施。有利于各村人民来往，起到了分流的作用，极大缓解周边人民的出行状况，对建设社会主义新农村，实现小康社会有着促进作用。</w:t>
      </w:r>
    </w:p>
    <w:p w14:paraId="3C93ED44">
      <w:pPr>
        <w:pStyle w:val="8"/>
        <w:keepNext w:val="0"/>
        <w:keepLines w:val="0"/>
        <w:pageBreakBefore w:val="0"/>
        <w:numPr>
          <w:ilvl w:val="0"/>
          <w:numId w:val="4"/>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511732ED">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4DB888CB">
      <w:pPr>
        <w:pStyle w:val="8"/>
        <w:keepNext w:val="0"/>
        <w:keepLines w:val="0"/>
        <w:pageBreakBefore w:val="0"/>
        <w:numPr>
          <w:ilvl w:val="0"/>
          <w:numId w:val="4"/>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3D3D6EAC">
      <w:pPr>
        <w:snapToGrid w:val="0"/>
        <w:spacing w:line="578" w:lineRule="exact"/>
        <w:ind w:firstLine="640" w:firstLineChars="200"/>
        <w:rPr>
          <w:rFonts w:hint="default" w:ascii="黑体" w:hAnsi="黑体" w:eastAsia="黑体" w:cs="黑体"/>
          <w:kern w:val="0"/>
          <w:sz w:val="32"/>
          <w:szCs w:val="32"/>
          <w:shd w:val="clear" w:color="auto" w:fill="FFFFFF"/>
          <w:lang w:val="en-US"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3AE73335">
      <w:pPr>
        <w:snapToGrid w:val="0"/>
        <w:spacing w:line="578" w:lineRule="exact"/>
        <w:rPr>
          <w:rFonts w:eastAsia="黑体"/>
          <w:kern w:val="0"/>
          <w:shd w:val="clear" w:color="auto" w:fill="FFFFFF"/>
          <w:lang w:val="zh-CN"/>
        </w:rPr>
      </w:pPr>
    </w:p>
    <w:p w14:paraId="4F754F7E">
      <w:pPr>
        <w:pStyle w:val="2"/>
        <w:rPr>
          <w:rFonts w:eastAsia="黑体"/>
          <w:kern w:val="0"/>
          <w:shd w:val="clear" w:color="auto" w:fill="FFFFFF"/>
          <w:lang w:val="zh-CN"/>
        </w:rPr>
      </w:pPr>
    </w:p>
    <w:p w14:paraId="318DBBA3">
      <w:pPr>
        <w:pStyle w:val="3"/>
        <w:rPr>
          <w:rFonts w:eastAsia="黑体"/>
          <w:kern w:val="0"/>
          <w:shd w:val="clear" w:color="auto" w:fill="FFFFFF"/>
          <w:lang w:val="zh-CN"/>
        </w:rPr>
      </w:pPr>
    </w:p>
    <w:p w14:paraId="5970E63B">
      <w:pPr>
        <w:pStyle w:val="3"/>
        <w:rPr>
          <w:rFonts w:eastAsia="黑体"/>
          <w:kern w:val="0"/>
          <w:shd w:val="clear" w:color="auto" w:fill="FFFFFF"/>
          <w:lang w:val="zh-CN"/>
        </w:rPr>
      </w:pPr>
    </w:p>
    <w:p w14:paraId="7AD31F4D">
      <w:pPr>
        <w:pStyle w:val="3"/>
        <w:rPr>
          <w:rFonts w:eastAsia="黑体"/>
          <w:kern w:val="0"/>
          <w:shd w:val="clear" w:color="auto" w:fill="FFFFFF"/>
          <w:lang w:val="zh-CN"/>
        </w:rPr>
      </w:pPr>
    </w:p>
    <w:p w14:paraId="25426DE0">
      <w:pPr>
        <w:snapToGrid w:val="0"/>
        <w:spacing w:line="578" w:lineRule="exact"/>
      </w:pPr>
      <w:r>
        <w:rPr>
          <w:rFonts w:eastAsia="黑体"/>
          <w:kern w:val="0"/>
          <w:shd w:val="clear" w:color="auto" w:fill="FFFFFF"/>
          <w:lang w:val="zh-CN"/>
        </w:rPr>
        <w:t>附表</w:t>
      </w:r>
      <w:r>
        <w:rPr>
          <w:rFonts w:eastAsia="黑体"/>
          <w:kern w:val="0"/>
          <w:shd w:val="clear" w:color="auto" w:fill="FFFFFF"/>
        </w:rPr>
        <w:t>1</w:t>
      </w:r>
    </w:p>
    <w:p w14:paraId="070DFA87">
      <w:pPr>
        <w:spacing w:line="578" w:lineRule="exact"/>
        <w:ind w:firstLine="2400" w:firstLineChars="600"/>
        <w:jc w:val="both"/>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693DCC19">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D48D9B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8D61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BEEDB13">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276BB074">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0BCA21E4">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04063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3AA135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DB397B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686F9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08AB5">
            <w:pPr>
              <w:widowControl/>
              <w:spacing w:line="24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35D133B9">
            <w:pPr>
              <w:widowControl/>
              <w:spacing w:line="24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73BBA8DD">
            <w:pPr>
              <w:widowControl/>
              <w:spacing w:line="240" w:lineRule="exact"/>
              <w:jc w:val="center"/>
              <w:rPr>
                <w:rFonts w:hint="eastAsia" w:ascii="仿宋_GB2312" w:hAnsi="仿宋_GB2312" w:eastAsia="仿宋_GB2312" w:cs="仿宋_GB2312"/>
                <w:color w:val="000000"/>
                <w:sz w:val="21"/>
                <w:szCs w:val="21"/>
              </w:rPr>
            </w:pPr>
          </w:p>
        </w:tc>
      </w:tr>
      <w:tr w14:paraId="0AD319F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ECFE">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6DC9FF8">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958C9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C826C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F40E7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83A6E5">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63A623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D854C8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7456">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1BC38C">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373B8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131E4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7DCE2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1772A8">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A711B8">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A62FF5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9BF9">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3D4BC2">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FBCE1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287E2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DB2343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A6743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7467F3">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431E1B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F582A">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C447B1">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30DFE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6A482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678ADC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FBA43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AED5E7">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A94070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BFEAD">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C12101">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C4171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11210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4FDE9D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4F9BE5">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A18B89">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7286C0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A3A89">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59FC1A">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42D1E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62AE1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9F2B94E">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7FA96CD">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A8F626">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46D81C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E12AF">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DA5928">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AF4993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48F59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62BDCDA">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E271DD">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B7970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B9C32D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233AA">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338CE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42FB6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7AAE3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E10996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4593969">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7987B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06D855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4046">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C7271C7">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93534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35FE1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10569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A4E74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F36186">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16D6F7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C9FA1">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E94F3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44A1A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29802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FFE72AE">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4D682E">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7C087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7F04DE7">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E18E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AE8E57">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64495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47540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1102C4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07B2C1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E4CAE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EB8249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0012F">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0DFD09">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1A68A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2F351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CD74C2">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4EEC87">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B26E5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F96C15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AFF9C">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1E0B8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D71DE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60DF7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EE6C98E">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7F6C2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1AD7D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4BD3FD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9376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F7CE8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99F8E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38CCF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B770540">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F1E53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1DC44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BCEA07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7F57E">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9A0A34">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3F138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87F68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73E7D3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FE4EA3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F7074B0">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BD3670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CAD9A">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4296CC">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2CDE88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EB0F4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2D8D90">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B5FDD73">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3F35D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C66C15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C564B">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6BBCBC">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B6978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CF447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3A8EFA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A176D9">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A3261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FA26B9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51BCC">
            <w:pPr>
              <w:widowControl/>
              <w:spacing w:line="24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369BC">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6B001">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36CD5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D9A28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0D64E4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A7F127">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3852EB3">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4D29CE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0BF83">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4276D">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A9E4E">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60968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03CB1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5CAE9B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259DC7B">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12A76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143762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1DA51">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07B0E">
            <w:pPr>
              <w:widowControl/>
              <w:spacing w:line="24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B2B55">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68E98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5BD11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08BAD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2192B3">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57F3E0">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0C2BF1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F8479">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E24CF">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DBAE3">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29396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4A863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5E48B8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EF00B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B66848">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94C9EB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22A3E">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D5F7A">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13779">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D7191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4197F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37157E">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08F609">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AE6901">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B5EC9DA">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06D76">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CD320C">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11CB089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6C5E0A2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53C04280">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01672A2E">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7353CCFF">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AA3D7F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A1087">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818C27">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3A02819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5FE2D3D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6FA1EA">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2940B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F8216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9A0FE2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CDF36">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5CB4F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6E0E3CE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4346E87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034A05">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C96D0D">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5D62D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7EBCF6A">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54D982">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0D5F5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87620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1D5F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A4B47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0A53D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437BE2C">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C29912">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43053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2E806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57799">
            <w:pPr>
              <w:widowControl/>
              <w:spacing w:line="24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ACA0B9">
            <w:pPr>
              <w:widowControl/>
              <w:spacing w:line="24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F1AC56">
            <w:pPr>
              <w:widowControl/>
              <w:spacing w:line="240" w:lineRule="exact"/>
              <w:jc w:val="left"/>
              <w:rPr>
                <w:rFonts w:hint="eastAsia" w:ascii="仿宋_GB2312" w:hAnsi="仿宋_GB2312" w:eastAsia="仿宋_GB2312" w:cs="仿宋_GB2312"/>
                <w:color w:val="000000"/>
                <w:sz w:val="21"/>
                <w:szCs w:val="21"/>
              </w:rPr>
            </w:pPr>
          </w:p>
        </w:tc>
      </w:tr>
      <w:tr w14:paraId="77A97FC0">
        <w:tblPrEx>
          <w:tblCellMar>
            <w:top w:w="0" w:type="dxa"/>
            <w:left w:w="108" w:type="dxa"/>
            <w:bottom w:w="0" w:type="dxa"/>
            <w:right w:w="108" w:type="dxa"/>
          </w:tblCellMar>
        </w:tblPrEx>
        <w:trPr>
          <w:trHeight w:val="37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0D2E949">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F0173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B7264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DFE3D6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A8D8F7">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DD6AE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7A71BAB">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5B98D54E">
            <w:pPr>
              <w:widowControl/>
              <w:spacing w:line="240" w:lineRule="exact"/>
              <w:jc w:val="center"/>
              <w:textAlignment w:val="center"/>
              <w:rPr>
                <w:rFonts w:hint="eastAsia" w:ascii="宋体" w:hAnsi="宋体" w:eastAsia="宋体" w:cs="宋体"/>
                <w:b/>
                <w:color w:val="000000"/>
                <w:kern w:val="0"/>
                <w:sz w:val="21"/>
                <w:szCs w:val="21"/>
                <w:lang w:eastAsia="zh-CN" w:bidi="ar"/>
              </w:rPr>
            </w:pPr>
            <w:r>
              <w:rPr>
                <w:rFonts w:hint="eastAsia" w:ascii="宋体" w:hAnsi="宋体" w:eastAsia="宋体" w:cs="宋体"/>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D86192">
            <w:pPr>
              <w:widowControl/>
              <w:spacing w:line="240" w:lineRule="exact"/>
              <w:jc w:val="center"/>
              <w:textAlignment w:val="center"/>
              <w:rPr>
                <w:rFonts w:hint="eastAsia" w:ascii="宋体" w:hAnsi="宋体" w:eastAsia="宋体" w:cs="宋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424878">
            <w:pPr>
              <w:widowControl/>
              <w:spacing w:line="240" w:lineRule="exact"/>
              <w:jc w:val="center"/>
              <w:textAlignment w:val="center"/>
              <w:rPr>
                <w:rFonts w:hint="eastAsia" w:ascii="宋体" w:hAnsi="宋体" w:eastAsia="宋体" w:cs="宋体"/>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215D12B">
            <w:pPr>
              <w:widowControl/>
              <w:spacing w:line="240" w:lineRule="exact"/>
              <w:jc w:val="left"/>
              <w:textAlignment w:val="center"/>
              <w:rPr>
                <w:rFonts w:hint="eastAsia" w:ascii="宋体" w:hAnsi="宋体" w:eastAsia="宋体" w:cs="宋体"/>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7EAB08">
            <w:pPr>
              <w:widowControl/>
              <w:spacing w:line="240" w:lineRule="exact"/>
              <w:ind w:firstLine="26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65392B">
            <w:pPr>
              <w:widowControl/>
              <w:spacing w:line="240" w:lineRule="exact"/>
              <w:jc w:val="left"/>
              <w:textAlignment w:val="center"/>
              <w:rPr>
                <w:rFonts w:hint="eastAsia" w:ascii="宋体" w:hAnsi="宋体" w:eastAsia="宋体" w:cs="宋体"/>
                <w:color w:val="000000"/>
                <w:kern w:val="0"/>
                <w:sz w:val="21"/>
                <w:szCs w:val="21"/>
                <w:lang w:bidi="ar"/>
              </w:rPr>
            </w:pPr>
          </w:p>
        </w:tc>
      </w:tr>
    </w:tbl>
    <w:p w14:paraId="59AA943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1F1108F">
      <w:pPr>
        <w:spacing w:line="578" w:lineRule="exact"/>
        <w:rPr>
          <w:rFonts w:eastAsia="黑体"/>
          <w:kern w:val="0"/>
          <w:shd w:val="clear" w:color="auto" w:fill="FFFFFF"/>
        </w:rPr>
      </w:pPr>
      <w:r>
        <w:rPr>
          <w:rFonts w:eastAsia="黑体"/>
          <w:kern w:val="0"/>
          <w:shd w:val="clear" w:color="auto" w:fill="FFFFFF"/>
          <w:lang w:val="zh-CN"/>
        </w:rPr>
        <w:t>附表</w:t>
      </w:r>
      <w:r>
        <w:rPr>
          <w:rFonts w:hint="eastAsia" w:eastAsia="黑体"/>
          <w:kern w:val="0"/>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D8BAFAC">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6B843373">
            <w:pPr>
              <w:widowControl/>
              <w:spacing w:line="600" w:lineRule="exact"/>
              <w:jc w:val="center"/>
              <w:textAlignment w:val="center"/>
              <w:rPr>
                <w:rFonts w:eastAsia="黑体"/>
                <w:color w:val="000000"/>
                <w:sz w:val="30"/>
                <w:szCs w:val="30"/>
              </w:rPr>
            </w:pPr>
            <w:r>
              <w:rPr>
                <w:rFonts w:hint="eastAsia" w:eastAsia="方正小标宋简体"/>
                <w:color w:val="000000"/>
                <w:kern w:val="0"/>
                <w:sz w:val="40"/>
                <w:szCs w:val="40"/>
                <w:lang w:val="en-US" w:eastAsia="zh-CN" w:bidi="ar"/>
              </w:rPr>
              <w:t xml:space="preserve"> </w:t>
            </w:r>
            <w:r>
              <w:rPr>
                <w:rFonts w:eastAsia="方正小标宋简体"/>
                <w:color w:val="000000"/>
                <w:kern w:val="0"/>
                <w:sz w:val="40"/>
                <w:szCs w:val="40"/>
                <w:lang w:bidi="ar"/>
              </w:rPr>
              <w:t>专项预算项目绩效目标完成情况自评表</w:t>
            </w:r>
          </w:p>
        </w:tc>
      </w:tr>
      <w:tr w14:paraId="628DBEB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4CF7960">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C6E468D">
            <w:pPr>
              <w:spacing w:line="300" w:lineRule="exact"/>
              <w:ind w:firstLine="540" w:firstLineChars="3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kern w:val="2"/>
                <w:sz w:val="18"/>
                <w:szCs w:val="18"/>
              </w:rPr>
              <w:t>茂县沟口大桥桥梁建设</w:t>
            </w:r>
          </w:p>
        </w:tc>
      </w:tr>
      <w:tr w14:paraId="37DD1862">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3349FFC">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1834DB5">
            <w:pPr>
              <w:spacing w:line="300" w:lineRule="exact"/>
              <w:ind w:firstLine="720" w:firstLineChars="4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茂县沟口镇人民政府</w:t>
            </w:r>
          </w:p>
        </w:tc>
      </w:tr>
      <w:tr w14:paraId="7653DE4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1BBC70FB">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F6CABA9">
            <w:pPr>
              <w:spacing w:line="300" w:lineRule="exact"/>
              <w:jc w:val="left"/>
              <w:rPr>
                <w:rFonts w:hint="eastAsia" w:ascii="仿宋_GB2312" w:hAnsi="仿宋_GB2312" w:eastAsia="仿宋_GB2312" w:cs="仿宋_GB2312"/>
                <w:color w:val="000000"/>
                <w:sz w:val="18"/>
                <w:szCs w:val="18"/>
              </w:rPr>
            </w:pPr>
          </w:p>
        </w:tc>
      </w:tr>
      <w:tr w14:paraId="5CA22F6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9A57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A9F0BC7">
            <w:pPr>
              <w:widowControl/>
              <w:spacing w:line="3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22BB0C2E">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A6FD1F">
            <w:pPr>
              <w:spacing w:line="300" w:lineRule="exact"/>
              <w:jc w:val="left"/>
              <w:rPr>
                <w:rFonts w:hint="eastAsia" w:ascii="仿宋_GB2312" w:hAnsi="仿宋_GB2312" w:eastAsia="仿宋_GB2312" w:cs="仿宋_GB2312"/>
                <w:color w:val="000000"/>
                <w:sz w:val="18"/>
                <w:szCs w:val="18"/>
              </w:rPr>
            </w:pPr>
          </w:p>
        </w:tc>
      </w:tr>
      <w:tr w14:paraId="1E367AA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AE4C0">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25662F">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51BC98B">
            <w:pPr>
              <w:spacing w:line="300" w:lineRule="exact"/>
              <w:ind w:firstLine="720" w:firstLineChars="4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茂财农</w:t>
            </w:r>
            <w:r>
              <w:rPr>
                <w:rFonts w:hint="eastAsia" w:ascii="仿宋_GB2312" w:hAnsi="仿宋_GB2312" w:eastAsia="仿宋_GB2312" w:cs="仿宋_GB2312"/>
                <w:color w:val="000000"/>
                <w:sz w:val="18"/>
                <w:szCs w:val="18"/>
                <w:lang w:val="en-US" w:eastAsia="zh-CN"/>
              </w:rPr>
              <w:t>〔2024〕</w:t>
            </w:r>
            <w:r>
              <w:rPr>
                <w:rFonts w:hint="eastAsia" w:ascii="仿宋_GB2312" w:hAnsi="仿宋_GB2312" w:eastAsia="仿宋_GB2312" w:cs="仿宋_GB2312"/>
                <w:color w:val="000000"/>
                <w:sz w:val="18"/>
                <w:szCs w:val="18"/>
                <w:lang w:val="en-US" w:eastAsia="zh-CN"/>
              </w:rPr>
              <w:t>60号</w:t>
            </w:r>
          </w:p>
        </w:tc>
      </w:tr>
      <w:tr w14:paraId="1265538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08AAC">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9FF15A7">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88ADE9C">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2C3C03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9F2B069">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1E55E2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£因素法与项目法相结合</w:t>
            </w:r>
          </w:p>
        </w:tc>
      </w:tr>
      <w:tr w14:paraId="70147C3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9DC78">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B8A15D">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338A1F4">
            <w:pPr>
              <w:spacing w:line="300" w:lineRule="exact"/>
              <w:jc w:val="left"/>
              <w:rPr>
                <w:rFonts w:hint="eastAsia" w:ascii="仿宋_GB2312" w:hAnsi="仿宋_GB2312" w:eastAsia="仿宋_GB2312" w:cs="仿宋_GB2312"/>
                <w:color w:val="000000"/>
                <w:sz w:val="18"/>
                <w:szCs w:val="18"/>
              </w:rPr>
            </w:pPr>
          </w:p>
        </w:tc>
      </w:tr>
      <w:tr w14:paraId="457FD22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3D5EB">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FC693E0">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89FFD8A">
            <w:pPr>
              <w:spacing w:line="300" w:lineRule="exact"/>
              <w:jc w:val="left"/>
              <w:rPr>
                <w:rFonts w:hint="eastAsia" w:ascii="仿宋_GB2312" w:hAnsi="仿宋_GB2312" w:eastAsia="仿宋_GB2312" w:cs="仿宋_GB2312"/>
                <w:color w:val="000000"/>
                <w:sz w:val="18"/>
                <w:szCs w:val="18"/>
              </w:rPr>
            </w:pPr>
          </w:p>
        </w:tc>
      </w:tr>
      <w:tr w14:paraId="57DEAC3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240E5">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4B3CFC7">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0AD63B0">
            <w:pPr>
              <w:spacing w:line="300" w:lineRule="exact"/>
              <w:jc w:val="left"/>
              <w:rPr>
                <w:rFonts w:hint="eastAsia" w:ascii="仿宋_GB2312" w:hAnsi="仿宋_GB2312" w:eastAsia="仿宋_GB2312" w:cs="仿宋_GB2312"/>
                <w:color w:val="000000"/>
                <w:sz w:val="18"/>
                <w:szCs w:val="18"/>
              </w:rPr>
            </w:pPr>
          </w:p>
        </w:tc>
      </w:tr>
      <w:tr w14:paraId="553F17E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DAB2B">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FAF5D6D">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5C70F11">
            <w:pPr>
              <w:spacing w:line="300" w:lineRule="exact"/>
              <w:ind w:firstLine="1980" w:firstLineChars="11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2024年</w:t>
            </w:r>
          </w:p>
        </w:tc>
      </w:tr>
      <w:tr w14:paraId="5A7C12E8">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F523BF">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7E45345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0683992">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C6408F3">
            <w:pPr>
              <w:spacing w:line="300" w:lineRule="exact"/>
              <w:jc w:val="right"/>
              <w:rPr>
                <w:rFonts w:hint="eastAsia" w:ascii="仿宋_GB2312" w:hAnsi="仿宋_GB2312" w:eastAsia="仿宋_GB2312" w:cs="仿宋_GB2312"/>
                <w:color w:val="000000"/>
                <w:sz w:val="18"/>
                <w:szCs w:val="18"/>
              </w:rPr>
            </w:pPr>
          </w:p>
        </w:tc>
      </w:tr>
      <w:tr w14:paraId="22474A45">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CE9962">
            <w:pPr>
              <w:spacing w:line="30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50FEBF3">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AEFF3E1">
            <w:pPr>
              <w:tabs>
                <w:tab w:val="left" w:pos="2038"/>
              </w:tabs>
              <w:spacing w:line="300" w:lineRule="exact"/>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ab/>
            </w:r>
            <w:r>
              <w:rPr>
                <w:rFonts w:hint="eastAsia" w:ascii="仿宋_GB2312" w:hAnsi="仿宋_GB2312" w:eastAsia="仿宋_GB2312" w:cs="仿宋_GB2312"/>
                <w:color w:val="000000"/>
                <w:sz w:val="18"/>
                <w:szCs w:val="18"/>
                <w:lang w:val="en-US" w:eastAsia="zh-CN"/>
              </w:rPr>
              <w:t>509.90</w:t>
            </w:r>
          </w:p>
        </w:tc>
      </w:tr>
      <w:tr w14:paraId="74C9175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10E198">
            <w:pPr>
              <w:spacing w:line="30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64DD772">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17C48A">
            <w:pPr>
              <w:spacing w:line="300" w:lineRule="exact"/>
              <w:jc w:val="right"/>
              <w:rPr>
                <w:rFonts w:hint="eastAsia" w:ascii="仿宋_GB2312" w:hAnsi="仿宋_GB2312" w:eastAsia="仿宋_GB2312" w:cs="仿宋_GB2312"/>
                <w:color w:val="000000"/>
                <w:sz w:val="18"/>
                <w:szCs w:val="18"/>
              </w:rPr>
            </w:pPr>
          </w:p>
        </w:tc>
      </w:tr>
      <w:tr w14:paraId="7441414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3FC22">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D68DC3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w:t>
            </w:r>
          </w:p>
        </w:tc>
      </w:tr>
      <w:tr w14:paraId="5C43D18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E742A">
            <w:pPr>
              <w:spacing w:line="300" w:lineRule="exact"/>
              <w:rPr>
                <w:rFonts w:hint="eastAsia" w:ascii="仿宋_GB2312" w:hAnsi="仿宋_GB2312" w:eastAsia="仿宋_GB2312" w:cs="仿宋_GB2312"/>
                <w:color w:val="000000"/>
                <w:sz w:val="18"/>
                <w:szCs w:val="18"/>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D297114">
            <w:pPr>
              <w:spacing w:line="30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bidi="ar"/>
              </w:rPr>
              <w:t>本项目的建设，对加强各村人民直接的经济联系起到了巨大的作用，也为地方经济发展提供了必要的基础设施。</w:t>
            </w:r>
          </w:p>
        </w:tc>
      </w:tr>
      <w:tr w14:paraId="64E22795">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577A79BD">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BC0EEC8">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F1E6A39">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BB8DFF7">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B1CF99B">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B9FB7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71310AB">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EF45A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6A87A78">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1DD9820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2814360">
            <w:pPr>
              <w:spacing w:line="30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6EA8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97ECEE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238C24A">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沟口镇（沟口村）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C81C07B">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FC0DB6D">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F73B4B0">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B68849">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CEFEB37">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53274A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62FE9E4">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C4239">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097E2D9">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1684966">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大桥</w:t>
            </w:r>
            <w:r>
              <w:rPr>
                <w:rFonts w:hint="eastAsia" w:ascii="仿宋_GB2312" w:hAnsi="仿宋_GB2312" w:eastAsia="仿宋_GB2312" w:cs="仿宋_GB2312"/>
                <w:color w:val="000000"/>
                <w:sz w:val="18"/>
                <w:szCs w:val="18"/>
              </w:rPr>
              <w:t>基础设施维护率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38E1C06">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8EDF668">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A67DCA">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9EE7B4E">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A53D435">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4B938F4">
        <w:tblPrEx>
          <w:tblCellMar>
            <w:top w:w="15" w:type="dxa"/>
            <w:left w:w="15" w:type="dxa"/>
            <w:bottom w:w="15" w:type="dxa"/>
            <w:right w:w="15" w:type="dxa"/>
          </w:tblCellMar>
        </w:tblPrEx>
        <w:trPr>
          <w:trHeight w:val="5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7438464">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31B22">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77DEDF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0D24019">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43A6E95">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3BD35C3">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273F6F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11A06E4">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14C588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957CEAE">
        <w:tblPrEx>
          <w:tblCellMar>
            <w:top w:w="15" w:type="dxa"/>
            <w:left w:w="15" w:type="dxa"/>
            <w:bottom w:w="15" w:type="dxa"/>
            <w:right w:w="15" w:type="dxa"/>
          </w:tblCellMar>
        </w:tblPrEx>
        <w:trPr>
          <w:trHeight w:val="1342"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1D9F386">
            <w:pPr>
              <w:spacing w:line="30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47E35">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B956EC">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4D547708">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67192C8">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促进农村繁荣稳定</w:t>
            </w:r>
            <w:r>
              <w:rPr>
                <w:rFonts w:hint="eastAsia" w:ascii="仿宋_GB2312" w:hAnsi="仿宋_GB2312" w:eastAsia="仿宋_GB2312" w:cs="仿宋_GB2312"/>
                <w:color w:val="000000"/>
                <w:sz w:val="18"/>
                <w:szCs w:val="18"/>
                <w:lang w:eastAsia="zh-CN"/>
              </w:rPr>
              <w:t>，良好的交通方便农产品运输</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E7BC93E">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E5FC4E0">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9DC3CD1">
            <w:pPr>
              <w:spacing w:line="30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56D89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AC963A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5C7AFF4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CE3CFD0">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E9507">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7535D95E">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7F4FBCA5">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E1B1611">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0509996">
            <w:pPr>
              <w:spacing w:line="30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B149594">
            <w:pPr>
              <w:spacing w:line="30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8157FAA">
            <w:pPr>
              <w:spacing w:line="30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C88C23">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C497B3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57E7A0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E457DA4">
            <w:pPr>
              <w:spacing w:line="30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7DE8BB70">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4A98B26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12352B08">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0D85106A">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5858021">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39FCDDF">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CD22852">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95201CD">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704044">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61DFB30">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CC0F58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2EFB38D">
            <w:pPr>
              <w:spacing w:line="30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1CC7055">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F6718E0">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6F5F9CC1">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bottom w:val="single" w:color="000000" w:sz="4" w:space="0"/>
              <w:right w:val="single" w:color="000000" w:sz="4" w:space="0"/>
            </w:tcBorders>
            <w:noWrap w:val="0"/>
            <w:vAlign w:val="center"/>
          </w:tcPr>
          <w:p w14:paraId="6485676C">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bidi="ar"/>
              </w:rPr>
              <w:t>茂县沟口大桥桥梁建设</w:t>
            </w:r>
            <w:r>
              <w:rPr>
                <w:rFonts w:hint="eastAsia" w:ascii="仿宋_GB2312" w:hAnsi="仿宋_GB2312" w:eastAsia="仿宋_GB2312" w:cs="仿宋_GB2312"/>
                <w:color w:val="000000"/>
                <w:kern w:val="0"/>
                <w:sz w:val="18"/>
                <w:szCs w:val="18"/>
                <w:lang w:eastAsia="zh-CN" w:bidi="ar"/>
              </w:rPr>
              <w:t>成本控制范围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CD6D2CF">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E1714A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509.90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FA47C13">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A9AB05D">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0B11352">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300BC472">
      <w:pPr>
        <w:spacing w:line="578" w:lineRule="exact"/>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附件2</w:t>
      </w:r>
    </w:p>
    <w:p w14:paraId="69B895A0">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C4B0228">
      <w:pPr>
        <w:pStyle w:val="35"/>
        <w:spacing w:line="578"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专项预算绩效自评报告</w:t>
      </w:r>
    </w:p>
    <w:p w14:paraId="07EF1B76">
      <w:pPr>
        <w:pStyle w:val="35"/>
        <w:spacing w:line="578" w:lineRule="exact"/>
        <w:jc w:val="center"/>
        <w:rPr>
          <w:rFonts w:hint="eastAsia" w:ascii="仿宋_GB2312" w:hAnsi="仿宋_GB2312" w:eastAsia="仿宋_GB2312" w:cs="仿宋_GB2312"/>
          <w:b w:val="0"/>
          <w:bCs/>
          <w:color w:val="auto"/>
          <w:kern w:val="2"/>
          <w:sz w:val="36"/>
          <w:szCs w:val="36"/>
          <w:lang w:val="en-US" w:eastAsia="zh-CN" w:bidi="ar-SA"/>
        </w:rPr>
      </w:pPr>
      <w:r>
        <w:rPr>
          <w:rFonts w:hint="eastAsia" w:ascii="Times New Roman" w:hAnsi="Times New Roman" w:eastAsia="楷体_GB2312" w:cs="Times New Roman"/>
          <w:b w:val="0"/>
          <w:bCs/>
          <w:color w:val="auto"/>
          <w:kern w:val="2"/>
          <w:sz w:val="36"/>
          <w:szCs w:val="36"/>
          <w:lang w:val="en-US" w:eastAsia="zh-CN" w:bidi="ar-SA"/>
        </w:rPr>
        <w:t>（</w:t>
      </w:r>
      <w:r>
        <w:rPr>
          <w:rFonts w:hint="eastAsia" w:ascii="仿宋_GB2312" w:hAnsi="仿宋_GB2312" w:eastAsia="仿宋_GB2312" w:cs="仿宋_GB2312"/>
          <w:b w:val="0"/>
          <w:bCs/>
          <w:color w:val="auto"/>
          <w:kern w:val="2"/>
          <w:sz w:val="36"/>
          <w:szCs w:val="36"/>
          <w:lang w:val="en-US" w:eastAsia="zh-CN" w:bidi="ar-SA"/>
        </w:rPr>
        <w:t>茂县沟口镇基层政权建设补助资金</w:t>
      </w:r>
    </w:p>
    <w:p w14:paraId="10FEAC52">
      <w:pPr>
        <w:pStyle w:val="35"/>
        <w:spacing w:line="578" w:lineRule="exact"/>
        <w:jc w:val="center"/>
        <w:rPr>
          <w:rFonts w:hint="eastAsia" w:ascii="Times New Roman" w:hAnsi="Times New Roman" w:eastAsia="楷体_GB2312" w:cs="Times New Roman"/>
          <w:b w:val="0"/>
          <w:bCs/>
          <w:color w:val="auto"/>
          <w:kern w:val="2"/>
          <w:sz w:val="36"/>
          <w:szCs w:val="36"/>
          <w:lang w:val="en-US" w:eastAsia="zh-CN" w:bidi="ar-SA"/>
        </w:rPr>
      </w:pPr>
      <w:r>
        <w:rPr>
          <w:rFonts w:hint="eastAsia" w:ascii="仿宋_GB2312" w:hAnsi="仿宋_GB2312" w:eastAsia="仿宋_GB2312" w:cs="仿宋_GB2312"/>
          <w:b w:val="0"/>
          <w:bCs/>
          <w:color w:val="auto"/>
          <w:kern w:val="2"/>
          <w:sz w:val="36"/>
          <w:szCs w:val="36"/>
          <w:lang w:val="en-US" w:eastAsia="zh-CN" w:bidi="ar-SA"/>
        </w:rPr>
        <w:t>—办公楼及宿舍楼安全维修）</w:t>
      </w:r>
    </w:p>
    <w:p w14:paraId="61173218">
      <w:pPr>
        <w:pStyle w:val="35"/>
        <w:spacing w:line="578" w:lineRule="exact"/>
        <w:ind w:firstLine="640"/>
        <w:jc w:val="center"/>
        <w:rPr>
          <w:rFonts w:ascii="Times New Roman" w:hAnsi="Times New Roman" w:eastAsia="楷体_GB2312" w:cs="Times New Roman"/>
          <w:b/>
          <w:color w:val="auto"/>
          <w:kern w:val="2"/>
          <w:sz w:val="32"/>
          <w:szCs w:val="32"/>
          <w:lang w:val="zh-CN" w:eastAsia="zh-CN" w:bidi="ar-SA"/>
        </w:rPr>
      </w:pPr>
    </w:p>
    <w:p w14:paraId="1AF72DA4">
      <w:pPr>
        <w:suppressAutoHyphens/>
        <w:bidi w:val="0"/>
        <w:adjustRightInd w:val="0"/>
        <w:snapToGrid w:val="0"/>
        <w:spacing w:line="578" w:lineRule="exact"/>
        <w:ind w:firstLine="640" w:firstLineChars="200"/>
        <w:outlineLvl w:val="1"/>
        <w:rPr>
          <w:rFonts w:hint="eastAsia" w:ascii="黑体" w:hAnsi="黑体" w:eastAsia="黑体" w:cs="黑体"/>
          <w:b w:val="0"/>
          <w:bCs w:val="0"/>
          <w:i w:val="0"/>
          <w:iCs w:val="0"/>
          <w:sz w:val="32"/>
          <w:szCs w:val="32"/>
          <w:lang w:val="zh-CN"/>
        </w:rPr>
      </w:pPr>
      <w:bookmarkStart w:id="81" w:name="_Toc15569"/>
      <w:bookmarkStart w:id="82" w:name="_Toc6835"/>
      <w:r>
        <w:rPr>
          <w:rFonts w:hint="eastAsia" w:ascii="黑体" w:hAnsi="黑体" w:eastAsia="黑体" w:cs="黑体"/>
          <w:b w:val="0"/>
          <w:bCs w:val="0"/>
          <w:i w:val="0"/>
          <w:iCs w:val="0"/>
          <w:sz w:val="32"/>
          <w:szCs w:val="32"/>
        </w:rPr>
        <w:t>一、</w:t>
      </w:r>
      <w:r>
        <w:rPr>
          <w:rFonts w:hint="eastAsia" w:ascii="黑体" w:hAnsi="黑体" w:eastAsia="黑体" w:cs="黑体"/>
          <w:b w:val="0"/>
          <w:bCs w:val="0"/>
          <w:i w:val="0"/>
          <w:iCs w:val="0"/>
          <w:sz w:val="32"/>
          <w:szCs w:val="32"/>
          <w:lang w:val="zh-CN"/>
        </w:rPr>
        <w:t>项目概况</w:t>
      </w:r>
      <w:bookmarkEnd w:id="81"/>
      <w:bookmarkEnd w:id="82"/>
    </w:p>
    <w:p w14:paraId="50B6CFEA">
      <w:pPr>
        <w:widowControl/>
        <w:numPr>
          <w:ilvl w:val="0"/>
          <w:numId w:val="0"/>
        </w:numPr>
        <w:ind w:firstLine="643" w:firstLineChars="200"/>
        <w:jc w:val="left"/>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14:paraId="6087BB76">
      <w:pPr>
        <w:widowControl/>
        <w:numPr>
          <w:ilvl w:val="0"/>
          <w:numId w:val="0"/>
        </w:numPr>
        <w:ind w:firstLine="640" w:firstLineChars="200"/>
        <w:jc w:val="left"/>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zh-CN" w:eastAsia="zh-CN"/>
        </w:rPr>
        <w:t>茂县沟口镇基层政权建设补助资金—办公楼及宿舍楼安全维修项目，金额：</w:t>
      </w:r>
      <w:r>
        <w:rPr>
          <w:rFonts w:hint="eastAsia" w:ascii="仿宋_GB2312" w:hAnsi="宋体" w:eastAsia="仿宋_GB2312" w:cs="Times New Roman"/>
          <w:color w:val="auto"/>
          <w:kern w:val="2"/>
          <w:sz w:val="32"/>
          <w:szCs w:val="32"/>
          <w:lang w:val="en-US" w:eastAsia="zh-CN"/>
        </w:rPr>
        <w:t>100.00万元；资金文号：茂财预〔2024〕45号。</w:t>
      </w:r>
    </w:p>
    <w:p w14:paraId="35F6A155">
      <w:pPr>
        <w:widowControl/>
        <w:numPr>
          <w:ilvl w:val="0"/>
          <w:numId w:val="0"/>
        </w:numPr>
        <w:ind w:firstLine="640" w:firstLineChars="200"/>
        <w:jc w:val="left"/>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改造目标：（一）办公楼提升改造：一是对全镇机关办公用房改造提升，消除安全隐患，更新办公设备，优化用房布局，满足办公服务需求。二是对全镇机关干部职工居住用房提升改造：改善居住环境，提升居住舒适度，如配套卫生间、供水和污水管网等，满足干部基本生活需求。（二）基础设施提升改造：为办公居住用房增加办公设施设备，改造提升供水管网，满足干部职工基本办公生活需求。</w:t>
      </w:r>
    </w:p>
    <w:p w14:paraId="1128A219">
      <w:pPr>
        <w:widowControl/>
        <w:numPr>
          <w:ilvl w:val="0"/>
          <w:numId w:val="0"/>
        </w:numPr>
        <w:ind w:firstLine="640" w:firstLineChars="200"/>
        <w:jc w:val="left"/>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建设内容及规模：一、办公楼维修加固；二、职工宿舍安全维修。</w:t>
      </w:r>
    </w:p>
    <w:p w14:paraId="5841B15F">
      <w:pPr>
        <w:pStyle w:val="2"/>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eastAsia="楷体_GB2312"/>
          <w:b/>
          <w:lang w:val="zh-CN"/>
        </w:rPr>
      </w:pPr>
      <w:r>
        <w:rPr>
          <w:rFonts w:hint="eastAsia" w:ascii="楷体" w:hAnsi="楷体" w:eastAsia="楷体" w:cs="楷体"/>
          <w:b/>
          <w:bCs/>
          <w:sz w:val="32"/>
          <w:szCs w:val="32"/>
          <w:lang w:val="zh-CN"/>
        </w:rPr>
        <w:t>（二）</w:t>
      </w:r>
      <w:r>
        <w:rPr>
          <w:rFonts w:hint="eastAsia" w:ascii="楷体" w:hAnsi="楷体" w:eastAsia="楷体" w:cs="楷体"/>
          <w:b/>
          <w:bCs/>
          <w:sz w:val="32"/>
          <w:szCs w:val="32"/>
        </w:rPr>
        <w:t>实施目的及支持方向。</w:t>
      </w:r>
      <w:r>
        <w:rPr>
          <w:rFonts w:hint="eastAsia" w:ascii="仿宋_GB2312" w:hAnsi="宋体" w:eastAsia="仿宋_GB2312"/>
          <w:color w:val="auto"/>
          <w:kern w:val="2"/>
          <w:sz w:val="32"/>
          <w:szCs w:val="32"/>
        </w:rPr>
        <w:t>该项目有利于乡村党群事业发展，为实现乡村振兴添砖加瓦，为发展经济提供基础指挥平台，能为茂县社会经济带来更多正面影响。</w:t>
      </w:r>
    </w:p>
    <w:p w14:paraId="2A1BDBA3">
      <w:pPr>
        <w:widowControl/>
        <w:numPr>
          <w:ilvl w:val="0"/>
          <w:numId w:val="0"/>
        </w:numPr>
        <w:ind w:firstLine="643" w:firstLineChars="200"/>
        <w:jc w:val="left"/>
        <w:rPr>
          <w:rFonts w:hint="eastAsia" w:ascii="仿宋_GB2312" w:hAnsi="仿宋_GB2312" w:eastAsia="仿宋_GB2312" w:cs="仿宋_GB2312"/>
          <w:sz w:val="32"/>
          <w:szCs w:val="32"/>
          <w:lang w:val="en-US" w:eastAsia="zh-CN"/>
        </w:rPr>
      </w:pPr>
      <w:r>
        <w:rPr>
          <w:rFonts w:hint="eastAsia" w:ascii="楷体_GB2312" w:hAnsi="宋体" w:eastAsia="楷体_GB2312" w:cs="Times New Roman"/>
          <w:b/>
          <w:sz w:val="32"/>
          <w:szCs w:val="32"/>
          <w:lang w:val="zh-CN"/>
        </w:rPr>
        <w:t>（三）预算安排及分配管理。</w:t>
      </w:r>
      <w:r>
        <w:rPr>
          <w:rFonts w:hint="eastAsia" w:ascii="仿宋_GB2312" w:hAnsi="仿宋_GB2312" w:eastAsia="仿宋_GB2312" w:cs="仿宋_GB2312"/>
          <w:color w:val="auto"/>
          <w:kern w:val="2"/>
          <w:sz w:val="32"/>
          <w:szCs w:val="32"/>
          <w:lang w:val="zh-CN" w:eastAsia="zh-CN"/>
        </w:rPr>
        <w:t>该笔资金于</w:t>
      </w:r>
      <w:r>
        <w:rPr>
          <w:rFonts w:hint="eastAsia" w:ascii="仿宋_GB2312" w:hAnsi="仿宋_GB2312" w:eastAsia="仿宋_GB2312" w:cs="仿宋_GB2312"/>
          <w:color w:val="auto"/>
          <w:kern w:val="2"/>
          <w:sz w:val="32"/>
          <w:szCs w:val="32"/>
          <w:lang w:val="en-US" w:eastAsia="zh-CN"/>
        </w:rPr>
        <w:t>2024年申请到账，</w:t>
      </w:r>
      <w:r>
        <w:rPr>
          <w:rFonts w:hint="eastAsia" w:ascii="仿宋_GB2312" w:hAnsi="仿宋_GB2312" w:eastAsia="仿宋_GB2312" w:cs="仿宋_GB2312"/>
          <w:sz w:val="32"/>
          <w:szCs w:val="32"/>
          <w:lang w:val="en-US" w:eastAsia="zh-CN"/>
        </w:rPr>
        <w:t>2024年完成支付96.42万元，年底决算收回3.58万元，完成率96.42%。</w:t>
      </w:r>
    </w:p>
    <w:p w14:paraId="4A279004">
      <w:pPr>
        <w:adjustRightInd w:val="0"/>
        <w:snapToGrid w:val="0"/>
        <w:spacing w:line="600" w:lineRule="exact"/>
        <w:ind w:firstLine="720"/>
        <w:rPr>
          <w:rFonts w:ascii="仿宋_GB2312" w:hAnsi="仿宋_GB2312" w:eastAsia="仿宋_GB2312" w:cs="仿宋_GB2312"/>
          <w:sz w:val="32"/>
          <w:szCs w:val="32"/>
          <w:lang w:val="zh-CN"/>
        </w:rPr>
      </w:pPr>
      <w:r>
        <w:rPr>
          <w:rFonts w:hint="eastAsia" w:ascii="楷体_GB2312" w:hAnsi="宋体" w:eastAsia="楷体_GB2312" w:cs="Times New Roman"/>
          <w:b/>
          <w:sz w:val="32"/>
          <w:szCs w:val="32"/>
          <w:lang w:val="zh-CN"/>
        </w:rPr>
        <w:t>（四）项目绩效目标设置。</w:t>
      </w:r>
      <w:r>
        <w:rPr>
          <w:rFonts w:hint="eastAsia" w:ascii="仿宋_GB2312" w:hAnsi="仿宋_GB2312" w:eastAsia="仿宋_GB2312" w:cs="仿宋_GB2312"/>
          <w:sz w:val="32"/>
          <w:szCs w:val="32"/>
          <w:lang w:val="zh-CN"/>
        </w:rPr>
        <w:t>该项目有利于</w:t>
      </w:r>
      <w:r>
        <w:rPr>
          <w:rFonts w:hint="eastAsia" w:ascii="仿宋_GB2312" w:hAnsi="仿宋_GB2312" w:eastAsia="仿宋_GB2312" w:cs="仿宋_GB2312"/>
          <w:sz w:val="32"/>
          <w:szCs w:val="32"/>
        </w:rPr>
        <w:t>消除安全隐患，更新办公设备，优化用房布局，满足办公服务需求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满足干部职工基本办公生活需求。</w:t>
      </w:r>
    </w:p>
    <w:p w14:paraId="3044BDBD">
      <w:pPr>
        <w:suppressAutoHyphens/>
        <w:bidi w:val="0"/>
        <w:adjustRightInd w:val="0"/>
        <w:snapToGrid w:val="0"/>
        <w:spacing w:line="578" w:lineRule="exact"/>
        <w:ind w:firstLine="640" w:firstLineChars="200"/>
        <w:outlineLvl w:val="1"/>
        <w:rPr>
          <w:rFonts w:hint="eastAsia" w:ascii="黑体" w:hAnsi="宋体" w:eastAsia="黑体" w:cs="Times New Roman"/>
          <w:sz w:val="32"/>
          <w:szCs w:val="32"/>
        </w:rPr>
      </w:pPr>
      <w:bookmarkStart w:id="83" w:name="_Toc233"/>
      <w:bookmarkStart w:id="84" w:name="_Toc7221"/>
      <w:r>
        <w:rPr>
          <w:rFonts w:hint="eastAsia" w:ascii="黑体" w:hAnsi="宋体" w:eastAsia="黑体" w:cs="Times New Roman"/>
          <w:sz w:val="32"/>
          <w:szCs w:val="32"/>
        </w:rPr>
        <w:t>二、评价实施</w:t>
      </w:r>
      <w:bookmarkEnd w:id="83"/>
      <w:bookmarkEnd w:id="84"/>
    </w:p>
    <w:p w14:paraId="5D7D8BD5">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rPr>
        <w:t>（一）评价目的。</w:t>
      </w:r>
      <w:r>
        <w:rPr>
          <w:rFonts w:hint="eastAsia" w:ascii="仿宋_GB2312" w:hAnsi="仿宋_GB2312" w:eastAsia="仿宋_GB2312" w:cs="仿宋_GB2312"/>
          <w:sz w:val="32"/>
          <w:szCs w:val="32"/>
        </w:rPr>
        <w:t>通为进一步提升预算管理水平、提高公共服务质量、优化公共资源配置提供决策参考，为以后年度类似项目专项资金安排、政策制度建设、预算绩效的推进提供必要的借鉴。</w:t>
      </w:r>
    </w:p>
    <w:p w14:paraId="4133D5D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rPr>
        <w:t>（二）预设问题及评价重点。</w:t>
      </w: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14:paraId="2B6B4A4C">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rPr>
        <w:t>（三）评价选点。</w:t>
      </w:r>
      <w:r>
        <w:rPr>
          <w:rFonts w:hint="eastAsia" w:ascii="仿宋_GB2312" w:hAnsi="仿宋_GB2312" w:eastAsia="仿宋_GB2312" w:cs="仿宋_GB2312"/>
          <w:color w:val="000000"/>
          <w:kern w:val="0"/>
          <w:sz w:val="32"/>
          <w:szCs w:val="32"/>
          <w:shd w:val="clear" w:color="auto" w:fill="FFFFFF"/>
        </w:rPr>
        <w:t>项目资金由镇财政所具体管理，按投资计划，对项目资金按项目单独核算</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实行“专款专用、专人管理”，不得挤占</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挪用项目资金。指派专人对项目的实施定期或不定期的</w:t>
      </w:r>
      <w:r>
        <w:rPr>
          <w:rFonts w:hint="eastAsia" w:ascii="仿宋_GB2312" w:hAnsi="仿宋_GB2312" w:eastAsia="仿宋_GB2312" w:cs="仿宋_GB2312"/>
          <w:sz w:val="32"/>
          <w:szCs w:val="32"/>
        </w:rPr>
        <w:t>进行现场检查和监督，及时协调解决困难和问题，保证工程质量。</w:t>
      </w:r>
    </w:p>
    <w:p w14:paraId="65AB608D">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rPr>
        <w:t>（四）评价方法。</w:t>
      </w:r>
      <w:r>
        <w:rPr>
          <w:rFonts w:hint="eastAsia" w:ascii="仿宋_GB2312" w:hAnsi="仿宋_GB2312" w:eastAsia="仿宋_GB2312" w:cs="仿宋_GB2312"/>
          <w:sz w:val="32"/>
          <w:szCs w:val="32"/>
          <w:lang w:val="zh-CN"/>
        </w:rPr>
        <w:t>该项目采用</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7B7CA747">
      <w:pPr>
        <w:keepNext w:val="0"/>
        <w:keepLines w:val="0"/>
        <w:pageBreakBefore w:val="0"/>
        <w:widowControl w:val="0"/>
        <w:suppressAutoHyphens/>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1.前期工作</w:t>
      </w:r>
      <w:r>
        <w:rPr>
          <w:rFonts w:hint="eastAsia" w:ascii="仿宋_GB2312" w:hAnsi="仿宋_GB2312" w:eastAsia="仿宋_GB2312" w:cs="仿宋_GB2312"/>
          <w:sz w:val="32"/>
          <w:szCs w:val="32"/>
          <w:lang w:val="zh-CN"/>
        </w:rPr>
        <w:t>：成立项目绩效自评领导小组，安排专人收集整理相关数据档案、拟定实地核查方案。</w:t>
      </w:r>
    </w:p>
    <w:p w14:paraId="3E4213BE">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2.实地核查：</w:t>
      </w:r>
      <w:r>
        <w:rPr>
          <w:rFonts w:hint="eastAsia" w:ascii="仿宋_GB2312" w:hAnsi="仿宋_GB2312" w:eastAsia="仿宋_GB2312" w:cs="仿宋_GB2312"/>
          <w:sz w:val="32"/>
          <w:szCs w:val="32"/>
        </w:rPr>
        <w:t>自评工作小组，根据评价指标对</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zh-CN"/>
        </w:rPr>
        <w:t>情况进行调查核实，沟口镇财经审查办公室对项目资金完善进行自评。</w:t>
      </w:r>
    </w:p>
    <w:p w14:paraId="69CB71BA">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3.分析评价：</w:t>
      </w:r>
      <w:r>
        <w:rPr>
          <w:rFonts w:hint="eastAsia" w:ascii="仿宋_GB2312" w:hAnsi="仿宋_GB2312" w:eastAsia="仿宋_GB2312" w:cs="仿宋_GB2312"/>
          <w:sz w:val="32"/>
          <w:szCs w:val="32"/>
          <w:lang w:val="zh-CN"/>
        </w:rPr>
        <w:t>根据自查结果，对绩效评价指标进行全面的分析形成绩效评价报告。</w:t>
      </w:r>
    </w:p>
    <w:p w14:paraId="74A2DDB3">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（五）评价组织。</w:t>
      </w:r>
      <w:r>
        <w:rPr>
          <w:rFonts w:hint="eastAsia" w:ascii="仿宋_GB2312" w:hAnsi="仿宋_GB2312" w:eastAsia="仿宋_GB2312" w:cs="仿宋_GB2312"/>
          <w:sz w:val="32"/>
          <w:szCs w:val="32"/>
          <w:lang w:val="zh-CN"/>
        </w:rPr>
        <w:t>成立项目绩效自评领导小组，由分管财务副镇长牵头，沟口镇财经审查办公室、沟口镇各驻村工作组组成自评小组，通过数据分析、实地核查、分析评价形成绩效评价报告。</w:t>
      </w:r>
    </w:p>
    <w:p w14:paraId="70556E94">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三、绩效分析</w:t>
      </w:r>
      <w:r>
        <w:rPr>
          <w:rFonts w:hint="eastAsia" w:ascii="仿宋_GB2312" w:hAnsi="仿宋_GB2312" w:eastAsia="仿宋_GB2312" w:cs="仿宋_GB2312"/>
          <w:b/>
          <w:bCs/>
          <w:sz w:val="32"/>
          <w:szCs w:val="32"/>
          <w:lang w:val="zh-CN"/>
        </w:rPr>
        <w:tab/>
      </w:r>
    </w:p>
    <w:p w14:paraId="30600FD6">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通用指标</w:t>
      </w:r>
      <w:r>
        <w:rPr>
          <w:rFonts w:hint="eastAsia" w:ascii="仿宋_GB2312" w:hAnsi="仿宋_GB2312" w:eastAsia="仿宋_GB2312" w:cs="仿宋_GB2312"/>
          <w:b/>
          <w:bCs/>
          <w:sz w:val="32"/>
          <w:szCs w:val="32"/>
          <w:lang w:val="zh-CN"/>
        </w:rPr>
        <w:t>绩效分析</w:t>
      </w:r>
    </w:p>
    <w:p w14:paraId="2A17EBD7">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1.项目决策。</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人民政府负责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补助资金根据各村人口、幅员面积、地理区位、村集体收入和工作绩效等因素分村确定具体的补助标准，</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驻村工作组对完工内容进行验收，</w:t>
      </w:r>
      <w:r>
        <w:rPr>
          <w:rFonts w:hint="eastAsia" w:ascii="仿宋_GB2312" w:hAnsi="仿宋_GB2312" w:eastAsia="仿宋_GB2312" w:cs="仿宋_GB2312"/>
          <w:sz w:val="32"/>
          <w:szCs w:val="32"/>
          <w:lang w:eastAsia="zh-CN"/>
        </w:rPr>
        <w:t>沟口镇财务室</w:t>
      </w:r>
      <w:r>
        <w:rPr>
          <w:rFonts w:hint="eastAsia" w:ascii="仿宋_GB2312" w:hAnsi="仿宋_GB2312" w:eastAsia="仿宋_GB2312" w:cs="仿宋_GB2312"/>
          <w:sz w:val="32"/>
          <w:szCs w:val="32"/>
        </w:rPr>
        <w:t>支付资金。</w:t>
      </w:r>
    </w:p>
    <w:p w14:paraId="239275F3">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2.项目管理。</w:t>
      </w:r>
      <w:r>
        <w:rPr>
          <w:rFonts w:hint="eastAsia" w:ascii="仿宋_GB2312" w:hAnsi="仿宋_GB2312" w:eastAsia="仿宋_GB2312" w:cs="仿宋_GB2312"/>
          <w:sz w:val="32"/>
          <w:szCs w:val="32"/>
        </w:rPr>
        <w:t>镇政府统一监督管理，严禁弄虚作假</w:t>
      </w:r>
      <w:r>
        <w:rPr>
          <w:rFonts w:hint="eastAsia" w:ascii="仿宋_GB2312" w:hAnsi="仿宋_GB2312" w:eastAsia="仿宋_GB2312" w:cs="仿宋_GB2312"/>
          <w:sz w:val="32"/>
          <w:szCs w:val="32"/>
          <w:lang w:eastAsia="zh-CN"/>
        </w:rPr>
        <w:t>。</w:t>
      </w:r>
    </w:p>
    <w:p w14:paraId="7C0F6372">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3.项目实施</w:t>
      </w:r>
      <w:r>
        <w:rPr>
          <w:rFonts w:hint="eastAsia" w:ascii="仿宋_GB2312" w:hAnsi="仿宋_GB2312" w:eastAsia="仿宋_GB2312" w:cs="仿宋_GB2312"/>
          <w:sz w:val="32"/>
          <w:szCs w:val="32"/>
        </w:rPr>
        <w:t>。为确保项目的顺利实施，负责建设相关事宜，以确保项目保质保量按时完工。对项目资金按项目单独核算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实行“专款专用、专人管理”，不得挤占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挪用项目资金。</w:t>
      </w:r>
    </w:p>
    <w:p w14:paraId="45B08DB6">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4.项目结果。</w:t>
      </w:r>
      <w:r>
        <w:rPr>
          <w:rFonts w:hint="eastAsia" w:ascii="仿宋_GB2312" w:hAnsi="仿宋_GB2312" w:eastAsia="仿宋_GB2312" w:cs="仿宋_GB2312"/>
          <w:sz w:val="32"/>
          <w:szCs w:val="32"/>
          <w:lang w:eastAsia="zh-CN"/>
        </w:rPr>
        <w:t>该项目已完成支付。</w:t>
      </w:r>
    </w:p>
    <w:p w14:paraId="06298C41">
      <w:pPr>
        <w:keepNext w:val="0"/>
        <w:keepLines w:val="0"/>
        <w:pageBreakBefore w:val="0"/>
        <w:widowControl w:val="0"/>
        <w:suppressAutoHyphens/>
        <w:kinsoku/>
        <w:wordWrap/>
        <w:overflowPunct/>
        <w:topLinePunct w:val="0"/>
        <w:autoSpaceDE/>
        <w:autoSpaceDN/>
        <w:bidi w:val="0"/>
        <w:spacing w:line="578" w:lineRule="exact"/>
        <w:ind w:firstLine="643" w:firstLineChars="200"/>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（二）专用指标绩效分析</w:t>
      </w:r>
    </w:p>
    <w:p w14:paraId="58B84666">
      <w:pPr>
        <w:keepNext w:val="0"/>
        <w:keepLines w:val="0"/>
        <w:pageBreakBefore w:val="0"/>
        <w:widowControl w:val="0"/>
        <w:suppressAutoHyphens/>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1.产业发展类。通过完善基础设施建设，进一步改善了村级的基础设施和公共服务，扩大了农村基层民主</w:t>
      </w:r>
      <w:r>
        <w:rPr>
          <w:rFonts w:hint="eastAsia" w:ascii="仿宋_GB2312" w:hAnsi="仿宋_GB2312" w:eastAsia="仿宋_GB2312" w:cs="仿宋_GB2312"/>
          <w:sz w:val="32"/>
          <w:szCs w:val="32"/>
          <w:lang w:eastAsia="zh-CN"/>
        </w:rPr>
        <w:t>。</w:t>
      </w:r>
    </w:p>
    <w:p w14:paraId="3CEAB0D1">
      <w:pPr>
        <w:keepNext w:val="0"/>
        <w:keepLines w:val="0"/>
        <w:pageBreakBefore w:val="0"/>
        <w:widowControl w:val="0"/>
        <w:suppressAutoHyphens/>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完善了村民自治，密切了党和政府同农民群众的关系，满足了农民群众的需求，也为我镇的村级项目建设起到了示范和引领作用。</w:t>
      </w:r>
    </w:p>
    <w:p w14:paraId="525B39FE">
      <w:pPr>
        <w:keepNext w:val="0"/>
        <w:keepLines w:val="0"/>
        <w:pageBreakBefore w:val="0"/>
        <w:widowControl w:val="0"/>
        <w:suppressAutoHyphens/>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3.基础设施类。采取专户核算、专款专用。</w:t>
      </w:r>
      <w:r>
        <w:rPr>
          <w:rFonts w:hint="eastAsia" w:ascii="仿宋_GB2312" w:hAnsi="仿宋_GB2312" w:eastAsia="仿宋_GB2312" w:cs="仿宋_GB2312"/>
          <w:sz w:val="32"/>
          <w:szCs w:val="32"/>
          <w:lang w:val="en-US" w:eastAsia="zh-CN"/>
        </w:rPr>
        <w:t>建立台账，明确到村保障资金数额，确保保障资金用于村内</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公共服务设施</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运行维护，防止挪用和平调。</w:t>
      </w:r>
    </w:p>
    <w:p w14:paraId="609FE24F">
      <w:pPr>
        <w:keepNext w:val="0"/>
        <w:keepLines w:val="0"/>
        <w:pageBreakBefore w:val="0"/>
        <w:widowControl w:val="0"/>
        <w:suppressAutoHyphens/>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项目用途合规、程序合规、标准合规，</w:t>
      </w:r>
      <w:r>
        <w:rPr>
          <w:rFonts w:hint="eastAsia" w:ascii="仿宋_GB2312" w:hAnsi="仿宋_GB2312" w:eastAsia="仿宋_GB2312" w:cs="仿宋_GB2312"/>
          <w:sz w:val="32"/>
          <w:szCs w:val="32"/>
          <w:lang w:val="en-US" w:eastAsia="zh-CN"/>
        </w:rPr>
        <w:t>收支合理、手续完备、数字准确、账目清楚。</w:t>
      </w:r>
    </w:p>
    <w:p w14:paraId="6A566919">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w:t>
      </w:r>
      <w:r>
        <w:rPr>
          <w:rFonts w:hint="eastAsia" w:ascii="仿宋_GB2312" w:hAnsi="仿宋_GB2312" w:eastAsia="仿宋_GB2312" w:cs="仿宋_GB2312"/>
          <w:b/>
          <w:bCs/>
          <w:sz w:val="32"/>
          <w:szCs w:val="32"/>
        </w:rPr>
        <w:t>个性指标</w:t>
      </w:r>
      <w:r>
        <w:rPr>
          <w:rFonts w:hint="eastAsia" w:ascii="仿宋_GB2312" w:hAnsi="仿宋_GB2312" w:eastAsia="仿宋_GB2312" w:cs="仿宋_GB2312"/>
          <w:b/>
          <w:bCs/>
          <w:sz w:val="32"/>
          <w:szCs w:val="32"/>
          <w:lang w:val="zh-CN"/>
        </w:rPr>
        <w:t>绩效分析</w:t>
      </w:r>
    </w:p>
    <w:p w14:paraId="1EFFD556">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时效指标：项目计划于2024年底完成，完成支付率96.42%。</w:t>
      </w:r>
    </w:p>
    <w:p w14:paraId="2F195E7C">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（四）评价结论</w:t>
      </w:r>
    </w:p>
    <w:p w14:paraId="0916649A">
      <w:pPr>
        <w:widowControl/>
        <w:numPr>
          <w:ilvl w:val="0"/>
          <w:numId w:val="0"/>
        </w:numPr>
        <w:ind w:firstLine="640" w:firstLineChars="200"/>
        <w:jc w:val="left"/>
        <w:rPr>
          <w:rFonts w:ascii="Times New Roman"/>
          <w:sz w:val="32"/>
          <w:szCs w:val="32"/>
          <w:lang w:eastAsia="zh-CN"/>
        </w:rPr>
      </w:pPr>
      <w:r>
        <w:rPr>
          <w:rFonts w:hint="eastAsia" w:ascii="仿宋_GB2312" w:hAnsi="宋体" w:eastAsia="仿宋_GB2312"/>
          <w:color w:val="auto"/>
          <w:kern w:val="2"/>
          <w:sz w:val="32"/>
          <w:szCs w:val="32"/>
        </w:rPr>
        <w:t>该项目消除安全隐患，更新办公设备，优化用房布局，满足办公服务需求。满足干部职工基本办公生活需求。为发展经济提供基础指挥平台，能为茂县社会经济带来更多正面影响。</w:t>
      </w:r>
    </w:p>
    <w:p w14:paraId="03ABE4EB">
      <w:pPr>
        <w:pStyle w:val="8"/>
        <w:keepNext w:val="0"/>
        <w:keepLines w:val="0"/>
        <w:pageBreakBefore w:val="0"/>
        <w:numPr>
          <w:ilvl w:val="0"/>
          <w:numId w:val="5"/>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5DF4C0F1">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6629FFF4">
      <w:pPr>
        <w:pStyle w:val="8"/>
        <w:keepNext w:val="0"/>
        <w:keepLines w:val="0"/>
        <w:pageBreakBefore w:val="0"/>
        <w:numPr>
          <w:ilvl w:val="0"/>
          <w:numId w:val="5"/>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33C8A071">
      <w:pPr>
        <w:snapToGrid w:val="0"/>
        <w:spacing w:line="578" w:lineRule="exact"/>
        <w:ind w:firstLine="640" w:firstLineChars="200"/>
        <w:rPr>
          <w:rFonts w:hint="default" w:ascii="黑体" w:hAnsi="黑体" w:eastAsia="黑体" w:cs="黑体"/>
          <w:kern w:val="0"/>
          <w:sz w:val="32"/>
          <w:szCs w:val="32"/>
          <w:shd w:val="clear" w:color="auto" w:fill="FFFFFF"/>
          <w:lang w:val="en-US"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52E37B58">
      <w:pPr>
        <w:widowControl/>
        <w:numPr>
          <w:ilvl w:val="0"/>
          <w:numId w:val="0"/>
        </w:numPr>
        <w:ind w:firstLine="640" w:firstLineChars="200"/>
        <w:jc w:val="left"/>
        <w:rPr>
          <w:rFonts w:eastAsia="黑体"/>
          <w:kern w:val="0"/>
          <w:shd w:val="clear" w:color="auto" w:fill="FFFFFF"/>
        </w:rPr>
      </w:pPr>
      <w:r>
        <w:rPr>
          <w:rFonts w:hint="eastAsia" w:ascii="仿宋_GB2312" w:hAnsi="宋体" w:eastAsia="仿宋_GB2312" w:cs="Times New Roman"/>
          <w:color w:val="auto"/>
          <w:kern w:val="2"/>
          <w:sz w:val="32"/>
          <w:szCs w:val="32"/>
          <w:lang w:val="zh-CN"/>
        </w:rPr>
        <w:t xml:space="preserve"> </w:t>
      </w:r>
      <w:r>
        <w:rPr>
          <w:rFonts w:hint="eastAsia" w:ascii="仿宋_GB2312" w:hAnsi="宋体" w:eastAsia="仿宋_GB2312" w:cs="Times New Roman"/>
          <w:color w:val="auto"/>
          <w:kern w:val="2"/>
          <w:sz w:val="32"/>
          <w:szCs w:val="32"/>
          <w:lang w:val="zh-CN"/>
        </w:rPr>
        <w:br w:type="page"/>
      </w:r>
      <w:r>
        <w:rPr>
          <w:rFonts w:eastAsia="黑体"/>
          <w:kern w:val="0"/>
          <w:shd w:val="clear" w:color="auto" w:fill="FFFFFF"/>
          <w:lang w:val="zh-CN"/>
        </w:rPr>
        <w:t>附表</w:t>
      </w:r>
      <w:r>
        <w:rPr>
          <w:rFonts w:eastAsia="黑体"/>
          <w:kern w:val="0"/>
          <w:shd w:val="clear" w:color="auto" w:fill="FFFFFF"/>
        </w:rPr>
        <w:t>1</w:t>
      </w:r>
    </w:p>
    <w:p w14:paraId="657456BA">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54055482">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55048C4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70B2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4A6B567F">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27CDC8B5">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25F66B46">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0E15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68DC15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A47BA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64009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9C959">
            <w:pPr>
              <w:widowControl/>
              <w:spacing w:line="24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287E177C">
            <w:pPr>
              <w:widowControl/>
              <w:spacing w:line="24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429226A5">
            <w:pPr>
              <w:widowControl/>
              <w:spacing w:line="240" w:lineRule="exact"/>
              <w:jc w:val="center"/>
              <w:rPr>
                <w:rFonts w:hint="eastAsia" w:ascii="仿宋_GB2312" w:hAnsi="仿宋_GB2312" w:eastAsia="仿宋_GB2312" w:cs="仿宋_GB2312"/>
                <w:color w:val="000000"/>
                <w:sz w:val="21"/>
                <w:szCs w:val="21"/>
              </w:rPr>
            </w:pPr>
          </w:p>
        </w:tc>
      </w:tr>
      <w:tr w14:paraId="1ECDA11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3CCAC">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FC6DE2">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A953A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518ED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B2C85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A87E3B">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1A9A5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F3CA55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6883B">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58D90E">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95684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1ED61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B6AC2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66430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1151B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244E04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8FF8">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758AE4">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66334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D5064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6A16B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89374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B4FAE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2183E6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7BBBA">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980046">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CA043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B80865">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EDC6A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C2BB0D">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AF5991">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ACB8BC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E33C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E7E76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DE92B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4B23B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3DB3E3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77A475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908074">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72E07A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36849">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3B54F8">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19BF8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EDC5D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1CA88A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0101FB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A8A11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5E0828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3D549">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3431F6">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F18B0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9645D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D1275E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449AAB">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0A57E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32C791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65971">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BF43D5">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425A1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647AE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C4819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EADFDB">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ADC909">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8965F7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41818">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14C18E">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C14A8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C1A25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CCA495">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2FFD0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9BC2A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427DDC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D6661">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537DE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73DB4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B694B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2445A0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92900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4D8A74">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B71BF4F">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9B840">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074059">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45A8B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FDB11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6906E8">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29CEEB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AED0B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413D7A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4B3E5">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54962A">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B661E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7F197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4D6194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1B313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3E017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675DD7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40AB7">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902569">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E7420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E43BB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3C8A5A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8D1FA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5411A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BDE9DC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E7106">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32822E">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337C2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3201A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2AC3E7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66D34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98941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A9F7FB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B8F50">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2616F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F48F0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351CB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FDEF0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228550">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6F1420">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5019AA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E824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4575AE">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90C75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2643A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BF857A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6026E3">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24A62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115EC1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D040B">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7190F5">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A5BC7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4821D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AFBA8C">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632ECE">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D536A4">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6D7497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488AA">
            <w:pPr>
              <w:widowControl/>
              <w:spacing w:line="24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C50A0">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7C4A7">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D93B3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CB2A2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BB6C72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34020A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C08DC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407C78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5AEB4">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22BD8">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1B1B8">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0B8B1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4AA52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028CA8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B96219">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B1192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482F26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2BB19">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CC3F9">
            <w:pPr>
              <w:widowControl/>
              <w:spacing w:line="24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FFFF">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377B8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0ADD05">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5E557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6CE6D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492343">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2A366D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C89BD">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159DA">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D8E8F">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F5FE1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02395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7E3C277">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20C50F1">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C4BEB9">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96CD30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C35A8">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20500">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A6F7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91AA8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68AC9F">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FFB166">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6F368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CB6FE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4045AE0">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E426E">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851323">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4D77284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18B0E25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1700227F">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7C9C619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4A12B969">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E72010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CF2C5">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25FD7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4B907EB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5F4516D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5E6C5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495C81E">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2A71C0">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BDBDED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BA9B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9CF31">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09E43EC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7311ED23">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59FCC4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AF4251">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D6482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D19847C">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D2C83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E4B89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04638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8ED9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B6DD8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7C1D3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F599BCE">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259F387">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80806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018CE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4F343">
            <w:pPr>
              <w:widowControl/>
              <w:spacing w:line="24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9E0F50">
            <w:pPr>
              <w:widowControl/>
              <w:spacing w:line="24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E4772DA">
            <w:pPr>
              <w:widowControl/>
              <w:spacing w:line="240" w:lineRule="exact"/>
              <w:jc w:val="left"/>
              <w:rPr>
                <w:rFonts w:hint="eastAsia" w:ascii="仿宋_GB2312" w:hAnsi="仿宋_GB2312" w:eastAsia="仿宋_GB2312" w:cs="仿宋_GB2312"/>
                <w:color w:val="000000"/>
                <w:sz w:val="21"/>
                <w:szCs w:val="21"/>
              </w:rPr>
            </w:pPr>
          </w:p>
        </w:tc>
      </w:tr>
      <w:tr w14:paraId="2956AB30">
        <w:tblPrEx>
          <w:tblCellMar>
            <w:top w:w="0" w:type="dxa"/>
            <w:left w:w="108" w:type="dxa"/>
            <w:bottom w:w="0" w:type="dxa"/>
            <w:right w:w="108" w:type="dxa"/>
          </w:tblCellMar>
        </w:tblPrEx>
        <w:trPr>
          <w:trHeight w:val="37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511125BA">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A4153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88A1F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F8881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BE53D7">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BBF6B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EA81A20">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4A0C216A">
            <w:pPr>
              <w:widowControl/>
              <w:spacing w:line="24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B431F3">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FC8687">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291260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B0E505">
            <w:pPr>
              <w:widowControl/>
              <w:spacing w:line="240" w:lineRule="exact"/>
              <w:ind w:firstLine="260" w:firstLineChars="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4B4F6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bl>
    <w:p w14:paraId="1F0D3D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br w:type="page"/>
      </w:r>
    </w:p>
    <w:p w14:paraId="67B8F401">
      <w:pPr>
        <w:spacing w:line="578"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887"/>
        <w:gridCol w:w="552"/>
        <w:gridCol w:w="971"/>
        <w:gridCol w:w="1061"/>
        <w:gridCol w:w="938"/>
        <w:gridCol w:w="1841"/>
      </w:tblGrid>
      <w:tr w14:paraId="6ACE187B">
        <w:tblPrEx>
          <w:tblCellMar>
            <w:top w:w="15" w:type="dxa"/>
            <w:left w:w="15" w:type="dxa"/>
            <w:bottom w:w="15" w:type="dxa"/>
            <w:right w:w="15" w:type="dxa"/>
          </w:tblCellMar>
        </w:tblPrEx>
        <w:trPr>
          <w:trHeight w:val="680" w:hRule="atLeast"/>
          <w:jc w:val="center"/>
        </w:trPr>
        <w:tc>
          <w:tcPr>
            <w:tcW w:w="10233" w:type="dxa"/>
            <w:gridSpan w:val="9"/>
            <w:noWrap w:val="0"/>
            <w:vAlign w:val="center"/>
          </w:tcPr>
          <w:p w14:paraId="000E3656">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272F111F">
        <w:tblPrEx>
          <w:tblCellMar>
            <w:top w:w="15" w:type="dxa"/>
            <w:left w:w="15" w:type="dxa"/>
            <w:bottom w:w="15" w:type="dxa"/>
            <w:right w:w="15" w:type="dxa"/>
          </w:tblCellMar>
        </w:tblPrEx>
        <w:trPr>
          <w:trHeight w:val="536"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57EB3BA4">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14DDB750">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val="en-US" w:eastAsia="zh-CN" w:bidi="ar"/>
              </w:rPr>
              <w:t>茂县沟口镇基层政权建设补助资金—办公楼及宿舍楼安全维修</w:t>
            </w:r>
          </w:p>
        </w:tc>
      </w:tr>
      <w:tr w14:paraId="7A7BEC87">
        <w:tblPrEx>
          <w:tblCellMar>
            <w:top w:w="15" w:type="dxa"/>
            <w:left w:w="15" w:type="dxa"/>
            <w:bottom w:w="15" w:type="dxa"/>
            <w:right w:w="15" w:type="dxa"/>
          </w:tblCellMar>
        </w:tblPrEx>
        <w:trPr>
          <w:trHeight w:val="458"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065F80A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预算单位</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23C55D5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eastAsia="zh-CN" w:bidi="ar"/>
              </w:rPr>
              <w:t>茂县沟口镇人民政府</w:t>
            </w:r>
          </w:p>
        </w:tc>
      </w:tr>
      <w:tr w14:paraId="43344DA3">
        <w:tblPrEx>
          <w:tblCellMar>
            <w:top w:w="15" w:type="dxa"/>
            <w:left w:w="15" w:type="dxa"/>
            <w:bottom w:w="15" w:type="dxa"/>
            <w:right w:w="15" w:type="dxa"/>
          </w:tblCellMar>
        </w:tblPrEx>
        <w:trPr>
          <w:trHeight w:val="23"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353E064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项目类型</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F02D01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5AC86827">
        <w:tblPrEx>
          <w:tblCellMar>
            <w:top w:w="15" w:type="dxa"/>
            <w:left w:w="15" w:type="dxa"/>
            <w:bottom w:w="15" w:type="dxa"/>
            <w:right w:w="15" w:type="dxa"/>
          </w:tblCellMar>
        </w:tblPrEx>
        <w:trPr>
          <w:trHeight w:val="727"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AAF83">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 概况</w:t>
            </w: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6F7F1AB0">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32BC84D5">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常年项目）</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3ECCB41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68B952A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637C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3D862C9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资金管理办法（名称、文号）</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6219F22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茂财预</w:t>
            </w:r>
            <w:r>
              <w:rPr>
                <w:rFonts w:hint="eastAsia" w:ascii="仿宋_GB2312" w:hAnsi="宋体" w:eastAsia="仿宋_GB2312" w:cs="Times New Roman"/>
                <w:color w:val="auto"/>
                <w:kern w:val="2"/>
                <w:sz w:val="32"/>
                <w:szCs w:val="32"/>
                <w:lang w:val="en-US" w:eastAsia="zh-CN"/>
              </w:rPr>
              <w:t>〔</w:t>
            </w:r>
            <w:r>
              <w:rPr>
                <w:rFonts w:hint="eastAsia" w:ascii="仿宋_GB2312" w:hAnsi="仿宋_GB2312" w:eastAsia="仿宋_GB2312" w:cs="仿宋_GB2312"/>
                <w:color w:val="000000"/>
                <w:kern w:val="0"/>
                <w:sz w:val="18"/>
                <w:szCs w:val="18"/>
                <w:lang w:val="en-US" w:eastAsia="zh-CN" w:bidi="ar"/>
              </w:rPr>
              <w:t>2024〕</w:t>
            </w:r>
            <w:r>
              <w:rPr>
                <w:rFonts w:hint="eastAsia" w:ascii="仿宋_GB2312" w:hAnsi="仿宋_GB2312" w:eastAsia="仿宋_GB2312" w:cs="仿宋_GB2312"/>
                <w:color w:val="000000"/>
                <w:kern w:val="0"/>
                <w:sz w:val="18"/>
                <w:szCs w:val="18"/>
                <w:lang w:val="en-US" w:eastAsia="zh-CN" w:bidi="ar"/>
              </w:rPr>
              <w:t>45号</w:t>
            </w:r>
          </w:p>
        </w:tc>
      </w:tr>
      <w:tr w14:paraId="78BC9C0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B434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7ABA7F9D">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绩效分配方式</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11BF251">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2B0BAC9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3AC54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471E78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£因素法与项目法相结合</w:t>
            </w:r>
          </w:p>
        </w:tc>
      </w:tr>
      <w:tr w14:paraId="290D912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51165">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723D2E9B">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立项依据</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CE05F9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0DAE0C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3BC1A">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66EAAAAA">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使用范围</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5D9653D3">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1F99B30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21453">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55CEB69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申报（补助）条件</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6716400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441721D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740F1">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1BE05D3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项目起止年限</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5D25304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2024年</w:t>
            </w:r>
          </w:p>
        </w:tc>
      </w:tr>
      <w:tr w14:paraId="4130C3D4">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04E98A">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19DE412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（万元）</w:t>
            </w: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372B47E1">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年度资金总额：</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6CF5DB8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66EA05B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0BA86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68EE875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其中：财政拨款</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2C9FBF67">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eastAsia="zh-CN" w:bidi="ar"/>
              </w:rPr>
              <w:tab/>
            </w:r>
            <w:r>
              <w:rPr>
                <w:rFonts w:hint="eastAsia" w:ascii="仿宋_GB2312" w:hAnsi="仿宋_GB2312" w:eastAsia="仿宋_GB2312" w:cs="仿宋_GB2312"/>
                <w:color w:val="000000"/>
                <w:kern w:val="0"/>
                <w:sz w:val="18"/>
                <w:szCs w:val="18"/>
                <w:lang w:val="en-US" w:eastAsia="zh-CN" w:bidi="ar"/>
              </w:rPr>
              <w:t>100</w:t>
            </w:r>
            <w:r>
              <w:rPr>
                <w:rFonts w:hint="eastAsia" w:ascii="仿宋_GB2312" w:hAnsi="仿宋_GB2312" w:eastAsia="仿宋_GB2312" w:cs="仿宋_GB2312"/>
                <w:color w:val="000000"/>
                <w:kern w:val="0"/>
                <w:sz w:val="18"/>
                <w:szCs w:val="18"/>
                <w:lang w:eastAsia="zh-CN" w:bidi="ar"/>
              </w:rPr>
              <w:t>万元</w:t>
            </w:r>
          </w:p>
        </w:tc>
      </w:tr>
      <w:tr w14:paraId="224E5F3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3DAD88">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5FD29F7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其他资金</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7C787CA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74A0352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A7C84">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0B8E0B1">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年度目标</w:t>
            </w:r>
          </w:p>
        </w:tc>
      </w:tr>
      <w:tr w14:paraId="7A906DB7">
        <w:tblPrEx>
          <w:tblCellMar>
            <w:top w:w="15" w:type="dxa"/>
            <w:left w:w="15" w:type="dxa"/>
            <w:bottom w:w="15" w:type="dxa"/>
            <w:right w:w="15" w:type="dxa"/>
          </w:tblCellMar>
        </w:tblPrEx>
        <w:trPr>
          <w:trHeight w:val="64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277F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5A12E7D">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该项目消除安全隐患，更新办公设备，优化用房布局，满足办公服务需求。满足干部职工基本办公生活需求。为发展经济提供基础指挥平台，能为茂县社会经济带来更多正面影响。</w:t>
            </w:r>
          </w:p>
          <w:p w14:paraId="47DA50A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47DA1FC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6EB5E10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0B1521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860217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21F5AC1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1A5895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EDC484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F6F840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F1BAB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70257B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654FDAB7">
        <w:tblPrEx>
          <w:tblCellMar>
            <w:top w:w="15" w:type="dxa"/>
            <w:left w:w="15" w:type="dxa"/>
            <w:bottom w:w="15" w:type="dxa"/>
            <w:right w:w="15" w:type="dxa"/>
          </w:tblCellMar>
        </w:tblPrEx>
        <w:trPr>
          <w:trHeight w:val="33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AC85AB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D2FF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BA62AD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A9653D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该项目数量（个数）</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3D1D2C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7DEDA3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B6CB8C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A1FCD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17D622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558A4351">
        <w:tblPrEx>
          <w:tblCellMar>
            <w:top w:w="15" w:type="dxa"/>
            <w:left w:w="15" w:type="dxa"/>
            <w:bottom w:w="15" w:type="dxa"/>
            <w:right w:w="15" w:type="dxa"/>
          </w:tblCellMar>
        </w:tblPrEx>
        <w:trPr>
          <w:trHeight w:val="31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035EB6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C007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BDBC66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77D9B9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利于乡村党群事业发展</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D618CD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8D0E04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5C085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048149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561443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6B2C6F2">
        <w:tblPrEx>
          <w:tblCellMar>
            <w:top w:w="15" w:type="dxa"/>
            <w:left w:w="15" w:type="dxa"/>
            <w:bottom w:w="15" w:type="dxa"/>
            <w:right w:w="15" w:type="dxa"/>
          </w:tblCellMar>
        </w:tblPrEx>
        <w:trPr>
          <w:trHeight w:val="51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A46D8A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A5B4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7F4086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8FFF100">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59B41E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C3A050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174BE9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BA0C19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FDAEA5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9E84D77">
        <w:tblPrEx>
          <w:tblCellMar>
            <w:top w:w="15" w:type="dxa"/>
            <w:left w:w="15" w:type="dxa"/>
            <w:bottom w:w="15" w:type="dxa"/>
            <w:right w:w="15" w:type="dxa"/>
          </w:tblCellMar>
        </w:tblPrEx>
        <w:trPr>
          <w:trHeight w:val="120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7226D6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A412F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B36B8C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192CC6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5898CC5">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为发展经济提供基础指挥平台，能为茂县社会经济带来更多正面影响。</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AA7C29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143F87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D8B70C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5CF771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528E2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0812336">
        <w:tblPrEx>
          <w:tblCellMar>
            <w:top w:w="15" w:type="dxa"/>
            <w:left w:w="15" w:type="dxa"/>
            <w:bottom w:w="15" w:type="dxa"/>
            <w:right w:w="15" w:type="dxa"/>
          </w:tblCellMar>
        </w:tblPrEx>
        <w:trPr>
          <w:trHeight w:val="63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042FB7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B4AB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0531FE6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104FA7F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3408B133">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DD5100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8DE2A0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DA767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76590E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333594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4D014FE4">
        <w:tblPrEx>
          <w:tblCellMar>
            <w:top w:w="15" w:type="dxa"/>
            <w:left w:w="15" w:type="dxa"/>
            <w:bottom w:w="15" w:type="dxa"/>
            <w:right w:w="15" w:type="dxa"/>
          </w:tblCellMar>
        </w:tblPrEx>
        <w:trPr>
          <w:trHeight w:val="81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01A0D6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5B43C3D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178D1E4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5C98CD6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32FD185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34A1367A">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DFDD22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935419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E5FA3B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BC0136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0C144E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4679DE1F">
        <w:tblPrEx>
          <w:tblCellMar>
            <w:top w:w="15" w:type="dxa"/>
            <w:left w:w="15" w:type="dxa"/>
            <w:bottom w:w="15" w:type="dxa"/>
            <w:right w:w="15" w:type="dxa"/>
          </w:tblCellMar>
        </w:tblPrEx>
        <w:trPr>
          <w:trHeight w:val="92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745BD1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02DDD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E1FD71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6ECACBE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bottom w:val="single" w:color="000000" w:sz="4" w:space="0"/>
              <w:right w:val="single" w:color="000000" w:sz="4" w:space="0"/>
            </w:tcBorders>
            <w:noWrap w:val="0"/>
            <w:vAlign w:val="center"/>
          </w:tcPr>
          <w:p w14:paraId="4FD061A3">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该项目成本控制范围</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DFD833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969869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570975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31801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8B028F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029D90D3">
      <w:pPr>
        <w:pStyle w:val="3"/>
        <w:spacing w:after="0" w:line="20" w:lineRule="exact"/>
        <w:ind w:leftChars="0" w:firstLine="480"/>
        <w:rPr>
          <w:rFonts w:hint="eastAsia" w:ascii="仿宋_GB2312" w:hAnsi="仿宋_GB2312" w:eastAsia="仿宋_GB2312" w:cs="仿宋_GB2312"/>
          <w:sz w:val="18"/>
          <w:szCs w:val="18"/>
        </w:rPr>
      </w:pPr>
    </w:p>
    <w:p w14:paraId="230458BD">
      <w:pPr>
        <w:spacing w:line="578" w:lineRule="exact"/>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附件5</w:t>
      </w:r>
    </w:p>
    <w:p w14:paraId="4173AC91">
      <w:pPr>
        <w:pStyle w:val="3"/>
        <w:spacing w:after="0" w:line="20" w:lineRule="exact"/>
        <w:ind w:leftChars="0" w:firstLine="480"/>
        <w:rPr>
          <w:rFonts w:hint="eastAsia" w:ascii="仿宋_GB2312" w:hAnsi="仿宋_GB2312" w:eastAsia="仿宋_GB2312" w:cs="仿宋_GB2312"/>
          <w:sz w:val="18"/>
          <w:szCs w:val="18"/>
        </w:rPr>
      </w:pPr>
    </w:p>
    <w:p w14:paraId="4F1FBAFC">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601B4D1">
      <w:pPr>
        <w:pStyle w:val="35"/>
        <w:spacing w:line="578" w:lineRule="exact"/>
        <w:jc w:val="center"/>
        <w:rPr>
          <w:rFonts w:ascii="Times New Roman" w:hAnsi="Times New Roman" w:eastAsia="方正小标宋简体"/>
          <w:color w:val="auto"/>
          <w:kern w:val="2"/>
          <w:sz w:val="44"/>
          <w:szCs w:val="44"/>
          <w:lang w:val="en-US"/>
        </w:rPr>
      </w:pPr>
      <w:bookmarkStart w:id="85" w:name="_Toc15396618"/>
      <w:r>
        <w:rPr>
          <w:rFonts w:ascii="Times New Roman" w:hAnsi="Times New Roman" w:eastAsia="方正小标宋简体"/>
          <w:color w:val="auto"/>
          <w:kern w:val="2"/>
          <w:sz w:val="44"/>
          <w:szCs w:val="44"/>
          <w:lang w:val="en-US"/>
        </w:rPr>
        <w:t>专项预算绩效自评报告</w:t>
      </w:r>
    </w:p>
    <w:p w14:paraId="02A5264C">
      <w:pPr>
        <w:pStyle w:val="35"/>
        <w:spacing w:line="578" w:lineRule="exact"/>
        <w:jc w:val="center"/>
        <w:rPr>
          <w:rFonts w:hint="eastAsia" w:ascii="Times New Roman" w:hAnsi="Times New Roman" w:eastAsia="楷体_GB2312" w:cs="Times New Roman"/>
          <w:b w:val="0"/>
          <w:bCs/>
          <w:color w:val="auto"/>
          <w:kern w:val="2"/>
          <w:sz w:val="36"/>
          <w:szCs w:val="36"/>
          <w:lang w:val="en-US" w:eastAsia="zh-CN" w:bidi="ar-SA"/>
        </w:rPr>
      </w:pPr>
      <w:r>
        <w:rPr>
          <w:rFonts w:hint="eastAsia" w:ascii="Times New Roman" w:hAnsi="Times New Roman" w:eastAsia="楷体_GB2312" w:cs="Times New Roman"/>
          <w:b w:val="0"/>
          <w:bCs/>
          <w:color w:val="auto"/>
          <w:kern w:val="2"/>
          <w:sz w:val="36"/>
          <w:szCs w:val="36"/>
          <w:lang w:val="en-US" w:eastAsia="zh-CN" w:bidi="ar-SA"/>
        </w:rPr>
        <w:t>（</w:t>
      </w:r>
      <w:r>
        <w:rPr>
          <w:rFonts w:hint="eastAsia" w:ascii="楷体" w:hAnsi="楷体" w:eastAsia="楷体" w:cs="楷体"/>
          <w:b w:val="0"/>
          <w:bCs/>
          <w:color w:val="auto"/>
          <w:kern w:val="2"/>
          <w:sz w:val="36"/>
          <w:szCs w:val="36"/>
          <w:lang w:val="en-US" w:eastAsia="zh-CN" w:bidi="ar-SA"/>
        </w:rPr>
        <w:t>沟口镇产业结构调整示范点项目</w:t>
      </w:r>
      <w:r>
        <w:rPr>
          <w:rFonts w:hint="eastAsia" w:ascii="Times New Roman" w:hAnsi="Times New Roman" w:eastAsia="楷体_GB2312" w:cs="Times New Roman"/>
          <w:b w:val="0"/>
          <w:bCs/>
          <w:color w:val="auto"/>
          <w:kern w:val="2"/>
          <w:sz w:val="36"/>
          <w:szCs w:val="36"/>
          <w:lang w:val="en-US" w:eastAsia="zh-CN" w:bidi="ar-SA"/>
        </w:rPr>
        <w:t>）</w:t>
      </w:r>
    </w:p>
    <w:p w14:paraId="5E07FB2C">
      <w:pPr>
        <w:pStyle w:val="35"/>
        <w:spacing w:line="578" w:lineRule="exact"/>
        <w:ind w:firstLine="640"/>
        <w:jc w:val="center"/>
        <w:rPr>
          <w:rFonts w:ascii="Times New Roman" w:hAnsi="Times New Roman" w:eastAsia="楷体_GB2312" w:cs="Times New Roman"/>
          <w:b/>
          <w:color w:val="auto"/>
          <w:kern w:val="2"/>
          <w:sz w:val="32"/>
          <w:szCs w:val="32"/>
          <w:lang w:val="zh-CN" w:eastAsia="zh-CN" w:bidi="ar-SA"/>
        </w:rPr>
      </w:pPr>
    </w:p>
    <w:p w14:paraId="6325B6EC">
      <w:pPr>
        <w:widowControl/>
        <w:numPr>
          <w:ilvl w:val="0"/>
          <w:numId w:val="0"/>
        </w:numPr>
        <w:ind w:firstLine="640" w:firstLineChars="200"/>
        <w:jc w:val="left"/>
        <w:rPr>
          <w:rFonts w:hint="eastAsia" w:ascii="黑体" w:hAnsi="黑体" w:eastAsia="黑体" w:cs="黑体"/>
          <w:b w:val="0"/>
          <w:bCs w:val="0"/>
          <w:color w:val="auto"/>
          <w:kern w:val="2"/>
          <w:sz w:val="32"/>
          <w:szCs w:val="32"/>
          <w:lang w:val="zh-CN" w:eastAsia="zh-CN"/>
        </w:rPr>
      </w:pPr>
      <w:r>
        <w:rPr>
          <w:rFonts w:hint="eastAsia" w:ascii="黑体" w:hAnsi="黑体" w:eastAsia="黑体" w:cs="黑体"/>
          <w:b w:val="0"/>
          <w:bCs w:val="0"/>
          <w:color w:val="auto"/>
          <w:kern w:val="2"/>
          <w:sz w:val="32"/>
          <w:szCs w:val="32"/>
          <w:lang w:val="zh-CN" w:eastAsia="zh-CN"/>
        </w:rPr>
        <w:t>一、项目概况</w:t>
      </w:r>
    </w:p>
    <w:p w14:paraId="3AD11228">
      <w:pPr>
        <w:widowControl/>
        <w:numPr>
          <w:ilvl w:val="0"/>
          <w:numId w:val="0"/>
        </w:numPr>
        <w:ind w:firstLine="643" w:firstLineChars="200"/>
        <w:jc w:val="left"/>
        <w:rPr>
          <w:rFonts w:hint="eastAsia" w:ascii="楷体" w:hAnsi="楷体" w:eastAsia="楷体" w:cs="楷体"/>
          <w:color w:val="auto"/>
          <w:kern w:val="2"/>
          <w:sz w:val="32"/>
          <w:szCs w:val="32"/>
          <w:lang w:val="zh-CN" w:eastAsia="zh-CN"/>
        </w:rPr>
      </w:pPr>
      <w:r>
        <w:rPr>
          <w:rFonts w:hint="eastAsia" w:ascii="楷体" w:hAnsi="楷体" w:eastAsia="楷体" w:cs="楷体"/>
          <w:b/>
          <w:bCs/>
          <w:color w:val="auto"/>
          <w:kern w:val="2"/>
          <w:sz w:val="32"/>
          <w:szCs w:val="32"/>
          <w:lang w:val="zh-CN" w:eastAsia="zh-CN"/>
        </w:rPr>
        <w:t>（一）设立背景及基本情况。</w:t>
      </w:r>
    </w:p>
    <w:p w14:paraId="571F6B89">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沟口镇产业结构调整示范点项目。该笔资金资金性质：财政资金</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金额为：50</w:t>
      </w:r>
      <w:r>
        <w:rPr>
          <w:rFonts w:hint="eastAsia" w:ascii="仿宋_GB2312" w:hAnsi="仿宋_GB2312" w:eastAsia="仿宋_GB2312" w:cs="仿宋_GB2312"/>
          <w:color w:val="auto"/>
          <w:kern w:val="2"/>
          <w:sz w:val="32"/>
          <w:szCs w:val="32"/>
          <w:lang w:val="en-US" w:eastAsia="zh-CN"/>
        </w:rPr>
        <w:t>.00</w:t>
      </w:r>
      <w:r>
        <w:rPr>
          <w:rFonts w:hint="eastAsia" w:ascii="仿宋_GB2312" w:hAnsi="仿宋_GB2312" w:eastAsia="仿宋_GB2312" w:cs="仿宋_GB2312"/>
          <w:color w:val="auto"/>
          <w:kern w:val="2"/>
          <w:sz w:val="32"/>
          <w:szCs w:val="32"/>
          <w:lang w:val="zh-CN" w:eastAsia="zh-CN"/>
        </w:rPr>
        <w:t>万元。</w:t>
      </w:r>
    </w:p>
    <w:p w14:paraId="52DBFAE0">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主要内容为：1.水若村：修建产业路1500m（435m3）；安装太阳杀虫灯10盏；修建蓄水池50立方一口；低压电线四线1100米购买安装，架设电杆7根。 2.沟口村：农田灌溉，水肥一体化浇灌。资金文号：茂财国代〔</w:t>
      </w:r>
      <w:r>
        <w:rPr>
          <w:rFonts w:hint="eastAsia" w:ascii="仿宋_GB2312" w:hAnsi="仿宋_GB2312" w:eastAsia="仿宋_GB2312" w:cs="仿宋_GB2312"/>
          <w:color w:val="auto"/>
          <w:kern w:val="2"/>
          <w:sz w:val="32"/>
          <w:szCs w:val="32"/>
          <w:lang w:val="en-US" w:eastAsia="zh-CN"/>
        </w:rPr>
        <w:t>2024</w:t>
      </w:r>
      <w:r>
        <w:rPr>
          <w:rFonts w:hint="eastAsia" w:ascii="仿宋_GB2312" w:hAnsi="仿宋_GB2312" w:eastAsia="仿宋_GB2312" w:cs="仿宋_GB2312"/>
          <w:color w:val="auto"/>
          <w:kern w:val="2"/>
          <w:sz w:val="32"/>
          <w:szCs w:val="32"/>
          <w:lang w:val="zh-CN" w:eastAsia="zh-CN"/>
        </w:rPr>
        <w:t>〕198号，于2024年底完成支付。</w:t>
      </w:r>
    </w:p>
    <w:p w14:paraId="4A7ABC53">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楷体" w:hAnsi="楷体" w:eastAsia="楷体" w:cs="楷体"/>
          <w:b/>
          <w:bCs/>
          <w:color w:val="auto"/>
          <w:kern w:val="2"/>
          <w:sz w:val="32"/>
          <w:szCs w:val="32"/>
          <w:lang w:val="zh-CN" w:eastAsia="zh-CN"/>
        </w:rPr>
        <w:t>（二）实施目的及支持方向。</w:t>
      </w:r>
      <w:r>
        <w:rPr>
          <w:rFonts w:hint="eastAsia" w:ascii="仿宋_GB2312" w:hAnsi="仿宋_GB2312" w:eastAsia="仿宋_GB2312" w:cs="仿宋_GB2312"/>
          <w:color w:val="auto"/>
          <w:kern w:val="2"/>
          <w:sz w:val="32"/>
          <w:szCs w:val="32"/>
          <w:lang w:val="zh-CN" w:eastAsia="zh-CN"/>
        </w:rPr>
        <w:t>该项目有利于乡村党群事业发展，为实现乡村振兴添砖加瓦，为发展经济提供基础指挥平台，能为茂县社会经济带来更多正面影响。</w:t>
      </w:r>
    </w:p>
    <w:p w14:paraId="5C6E0666">
      <w:pPr>
        <w:widowControl/>
        <w:numPr>
          <w:ilvl w:val="0"/>
          <w:numId w:val="0"/>
        </w:numPr>
        <w:ind w:firstLine="643" w:firstLineChars="200"/>
        <w:jc w:val="left"/>
        <w:rPr>
          <w:rFonts w:hint="default" w:ascii="仿宋_GB2312" w:hAnsi="仿宋_GB2312" w:eastAsia="仿宋_GB2312" w:cs="仿宋_GB2312"/>
          <w:color w:val="auto"/>
          <w:kern w:val="2"/>
          <w:sz w:val="32"/>
          <w:szCs w:val="32"/>
          <w:lang w:val="en-US" w:eastAsia="zh-CN"/>
        </w:rPr>
      </w:pPr>
      <w:r>
        <w:rPr>
          <w:rFonts w:hint="eastAsia" w:ascii="楷体" w:hAnsi="楷体" w:eastAsia="楷体" w:cs="楷体"/>
          <w:b/>
          <w:bCs/>
          <w:color w:val="auto"/>
          <w:kern w:val="2"/>
          <w:sz w:val="32"/>
          <w:szCs w:val="32"/>
          <w:lang w:val="zh-CN" w:eastAsia="zh-CN"/>
        </w:rPr>
        <w:t>（三）预算安排及分配管理。</w:t>
      </w:r>
      <w:r>
        <w:rPr>
          <w:rFonts w:hint="eastAsia" w:ascii="仿宋_GB2312" w:hAnsi="仿宋_GB2312" w:eastAsia="仿宋_GB2312" w:cs="仿宋_GB2312"/>
          <w:color w:val="auto"/>
          <w:kern w:val="2"/>
          <w:sz w:val="32"/>
          <w:szCs w:val="32"/>
          <w:lang w:val="zh-CN" w:eastAsia="zh-CN"/>
        </w:rPr>
        <w:t>沟口镇产业结构调整示范点项目，于</w:t>
      </w:r>
      <w:r>
        <w:rPr>
          <w:rFonts w:hint="eastAsia" w:ascii="仿宋_GB2312" w:hAnsi="仿宋_GB2312" w:eastAsia="仿宋_GB2312" w:cs="仿宋_GB2312"/>
          <w:color w:val="auto"/>
          <w:kern w:val="2"/>
          <w:sz w:val="32"/>
          <w:szCs w:val="32"/>
          <w:lang w:val="en-US" w:eastAsia="zh-CN"/>
        </w:rPr>
        <w:t>2024年申请到账，年底完成支付，完成金额48.44万元，完成率96.88%。预留1.56万元为项目质保金，待一年质保期限满后，项目验收合格退还质保金。</w:t>
      </w:r>
    </w:p>
    <w:p w14:paraId="03D8911D">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楷体" w:hAnsi="楷体" w:eastAsia="楷体" w:cs="楷体"/>
          <w:b/>
          <w:bCs/>
          <w:color w:val="auto"/>
          <w:kern w:val="2"/>
          <w:sz w:val="32"/>
          <w:szCs w:val="32"/>
          <w:lang w:val="zh-CN" w:eastAsia="zh-CN"/>
        </w:rPr>
        <w:t>（四）项目绩效目标设置。</w:t>
      </w:r>
      <w:r>
        <w:rPr>
          <w:rFonts w:hint="eastAsia" w:ascii="仿宋_GB2312" w:hAnsi="仿宋_GB2312" w:eastAsia="仿宋_GB2312" w:cs="仿宋_GB2312"/>
          <w:color w:val="auto"/>
          <w:kern w:val="2"/>
          <w:sz w:val="32"/>
          <w:szCs w:val="32"/>
          <w:lang w:val="zh-CN" w:eastAsia="zh-CN"/>
        </w:rPr>
        <w:t>该项目充分调动村支两委、农民群众和社会各界的积极性，共同推进农村公共服名维护机制建设，确保改革取得实效，着力解决村内最急需，群众最急盼、受益最直接的突出问题。</w:t>
      </w:r>
    </w:p>
    <w:p w14:paraId="05969081">
      <w:pPr>
        <w:widowControl/>
        <w:numPr>
          <w:ilvl w:val="0"/>
          <w:numId w:val="0"/>
        </w:numPr>
        <w:ind w:firstLine="640" w:firstLineChars="200"/>
        <w:jc w:val="left"/>
        <w:rPr>
          <w:rFonts w:hint="eastAsia" w:ascii="黑体" w:hAnsi="黑体" w:eastAsia="黑体" w:cs="黑体"/>
          <w:b w:val="0"/>
          <w:bCs w:val="0"/>
          <w:color w:val="auto"/>
          <w:kern w:val="2"/>
          <w:sz w:val="32"/>
          <w:szCs w:val="32"/>
          <w:lang w:val="zh-CN" w:eastAsia="zh-CN"/>
        </w:rPr>
      </w:pPr>
      <w:r>
        <w:rPr>
          <w:rFonts w:hint="eastAsia" w:ascii="黑体" w:hAnsi="黑体" w:eastAsia="黑体" w:cs="黑体"/>
          <w:b w:val="0"/>
          <w:bCs w:val="0"/>
          <w:color w:val="auto"/>
          <w:kern w:val="2"/>
          <w:sz w:val="32"/>
          <w:szCs w:val="32"/>
          <w:lang w:val="zh-CN" w:eastAsia="zh-CN"/>
        </w:rPr>
        <w:t>二、评价实施</w:t>
      </w:r>
    </w:p>
    <w:p w14:paraId="688C5C17">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楷体" w:hAnsi="楷体" w:eastAsia="楷体" w:cs="楷体"/>
          <w:b/>
          <w:bCs/>
          <w:color w:val="auto"/>
          <w:kern w:val="2"/>
          <w:sz w:val="32"/>
          <w:szCs w:val="32"/>
          <w:lang w:val="zh-CN" w:eastAsia="zh-CN"/>
        </w:rPr>
        <w:t>（一）评价目的。</w:t>
      </w:r>
      <w:r>
        <w:rPr>
          <w:rFonts w:hint="eastAsia" w:ascii="仿宋_GB2312" w:hAnsi="仿宋_GB2312" w:eastAsia="仿宋_GB2312" w:cs="仿宋_GB2312"/>
          <w:color w:val="auto"/>
          <w:kern w:val="2"/>
          <w:sz w:val="32"/>
          <w:szCs w:val="32"/>
          <w:lang w:val="zh-CN" w:eastAsia="zh-CN"/>
        </w:rPr>
        <w:t>通为进一步提升预算管理水平、提高公共服务质量、优化公共资源配置提供决策参考，为以后年度类似项目专项资金安排、政策制度建设、预算绩效的推进提供必要的借鉴。</w:t>
      </w:r>
    </w:p>
    <w:p w14:paraId="3E45BB2C">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楷体" w:hAnsi="楷体" w:eastAsia="楷体" w:cs="楷体"/>
          <w:b/>
          <w:bCs/>
          <w:color w:val="auto"/>
          <w:kern w:val="2"/>
          <w:sz w:val="32"/>
          <w:szCs w:val="32"/>
          <w:lang w:val="zh-CN" w:eastAsia="zh-CN"/>
        </w:rPr>
        <w:t>（二）预设问题及评价重点。</w:t>
      </w:r>
      <w:r>
        <w:rPr>
          <w:rFonts w:hint="eastAsia" w:ascii="仿宋_GB2312" w:hAnsi="仿宋_GB2312" w:eastAsia="仿宋_GB2312" w:cs="仿宋_GB2312"/>
          <w:color w:val="auto"/>
          <w:kern w:val="2"/>
          <w:sz w:val="32"/>
          <w:szCs w:val="32"/>
          <w:lang w:val="zh-CN" w:eastAsia="zh-CN"/>
        </w:rPr>
        <w:t>重点评价该项目财政专项资金使用的规范性、安全性和有效性及评价项目的社会效益、经济效益、可持续性。</w:t>
      </w:r>
    </w:p>
    <w:p w14:paraId="4C22D82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 w:hAnsi="楷体" w:eastAsia="楷体" w:cs="楷体"/>
          <w:b/>
          <w:bCs/>
          <w:color w:val="auto"/>
          <w:kern w:val="2"/>
          <w:sz w:val="32"/>
          <w:szCs w:val="32"/>
          <w:lang w:val="zh-CN" w:eastAsia="zh-CN"/>
        </w:rPr>
        <w:t>（三）评价选点。</w:t>
      </w:r>
      <w:r>
        <w:rPr>
          <w:rFonts w:hint="eastAsia" w:ascii="仿宋_GB2312" w:hAnsi="宋体" w:eastAsia="仿宋_GB2312" w:cs="Times New Roman"/>
          <w:color w:val="auto"/>
          <w:kern w:val="2"/>
          <w:sz w:val="32"/>
          <w:szCs w:val="32"/>
          <w:lang w:val="en-US" w:eastAsia="zh-CN"/>
        </w:rPr>
        <w:t>项目资金由镇财政所具体管理，按投资计划，对项目资金按项目单独核算，实行“专款专用、专人管理”，不得挤占挪用项目资金。指派专人对项目的实施定期或不定期的进行现场检查和监督，及时协调解决困难和问题，保证工程质量。</w:t>
      </w:r>
    </w:p>
    <w:p w14:paraId="2B38DD14">
      <w:pPr>
        <w:pStyle w:val="2"/>
        <w:keepNext w:val="0"/>
        <w:keepLines w:val="0"/>
        <w:pageBreakBefore w:val="0"/>
        <w:kinsoku/>
        <w:wordWrap/>
        <w:overflowPunct/>
        <w:topLinePunct w:val="0"/>
        <w:bidi w:val="0"/>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楷体" w:hAnsi="楷体" w:eastAsia="楷体" w:cs="楷体"/>
          <w:b/>
          <w:bCs/>
          <w:color w:val="auto"/>
          <w:kern w:val="2"/>
          <w:sz w:val="32"/>
          <w:szCs w:val="32"/>
          <w:lang w:val="zh-CN" w:eastAsia="zh-CN"/>
        </w:rPr>
        <w:t>（四）评价方法。</w:t>
      </w:r>
      <w:r>
        <w:rPr>
          <w:rFonts w:hint="eastAsia" w:ascii="仿宋_GB2312" w:hAnsi="宋体" w:eastAsia="仿宋_GB2312" w:cs="Times New Roman"/>
          <w:color w:val="auto"/>
          <w:kern w:val="2"/>
          <w:sz w:val="32"/>
          <w:szCs w:val="32"/>
          <w:lang w:val="zh-CN" w:eastAsia="zh-CN" w:bidi="ar-SA"/>
        </w:rPr>
        <w:t>该项目采用单位自评法。</w:t>
      </w:r>
      <w:r>
        <w:rPr>
          <w:rFonts w:hint="eastAsia" w:ascii="仿宋_GB2312" w:hAnsi="宋体" w:eastAsia="仿宋_GB2312" w:cs="Times New Roman"/>
          <w:color w:val="auto"/>
          <w:kern w:val="2"/>
          <w:sz w:val="32"/>
          <w:szCs w:val="32"/>
          <w:lang w:val="en-US" w:eastAsia="zh-CN" w:bidi="ar-SA"/>
        </w:rPr>
        <w:t xml:space="preserve"> </w:t>
      </w:r>
    </w:p>
    <w:p w14:paraId="27889B07">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1.前期工作：成立项目绩效自评领导小组，安排专人收集整理相关数据档案、拟定实地核查方案。</w:t>
      </w:r>
    </w:p>
    <w:p w14:paraId="0A4F751B">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2.实地核查：自评工作小组，根据评价指标对资金使用情况进行调查核实，沟口镇财经审查办公室对项目资金完善进行自评。</w:t>
      </w:r>
    </w:p>
    <w:p w14:paraId="7C504A24">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3.分析评价：根据自查结果，对绩效评价指标进行全面的分析形成绩效评价报告。</w:t>
      </w:r>
    </w:p>
    <w:p w14:paraId="676BBC0A">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楷体" w:hAnsi="楷体" w:eastAsia="楷体" w:cs="楷体"/>
          <w:b/>
          <w:bCs/>
          <w:color w:val="auto"/>
          <w:kern w:val="2"/>
          <w:sz w:val="32"/>
          <w:szCs w:val="32"/>
          <w:lang w:val="zh-CN" w:eastAsia="zh-CN"/>
        </w:rPr>
        <w:t>（五）评价组织。</w:t>
      </w:r>
      <w:r>
        <w:rPr>
          <w:rFonts w:hint="eastAsia" w:ascii="仿宋_GB2312" w:hAnsi="仿宋_GB2312" w:eastAsia="仿宋_GB2312" w:cs="仿宋_GB2312"/>
          <w:color w:val="auto"/>
          <w:kern w:val="2"/>
          <w:sz w:val="32"/>
          <w:szCs w:val="32"/>
          <w:lang w:val="zh-CN" w:eastAsia="zh-CN"/>
        </w:rPr>
        <w:t>成立项目绩效自评领导小组，由分管财务副镇长牵头，沟口镇财经审查办公室、沟口镇各驻村工作组组成自评小组，通过数据分析、实地核查、分析评价形成绩效评价报告。</w:t>
      </w:r>
    </w:p>
    <w:p w14:paraId="3F26C2FC">
      <w:pPr>
        <w:widowControl/>
        <w:numPr>
          <w:ilvl w:val="0"/>
          <w:numId w:val="0"/>
        </w:numPr>
        <w:ind w:firstLine="640" w:firstLineChars="200"/>
        <w:jc w:val="left"/>
        <w:rPr>
          <w:rFonts w:hint="eastAsia" w:ascii="黑体" w:hAnsi="黑体" w:eastAsia="黑体" w:cs="黑体"/>
          <w:b w:val="0"/>
          <w:bCs w:val="0"/>
          <w:color w:val="auto"/>
          <w:kern w:val="2"/>
          <w:sz w:val="32"/>
          <w:szCs w:val="32"/>
          <w:lang w:val="zh-CN" w:eastAsia="zh-CN"/>
        </w:rPr>
      </w:pPr>
      <w:r>
        <w:rPr>
          <w:rFonts w:hint="eastAsia" w:ascii="黑体" w:hAnsi="黑体" w:eastAsia="黑体" w:cs="黑体"/>
          <w:b w:val="0"/>
          <w:bCs w:val="0"/>
          <w:color w:val="auto"/>
          <w:kern w:val="2"/>
          <w:sz w:val="32"/>
          <w:szCs w:val="32"/>
          <w:lang w:val="zh-CN" w:eastAsia="zh-CN"/>
        </w:rPr>
        <w:t>三、绩效分析</w:t>
      </w:r>
      <w:r>
        <w:rPr>
          <w:rFonts w:hint="eastAsia" w:ascii="黑体" w:hAnsi="黑体" w:eastAsia="黑体" w:cs="黑体"/>
          <w:b w:val="0"/>
          <w:bCs w:val="0"/>
          <w:color w:val="auto"/>
          <w:kern w:val="2"/>
          <w:sz w:val="32"/>
          <w:szCs w:val="32"/>
          <w:lang w:val="zh-CN" w:eastAsia="zh-CN"/>
        </w:rPr>
        <w:tab/>
      </w:r>
    </w:p>
    <w:p w14:paraId="1B2B4FCD">
      <w:pPr>
        <w:widowControl/>
        <w:numPr>
          <w:ilvl w:val="0"/>
          <w:numId w:val="0"/>
        </w:numPr>
        <w:ind w:firstLine="643" w:firstLineChars="200"/>
        <w:jc w:val="left"/>
        <w:rPr>
          <w:rFonts w:hint="eastAsia" w:ascii="楷体" w:hAnsi="楷体" w:eastAsia="楷体" w:cs="楷体"/>
          <w:b/>
          <w:bCs/>
          <w:color w:val="auto"/>
          <w:kern w:val="2"/>
          <w:sz w:val="32"/>
          <w:szCs w:val="32"/>
          <w:lang w:val="zh-CN" w:eastAsia="zh-CN"/>
        </w:rPr>
      </w:pPr>
      <w:r>
        <w:rPr>
          <w:rFonts w:hint="eastAsia" w:ascii="楷体" w:hAnsi="楷体" w:eastAsia="楷体" w:cs="楷体"/>
          <w:b/>
          <w:bCs/>
          <w:color w:val="auto"/>
          <w:kern w:val="2"/>
          <w:sz w:val="32"/>
          <w:szCs w:val="32"/>
          <w:lang w:val="zh-CN" w:eastAsia="zh-CN"/>
        </w:rPr>
        <w:t>（一）通用指标绩效分析</w:t>
      </w:r>
    </w:p>
    <w:p w14:paraId="7D17D003">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1.项目决策。茂县沟口镇人民政府负责，补助资金根据各村人口、幅员面积、地理区位、村集体收入和工作绩效等因素分村确定具体的补助标准，沟口镇驻村工作组对完工内容进行验收，沟口镇财务室支付资金。</w:t>
      </w:r>
    </w:p>
    <w:p w14:paraId="46B36A34">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2.项目管理。镇政府统一监督管理，严禁弄虚作假。</w:t>
      </w:r>
    </w:p>
    <w:p w14:paraId="4CEA18D0">
      <w:pPr>
        <w:widowControl/>
        <w:numPr>
          <w:ilvl w:val="0"/>
          <w:numId w:val="0"/>
        </w:numPr>
        <w:ind w:firstLine="640"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eastAsia="zh-CN"/>
        </w:rPr>
        <w:t>3.项目实施。</w:t>
      </w:r>
      <w:r>
        <w:rPr>
          <w:rFonts w:hint="eastAsia" w:ascii="仿宋_GB2312" w:hAnsi="仿宋_GB2312" w:eastAsia="仿宋_GB2312" w:cs="仿宋_GB2312"/>
          <w:color w:val="auto"/>
          <w:kern w:val="2"/>
          <w:sz w:val="32"/>
          <w:szCs w:val="32"/>
          <w:lang w:val="en-US" w:eastAsia="zh-CN"/>
        </w:rPr>
        <w:t>项目资金由镇财政所具体管理，按投资计划，对项目资金按项目单独核算，实行“专款专用、专人管理”，不得挤占挪用项目资金。指派专人对项目的实施定期或不定期的进行现场检查和监督，及时协调解决困难和问题，保证工程质量。</w:t>
      </w:r>
    </w:p>
    <w:p w14:paraId="15641738">
      <w:pPr>
        <w:widowControl/>
        <w:numPr>
          <w:ilvl w:val="0"/>
          <w:numId w:val="0"/>
        </w:numPr>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4.项目结果。该项目已完成支付。</w:t>
      </w:r>
    </w:p>
    <w:p w14:paraId="6A913995">
      <w:pPr>
        <w:widowControl/>
        <w:numPr>
          <w:ilvl w:val="0"/>
          <w:numId w:val="0"/>
        </w:numPr>
        <w:ind w:firstLine="643" w:firstLineChars="200"/>
        <w:jc w:val="left"/>
        <w:rPr>
          <w:rFonts w:hint="eastAsia" w:ascii="楷体" w:hAnsi="楷体" w:eastAsia="楷体" w:cs="楷体"/>
          <w:b/>
          <w:bCs/>
          <w:color w:val="auto"/>
          <w:kern w:val="2"/>
          <w:sz w:val="32"/>
          <w:szCs w:val="32"/>
          <w:lang w:val="zh-CN" w:eastAsia="zh-CN"/>
        </w:rPr>
      </w:pPr>
      <w:r>
        <w:rPr>
          <w:rFonts w:hint="eastAsia" w:ascii="楷体" w:hAnsi="楷体" w:eastAsia="楷体" w:cs="楷体"/>
          <w:b/>
          <w:bCs/>
          <w:color w:val="auto"/>
          <w:kern w:val="2"/>
          <w:sz w:val="32"/>
          <w:szCs w:val="32"/>
          <w:lang w:val="zh-CN" w:eastAsia="zh-CN"/>
        </w:rPr>
        <w:t>（二）专用指标绩效分析</w:t>
      </w:r>
    </w:p>
    <w:p w14:paraId="08E748D6">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b/>
          <w:bCs/>
          <w:color w:val="auto"/>
          <w:kern w:val="2"/>
          <w:sz w:val="32"/>
          <w:szCs w:val="32"/>
          <w:lang w:val="zh-CN" w:eastAsia="zh-CN"/>
        </w:rPr>
        <w:t>1.产业发展类。</w:t>
      </w:r>
      <w:r>
        <w:rPr>
          <w:rFonts w:hint="eastAsia" w:ascii="仿宋_GB2312" w:hAnsi="仿宋_GB2312" w:eastAsia="仿宋_GB2312" w:cs="仿宋_GB2312"/>
          <w:color w:val="auto"/>
          <w:kern w:val="2"/>
          <w:sz w:val="32"/>
          <w:szCs w:val="32"/>
          <w:lang w:val="zh-CN" w:eastAsia="zh-CN"/>
        </w:rPr>
        <w:t>通过完善基础设施建设，进一步改善了村级的基础设施和公共服务，扩大了农村基层民主。</w:t>
      </w:r>
    </w:p>
    <w:p w14:paraId="0210F08A">
      <w:pPr>
        <w:pStyle w:val="14"/>
        <w:ind w:left="0" w:leftChars="0" w:firstLine="643" w:firstLineChars="200"/>
        <w:rPr>
          <w:rFonts w:hint="eastAsia"/>
          <w:lang w:val="zh-CN" w:eastAsia="zh-CN"/>
        </w:rPr>
      </w:pPr>
      <w:r>
        <w:rPr>
          <w:rFonts w:hint="eastAsia" w:ascii="仿宋_GB2312" w:hAnsi="仿宋_GB2312" w:eastAsia="仿宋_GB2312" w:cs="仿宋_GB2312"/>
          <w:b/>
          <w:bCs/>
          <w:color w:val="auto"/>
          <w:kern w:val="2"/>
          <w:sz w:val="32"/>
          <w:szCs w:val="32"/>
          <w:lang w:val="zh-CN" w:eastAsia="zh-CN"/>
        </w:rPr>
        <w:t>2.民生保障类。</w:t>
      </w:r>
      <w:r>
        <w:rPr>
          <w:rFonts w:hint="eastAsia" w:ascii="仿宋_GB2312" w:hAnsi="仿宋_GB2312" w:eastAsia="仿宋_GB2312" w:cs="仿宋_GB2312"/>
          <w:color w:val="auto"/>
          <w:kern w:val="2"/>
          <w:sz w:val="32"/>
          <w:szCs w:val="32"/>
          <w:lang w:val="zh-CN" w:eastAsia="zh-CN"/>
        </w:rPr>
        <w:t>完善了村民自治，密切了党和政府同农</w:t>
      </w:r>
    </w:p>
    <w:p w14:paraId="00762137">
      <w:pPr>
        <w:widowControl/>
        <w:numPr>
          <w:ilvl w:val="0"/>
          <w:numId w:val="0"/>
        </w:numPr>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民群众的关系，满足了农民群众的需求，也为我镇的村级项目建设起到了示范和引领作用。</w:t>
      </w:r>
    </w:p>
    <w:p w14:paraId="6705A30D">
      <w:pPr>
        <w:widowControl/>
        <w:numPr>
          <w:ilvl w:val="0"/>
          <w:numId w:val="0"/>
        </w:numPr>
        <w:ind w:firstLine="643"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zh-CN" w:eastAsia="zh-CN"/>
        </w:rPr>
        <w:t>3.基础设施类。</w:t>
      </w:r>
      <w:r>
        <w:rPr>
          <w:rFonts w:hint="eastAsia" w:ascii="仿宋_GB2312" w:hAnsi="仿宋_GB2312" w:eastAsia="仿宋_GB2312" w:cs="仿宋_GB2312"/>
          <w:color w:val="auto"/>
          <w:kern w:val="2"/>
          <w:sz w:val="32"/>
          <w:szCs w:val="32"/>
          <w:lang w:val="zh-CN" w:eastAsia="zh-CN"/>
        </w:rPr>
        <w:t>采取专户核算、专款专用。</w:t>
      </w:r>
      <w:r>
        <w:rPr>
          <w:rFonts w:hint="eastAsia" w:ascii="仿宋_GB2312" w:hAnsi="仿宋_GB2312" w:eastAsia="仿宋_GB2312" w:cs="仿宋_GB2312"/>
          <w:color w:val="auto"/>
          <w:kern w:val="2"/>
          <w:sz w:val="32"/>
          <w:szCs w:val="32"/>
          <w:lang w:val="en-US" w:eastAsia="zh-CN"/>
        </w:rPr>
        <w:t>建立台账，明确到村保障资金数额，确保保障资金用于村内</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公共服务设施</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运行维护，防止挪用和平调。</w:t>
      </w:r>
    </w:p>
    <w:p w14:paraId="13D0AD14">
      <w:pPr>
        <w:widowControl/>
        <w:numPr>
          <w:ilvl w:val="0"/>
          <w:numId w:val="0"/>
        </w:numPr>
        <w:ind w:firstLine="643"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b/>
          <w:bCs/>
          <w:color w:val="auto"/>
          <w:kern w:val="2"/>
          <w:sz w:val="32"/>
          <w:szCs w:val="32"/>
          <w:lang w:val="zh-CN" w:eastAsia="zh-CN"/>
        </w:rPr>
        <w:t>4.行政运转类。</w:t>
      </w:r>
      <w:r>
        <w:rPr>
          <w:rFonts w:hint="eastAsia" w:ascii="仿宋_GB2312" w:hAnsi="仿宋_GB2312" w:eastAsia="仿宋_GB2312" w:cs="仿宋_GB2312"/>
          <w:color w:val="auto"/>
          <w:kern w:val="2"/>
          <w:sz w:val="32"/>
          <w:szCs w:val="32"/>
          <w:lang w:val="zh-CN" w:eastAsia="zh-CN"/>
        </w:rPr>
        <w:t>项目用途合规、程序合规、标准合规，</w:t>
      </w:r>
      <w:r>
        <w:rPr>
          <w:rFonts w:hint="eastAsia" w:ascii="仿宋_GB2312" w:hAnsi="仿宋_GB2312" w:eastAsia="仿宋_GB2312" w:cs="仿宋_GB2312"/>
          <w:color w:val="auto"/>
          <w:kern w:val="2"/>
          <w:sz w:val="32"/>
          <w:szCs w:val="32"/>
          <w:lang w:val="en-US" w:eastAsia="zh-CN"/>
        </w:rPr>
        <w:t>收支合理、手续完备、数字准确、账目清楚。</w:t>
      </w:r>
    </w:p>
    <w:p w14:paraId="5B5D1D4E">
      <w:pPr>
        <w:widowControl/>
        <w:numPr>
          <w:ilvl w:val="0"/>
          <w:numId w:val="0"/>
        </w:numPr>
        <w:ind w:firstLine="643" w:firstLineChars="200"/>
        <w:jc w:val="left"/>
        <w:rPr>
          <w:rFonts w:hint="eastAsia" w:ascii="楷体" w:hAnsi="楷体" w:eastAsia="楷体" w:cs="楷体"/>
          <w:b/>
          <w:bCs/>
          <w:color w:val="auto"/>
          <w:kern w:val="2"/>
          <w:sz w:val="32"/>
          <w:szCs w:val="32"/>
          <w:lang w:val="zh-CN" w:eastAsia="zh-CN"/>
        </w:rPr>
      </w:pPr>
      <w:r>
        <w:rPr>
          <w:rFonts w:hint="eastAsia" w:ascii="楷体" w:hAnsi="楷体" w:eastAsia="楷体" w:cs="楷体"/>
          <w:b/>
          <w:bCs/>
          <w:color w:val="auto"/>
          <w:kern w:val="2"/>
          <w:sz w:val="32"/>
          <w:szCs w:val="32"/>
          <w:lang w:val="zh-CN" w:eastAsia="zh-CN"/>
        </w:rPr>
        <w:t>（三）个性指标绩效分析</w:t>
      </w:r>
    </w:p>
    <w:p w14:paraId="2B72F971">
      <w:pPr>
        <w:widowControl/>
        <w:numPr>
          <w:ilvl w:val="0"/>
          <w:numId w:val="0"/>
        </w:numPr>
        <w:ind w:firstLine="640" w:firstLineChars="200"/>
        <w:jc w:val="left"/>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时效指标：项目于2024年底完成支付，完成率96.88%。</w:t>
      </w:r>
    </w:p>
    <w:p w14:paraId="7EEDEBBE">
      <w:pPr>
        <w:widowControl/>
        <w:numPr>
          <w:ilvl w:val="0"/>
          <w:numId w:val="0"/>
        </w:numPr>
        <w:ind w:firstLine="643" w:firstLineChars="200"/>
        <w:jc w:val="left"/>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（四）评价结论</w:t>
      </w:r>
    </w:p>
    <w:p w14:paraId="262D2203">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宋体" w:eastAsia="仿宋_GB2312"/>
          <w:color w:val="auto"/>
          <w:kern w:val="2"/>
          <w:sz w:val="32"/>
          <w:szCs w:val="32"/>
        </w:rPr>
        <w:t>该项目有利于乡村党群事业发展，为实现乡村振兴添砖加瓦，</w:t>
      </w:r>
      <w:r>
        <w:rPr>
          <w:rFonts w:hint="eastAsia" w:ascii="仿宋_GB2312" w:hAnsi="仿宋_GB2312" w:eastAsia="仿宋_GB2312" w:cs="仿宋_GB2312"/>
          <w:color w:val="auto"/>
          <w:kern w:val="2"/>
          <w:sz w:val="32"/>
          <w:szCs w:val="32"/>
          <w:lang w:val="en-US" w:eastAsia="zh-CN"/>
        </w:rPr>
        <w:t>保障农民利益，拓展乡村产业融合渠道与合作开发领域，有利于促进当地经济发展，早日实现乡村振兴。</w:t>
      </w:r>
    </w:p>
    <w:p w14:paraId="6F76B275">
      <w:pPr>
        <w:pStyle w:val="8"/>
        <w:keepNext w:val="0"/>
        <w:keepLines w:val="0"/>
        <w:pageBreakBefore w:val="0"/>
        <w:numPr>
          <w:ilvl w:val="0"/>
          <w:numId w:val="6"/>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7339AE4C">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349ACEFE">
      <w:pPr>
        <w:pStyle w:val="8"/>
        <w:keepNext w:val="0"/>
        <w:keepLines w:val="0"/>
        <w:pageBreakBefore w:val="0"/>
        <w:numPr>
          <w:ilvl w:val="0"/>
          <w:numId w:val="6"/>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79B82BDC">
      <w:pPr>
        <w:snapToGrid w:val="0"/>
        <w:spacing w:line="578" w:lineRule="exact"/>
        <w:ind w:firstLine="640" w:firstLineChars="200"/>
        <w:rPr>
          <w:rFonts w:hint="default" w:ascii="黑体" w:hAnsi="黑体" w:eastAsia="黑体" w:cs="黑体"/>
          <w:kern w:val="0"/>
          <w:sz w:val="32"/>
          <w:szCs w:val="32"/>
          <w:shd w:val="clear" w:color="auto" w:fill="FFFFFF"/>
          <w:lang w:val="en-US"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63586DB4">
      <w:pPr>
        <w:widowControl/>
        <w:numPr>
          <w:ilvl w:val="0"/>
          <w:numId w:val="0"/>
        </w:numPr>
        <w:ind w:firstLine="960" w:firstLineChars="300"/>
        <w:jc w:val="left"/>
        <w:rPr>
          <w:rFonts w:hint="eastAsia" w:ascii="仿宋_GB2312" w:hAnsi="仿宋_GB2312" w:eastAsia="仿宋_GB2312" w:cs="仿宋_GB2312"/>
          <w:color w:val="auto"/>
          <w:kern w:val="2"/>
          <w:sz w:val="32"/>
          <w:szCs w:val="32"/>
          <w:lang w:val="zh-CN" w:eastAsia="zh-CN"/>
        </w:rPr>
      </w:pPr>
    </w:p>
    <w:p w14:paraId="52B392EF">
      <w:pPr>
        <w:widowControl/>
        <w:numPr>
          <w:ilvl w:val="0"/>
          <w:numId w:val="0"/>
        </w:numPr>
        <w:ind w:firstLine="640" w:firstLineChars="200"/>
        <w:jc w:val="left"/>
        <w:rPr>
          <w:rFonts w:eastAsia="黑体"/>
          <w:kern w:val="0"/>
          <w:shd w:val="clear" w:color="auto" w:fill="FFFFFF"/>
        </w:rPr>
      </w:pPr>
      <w:r>
        <w:rPr>
          <w:rFonts w:hint="eastAsia" w:ascii="仿宋_GB2312" w:hAnsi="仿宋_GB2312" w:eastAsia="仿宋_GB2312" w:cs="仿宋_GB2312"/>
          <w:color w:val="auto"/>
          <w:kern w:val="2"/>
          <w:sz w:val="32"/>
          <w:szCs w:val="32"/>
          <w:lang w:val="zh-CN" w:eastAsia="zh-CN"/>
        </w:rPr>
        <w:br w:type="page"/>
      </w:r>
      <w:r>
        <w:rPr>
          <w:rFonts w:eastAsia="黑体"/>
          <w:kern w:val="0"/>
          <w:shd w:val="clear" w:color="auto" w:fill="FFFFFF"/>
          <w:lang w:val="zh-CN"/>
        </w:rPr>
        <w:t>附表</w:t>
      </w:r>
      <w:r>
        <w:rPr>
          <w:rFonts w:eastAsia="黑体"/>
          <w:kern w:val="0"/>
          <w:shd w:val="clear" w:color="auto" w:fill="FFFFFF"/>
        </w:rPr>
        <w:t>1</w:t>
      </w:r>
    </w:p>
    <w:p w14:paraId="6FACB35C">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09926EDF">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6E19CB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C00F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0E545746">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381E6CE2">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5FDBAF24">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7BDF0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54918F8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733925">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23BF6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9BAAE">
            <w:pPr>
              <w:widowControl/>
              <w:spacing w:line="24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6A0E1AA7">
            <w:pPr>
              <w:widowControl/>
              <w:spacing w:line="24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49973615">
            <w:pPr>
              <w:widowControl/>
              <w:spacing w:line="240" w:lineRule="exact"/>
              <w:jc w:val="center"/>
              <w:rPr>
                <w:rFonts w:hint="eastAsia" w:ascii="仿宋_GB2312" w:hAnsi="仿宋_GB2312" w:eastAsia="仿宋_GB2312" w:cs="仿宋_GB2312"/>
                <w:color w:val="000000"/>
                <w:sz w:val="21"/>
                <w:szCs w:val="21"/>
              </w:rPr>
            </w:pPr>
          </w:p>
        </w:tc>
      </w:tr>
      <w:tr w14:paraId="3A0A19D0">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7D2FE">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C4773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9E795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898FC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E8AF2B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FDFFC8">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26F2F8">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C027B6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1C892">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5211C8">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0C5BB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FA2B6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31DCB50">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9BCB2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6B123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B12CC4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98C8D">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FF0575">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A9C1E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ED880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55C1BEB">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9BC305">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D6B15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856380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36E52">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8C0BFF">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557BA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93EF9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FE81A0D">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407A93">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DBF2E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CD6F45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2975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EF74C3">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B9771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E6882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50704B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617AF8">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AA417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819080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7C49F">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B777F9">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EF0BC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166F0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E3A5F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D0CA84">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8B8A4CF">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BF25EB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4A710">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0FD653">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66B78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9EE7B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48B317">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19BCD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9AF8A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D0D8CC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F7FC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AD541F">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B9301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203B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C2121A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66ED3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105324">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A954A2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0D33C">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6B3516">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DA385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86B36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C70AD0">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B5DA8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ED7193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5047DB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52BBF">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C1C9B3">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38A2A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F0BD5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C64372">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4139F03">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E3361F">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B7F727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1332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5C5971">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69781DE">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C666A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B1063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428E07">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5E4700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89AEE2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43ECE">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1E6C5F">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301CB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2ADE7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A16D71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B7FB1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BE892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36F3E28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FFD74">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F552E4">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C22B1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CCE7A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43D3834">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047FF1">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F31581">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7DB0AE0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06425">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EA5551">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C3315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52A53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88F244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7438FA">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27607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A1E07D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84801">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8FB4E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37F6D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60D55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8F108C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CFE05C">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C80360">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113958A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952CD">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7465E8">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B4883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97FD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367EB9E">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87C3706">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F87CC7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E0470F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B2AD8">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7F7624">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A2600F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FB9BE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00F5E1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A7D7E5">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FE0D33">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54A85D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3FF1F">
            <w:pPr>
              <w:widowControl/>
              <w:spacing w:line="24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59D07">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378F4">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0D1ED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B40AA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B7E011">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C4B736F">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9D0FBB">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4FDF730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18C0F">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FEACC">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B07B">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4479D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F4D791">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39898DF">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DBA929">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C3C0D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3A9F28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AB19F">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2B8A3">
            <w:pPr>
              <w:widowControl/>
              <w:spacing w:line="24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44BE9">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11B07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8F5268">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270CE02">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787005">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C95A97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1175A8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73C16">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F92B3">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752D0">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41D97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135A95">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4088403">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1C5B13E">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79D1EF">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162BC0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29A0A">
            <w:pPr>
              <w:widowControl/>
              <w:spacing w:line="24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DA00B">
            <w:pPr>
              <w:widowControl/>
              <w:spacing w:line="24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5D498">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6A793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80DF89">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D76A788">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12B7E1">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27C5F3">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01A170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E2FAB">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A051DD">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4CD6847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7B924F3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05FF5E48">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66D1A916">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135F694D">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0D3C4D5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26BB9">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D84E15">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4CB34C2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534591C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42CE35">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3FCD81">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94C2F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6813D7C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A9BDB">
            <w:pPr>
              <w:widowControl/>
              <w:spacing w:line="24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34B957">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3A7D9F7A">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58B3B254">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024749">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9D0F60">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BEDE65">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5A5644A4">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CC098E2">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3A9FB0">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347196">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F5FA5">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9C23FC">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5BDF7A">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3F96525">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9E7B5E9">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20A5BB2">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B54ECC">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95714">
            <w:pPr>
              <w:widowControl/>
              <w:spacing w:line="24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297FCD">
            <w:pPr>
              <w:widowControl/>
              <w:spacing w:line="24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024322">
            <w:pPr>
              <w:widowControl/>
              <w:spacing w:line="240" w:lineRule="exact"/>
              <w:jc w:val="left"/>
              <w:rPr>
                <w:rFonts w:hint="eastAsia" w:ascii="仿宋_GB2312" w:hAnsi="仿宋_GB2312" w:eastAsia="仿宋_GB2312" w:cs="仿宋_GB2312"/>
                <w:color w:val="000000"/>
                <w:sz w:val="21"/>
                <w:szCs w:val="21"/>
              </w:rPr>
            </w:pPr>
          </w:p>
        </w:tc>
      </w:tr>
      <w:tr w14:paraId="62EBEE62">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D3C60A">
            <w:pPr>
              <w:widowControl/>
              <w:spacing w:line="24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555635">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C1597B">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9F244">
            <w:pPr>
              <w:widowControl/>
              <w:spacing w:line="24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C137FA">
            <w:pPr>
              <w:widowControl/>
              <w:spacing w:line="24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569998">
            <w:pPr>
              <w:widowControl/>
              <w:spacing w:line="240" w:lineRule="exact"/>
              <w:jc w:val="left"/>
              <w:rPr>
                <w:rFonts w:hint="eastAsia" w:ascii="仿宋_GB2312" w:hAnsi="仿宋_GB2312" w:eastAsia="仿宋_GB2312" w:cs="仿宋_GB2312"/>
                <w:color w:val="000000"/>
                <w:sz w:val="21"/>
                <w:szCs w:val="21"/>
              </w:rPr>
            </w:pPr>
          </w:p>
        </w:tc>
      </w:tr>
      <w:tr w14:paraId="04244D6D">
        <w:tblPrEx>
          <w:tblCellMar>
            <w:top w:w="0" w:type="dxa"/>
            <w:left w:w="108" w:type="dxa"/>
            <w:bottom w:w="0" w:type="dxa"/>
            <w:right w:w="108" w:type="dxa"/>
          </w:tblCellMar>
        </w:tblPrEx>
        <w:trPr>
          <w:trHeight w:val="37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67015F5B">
            <w:pPr>
              <w:widowControl/>
              <w:spacing w:line="24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D3529D">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24E537">
            <w:pPr>
              <w:widowControl/>
              <w:spacing w:line="24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42583FA">
            <w:pPr>
              <w:widowControl/>
              <w:spacing w:line="24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FFC2EF">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020046">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r w14:paraId="29BA4E37">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2EEF9BD7">
            <w:pPr>
              <w:widowControl/>
              <w:spacing w:line="24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65982B">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79A4D3">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9677FE">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4D0E092">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76C717">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bl>
    <w:p w14:paraId="4B4B09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kern w:val="0"/>
          <w:shd w:val="clear" w:color="auto" w:fill="FFFFFF"/>
          <w:lang w:val="zh-CN"/>
        </w:rPr>
        <w:br w:type="page"/>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8C87A93">
        <w:tblPrEx>
          <w:tblCellMar>
            <w:top w:w="15" w:type="dxa"/>
            <w:left w:w="15" w:type="dxa"/>
            <w:bottom w:w="15" w:type="dxa"/>
            <w:right w:w="15" w:type="dxa"/>
          </w:tblCellMar>
        </w:tblPrEx>
        <w:trPr>
          <w:trHeight w:val="817" w:hRule="atLeast"/>
          <w:jc w:val="center"/>
        </w:trPr>
        <w:tc>
          <w:tcPr>
            <w:tcW w:w="10233" w:type="dxa"/>
            <w:gridSpan w:val="9"/>
            <w:noWrap w:val="0"/>
            <w:vAlign w:val="center"/>
          </w:tcPr>
          <w:p w14:paraId="231D5D34">
            <w:pPr>
              <w:widowControl/>
              <w:spacing w:line="600" w:lineRule="exact"/>
              <w:jc w:val="center"/>
              <w:textAlignment w:val="center"/>
              <w:rPr>
                <w:rFonts w:eastAsia="黑体"/>
                <w:color w:val="000000"/>
                <w:sz w:val="30"/>
                <w:szCs w:val="30"/>
              </w:rPr>
            </w:pPr>
            <w:bookmarkStart w:id="86" w:name="_Toc12303"/>
            <w:r>
              <w:rPr>
                <w:rFonts w:eastAsia="方正小标宋简体"/>
                <w:color w:val="000000"/>
                <w:kern w:val="0"/>
                <w:sz w:val="40"/>
                <w:szCs w:val="40"/>
                <w:lang w:bidi="ar"/>
              </w:rPr>
              <w:t>专项预算项目绩效目标完成情况自评表</w:t>
            </w:r>
          </w:p>
        </w:tc>
      </w:tr>
      <w:tr w14:paraId="10D407E6">
        <w:tblPrEx>
          <w:tblCellMar>
            <w:top w:w="15" w:type="dxa"/>
            <w:left w:w="15" w:type="dxa"/>
            <w:bottom w:w="15" w:type="dxa"/>
            <w:right w:w="15" w:type="dxa"/>
          </w:tblCellMar>
        </w:tblPrEx>
        <w:trPr>
          <w:trHeight w:val="510"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041188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5715C58">
            <w:pPr>
              <w:keepNext w:val="0"/>
              <w:keepLines w:val="0"/>
              <w:pageBreakBefore w:val="0"/>
              <w:kinsoku/>
              <w:wordWrap/>
              <w:overflowPunct/>
              <w:topLinePunct w:val="0"/>
              <w:autoSpaceDE/>
              <w:autoSpaceDN/>
              <w:bidi w:val="0"/>
              <w:adjustRightInd/>
              <w:snapToGrid/>
              <w:spacing w:line="260" w:lineRule="exact"/>
              <w:ind w:firstLine="720" w:firstLineChars="400"/>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zh-CN" w:eastAsia="zh-CN"/>
              </w:rPr>
              <w:t>沟口镇产业结构调整示范点项目</w:t>
            </w:r>
          </w:p>
        </w:tc>
      </w:tr>
      <w:tr w14:paraId="592540BD">
        <w:tblPrEx>
          <w:tblCellMar>
            <w:top w:w="15" w:type="dxa"/>
            <w:left w:w="15" w:type="dxa"/>
            <w:bottom w:w="15" w:type="dxa"/>
            <w:right w:w="15" w:type="dxa"/>
          </w:tblCellMar>
        </w:tblPrEx>
        <w:trPr>
          <w:trHeight w:val="365"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AE308B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844CCD1">
            <w:pPr>
              <w:keepNext w:val="0"/>
              <w:keepLines w:val="0"/>
              <w:pageBreakBefore w:val="0"/>
              <w:kinsoku/>
              <w:wordWrap/>
              <w:overflowPunct/>
              <w:topLinePunct w:val="0"/>
              <w:autoSpaceDE/>
              <w:autoSpaceDN/>
              <w:bidi w:val="0"/>
              <w:adjustRightInd/>
              <w:snapToGrid/>
              <w:spacing w:line="260" w:lineRule="exact"/>
              <w:ind w:firstLine="720" w:firstLineChars="400"/>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茂县沟口镇人民政府</w:t>
            </w:r>
          </w:p>
        </w:tc>
      </w:tr>
      <w:tr w14:paraId="0EB935BF">
        <w:tblPrEx>
          <w:tblCellMar>
            <w:top w:w="15" w:type="dxa"/>
            <w:left w:w="15" w:type="dxa"/>
            <w:bottom w:w="15" w:type="dxa"/>
            <w:right w:w="15" w:type="dxa"/>
          </w:tblCellMar>
        </w:tblPrEx>
        <w:trPr>
          <w:trHeight w:val="311"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C87D56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2A76421">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505CBF4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215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94119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71C9C9B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9BDD2B3">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7FDCCB3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1CAA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4C0AAD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E313432">
            <w:pPr>
              <w:keepNext w:val="0"/>
              <w:keepLines w:val="0"/>
              <w:pageBreakBefore w:val="0"/>
              <w:kinsoku/>
              <w:wordWrap/>
              <w:overflowPunct/>
              <w:topLinePunct w:val="0"/>
              <w:autoSpaceDE/>
              <w:autoSpaceDN/>
              <w:bidi w:val="0"/>
              <w:adjustRightInd/>
              <w:snapToGrid/>
              <w:spacing w:line="260" w:lineRule="exact"/>
              <w:ind w:firstLine="360" w:firstLineChars="2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zh-CN" w:eastAsia="zh-CN" w:bidi="ar"/>
              </w:rPr>
              <w:t>茂财国代</w:t>
            </w:r>
            <w:bookmarkStart w:id="113" w:name="_GoBack"/>
            <w:r>
              <w:rPr>
                <w:rFonts w:hint="eastAsia" w:ascii="仿宋_GB2312" w:hAnsi="仿宋_GB2312" w:eastAsia="仿宋_GB2312" w:cs="仿宋_GB2312"/>
                <w:color w:val="000000"/>
                <w:kern w:val="0"/>
                <w:sz w:val="18"/>
                <w:szCs w:val="18"/>
                <w:lang w:val="en-US" w:eastAsia="zh-CN" w:bidi="ar"/>
              </w:rPr>
              <w:t>〔2024〕</w:t>
            </w:r>
            <w:r>
              <w:rPr>
                <w:rFonts w:hint="eastAsia" w:ascii="仿宋_GB2312" w:hAnsi="仿宋_GB2312" w:eastAsia="仿宋_GB2312" w:cs="仿宋_GB2312"/>
                <w:color w:val="000000"/>
                <w:kern w:val="0"/>
                <w:sz w:val="18"/>
                <w:szCs w:val="18"/>
                <w:lang w:val="zh-CN" w:eastAsia="zh-CN" w:bidi="ar"/>
              </w:rPr>
              <w:t>198号</w:t>
            </w:r>
            <w:bookmarkEnd w:id="113"/>
          </w:p>
        </w:tc>
      </w:tr>
      <w:tr w14:paraId="028134F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3EBA1">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17CE9D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42D82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7D3FA6E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1791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F7364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£因素法与项目法相结合</w:t>
            </w:r>
          </w:p>
        </w:tc>
      </w:tr>
      <w:tr w14:paraId="0F48945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D0F3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67E4B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50DE904">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7FAF28A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80CDB">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C65B72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459FE83">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46826DE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55E03">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1C983E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210637D">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07D9476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8F93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151644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0F4EB98">
            <w:pPr>
              <w:keepNext w:val="0"/>
              <w:keepLines w:val="0"/>
              <w:pageBreakBefore w:val="0"/>
              <w:kinsoku/>
              <w:wordWrap/>
              <w:overflowPunct/>
              <w:topLinePunct w:val="0"/>
              <w:autoSpaceDE/>
              <w:autoSpaceDN/>
              <w:bidi w:val="0"/>
              <w:adjustRightInd/>
              <w:snapToGrid/>
              <w:spacing w:line="260" w:lineRule="exact"/>
              <w:ind w:firstLine="1440" w:firstLineChars="8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2024年</w:t>
            </w:r>
          </w:p>
        </w:tc>
      </w:tr>
      <w:tr w14:paraId="6329F089">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91577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580E7A9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6E56C2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2FB0EC3">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3194C22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1AF83C">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85C3D9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515B9F">
            <w:pPr>
              <w:keepNext w:val="0"/>
              <w:keepLines w:val="0"/>
              <w:pageBreakBefore w:val="0"/>
              <w:tabs>
                <w:tab w:val="left" w:pos="2038"/>
              </w:tabs>
              <w:kinsoku/>
              <w:wordWrap/>
              <w:overflowPunct/>
              <w:topLinePunct w:val="0"/>
              <w:autoSpaceDE/>
              <w:autoSpaceDN/>
              <w:bidi w:val="0"/>
              <w:adjustRightInd/>
              <w:snapToGrid/>
              <w:spacing w:line="260" w:lineRule="exact"/>
              <w:ind w:firstLine="1440" w:firstLineChars="8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w:t>
            </w:r>
            <w:r>
              <w:rPr>
                <w:rFonts w:hint="eastAsia" w:ascii="仿宋_GB2312" w:hAnsi="仿宋_GB2312" w:eastAsia="仿宋_GB2312" w:cs="仿宋_GB2312"/>
                <w:color w:val="000000"/>
                <w:sz w:val="18"/>
                <w:szCs w:val="18"/>
                <w:lang w:eastAsia="zh-CN"/>
              </w:rPr>
              <w:t>万元</w:t>
            </w:r>
          </w:p>
        </w:tc>
      </w:tr>
      <w:tr w14:paraId="27378B9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714C35">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4C5C7E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ED8251">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6EA8EA7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BB6A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1DE429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w:t>
            </w:r>
          </w:p>
        </w:tc>
      </w:tr>
      <w:tr w14:paraId="6A6A9B16">
        <w:tblPrEx>
          <w:tblCellMar>
            <w:top w:w="15" w:type="dxa"/>
            <w:left w:w="15" w:type="dxa"/>
            <w:bottom w:w="15" w:type="dxa"/>
            <w:right w:w="15" w:type="dxa"/>
          </w:tblCellMar>
        </w:tblPrEx>
        <w:trPr>
          <w:trHeight w:val="122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0780E">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BD22D2D">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contextualSpacing/>
              <w:jc w:val="left"/>
              <w:rPr>
                <w:rFonts w:hint="eastAsia" w:ascii="仿宋_GB2312" w:hAnsi="仿宋_GB2312" w:eastAsia="仿宋_GB2312" w:cs="仿宋_GB2312"/>
                <w:kern w:val="2"/>
                <w:sz w:val="18"/>
                <w:szCs w:val="18"/>
                <w:lang w:val="en-US" w:eastAsia="zh-CN"/>
              </w:rPr>
            </w:pPr>
            <w:r>
              <w:rPr>
                <w:rFonts w:hint="eastAsia" w:ascii="仿宋_GB2312" w:hAnsi="仿宋_GB2312" w:eastAsia="仿宋_GB2312" w:cs="仿宋_GB2312"/>
                <w:color w:val="000000"/>
                <w:sz w:val="18"/>
                <w:szCs w:val="18"/>
                <w:lang w:val="en-US" w:eastAsia="zh-CN"/>
              </w:rPr>
              <w:t>有力有效推动乡村产业可持续发展，保障农民利益，拓展乡村产业融合渠道与合作开发领域，有利于促进当地经济发展，早日实现乡村振兴。</w:t>
            </w:r>
          </w:p>
          <w:p w14:paraId="308B659E">
            <w:pPr>
              <w:keepNext w:val="0"/>
              <w:keepLines w:val="0"/>
              <w:pageBreakBefore w:val="0"/>
              <w:kinsoku/>
              <w:wordWrap/>
              <w:overflowPunct/>
              <w:topLinePunct w:val="0"/>
              <w:autoSpaceDE/>
              <w:autoSpaceDN/>
              <w:bidi w:val="0"/>
              <w:adjustRightInd/>
              <w:snapToGrid/>
              <w:spacing w:line="260" w:lineRule="exact"/>
              <w:ind w:firstLine="360" w:firstLineChars="200"/>
              <w:rPr>
                <w:rFonts w:hint="eastAsia" w:ascii="仿宋_GB2312" w:hAnsi="仿宋_GB2312" w:eastAsia="仿宋_GB2312" w:cs="仿宋_GB2312"/>
                <w:color w:val="000000"/>
                <w:sz w:val="18"/>
                <w:szCs w:val="18"/>
              </w:rPr>
            </w:pPr>
          </w:p>
        </w:tc>
      </w:tr>
      <w:tr w14:paraId="14F9B9B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0E73D56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5D23E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81C4B3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41E329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FF9DE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02A141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F87398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BA2BC5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E919C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26770E9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04B93E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87BD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18D64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B2EA20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沟口镇涉及项目村个数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6429BA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4E4AB3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E11E40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6FE26D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C100C0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6346DE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86800B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7BF6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5B999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7270AF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利于乡村党群事业发展</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1F0359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49B6DE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0AD26D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6D77DF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F723A2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6B93BC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DC89CC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8F81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4364F9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CFB7F9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5CF695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6FADAD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0BDA33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A6819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99921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27E1452">
        <w:tblPrEx>
          <w:tblCellMar>
            <w:top w:w="15" w:type="dxa"/>
            <w:left w:w="15" w:type="dxa"/>
            <w:bottom w:w="15" w:type="dxa"/>
            <w:right w:w="15" w:type="dxa"/>
          </w:tblCellMar>
        </w:tblPrEx>
        <w:trPr>
          <w:trHeight w:val="105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393324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7382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553C5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5A6D3C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8AFF6B0">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有利于促进当地经济发展，早日实现乡村振兴。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1F5293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096254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9F1EFF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70B5B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13FBAD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8105577">
        <w:tblPrEx>
          <w:tblCellMar>
            <w:top w:w="15" w:type="dxa"/>
            <w:left w:w="15" w:type="dxa"/>
            <w:bottom w:w="15" w:type="dxa"/>
            <w:right w:w="15" w:type="dxa"/>
          </w:tblCellMar>
        </w:tblPrEx>
        <w:trPr>
          <w:trHeight w:val="452"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BAEBC2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EE26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3030B6F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39A526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E0FCF04">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41474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44BA24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F0790F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CCE56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6E9D0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BA2555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345DB5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75FE94D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606A427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5CA308B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3A579A0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BB8AABE">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A98523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D2863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E02F05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0CECE8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EF328C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4F07C4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CDF81D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897E0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3F692C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6A4ECC9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bottom w:val="single" w:color="000000" w:sz="4" w:space="0"/>
              <w:right w:val="single" w:color="000000" w:sz="4" w:space="0"/>
            </w:tcBorders>
            <w:noWrap w:val="0"/>
            <w:vAlign w:val="center"/>
          </w:tcPr>
          <w:p w14:paraId="4E8E96A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该项目成本控制范围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28AD87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7ED69B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DF9E2C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85F19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A3C988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4BCBC492">
      <w:pPr>
        <w:pStyle w:val="5"/>
        <w:bidi w:val="0"/>
        <w:ind w:firstLine="3092" w:firstLineChars="700"/>
        <w:rPr>
          <w:rFonts w:hint="eastAsia" w:ascii="Times New Roman" w:hAnsi="Times New Roman" w:eastAsia="仿宋_GB2312" w:cs="仿宋_GB2312"/>
          <w:color w:val="auto"/>
          <w:sz w:val="32"/>
          <w:szCs w:val="32"/>
          <w:highlight w:val="none"/>
        </w:rPr>
      </w:pPr>
      <w:r>
        <w:rPr>
          <w:rFonts w:hint="eastAsia" w:ascii="黑体" w:hAnsi="黑体" w:eastAsia="黑体" w:cs="黑体"/>
        </w:rPr>
        <w:t>第五部分 附表</w:t>
      </w:r>
      <w:bookmarkEnd w:id="72"/>
      <w:bookmarkEnd w:id="85"/>
      <w:bookmarkEnd w:id="86"/>
      <w:bookmarkStart w:id="87" w:name="_Toc15396619"/>
    </w:p>
    <w:p w14:paraId="05522B01">
      <w:pPr>
        <w:pStyle w:val="6"/>
        <w:spacing w:line="415" w:lineRule="auto"/>
        <w:ind w:firstLine="640" w:firstLineChars="200"/>
        <w:rPr>
          <w:rFonts w:hint="eastAsia" w:ascii="黑体" w:hAnsi="Cambria" w:eastAsia="黑体" w:cs="Times New Roman"/>
          <w:b w:val="0"/>
          <w:bCs w:val="0"/>
          <w:color w:val="000000"/>
        </w:rPr>
      </w:pPr>
      <w:bookmarkStart w:id="88" w:name="_Toc11091"/>
      <w:r>
        <w:rPr>
          <w:rFonts w:hint="eastAsia" w:ascii="黑体" w:hAnsi="Cambria" w:eastAsia="黑体" w:cs="Times New Roman"/>
          <w:b w:val="0"/>
          <w:bCs w:val="0"/>
          <w:color w:val="000000"/>
        </w:rPr>
        <w:t>一、收入支出决算总表</w:t>
      </w:r>
      <w:bookmarkEnd w:id="87"/>
      <w:bookmarkEnd w:id="88"/>
    </w:p>
    <w:p w14:paraId="5AA944AC">
      <w:pPr>
        <w:pStyle w:val="6"/>
        <w:spacing w:line="415" w:lineRule="auto"/>
        <w:ind w:firstLine="640" w:firstLineChars="200"/>
        <w:rPr>
          <w:rFonts w:hint="eastAsia" w:ascii="黑体" w:hAnsi="Cambria" w:eastAsia="黑体" w:cs="Times New Roman"/>
          <w:b w:val="0"/>
          <w:bCs w:val="0"/>
          <w:color w:val="000000"/>
        </w:rPr>
      </w:pPr>
      <w:bookmarkStart w:id="89" w:name="_Toc15396620"/>
      <w:bookmarkStart w:id="90" w:name="_Toc21824"/>
      <w:r>
        <w:rPr>
          <w:rFonts w:hint="eastAsia" w:ascii="黑体" w:hAnsi="Cambria" w:eastAsia="黑体" w:cs="Times New Roman"/>
          <w:b w:val="0"/>
          <w:bCs w:val="0"/>
          <w:color w:val="000000"/>
        </w:rPr>
        <w:t>二、收入决算表</w:t>
      </w:r>
      <w:bookmarkEnd w:id="89"/>
      <w:bookmarkEnd w:id="90"/>
    </w:p>
    <w:p w14:paraId="11010264">
      <w:pPr>
        <w:pStyle w:val="6"/>
        <w:spacing w:line="415" w:lineRule="auto"/>
        <w:ind w:firstLine="640" w:firstLineChars="200"/>
        <w:rPr>
          <w:rFonts w:hint="eastAsia" w:ascii="黑体" w:hAnsi="Cambria" w:eastAsia="黑体" w:cs="Times New Roman"/>
          <w:b w:val="0"/>
          <w:bCs w:val="0"/>
          <w:color w:val="000000"/>
        </w:rPr>
      </w:pPr>
      <w:bookmarkStart w:id="91" w:name="_Toc15396621"/>
      <w:bookmarkStart w:id="92" w:name="_Toc957"/>
      <w:r>
        <w:rPr>
          <w:rFonts w:hint="eastAsia" w:ascii="黑体" w:hAnsi="Cambria" w:eastAsia="黑体" w:cs="Times New Roman"/>
          <w:b w:val="0"/>
          <w:bCs w:val="0"/>
          <w:color w:val="000000"/>
        </w:rPr>
        <w:t>三、支出决算表</w:t>
      </w:r>
      <w:bookmarkEnd w:id="91"/>
      <w:bookmarkEnd w:id="92"/>
    </w:p>
    <w:p w14:paraId="62E67057">
      <w:pPr>
        <w:pStyle w:val="6"/>
        <w:spacing w:line="415" w:lineRule="auto"/>
        <w:ind w:firstLine="640" w:firstLineChars="200"/>
        <w:rPr>
          <w:rFonts w:hint="eastAsia" w:ascii="黑体" w:hAnsi="Cambria" w:eastAsia="黑体" w:cs="Times New Roman"/>
          <w:b w:val="0"/>
          <w:bCs w:val="0"/>
          <w:color w:val="000000"/>
        </w:rPr>
      </w:pPr>
      <w:bookmarkStart w:id="93" w:name="_Toc15396622"/>
      <w:bookmarkStart w:id="94" w:name="_Toc13607"/>
      <w:r>
        <w:rPr>
          <w:rFonts w:hint="eastAsia" w:ascii="黑体" w:hAnsi="Cambria" w:eastAsia="黑体" w:cs="Times New Roman"/>
          <w:b w:val="0"/>
          <w:bCs w:val="0"/>
          <w:color w:val="000000"/>
        </w:rPr>
        <w:t>四、财政拨款收入支出决算总表</w:t>
      </w:r>
      <w:bookmarkEnd w:id="93"/>
      <w:bookmarkEnd w:id="94"/>
    </w:p>
    <w:p w14:paraId="7EAAF74D">
      <w:pPr>
        <w:pStyle w:val="6"/>
        <w:spacing w:line="415" w:lineRule="auto"/>
        <w:ind w:firstLine="640" w:firstLineChars="200"/>
        <w:rPr>
          <w:rFonts w:hint="eastAsia" w:ascii="黑体" w:hAnsi="Cambria" w:eastAsia="黑体" w:cs="Times New Roman"/>
          <w:b w:val="0"/>
          <w:bCs w:val="0"/>
          <w:color w:val="000000"/>
        </w:rPr>
      </w:pPr>
      <w:bookmarkStart w:id="95" w:name="_Toc15396623"/>
      <w:bookmarkStart w:id="96" w:name="_Toc25908"/>
      <w:r>
        <w:rPr>
          <w:rFonts w:hint="eastAsia" w:ascii="黑体" w:hAnsi="Cambria" w:eastAsia="黑体" w:cs="Times New Roman"/>
          <w:b w:val="0"/>
          <w:bCs w:val="0"/>
          <w:color w:val="000000"/>
        </w:rPr>
        <w:t>五、财政拨款支出决算明细表</w:t>
      </w:r>
      <w:bookmarkEnd w:id="95"/>
      <w:bookmarkEnd w:id="96"/>
      <w:bookmarkStart w:id="97" w:name="_Toc15396624"/>
    </w:p>
    <w:p w14:paraId="03B665F1">
      <w:pPr>
        <w:pStyle w:val="6"/>
        <w:spacing w:line="415" w:lineRule="auto"/>
        <w:ind w:firstLine="640" w:firstLineChars="200"/>
        <w:rPr>
          <w:rFonts w:hint="eastAsia" w:ascii="黑体" w:hAnsi="Cambria" w:eastAsia="黑体" w:cs="Times New Roman"/>
          <w:b w:val="0"/>
          <w:bCs w:val="0"/>
          <w:color w:val="000000"/>
        </w:rPr>
      </w:pPr>
      <w:bookmarkStart w:id="98" w:name="_Toc22366"/>
      <w:r>
        <w:rPr>
          <w:rFonts w:hint="eastAsia" w:ascii="黑体" w:hAnsi="Cambria" w:eastAsia="黑体" w:cs="Times New Roman"/>
          <w:b w:val="0"/>
          <w:bCs w:val="0"/>
          <w:color w:val="000000"/>
        </w:rPr>
        <w:t>六、一般公共预算财政拨款支出决算表</w:t>
      </w:r>
      <w:bookmarkEnd w:id="97"/>
      <w:bookmarkEnd w:id="98"/>
    </w:p>
    <w:p w14:paraId="70A46161">
      <w:pPr>
        <w:pStyle w:val="6"/>
        <w:spacing w:line="415" w:lineRule="auto"/>
        <w:ind w:firstLine="640" w:firstLineChars="200"/>
        <w:rPr>
          <w:rFonts w:hint="eastAsia" w:ascii="黑体" w:hAnsi="Cambria" w:eastAsia="黑体" w:cs="Times New Roman"/>
          <w:b w:val="0"/>
          <w:bCs w:val="0"/>
          <w:color w:val="000000"/>
        </w:rPr>
      </w:pPr>
      <w:bookmarkStart w:id="99" w:name="_Toc15396625"/>
      <w:bookmarkStart w:id="100" w:name="_Toc19547"/>
      <w:r>
        <w:rPr>
          <w:rFonts w:hint="eastAsia" w:ascii="黑体" w:hAnsi="Cambria" w:eastAsia="黑体" w:cs="Times New Roman"/>
          <w:b w:val="0"/>
          <w:bCs w:val="0"/>
          <w:color w:val="000000"/>
        </w:rPr>
        <w:t>七、一般公共预算财政拨款支出决算明细表</w:t>
      </w:r>
      <w:bookmarkEnd w:id="99"/>
      <w:bookmarkEnd w:id="100"/>
    </w:p>
    <w:p w14:paraId="761DF199">
      <w:pPr>
        <w:pStyle w:val="6"/>
        <w:spacing w:line="415" w:lineRule="auto"/>
        <w:ind w:firstLine="640" w:firstLineChars="200"/>
        <w:rPr>
          <w:rFonts w:hint="eastAsia" w:ascii="黑体" w:hAnsi="Cambria" w:eastAsia="黑体" w:cs="Times New Roman"/>
          <w:b w:val="0"/>
          <w:bCs w:val="0"/>
          <w:color w:val="000000"/>
        </w:rPr>
      </w:pPr>
      <w:bookmarkStart w:id="101" w:name="_Toc15396626"/>
      <w:bookmarkStart w:id="102" w:name="_Toc21413"/>
      <w:r>
        <w:rPr>
          <w:rFonts w:hint="eastAsia" w:ascii="黑体" w:hAnsi="Cambria" w:eastAsia="黑体" w:cs="Times New Roman"/>
          <w:b w:val="0"/>
          <w:bCs w:val="0"/>
          <w:color w:val="000000"/>
        </w:rPr>
        <w:t>八、一般公共预算财政拨款基本支出决算表</w:t>
      </w:r>
      <w:bookmarkEnd w:id="101"/>
      <w:bookmarkEnd w:id="102"/>
    </w:p>
    <w:p w14:paraId="18897A37">
      <w:pPr>
        <w:pStyle w:val="6"/>
        <w:spacing w:line="415" w:lineRule="auto"/>
        <w:ind w:firstLine="640" w:firstLineChars="200"/>
        <w:rPr>
          <w:rFonts w:hint="eastAsia" w:ascii="黑体" w:hAnsi="Cambria" w:eastAsia="黑体" w:cs="Times New Roman"/>
          <w:b w:val="0"/>
          <w:bCs w:val="0"/>
          <w:color w:val="000000"/>
        </w:rPr>
      </w:pPr>
      <w:bookmarkStart w:id="103" w:name="_Toc15396627"/>
      <w:bookmarkStart w:id="104" w:name="_Toc28916"/>
      <w:r>
        <w:rPr>
          <w:rFonts w:hint="eastAsia" w:ascii="黑体" w:hAnsi="Cambria" w:eastAsia="黑体" w:cs="Times New Roman"/>
          <w:b w:val="0"/>
          <w:bCs w:val="0"/>
          <w:color w:val="000000"/>
        </w:rPr>
        <w:t>九、一般公共预算财政拨款项目支出决算表</w:t>
      </w:r>
      <w:bookmarkEnd w:id="103"/>
      <w:bookmarkEnd w:id="104"/>
    </w:p>
    <w:p w14:paraId="4CF8316F">
      <w:pPr>
        <w:pStyle w:val="6"/>
        <w:spacing w:line="415" w:lineRule="auto"/>
        <w:ind w:firstLine="640" w:firstLineChars="200"/>
        <w:rPr>
          <w:rFonts w:hint="eastAsia" w:ascii="黑体" w:hAnsi="Cambria" w:eastAsia="黑体" w:cs="Times New Roman"/>
          <w:b w:val="0"/>
          <w:bCs w:val="0"/>
          <w:color w:val="000000"/>
        </w:rPr>
      </w:pPr>
      <w:bookmarkStart w:id="105" w:name="_Toc15396628"/>
      <w:bookmarkStart w:id="106" w:name="_Toc3503"/>
      <w:r>
        <w:rPr>
          <w:rFonts w:hint="eastAsia" w:ascii="黑体" w:hAnsi="Cambria" w:eastAsia="黑体" w:cs="Times New Roman"/>
          <w:b w:val="0"/>
          <w:bCs w:val="0"/>
          <w:color w:val="000000"/>
        </w:rPr>
        <w:t>十、</w:t>
      </w:r>
      <w:bookmarkEnd w:id="105"/>
      <w:r>
        <w:rPr>
          <w:rFonts w:hint="eastAsia" w:ascii="黑体" w:hAnsi="Cambria" w:eastAsia="黑体" w:cs="Times New Roman"/>
          <w:b w:val="0"/>
          <w:bCs w:val="0"/>
          <w:color w:val="000000"/>
        </w:rPr>
        <w:t>政府性基金预算财政拨款收入支出决算表</w:t>
      </w:r>
      <w:bookmarkEnd w:id="106"/>
    </w:p>
    <w:p w14:paraId="51AB6183">
      <w:pPr>
        <w:pStyle w:val="6"/>
        <w:spacing w:line="415" w:lineRule="auto"/>
        <w:ind w:firstLine="640" w:firstLineChars="200"/>
        <w:rPr>
          <w:rFonts w:hint="eastAsia" w:ascii="黑体" w:hAnsi="Cambria" w:eastAsia="黑体" w:cs="Times New Roman"/>
          <w:b w:val="0"/>
          <w:bCs w:val="0"/>
          <w:color w:val="000000"/>
        </w:rPr>
      </w:pPr>
      <w:bookmarkStart w:id="107" w:name="_Toc15396629"/>
      <w:bookmarkStart w:id="108" w:name="_Toc28409"/>
      <w:r>
        <w:rPr>
          <w:rFonts w:hint="eastAsia" w:ascii="黑体" w:hAnsi="Cambria" w:eastAsia="黑体" w:cs="Times New Roman"/>
          <w:b w:val="0"/>
          <w:bCs w:val="0"/>
          <w:color w:val="000000"/>
        </w:rPr>
        <w:t>十一、</w:t>
      </w:r>
      <w:bookmarkEnd w:id="107"/>
      <w:r>
        <w:rPr>
          <w:rFonts w:hint="eastAsia" w:ascii="黑体" w:hAnsi="Cambria" w:eastAsia="黑体" w:cs="Times New Roman"/>
          <w:b w:val="0"/>
          <w:bCs w:val="0"/>
          <w:color w:val="000000"/>
        </w:rPr>
        <w:t>国有资本经营预算</w:t>
      </w:r>
      <w:r>
        <w:rPr>
          <w:rFonts w:hint="eastAsia" w:ascii="黑体" w:hAnsi="Cambria" w:eastAsia="黑体" w:cs="Times New Roman"/>
          <w:b w:val="0"/>
          <w:bCs w:val="0"/>
          <w:color w:val="000000"/>
          <w:lang w:eastAsia="zh-CN"/>
        </w:rPr>
        <w:t>财政拨款收入</w:t>
      </w:r>
      <w:r>
        <w:rPr>
          <w:rFonts w:hint="eastAsia" w:ascii="黑体" w:hAnsi="Cambria" w:eastAsia="黑体" w:cs="Times New Roman"/>
          <w:b w:val="0"/>
          <w:bCs w:val="0"/>
          <w:color w:val="000000"/>
        </w:rPr>
        <w:t>支出决算表</w:t>
      </w:r>
      <w:bookmarkEnd w:id="108"/>
    </w:p>
    <w:p w14:paraId="795B0E7D">
      <w:pPr>
        <w:pStyle w:val="6"/>
        <w:spacing w:line="415" w:lineRule="auto"/>
        <w:ind w:firstLine="640" w:firstLineChars="200"/>
        <w:rPr>
          <w:rFonts w:hint="eastAsia" w:ascii="黑体" w:hAnsi="Cambria" w:eastAsia="黑体" w:cs="Times New Roman"/>
          <w:b w:val="0"/>
          <w:bCs w:val="0"/>
          <w:color w:val="000000"/>
        </w:rPr>
      </w:pPr>
      <w:bookmarkStart w:id="109" w:name="_Toc15396630"/>
      <w:bookmarkStart w:id="110" w:name="_Toc9303"/>
      <w:r>
        <w:rPr>
          <w:rFonts w:hint="eastAsia" w:ascii="黑体" w:hAnsi="Cambria" w:eastAsia="黑体" w:cs="Times New Roman"/>
          <w:b w:val="0"/>
          <w:bCs w:val="0"/>
          <w:color w:val="000000"/>
        </w:rPr>
        <w:t>十二、</w:t>
      </w:r>
      <w:bookmarkEnd w:id="109"/>
      <w:r>
        <w:rPr>
          <w:rFonts w:hint="eastAsia" w:ascii="黑体" w:hAnsi="Cambria" w:eastAsia="黑体" w:cs="Times New Roman"/>
          <w:b w:val="0"/>
          <w:bCs w:val="0"/>
          <w:color w:val="000000"/>
          <w:lang w:eastAsia="zh-CN"/>
        </w:rPr>
        <w:t>国有资本经营预算财政拨款支出决算表</w:t>
      </w:r>
      <w:bookmarkEnd w:id="110"/>
    </w:p>
    <w:p w14:paraId="276638D7">
      <w:pPr>
        <w:pStyle w:val="6"/>
        <w:spacing w:line="415" w:lineRule="auto"/>
        <w:ind w:firstLine="640" w:firstLineChars="200"/>
        <w:rPr>
          <w:rFonts w:hint="eastAsia" w:ascii="Times New Roman" w:hAnsi="Times New Roman"/>
          <w:lang w:eastAsia="zh-CN"/>
        </w:rPr>
      </w:pPr>
      <w:bookmarkStart w:id="111" w:name="_Toc15396631"/>
      <w:bookmarkStart w:id="112" w:name="_Toc14714"/>
      <w:r>
        <w:rPr>
          <w:rFonts w:hint="eastAsia" w:ascii="黑体" w:hAnsi="Cambria" w:eastAsia="黑体" w:cs="Times New Roman"/>
          <w:b w:val="0"/>
          <w:bCs w:val="0"/>
          <w:color w:val="000000"/>
        </w:rPr>
        <w:t>十三、</w:t>
      </w:r>
      <w:bookmarkEnd w:id="111"/>
      <w:r>
        <w:rPr>
          <w:rFonts w:hint="eastAsia" w:ascii="黑体" w:hAnsi="Cambria" w:eastAsia="黑体" w:cs="Times New Roman"/>
          <w:b w:val="0"/>
          <w:bCs w:val="0"/>
          <w:color w:val="000000"/>
          <w:lang w:eastAsia="zh-CN"/>
        </w:rPr>
        <w:t>财政拨款“三公”经费支出决算表</w:t>
      </w:r>
      <w:bookmarkEnd w:id="112"/>
    </w:p>
    <w:sectPr>
      <w:footerReference r:id="rId5" w:type="first"/>
      <w:headerReference r:id="rId3" w:type="default"/>
      <w:footerReference r:id="rId4" w:type="default"/>
      <w:pgSz w:w="11906" w:h="16838"/>
      <w:pgMar w:top="2154" w:right="1417" w:bottom="2041" w:left="153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F7A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71547">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F71547">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37E13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7766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673C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C673C0">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2512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2C99E"/>
    <w:multiLevelType w:val="singleLevel"/>
    <w:tmpl w:val="9082C99E"/>
    <w:lvl w:ilvl="0" w:tentative="0">
      <w:start w:val="2"/>
      <w:numFmt w:val="chineseCounting"/>
      <w:suff w:val="nothing"/>
      <w:lvlText w:val="（%1）"/>
      <w:lvlJc w:val="left"/>
      <w:rPr>
        <w:rFonts w:hint="eastAsia"/>
      </w:rPr>
    </w:lvl>
  </w:abstractNum>
  <w:abstractNum w:abstractNumId="1">
    <w:nsid w:val="E458CD52"/>
    <w:multiLevelType w:val="singleLevel"/>
    <w:tmpl w:val="E458CD52"/>
    <w:lvl w:ilvl="0" w:tentative="0">
      <w:start w:val="1"/>
      <w:numFmt w:val="chineseCounting"/>
      <w:suff w:val="nothing"/>
      <w:lvlText w:val="%1、"/>
      <w:lvlJc w:val="left"/>
      <w:rPr>
        <w:rFonts w:hint="eastAsia"/>
      </w:rPr>
    </w:lvl>
  </w:abstractNum>
  <w:abstractNum w:abstractNumId="2">
    <w:nsid w:val="FD68EF60"/>
    <w:multiLevelType w:val="singleLevel"/>
    <w:tmpl w:val="FD68EF60"/>
    <w:lvl w:ilvl="0" w:tentative="0">
      <w:start w:val="5"/>
      <w:numFmt w:val="chineseCounting"/>
      <w:suff w:val="nothing"/>
      <w:lvlText w:val="%1、"/>
      <w:lvlJc w:val="left"/>
      <w:rPr>
        <w:rFonts w:hint="eastAsia"/>
      </w:rPr>
    </w:lvl>
  </w:abstractNum>
  <w:abstractNum w:abstractNumId="3">
    <w:nsid w:val="081C4693"/>
    <w:multiLevelType w:val="singleLevel"/>
    <w:tmpl w:val="081C4693"/>
    <w:lvl w:ilvl="0" w:tentative="0">
      <w:start w:val="5"/>
      <w:numFmt w:val="chineseCounting"/>
      <w:suff w:val="nothing"/>
      <w:lvlText w:val="%1、"/>
      <w:lvlJc w:val="left"/>
      <w:rPr>
        <w:rFonts w:hint="eastAsia"/>
      </w:rPr>
    </w:lvl>
  </w:abstractNum>
  <w:abstractNum w:abstractNumId="4">
    <w:nsid w:val="22E137C5"/>
    <w:multiLevelType w:val="singleLevel"/>
    <w:tmpl w:val="22E137C5"/>
    <w:lvl w:ilvl="0" w:tentative="0">
      <w:start w:val="19"/>
      <w:numFmt w:val="decimal"/>
      <w:lvlText w:val="%1."/>
      <w:lvlJc w:val="left"/>
      <w:pPr>
        <w:tabs>
          <w:tab w:val="left" w:pos="312"/>
        </w:tabs>
      </w:pPr>
    </w:lvl>
  </w:abstractNum>
  <w:abstractNum w:abstractNumId="5">
    <w:nsid w:val="751CDD4F"/>
    <w:multiLevelType w:val="singleLevel"/>
    <w:tmpl w:val="751CDD4F"/>
    <w:lvl w:ilvl="0" w:tentative="0">
      <w:start w:val="5"/>
      <w:numFmt w:val="chineseCounting"/>
      <w:suff w:val="nothing"/>
      <w:lvlText w:val="%1、"/>
      <w:lvlJc w:val="left"/>
      <w:rPr>
        <w:rFonts w:hint="eastAsia"/>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zdkOWRlZjBmNzM5Y2E3YTRjYzk2MThhNjNl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38E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440B"/>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3EA9"/>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41347"/>
    <w:rsid w:val="01CE3A0A"/>
    <w:rsid w:val="01DD3C4D"/>
    <w:rsid w:val="020E2058"/>
    <w:rsid w:val="02FEBE30"/>
    <w:rsid w:val="036D7FC9"/>
    <w:rsid w:val="03C03826"/>
    <w:rsid w:val="03F014FB"/>
    <w:rsid w:val="0425794B"/>
    <w:rsid w:val="045C4271"/>
    <w:rsid w:val="047D1717"/>
    <w:rsid w:val="04916F1E"/>
    <w:rsid w:val="04ED064B"/>
    <w:rsid w:val="050C2C6B"/>
    <w:rsid w:val="05544226"/>
    <w:rsid w:val="057B33AE"/>
    <w:rsid w:val="05DE188C"/>
    <w:rsid w:val="061E35DE"/>
    <w:rsid w:val="066E0107"/>
    <w:rsid w:val="06BB2074"/>
    <w:rsid w:val="07996F6E"/>
    <w:rsid w:val="07DA5891"/>
    <w:rsid w:val="07DC069D"/>
    <w:rsid w:val="07DFD8BA"/>
    <w:rsid w:val="07F10452"/>
    <w:rsid w:val="07FC6F8D"/>
    <w:rsid w:val="083D0B68"/>
    <w:rsid w:val="085409E1"/>
    <w:rsid w:val="08872B64"/>
    <w:rsid w:val="08931509"/>
    <w:rsid w:val="089808CE"/>
    <w:rsid w:val="08D86F1C"/>
    <w:rsid w:val="09867E8F"/>
    <w:rsid w:val="0A1A0C90"/>
    <w:rsid w:val="0A2032A3"/>
    <w:rsid w:val="0A945AA3"/>
    <w:rsid w:val="0AD41965"/>
    <w:rsid w:val="0AFD2C6A"/>
    <w:rsid w:val="0B445E0F"/>
    <w:rsid w:val="0B4513E2"/>
    <w:rsid w:val="0C32054E"/>
    <w:rsid w:val="0C39293C"/>
    <w:rsid w:val="0CA8290A"/>
    <w:rsid w:val="0D0E0020"/>
    <w:rsid w:val="0D1F511A"/>
    <w:rsid w:val="0D35B1ED"/>
    <w:rsid w:val="0D523741"/>
    <w:rsid w:val="0D927FE1"/>
    <w:rsid w:val="0DBB4AF6"/>
    <w:rsid w:val="0DF540CC"/>
    <w:rsid w:val="0E254B6B"/>
    <w:rsid w:val="0E9432A4"/>
    <w:rsid w:val="0E975393"/>
    <w:rsid w:val="0EC00B7E"/>
    <w:rsid w:val="0ED32660"/>
    <w:rsid w:val="0F1126CB"/>
    <w:rsid w:val="0F277E8D"/>
    <w:rsid w:val="0F5F4446"/>
    <w:rsid w:val="0F661726"/>
    <w:rsid w:val="0F98263C"/>
    <w:rsid w:val="0FB04F84"/>
    <w:rsid w:val="101860EC"/>
    <w:rsid w:val="101F47CC"/>
    <w:rsid w:val="102B2027"/>
    <w:rsid w:val="10C055FF"/>
    <w:rsid w:val="114535BD"/>
    <w:rsid w:val="11694EBD"/>
    <w:rsid w:val="11772AA4"/>
    <w:rsid w:val="118107EC"/>
    <w:rsid w:val="11997759"/>
    <w:rsid w:val="11A227BD"/>
    <w:rsid w:val="11B76E7E"/>
    <w:rsid w:val="123A5B44"/>
    <w:rsid w:val="12E24EE2"/>
    <w:rsid w:val="12EA441C"/>
    <w:rsid w:val="13156E2E"/>
    <w:rsid w:val="13B81E24"/>
    <w:rsid w:val="13BD568C"/>
    <w:rsid w:val="13BE5092"/>
    <w:rsid w:val="13C7650B"/>
    <w:rsid w:val="13D50BC4"/>
    <w:rsid w:val="142C6F1D"/>
    <w:rsid w:val="147F207F"/>
    <w:rsid w:val="14916DF2"/>
    <w:rsid w:val="14B17F78"/>
    <w:rsid w:val="153136DA"/>
    <w:rsid w:val="15FD7C9B"/>
    <w:rsid w:val="16215455"/>
    <w:rsid w:val="162163A6"/>
    <w:rsid w:val="165E0673"/>
    <w:rsid w:val="16B831D5"/>
    <w:rsid w:val="16BB723D"/>
    <w:rsid w:val="17714319"/>
    <w:rsid w:val="17C3523B"/>
    <w:rsid w:val="17DB07D7"/>
    <w:rsid w:val="17E50567"/>
    <w:rsid w:val="18366877"/>
    <w:rsid w:val="186504BB"/>
    <w:rsid w:val="186E164B"/>
    <w:rsid w:val="187C78C4"/>
    <w:rsid w:val="18A60DE5"/>
    <w:rsid w:val="18B41207"/>
    <w:rsid w:val="190653E0"/>
    <w:rsid w:val="196E41F4"/>
    <w:rsid w:val="19A445FC"/>
    <w:rsid w:val="1A454F8C"/>
    <w:rsid w:val="1A5D1977"/>
    <w:rsid w:val="1AF35F88"/>
    <w:rsid w:val="1B701236"/>
    <w:rsid w:val="1BE8440E"/>
    <w:rsid w:val="1C222F92"/>
    <w:rsid w:val="1D0A3566"/>
    <w:rsid w:val="1D155CEE"/>
    <w:rsid w:val="1D1638FE"/>
    <w:rsid w:val="1D803778"/>
    <w:rsid w:val="1D8F1103"/>
    <w:rsid w:val="1DA81EF1"/>
    <w:rsid w:val="1E00770A"/>
    <w:rsid w:val="1E312DEB"/>
    <w:rsid w:val="1E740ACF"/>
    <w:rsid w:val="1E9B5FB2"/>
    <w:rsid w:val="1EBF4F16"/>
    <w:rsid w:val="1F1C58F1"/>
    <w:rsid w:val="1F444EB4"/>
    <w:rsid w:val="1FF24A6E"/>
    <w:rsid w:val="1FF35744"/>
    <w:rsid w:val="1FF52863"/>
    <w:rsid w:val="1FF6BC77"/>
    <w:rsid w:val="1FF82DDD"/>
    <w:rsid w:val="20130DFC"/>
    <w:rsid w:val="20436F19"/>
    <w:rsid w:val="204720DD"/>
    <w:rsid w:val="20773D11"/>
    <w:rsid w:val="20CA49BF"/>
    <w:rsid w:val="20E879FE"/>
    <w:rsid w:val="2186353C"/>
    <w:rsid w:val="21C06CC2"/>
    <w:rsid w:val="21E07116"/>
    <w:rsid w:val="22123047"/>
    <w:rsid w:val="22CA396A"/>
    <w:rsid w:val="232019B9"/>
    <w:rsid w:val="23860B96"/>
    <w:rsid w:val="240371BF"/>
    <w:rsid w:val="240E0A15"/>
    <w:rsid w:val="241C63FF"/>
    <w:rsid w:val="244F3473"/>
    <w:rsid w:val="246B4C91"/>
    <w:rsid w:val="24C97D99"/>
    <w:rsid w:val="250642E7"/>
    <w:rsid w:val="255C2942"/>
    <w:rsid w:val="25A718F0"/>
    <w:rsid w:val="25BB59F6"/>
    <w:rsid w:val="25E14618"/>
    <w:rsid w:val="260F557C"/>
    <w:rsid w:val="26121868"/>
    <w:rsid w:val="264A172F"/>
    <w:rsid w:val="26586904"/>
    <w:rsid w:val="266D516E"/>
    <w:rsid w:val="26970054"/>
    <w:rsid w:val="269E74BF"/>
    <w:rsid w:val="27037402"/>
    <w:rsid w:val="281408E2"/>
    <w:rsid w:val="283F090E"/>
    <w:rsid w:val="28BE093C"/>
    <w:rsid w:val="28F33BD2"/>
    <w:rsid w:val="294E26CD"/>
    <w:rsid w:val="29FD04D3"/>
    <w:rsid w:val="2A4907A6"/>
    <w:rsid w:val="2AE47C95"/>
    <w:rsid w:val="2B173F33"/>
    <w:rsid w:val="2B496A2D"/>
    <w:rsid w:val="2B553042"/>
    <w:rsid w:val="2BFF7BC6"/>
    <w:rsid w:val="2C8A61B5"/>
    <w:rsid w:val="2CFA4E04"/>
    <w:rsid w:val="2CFE2B46"/>
    <w:rsid w:val="2D937FDA"/>
    <w:rsid w:val="2D986AF6"/>
    <w:rsid w:val="2DBD47AF"/>
    <w:rsid w:val="2DCA114E"/>
    <w:rsid w:val="2DCA6ECC"/>
    <w:rsid w:val="2DF04E50"/>
    <w:rsid w:val="2E586DFA"/>
    <w:rsid w:val="2EAB5D2A"/>
    <w:rsid w:val="2EE46F73"/>
    <w:rsid w:val="2EE903D5"/>
    <w:rsid w:val="2EF67C47"/>
    <w:rsid w:val="2F040D46"/>
    <w:rsid w:val="2F5741CE"/>
    <w:rsid w:val="2F582CFC"/>
    <w:rsid w:val="2F6B035B"/>
    <w:rsid w:val="2FAE5751"/>
    <w:rsid w:val="2FB1A395"/>
    <w:rsid w:val="2FD9A7D8"/>
    <w:rsid w:val="2FDBF714"/>
    <w:rsid w:val="308717B0"/>
    <w:rsid w:val="30AB6865"/>
    <w:rsid w:val="30E42053"/>
    <w:rsid w:val="317F4625"/>
    <w:rsid w:val="319F7F4E"/>
    <w:rsid w:val="31A737AC"/>
    <w:rsid w:val="31B870FC"/>
    <w:rsid w:val="327318E0"/>
    <w:rsid w:val="32821FC4"/>
    <w:rsid w:val="32843E49"/>
    <w:rsid w:val="32BD0DAD"/>
    <w:rsid w:val="32BD1EF1"/>
    <w:rsid w:val="32DA195F"/>
    <w:rsid w:val="33042538"/>
    <w:rsid w:val="3304709D"/>
    <w:rsid w:val="33541711"/>
    <w:rsid w:val="33664FA1"/>
    <w:rsid w:val="33727A9C"/>
    <w:rsid w:val="33900270"/>
    <w:rsid w:val="33A773CB"/>
    <w:rsid w:val="33B473EB"/>
    <w:rsid w:val="33B82BEC"/>
    <w:rsid w:val="33D64231"/>
    <w:rsid w:val="3442605B"/>
    <w:rsid w:val="349D6851"/>
    <w:rsid w:val="34A264AC"/>
    <w:rsid w:val="34AD7EA2"/>
    <w:rsid w:val="34D3794B"/>
    <w:rsid w:val="35154772"/>
    <w:rsid w:val="35156C7E"/>
    <w:rsid w:val="358513D6"/>
    <w:rsid w:val="35EE60E8"/>
    <w:rsid w:val="35FA6F8D"/>
    <w:rsid w:val="361C5FF4"/>
    <w:rsid w:val="36200CAA"/>
    <w:rsid w:val="36AA5135"/>
    <w:rsid w:val="36BE0DA7"/>
    <w:rsid w:val="36D007CC"/>
    <w:rsid w:val="36EE3C2B"/>
    <w:rsid w:val="376B6AA6"/>
    <w:rsid w:val="376D39B2"/>
    <w:rsid w:val="37E16F03"/>
    <w:rsid w:val="37F53A3B"/>
    <w:rsid w:val="3890394B"/>
    <w:rsid w:val="389B6C89"/>
    <w:rsid w:val="38D469F0"/>
    <w:rsid w:val="39161217"/>
    <w:rsid w:val="3933586E"/>
    <w:rsid w:val="39592552"/>
    <w:rsid w:val="39627CCD"/>
    <w:rsid w:val="397BAF1F"/>
    <w:rsid w:val="397D27F8"/>
    <w:rsid w:val="397F3D71"/>
    <w:rsid w:val="39DA2245"/>
    <w:rsid w:val="3A1C3C21"/>
    <w:rsid w:val="3A8C79E3"/>
    <w:rsid w:val="3AB79AF3"/>
    <w:rsid w:val="3AE834C0"/>
    <w:rsid w:val="3B0634B5"/>
    <w:rsid w:val="3B4E2EEA"/>
    <w:rsid w:val="3B554279"/>
    <w:rsid w:val="3B7EF35A"/>
    <w:rsid w:val="3B9FDB6C"/>
    <w:rsid w:val="3BC001D3"/>
    <w:rsid w:val="3BF5BC2F"/>
    <w:rsid w:val="3CEBA265"/>
    <w:rsid w:val="3D7C3E01"/>
    <w:rsid w:val="3D8E52AA"/>
    <w:rsid w:val="3D98207C"/>
    <w:rsid w:val="3DB01C3A"/>
    <w:rsid w:val="3DEE7CF3"/>
    <w:rsid w:val="3E0B74D1"/>
    <w:rsid w:val="3E1D4268"/>
    <w:rsid w:val="3E740A63"/>
    <w:rsid w:val="3E78745D"/>
    <w:rsid w:val="3EC412C8"/>
    <w:rsid w:val="3EE17838"/>
    <w:rsid w:val="3F235BB1"/>
    <w:rsid w:val="3F2759C2"/>
    <w:rsid w:val="3F55381A"/>
    <w:rsid w:val="3F5D194E"/>
    <w:rsid w:val="3F74457E"/>
    <w:rsid w:val="3F7F7599"/>
    <w:rsid w:val="3FF4CAE0"/>
    <w:rsid w:val="3FF7B227"/>
    <w:rsid w:val="40010EF3"/>
    <w:rsid w:val="40920B61"/>
    <w:rsid w:val="40CA3013"/>
    <w:rsid w:val="40F167F2"/>
    <w:rsid w:val="410302D3"/>
    <w:rsid w:val="415B010F"/>
    <w:rsid w:val="416157A3"/>
    <w:rsid w:val="417B41BA"/>
    <w:rsid w:val="41D13F2D"/>
    <w:rsid w:val="42121D27"/>
    <w:rsid w:val="42801A62"/>
    <w:rsid w:val="431F6F1A"/>
    <w:rsid w:val="43811D82"/>
    <w:rsid w:val="43BB350B"/>
    <w:rsid w:val="440C192E"/>
    <w:rsid w:val="447C21D5"/>
    <w:rsid w:val="44E268DA"/>
    <w:rsid w:val="44F20732"/>
    <w:rsid w:val="450D13D7"/>
    <w:rsid w:val="452845E0"/>
    <w:rsid w:val="45506656"/>
    <w:rsid w:val="456F5F37"/>
    <w:rsid w:val="45A42941"/>
    <w:rsid w:val="45AC0266"/>
    <w:rsid w:val="46B50DE2"/>
    <w:rsid w:val="470628CB"/>
    <w:rsid w:val="47650446"/>
    <w:rsid w:val="476F3AA9"/>
    <w:rsid w:val="477A307F"/>
    <w:rsid w:val="48035502"/>
    <w:rsid w:val="48050DD4"/>
    <w:rsid w:val="486A6C7A"/>
    <w:rsid w:val="49656BC0"/>
    <w:rsid w:val="49BF6D61"/>
    <w:rsid w:val="49D071C0"/>
    <w:rsid w:val="49E5379C"/>
    <w:rsid w:val="4A627F82"/>
    <w:rsid w:val="4AB61513"/>
    <w:rsid w:val="4B0E749A"/>
    <w:rsid w:val="4B2477C4"/>
    <w:rsid w:val="4B31299F"/>
    <w:rsid w:val="4B4F25DA"/>
    <w:rsid w:val="4B9E7576"/>
    <w:rsid w:val="4BD00917"/>
    <w:rsid w:val="4BDD5A8B"/>
    <w:rsid w:val="4BE068DB"/>
    <w:rsid w:val="4BE62CCB"/>
    <w:rsid w:val="4C0C1541"/>
    <w:rsid w:val="4C3C2A30"/>
    <w:rsid w:val="4C63273B"/>
    <w:rsid w:val="4CCE71C9"/>
    <w:rsid w:val="4CE30FB8"/>
    <w:rsid w:val="4D423F31"/>
    <w:rsid w:val="4D577224"/>
    <w:rsid w:val="4D83412C"/>
    <w:rsid w:val="4DBF1CEB"/>
    <w:rsid w:val="4DC35CD9"/>
    <w:rsid w:val="4DF0007C"/>
    <w:rsid w:val="4E1A6396"/>
    <w:rsid w:val="4E612932"/>
    <w:rsid w:val="4EAB630A"/>
    <w:rsid w:val="4ECE2238"/>
    <w:rsid w:val="4F323574"/>
    <w:rsid w:val="4F833267"/>
    <w:rsid w:val="4F9E480C"/>
    <w:rsid w:val="4FCB2904"/>
    <w:rsid w:val="4FE9BD67"/>
    <w:rsid w:val="4FFB052F"/>
    <w:rsid w:val="50334A8C"/>
    <w:rsid w:val="50346C22"/>
    <w:rsid w:val="50355FCF"/>
    <w:rsid w:val="5052092F"/>
    <w:rsid w:val="509F3452"/>
    <w:rsid w:val="50CE3EF5"/>
    <w:rsid w:val="50EE4AFC"/>
    <w:rsid w:val="50FA1CA7"/>
    <w:rsid w:val="513D513B"/>
    <w:rsid w:val="514B3CFC"/>
    <w:rsid w:val="515D35EC"/>
    <w:rsid w:val="516503C9"/>
    <w:rsid w:val="51E23F34"/>
    <w:rsid w:val="524D13AE"/>
    <w:rsid w:val="528526A1"/>
    <w:rsid w:val="52974D1F"/>
    <w:rsid w:val="52DB2E5E"/>
    <w:rsid w:val="533662E6"/>
    <w:rsid w:val="537E6D0A"/>
    <w:rsid w:val="5394125E"/>
    <w:rsid w:val="53C94A70"/>
    <w:rsid w:val="53F74C96"/>
    <w:rsid w:val="54136627"/>
    <w:rsid w:val="54295E4B"/>
    <w:rsid w:val="5472334E"/>
    <w:rsid w:val="548117E3"/>
    <w:rsid w:val="54930E84"/>
    <w:rsid w:val="55170BA8"/>
    <w:rsid w:val="553218C9"/>
    <w:rsid w:val="5556508A"/>
    <w:rsid w:val="55627866"/>
    <w:rsid w:val="556757E9"/>
    <w:rsid w:val="55766E6E"/>
    <w:rsid w:val="55B95314"/>
    <w:rsid w:val="56237394"/>
    <w:rsid w:val="567E1AA5"/>
    <w:rsid w:val="56A47A0A"/>
    <w:rsid w:val="56BE6D1E"/>
    <w:rsid w:val="56E47B74"/>
    <w:rsid w:val="56E801F8"/>
    <w:rsid w:val="57175D52"/>
    <w:rsid w:val="577B4B3D"/>
    <w:rsid w:val="57933D9E"/>
    <w:rsid w:val="579769B4"/>
    <w:rsid w:val="57B52B1D"/>
    <w:rsid w:val="57BD3DD4"/>
    <w:rsid w:val="57EF5992"/>
    <w:rsid w:val="584E16B7"/>
    <w:rsid w:val="587358E6"/>
    <w:rsid w:val="59274C9C"/>
    <w:rsid w:val="59280AFA"/>
    <w:rsid w:val="595774C6"/>
    <w:rsid w:val="59F02F21"/>
    <w:rsid w:val="5A137381"/>
    <w:rsid w:val="5A272E2C"/>
    <w:rsid w:val="5A4C6CD9"/>
    <w:rsid w:val="5A7C6D24"/>
    <w:rsid w:val="5A8870A9"/>
    <w:rsid w:val="5AB0028C"/>
    <w:rsid w:val="5AF92295"/>
    <w:rsid w:val="5B250254"/>
    <w:rsid w:val="5B3221AA"/>
    <w:rsid w:val="5B337AB6"/>
    <w:rsid w:val="5B383E74"/>
    <w:rsid w:val="5BB57237"/>
    <w:rsid w:val="5BDD79E6"/>
    <w:rsid w:val="5BF561CA"/>
    <w:rsid w:val="5BFF5DFC"/>
    <w:rsid w:val="5C2E04A2"/>
    <w:rsid w:val="5C8E0F41"/>
    <w:rsid w:val="5CD71FC4"/>
    <w:rsid w:val="5D1F11B5"/>
    <w:rsid w:val="5D2D3C87"/>
    <w:rsid w:val="5D695134"/>
    <w:rsid w:val="5D780793"/>
    <w:rsid w:val="5DAE1B18"/>
    <w:rsid w:val="5DE7D9E5"/>
    <w:rsid w:val="5E0577A1"/>
    <w:rsid w:val="5E26772E"/>
    <w:rsid w:val="5E736640"/>
    <w:rsid w:val="5EB37E01"/>
    <w:rsid w:val="5ECEC941"/>
    <w:rsid w:val="5ED13367"/>
    <w:rsid w:val="5F3C6F3C"/>
    <w:rsid w:val="5F473629"/>
    <w:rsid w:val="5F5C7C79"/>
    <w:rsid w:val="5F8E1258"/>
    <w:rsid w:val="5FBF9FF3"/>
    <w:rsid w:val="5FCD4E2C"/>
    <w:rsid w:val="5FEF394A"/>
    <w:rsid w:val="5FF67715"/>
    <w:rsid w:val="60B13450"/>
    <w:rsid w:val="60EC2EEB"/>
    <w:rsid w:val="60F129E1"/>
    <w:rsid w:val="61023CAB"/>
    <w:rsid w:val="611B6B1B"/>
    <w:rsid w:val="611D6D37"/>
    <w:rsid w:val="61265BEC"/>
    <w:rsid w:val="61290B78"/>
    <w:rsid w:val="61455554"/>
    <w:rsid w:val="61A00737"/>
    <w:rsid w:val="620D10D7"/>
    <w:rsid w:val="62A019CE"/>
    <w:rsid w:val="62BC7329"/>
    <w:rsid w:val="62BF3928"/>
    <w:rsid w:val="62C751AC"/>
    <w:rsid w:val="62DB6218"/>
    <w:rsid w:val="633839B4"/>
    <w:rsid w:val="63B3701E"/>
    <w:rsid w:val="647F5392"/>
    <w:rsid w:val="64B82085"/>
    <w:rsid w:val="652705B3"/>
    <w:rsid w:val="65384140"/>
    <w:rsid w:val="654607AD"/>
    <w:rsid w:val="6558033E"/>
    <w:rsid w:val="658E5516"/>
    <w:rsid w:val="65E66580"/>
    <w:rsid w:val="66134265"/>
    <w:rsid w:val="661C5689"/>
    <w:rsid w:val="661C75BD"/>
    <w:rsid w:val="661E1616"/>
    <w:rsid w:val="66292934"/>
    <w:rsid w:val="662A17C1"/>
    <w:rsid w:val="66377F53"/>
    <w:rsid w:val="664B1D71"/>
    <w:rsid w:val="664B4E8E"/>
    <w:rsid w:val="66651E20"/>
    <w:rsid w:val="67277B67"/>
    <w:rsid w:val="67351044"/>
    <w:rsid w:val="67AA3209"/>
    <w:rsid w:val="681A7329"/>
    <w:rsid w:val="686941F4"/>
    <w:rsid w:val="68E65C61"/>
    <w:rsid w:val="698D0931"/>
    <w:rsid w:val="69C97A5C"/>
    <w:rsid w:val="6A042842"/>
    <w:rsid w:val="6A507835"/>
    <w:rsid w:val="6A69329E"/>
    <w:rsid w:val="6A7E25F5"/>
    <w:rsid w:val="6A7FE5F3"/>
    <w:rsid w:val="6ADA35A3"/>
    <w:rsid w:val="6B053271"/>
    <w:rsid w:val="6BA20565"/>
    <w:rsid w:val="6BBA58AE"/>
    <w:rsid w:val="6BC62339"/>
    <w:rsid w:val="6BDD78B3"/>
    <w:rsid w:val="6BE204C1"/>
    <w:rsid w:val="6C4A05C8"/>
    <w:rsid w:val="6C707ECB"/>
    <w:rsid w:val="6C8742B8"/>
    <w:rsid w:val="6CD8343A"/>
    <w:rsid w:val="6D0D5EB2"/>
    <w:rsid w:val="6D323EC4"/>
    <w:rsid w:val="6DA21719"/>
    <w:rsid w:val="6DBF5E93"/>
    <w:rsid w:val="6DBF6E15"/>
    <w:rsid w:val="6DFF077E"/>
    <w:rsid w:val="6E5827C5"/>
    <w:rsid w:val="6E714EF0"/>
    <w:rsid w:val="6E7E3605"/>
    <w:rsid w:val="6E7FDCC7"/>
    <w:rsid w:val="6ED6A62E"/>
    <w:rsid w:val="6EE00B15"/>
    <w:rsid w:val="6EE42C42"/>
    <w:rsid w:val="6F313B88"/>
    <w:rsid w:val="6F3911E0"/>
    <w:rsid w:val="6F6FB3EB"/>
    <w:rsid w:val="6F8731EA"/>
    <w:rsid w:val="6F9B26F2"/>
    <w:rsid w:val="6FA83C70"/>
    <w:rsid w:val="6FCE6052"/>
    <w:rsid w:val="6FD57C00"/>
    <w:rsid w:val="6FE74513"/>
    <w:rsid w:val="6FEFFFD8"/>
    <w:rsid w:val="6FF5CC65"/>
    <w:rsid w:val="6FFB47EC"/>
    <w:rsid w:val="6FFF034A"/>
    <w:rsid w:val="70361D3F"/>
    <w:rsid w:val="70484440"/>
    <w:rsid w:val="7048670A"/>
    <w:rsid w:val="71147555"/>
    <w:rsid w:val="712A28F1"/>
    <w:rsid w:val="7134785E"/>
    <w:rsid w:val="715C0E4B"/>
    <w:rsid w:val="71992E7C"/>
    <w:rsid w:val="71D21EFE"/>
    <w:rsid w:val="71D60F68"/>
    <w:rsid w:val="72233669"/>
    <w:rsid w:val="724C122A"/>
    <w:rsid w:val="72734D90"/>
    <w:rsid w:val="72D40C6C"/>
    <w:rsid w:val="73160E6D"/>
    <w:rsid w:val="731B01FA"/>
    <w:rsid w:val="73260519"/>
    <w:rsid w:val="7332FE48"/>
    <w:rsid w:val="734874ED"/>
    <w:rsid w:val="739F538A"/>
    <w:rsid w:val="73AB61DA"/>
    <w:rsid w:val="73AD73D5"/>
    <w:rsid w:val="73B6EB34"/>
    <w:rsid w:val="73FA497D"/>
    <w:rsid w:val="741D149B"/>
    <w:rsid w:val="7433607B"/>
    <w:rsid w:val="744731E5"/>
    <w:rsid w:val="748B5310"/>
    <w:rsid w:val="74B94472"/>
    <w:rsid w:val="74BBD01D"/>
    <w:rsid w:val="74ED5379"/>
    <w:rsid w:val="756710B7"/>
    <w:rsid w:val="75691C2A"/>
    <w:rsid w:val="75D67789"/>
    <w:rsid w:val="75DEEEC2"/>
    <w:rsid w:val="75E32345"/>
    <w:rsid w:val="75E60837"/>
    <w:rsid w:val="760140DA"/>
    <w:rsid w:val="76117FED"/>
    <w:rsid w:val="765344D8"/>
    <w:rsid w:val="76884BB6"/>
    <w:rsid w:val="76E3355F"/>
    <w:rsid w:val="76FF5125"/>
    <w:rsid w:val="773863DE"/>
    <w:rsid w:val="773872EC"/>
    <w:rsid w:val="776C7C79"/>
    <w:rsid w:val="776F6FFA"/>
    <w:rsid w:val="778769C8"/>
    <w:rsid w:val="77A75DCA"/>
    <w:rsid w:val="77BA69B4"/>
    <w:rsid w:val="77D23F80"/>
    <w:rsid w:val="77D53A70"/>
    <w:rsid w:val="77DC22F5"/>
    <w:rsid w:val="77ED2B68"/>
    <w:rsid w:val="783E271A"/>
    <w:rsid w:val="7849788F"/>
    <w:rsid w:val="78616DE9"/>
    <w:rsid w:val="787A08FC"/>
    <w:rsid w:val="78E875D7"/>
    <w:rsid w:val="79086DAD"/>
    <w:rsid w:val="792508EE"/>
    <w:rsid w:val="79C20A76"/>
    <w:rsid w:val="79D7FD79"/>
    <w:rsid w:val="79EE5BA4"/>
    <w:rsid w:val="7A043AAB"/>
    <w:rsid w:val="7A1D3C4A"/>
    <w:rsid w:val="7A5F39FD"/>
    <w:rsid w:val="7A82285A"/>
    <w:rsid w:val="7A85161C"/>
    <w:rsid w:val="7A894339"/>
    <w:rsid w:val="7AD284E8"/>
    <w:rsid w:val="7AFF7572"/>
    <w:rsid w:val="7B5937C2"/>
    <w:rsid w:val="7B6C7DFB"/>
    <w:rsid w:val="7B8B5094"/>
    <w:rsid w:val="7BB46E71"/>
    <w:rsid w:val="7BBFBED0"/>
    <w:rsid w:val="7BC3E394"/>
    <w:rsid w:val="7BEB1317"/>
    <w:rsid w:val="7C030BAC"/>
    <w:rsid w:val="7C0516B3"/>
    <w:rsid w:val="7C1F3737"/>
    <w:rsid w:val="7CBFC87B"/>
    <w:rsid w:val="7CEF2186"/>
    <w:rsid w:val="7CFB1883"/>
    <w:rsid w:val="7CFE0F48"/>
    <w:rsid w:val="7D1E2869"/>
    <w:rsid w:val="7D272ABC"/>
    <w:rsid w:val="7D7EC23E"/>
    <w:rsid w:val="7DF86670"/>
    <w:rsid w:val="7E1B5075"/>
    <w:rsid w:val="7E7C3F59"/>
    <w:rsid w:val="7E8ADEBF"/>
    <w:rsid w:val="7E9D794F"/>
    <w:rsid w:val="7EC0129C"/>
    <w:rsid w:val="7EEF11D3"/>
    <w:rsid w:val="7EFE4840"/>
    <w:rsid w:val="7F024332"/>
    <w:rsid w:val="7F0971A6"/>
    <w:rsid w:val="7F1D62E7"/>
    <w:rsid w:val="7F3F679B"/>
    <w:rsid w:val="7F4FC4EF"/>
    <w:rsid w:val="7F5931D8"/>
    <w:rsid w:val="7F5E4D54"/>
    <w:rsid w:val="7F6E0135"/>
    <w:rsid w:val="7F7973D7"/>
    <w:rsid w:val="7F79F205"/>
    <w:rsid w:val="7FA30C79"/>
    <w:rsid w:val="7FA79C44"/>
    <w:rsid w:val="7FAF8ABF"/>
    <w:rsid w:val="7FB7269E"/>
    <w:rsid w:val="7FBF128D"/>
    <w:rsid w:val="7FC135B2"/>
    <w:rsid w:val="7FC96657"/>
    <w:rsid w:val="7FDA9588"/>
    <w:rsid w:val="7FDF220F"/>
    <w:rsid w:val="7FEDC5F7"/>
    <w:rsid w:val="7FEDD9DE"/>
    <w:rsid w:val="7FF01447"/>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4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Data\Downloads\&#39033;&#30446;&#20837;&#24211;&#26597;&#35810;202509221638221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UserData\Downloads\&#39033;&#30446;&#20837;&#24211;&#26597;&#35810;2025092216382210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Data\Downloads\&#39033;&#30446;&#20837;&#24211;&#26597;&#35810;202509221638221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Data\Downloads\&#39033;&#30446;&#20837;&#24211;&#26597;&#35810;202509221638221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Data\Downloads\&#39033;&#30446;&#20837;&#24211;&#26597;&#35810;2025092216382210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Data\Downloads\&#39033;&#30446;&#20837;&#24211;&#26597;&#35810;202509221638221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收入、支出决算总计（单位：万元）</a:t>
            </a:r>
            <a:endParaRPr sz="1200"/>
          </a:p>
        </c:rich>
      </c:tx>
      <c:layout>
        <c:manualLayout>
          <c:xMode val="edge"/>
          <c:yMode val="edge"/>
          <c:x val="0.177478414429586"/>
          <c:y val="0.0283421284496549"/>
        </c:manualLayout>
      </c:layout>
      <c:overlay val="0"/>
      <c:spPr>
        <a:noFill/>
        <a:ln>
          <a:noFill/>
        </a:ln>
        <a:effectLst/>
      </c:spPr>
    </c:title>
    <c:autoTitleDeleted val="0"/>
    <c:plotArea>
      <c:layout>
        <c:manualLayout>
          <c:layoutTarget val="inner"/>
          <c:xMode val="edge"/>
          <c:yMode val="edge"/>
          <c:x val="0.114805555555556"/>
          <c:y val="0.169444444444444"/>
          <c:w val="0.85047222222222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[项目入库查询20250922163822101.xlsx]Sheet2!$B$2:$B$3</c:f>
              <c:strCache>
                <c:ptCount val="2"/>
                <c:pt idx="0">
                  <c:v>2023年度收入、支出决算总计</c:v>
                </c:pt>
                <c:pt idx="1">
                  <c:v>2024年度收入、支出决算总计</c:v>
                </c:pt>
              </c:strCache>
            </c:strRef>
          </c:cat>
          <c:val>
            <c:numRef>
              <c:f>[项目入库查询20250922163822101.xlsx]Sheet2!$C$2:$C$3</c:f>
              <c:numCache>
                <c:formatCode>0.00_);[Red]\(0.00\)</c:formatCode>
                <c:ptCount val="2"/>
                <c:pt idx="0">
                  <c:v>1405.18</c:v>
                </c:pt>
                <c:pt idx="1">
                  <c:v>1476.6</c:v>
                </c:pt>
              </c:numCache>
            </c:numRef>
          </c:val>
        </c:ser>
        <c:dLbls>
          <c:showLegendKey val="0"/>
          <c:showVal val="1"/>
          <c:showCatName val="0"/>
          <c:showSerName val="0"/>
          <c:showPercent val="0"/>
          <c:showBubbleSize val="0"/>
        </c:dLbls>
        <c:gapWidth val="219"/>
        <c:overlap val="-27"/>
        <c:axId val="230112780"/>
        <c:axId val="643076956"/>
      </c:barChart>
      <c:catAx>
        <c:axId val="2301127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643076956"/>
        <c:crosses val="autoZero"/>
        <c:auto val="1"/>
        <c:lblAlgn val="ctr"/>
        <c:lblOffset val="100"/>
        <c:noMultiLvlLbl val="0"/>
      </c:catAx>
      <c:valAx>
        <c:axId val="643076956"/>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30112780"/>
        <c:crosses val="autoZero"/>
        <c:crossBetween val="between"/>
      </c:valAx>
      <c:spPr>
        <a:noFill/>
        <a:ln>
          <a:noFill/>
        </a:ln>
        <a:effectLst/>
      </c:spPr>
    </c:plotArea>
    <c:plotVisOnly val="1"/>
    <c:dispBlanksAs val="gap"/>
    <c:showDLblsOverMax val="0"/>
    <c:extLst>
      <c:ext uri="{0b15fc19-7d7d-44ad-8c2d-2c3a37ce22c3}">
        <chartProps xmlns="https://web.wps.cn/et/2018/main" chartId="{a6fdb00d-6a67-49e1-8dcd-951b98224237}"/>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本年收入（单位：万元）</a:t>
            </a:r>
          </a:p>
        </c:rich>
      </c:tx>
      <c:layout>
        <c:manualLayout>
          <c:xMode val="edge"/>
          <c:yMode val="edge"/>
          <c:x val="0.155790147152911"/>
          <c:y val="0.010190217391304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[项目入库查询20250922163822101.xlsx]Sheet2!$A$2:$B$3</c:f>
              <c:multiLvlStrCache>
                <c:ptCount val="2"/>
                <c:lvl>
                  <c:pt idx="0">
                    <c:v>一般公共预算财政拨款收入</c:v>
                  </c:pt>
                  <c:pt idx="1">
                    <c:v>政府性基金预算财政拨款收入</c:v>
                  </c:pt>
                </c:lvl>
                <c:lvl>
                  <c:pt idx="0">
                    <c:v>1</c:v>
                  </c:pt>
                  <c:pt idx="1">
                    <c:v>2</c:v>
                  </c:pt>
                </c:lvl>
              </c:multiLvlStrCache>
            </c:multiLvlStrRef>
          </c:cat>
          <c:val>
            <c:numRef>
              <c:f>[项目入库查询20250922163822101.xlsx]Sheet2!$C$2:$C$3</c:f>
              <c:numCache>
                <c:formatCode>0.00_);[Red]\(0.00\)</c:formatCode>
                <c:ptCount val="2"/>
                <c:pt idx="0">
                  <c:v>1476.6</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93b7b0-2bde-49d1-bfea-ebc7f579f3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[项目入库查询20250922163822101.xlsx]Sheet2!$A$2:$B$3</c:f>
              <c:multiLvlStrCache>
                <c:ptCount val="2"/>
                <c:lvl>
                  <c:pt idx="0">
                    <c:v>基本支出</c:v>
                  </c:pt>
                  <c:pt idx="1">
                    <c:v>项目支出</c:v>
                  </c:pt>
                </c:lvl>
                <c:lvl>
                  <c:pt idx="0">
                    <c:v>1</c:v>
                  </c:pt>
                  <c:pt idx="1">
                    <c:v>2</c:v>
                  </c:pt>
                </c:lvl>
              </c:multiLvlStrCache>
            </c:multiLvlStrRef>
          </c:cat>
          <c:val>
            <c:numRef>
              <c:f>[项目入库查询20250922163822101.xlsx]Sheet2!$C$2:$C$3</c:f>
              <c:numCache>
                <c:formatCode>0.00_);[Red]\(0.00\)</c:formatCode>
                <c:ptCount val="2"/>
                <c:pt idx="0">
                  <c:v>558.2</c:v>
                </c:pt>
                <c:pt idx="1">
                  <c:v>918.39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0f2b1f-8253-4d2e-a1c0-321b106537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收入、支出决算总计（单位：万元）</a:t>
            </a:r>
            <a:endParaRPr sz="1200"/>
          </a:p>
        </c:rich>
      </c:tx>
      <c:layout>
        <c:manualLayout>
          <c:xMode val="edge"/>
          <c:yMode val="edge"/>
          <c:x val="0.177478414429586"/>
          <c:y val="0.0283421284496549"/>
        </c:manualLayout>
      </c:layout>
      <c:overlay val="0"/>
      <c:spPr>
        <a:noFill/>
        <a:ln>
          <a:noFill/>
        </a:ln>
        <a:effectLst/>
      </c:spPr>
    </c:title>
    <c:autoTitleDeleted val="0"/>
    <c:plotArea>
      <c:layout>
        <c:manualLayout>
          <c:layoutTarget val="inner"/>
          <c:xMode val="edge"/>
          <c:yMode val="edge"/>
          <c:x val="0.114805555555556"/>
          <c:y val="0.169444444444444"/>
          <c:w val="0.85047222222222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[项目入库查询20250922163822101.xlsx]Sheet2!$B$2:$B$3</c:f>
              <c:strCache>
                <c:ptCount val="2"/>
                <c:pt idx="0">
                  <c:v>2023年度收入、支出决算总计</c:v>
                </c:pt>
                <c:pt idx="1">
                  <c:v>2024年度收入、支出决算总计</c:v>
                </c:pt>
              </c:strCache>
            </c:strRef>
          </c:cat>
          <c:val>
            <c:numRef>
              <c:f>[项目入库查询20250922163822101.xlsx]Sheet2!$C$2:$C$3</c:f>
              <c:numCache>
                <c:formatCode>0.00_);[Red]\(0.00\)</c:formatCode>
                <c:ptCount val="2"/>
                <c:pt idx="0">
                  <c:v>1405.18</c:v>
                </c:pt>
                <c:pt idx="1">
                  <c:v>1476.6</c:v>
                </c:pt>
              </c:numCache>
            </c:numRef>
          </c:val>
        </c:ser>
        <c:dLbls>
          <c:showLegendKey val="0"/>
          <c:showVal val="1"/>
          <c:showCatName val="0"/>
          <c:showSerName val="0"/>
          <c:showPercent val="0"/>
          <c:showBubbleSize val="0"/>
        </c:dLbls>
        <c:gapWidth val="219"/>
        <c:overlap val="-27"/>
        <c:axId val="230112780"/>
        <c:axId val="643076956"/>
      </c:barChart>
      <c:catAx>
        <c:axId val="2301127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643076956"/>
        <c:crosses val="autoZero"/>
        <c:auto val="1"/>
        <c:lblAlgn val="ctr"/>
        <c:lblOffset val="100"/>
        <c:noMultiLvlLbl val="0"/>
      </c:catAx>
      <c:valAx>
        <c:axId val="643076956"/>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30112780"/>
        <c:crosses val="autoZero"/>
        <c:crossBetween val="between"/>
      </c:valAx>
      <c:spPr>
        <a:noFill/>
        <a:ln>
          <a:noFill/>
        </a:ln>
        <a:effectLst/>
      </c:spPr>
    </c:plotArea>
    <c:plotVisOnly val="1"/>
    <c:dispBlanksAs val="gap"/>
    <c:showDLblsOverMax val="0"/>
    <c:extLst>
      <c:ext uri="{0b15fc19-7d7d-44ad-8c2d-2c3a37ce22c3}">
        <chartProps xmlns="https://web.wps.cn/et/2018/main" chartId="{6d31a7e9-b098-4599-bf9f-3218c7b57066}"/>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r>
              <a:rPr lang="en-US" altLang="zh-CN"/>
              <a:t>  </a:t>
            </a:r>
            <a:r>
              <a:rPr altLang="en-US"/>
              <a:t>（单位：万元）</a:t>
            </a:r>
            <a:endParaRPr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[项目入库查询20250922163822101.xlsx]Sheet2!$A$2:$A$3</c:f>
              <c:strCache>
                <c:ptCount val="2"/>
                <c:pt idx="0">
                  <c:v>2023年</c:v>
                </c:pt>
                <c:pt idx="1">
                  <c:v>2024年</c:v>
                </c:pt>
              </c:strCache>
            </c:strRef>
          </c:cat>
          <c:val>
            <c:numRef>
              <c:f>[项目入库查询20250922163822101.xlsx]Sheet2!$B$2:$B$3</c:f>
              <c:numCache>
                <c:formatCode>General</c:formatCode>
                <c:ptCount val="2"/>
                <c:pt idx="0">
                  <c:v>1399.18</c:v>
                </c:pt>
                <c:pt idx="1" c:formatCode="0.00_);[Red]\(0.00\)">
                  <c:v>1476.6</c:v>
                </c:pt>
              </c:numCache>
            </c:numRef>
          </c:val>
        </c:ser>
        <c:dLbls>
          <c:showLegendKey val="0"/>
          <c:showVal val="1"/>
          <c:showCatName val="0"/>
          <c:showSerName val="0"/>
          <c:showPercent val="0"/>
          <c:showBubbleSize val="0"/>
        </c:dLbls>
        <c:gapWidth val="219"/>
        <c:overlap val="-27"/>
        <c:axId val="29727861"/>
        <c:axId val="681447949"/>
      </c:barChart>
      <c:catAx>
        <c:axId val="2972786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1447949"/>
        <c:crosses val="autoZero"/>
        <c:auto val="1"/>
        <c:lblAlgn val="ctr"/>
        <c:lblOffset val="100"/>
        <c:noMultiLvlLbl val="0"/>
      </c:catAx>
      <c:valAx>
        <c:axId val="6814479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27861"/>
        <c:crosses val="autoZero"/>
        <c:crossBetween val="between"/>
      </c:valAx>
      <c:spPr>
        <a:noFill/>
        <a:ln>
          <a:noFill/>
        </a:ln>
        <a:effectLst/>
      </c:spPr>
    </c:plotArea>
    <c:plotVisOnly val="1"/>
    <c:dispBlanksAs val="gap"/>
    <c:showDLblsOverMax val="0"/>
    <c:extLst>
      <c:ext uri="{0b15fc19-7d7d-44ad-8c2d-2c3a37ce22c3}">
        <chartProps xmlns="https://web.wps.cn/et/2018/main" chartId="{2f7ef03c-5f12-4f6a-8f4c-139d0bdab5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一般公共预算财政拨款支出决算结构情况（单位：万元）</a:t>
            </a:r>
          </a:p>
        </c:rich>
      </c:tx>
      <c:layout>
        <c:manualLayout>
          <c:xMode val="edge"/>
          <c:yMode val="edge"/>
          <c:x val="0.124444444444444"/>
          <c:y val="0.020857473928157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[项目入库查询20250922163822101.xlsx]Sheet2!$A$1:$A$7</c:f>
              <c:strCache>
                <c:ptCount val="7"/>
                <c:pt idx="0">
                  <c:v>一般公共服务支出</c:v>
                </c:pt>
                <c:pt idx="1">
                  <c:v>文化旅游体育与传媒支出</c:v>
                </c:pt>
                <c:pt idx="2">
                  <c:v>农林水支出</c:v>
                </c:pt>
                <c:pt idx="3">
                  <c:v>灾害防治及应急管理支出</c:v>
                </c:pt>
                <c:pt idx="4">
                  <c:v>社会保障和就业支出</c:v>
                </c:pt>
                <c:pt idx="5">
                  <c:v>卫生健康支出</c:v>
                </c:pt>
                <c:pt idx="6">
                  <c:v>住房保障支出</c:v>
                </c:pt>
              </c:strCache>
            </c:strRef>
          </c:cat>
          <c:val>
            <c:numRef>
              <c:f>[项目入库查询20250922163822101.xlsx]Sheet2!$B$1:$B$7</c:f>
              <c:numCache>
                <c:formatCode>General</c:formatCode>
                <c:ptCount val="7"/>
                <c:pt idx="0">
                  <c:v>537.91</c:v>
                </c:pt>
                <c:pt idx="1" c:formatCode="0.00_);[Red]\(0.00\)">
                  <c:v>18.46</c:v>
                </c:pt>
                <c:pt idx="2">
                  <c:v>763.94</c:v>
                </c:pt>
                <c:pt idx="3">
                  <c:v>10</c:v>
                </c:pt>
                <c:pt idx="4">
                  <c:v>72.77</c:v>
                </c:pt>
                <c:pt idx="5">
                  <c:v>31.63</c:v>
                </c:pt>
                <c:pt idx="6">
                  <c:v>41.89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a54e5d-6863-4c5b-9f27-a636837a6f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13056</Words>
  <Characters>14014</Characters>
  <Lines>61</Lines>
  <Paragraphs>17</Paragraphs>
  <TotalTime>0</TotalTime>
  <ScaleCrop>false</ScaleCrop>
  <LinksUpToDate>false</LinksUpToDate>
  <CharactersWithSpaces>14254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WPS_1494997244</cp:lastModifiedBy>
  <cp:lastPrinted>2025-09-25T02:54:00Z</cp:lastPrinted>
  <dcterms:modified xsi:type="dcterms:W3CDTF">2025-09-29T06:53:15Z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6717AA8067C04E47A92727F1D7A06298_13</vt:lpwstr>
  </property>
  <property fmtid="{D5CDD505-2E9C-101B-9397-08002B2CF9AE}" pid="4" name="KSOTemplateDocerSaveRecord">
    <vt:lpwstr>eyJoZGlkIjoiMmRlMDUzYTA2YTQ2NDg3MWFkNTVkN2E1Y2ViMmQxNTciLCJ1c2VySWQiOiIyODA3MTc5NjgifQ==</vt:lpwstr>
  </property>
</Properties>
</file>