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highlight w:val="yellow"/>
        </w:rPr>
      </w:pPr>
      <w:bookmarkStart w:id="0" w:name="_Toc15306267"/>
      <w:bookmarkStart w:id="1" w:name="_Toc15396475"/>
      <w:bookmarkStart w:id="2" w:name="_Toc15378441"/>
      <w:bookmarkStart w:id="3" w:name="_Toc15377425"/>
      <w:bookmarkStart w:id="4" w:name="_Toc15396597"/>
      <w:bookmarkStart w:id="5" w:name="_Toc15377193"/>
    </w:p>
    <w:p>
      <w:pPr>
        <w:pStyle w:val="6"/>
        <w:ind w:firstLine="0"/>
        <w:rPr>
          <w:highlight w:val="yellow"/>
        </w:rPr>
      </w:pPr>
    </w:p>
    <w:bookmarkEnd w:id="0"/>
    <w:bookmarkEnd w:id="1"/>
    <w:bookmarkEnd w:id="2"/>
    <w:bookmarkEnd w:id="3"/>
    <w:bookmarkEnd w:id="4"/>
    <w:bookmarkEnd w:id="5"/>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2024年度四川省阿坝州茂县黑虎镇（事业）单位决算</w:t>
      </w: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bookmarkStart w:id="80" w:name="_GoBack"/>
      <w:bookmarkEnd w:id="80"/>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tabs>
          <w:tab w:val="left" w:pos="3600"/>
        </w:tabs>
        <w:jc w:val="center"/>
        <w:rPr>
          <w:rFonts w:hint="default" w:eastAsia="宋体"/>
          <w:b/>
          <w:bCs/>
          <w:highlight w:val="none"/>
          <w:lang w:val="en-US" w:eastAsia="zh-CN"/>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autoSpaceDE w:val="0"/>
        <w:autoSpaceDN w:val="0"/>
        <w:adjustRightInd w:val="0"/>
        <w:ind w:left="420" w:leftChars="200"/>
        <w:jc w:val="left"/>
        <w:rPr>
          <w:rFonts w:ascii="宋体"/>
          <w:sz w:val="32"/>
          <w:szCs w:val="32"/>
          <w:highlight w:val="none"/>
        </w:rPr>
      </w:pPr>
    </w:p>
    <w:p>
      <w:pPr>
        <w:widowControl/>
        <w:jc w:val="center"/>
        <w:rPr>
          <w:rFonts w:hint="eastAsia" w:ascii="黑体" w:eastAsia="黑体"/>
          <w:color w:val="000000"/>
          <w:sz w:val="48"/>
          <w:szCs w:val="48"/>
          <w:highlight w:val="none"/>
        </w:rPr>
      </w:pPr>
      <w:r>
        <w:rPr>
          <w:rFonts w:ascii="方正小标宋简体" w:eastAsia="方正小标宋简体"/>
          <w:color w:val="000000"/>
          <w:sz w:val="36"/>
          <w:szCs w:val="36"/>
          <w:highlight w:val="none"/>
        </w:rPr>
        <w:br w:type="page"/>
      </w:r>
      <w:bookmarkStart w:id="6" w:name="_Toc15377196"/>
      <w:r>
        <w:rPr>
          <w:rFonts w:hint="eastAsia" w:ascii="黑体" w:eastAsia="黑体"/>
          <w:color w:val="000000"/>
          <w:sz w:val="48"/>
          <w:szCs w:val="48"/>
          <w:highlight w:val="none"/>
        </w:rPr>
        <w:t>目录</w:t>
      </w:r>
    </w:p>
    <w:p>
      <w:pPr>
        <w:pStyle w:val="16"/>
        <w:rPr>
          <w:rFonts w:hint="eastAsia" w:ascii="黑体" w:eastAsia="黑体"/>
          <w:color w:val="000000"/>
          <w:sz w:val="48"/>
          <w:szCs w:val="48"/>
          <w:highlight w:val="none"/>
        </w:rPr>
      </w:pPr>
    </w:p>
    <w:p>
      <w:pPr>
        <w:pStyle w:val="15"/>
        <w:suppressAutoHyphens/>
        <w:bidi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公开时间：2025年9月25日</w:t>
      </w:r>
    </w:p>
    <w:p>
      <w:pPr>
        <w:pStyle w:val="15"/>
        <w:tabs>
          <w:tab w:val="right" w:leader="dot" w:pos="8306"/>
          <w:tab w:val="clear" w:pos="8296"/>
        </w:tabs>
      </w:pPr>
      <w:bookmarkStart w:id="7" w:name="_Toc111208495"/>
      <w:r>
        <w:rPr>
          <w:caps w:val="0"/>
          <w:smallCaps/>
          <w:sz w:val="20"/>
          <w:szCs w:val="20"/>
          <w:highlight w:val="none"/>
        </w:rPr>
        <w:fldChar w:fldCharType="begin"/>
      </w:r>
      <w:r>
        <w:rPr>
          <w:caps w:val="0"/>
          <w:smallCaps/>
          <w:sz w:val="20"/>
          <w:szCs w:val="20"/>
          <w:highlight w:val="none"/>
        </w:rPr>
        <w:instrText xml:space="preserve"> TOC \o "1-2" \h \z \u </w:instrText>
      </w:r>
      <w:r>
        <w:rPr>
          <w:caps w:val="0"/>
          <w:smallCaps/>
          <w:sz w:val="20"/>
          <w:szCs w:val="20"/>
          <w:highlight w:val="none"/>
        </w:rPr>
        <w:fldChar w:fldCharType="separate"/>
      </w:r>
      <w:r>
        <w:rPr>
          <w:caps w:val="0"/>
          <w:smallCaps/>
          <w:szCs w:val="20"/>
          <w:highlight w:val="none"/>
        </w:rPr>
        <w:fldChar w:fldCharType="begin"/>
      </w:r>
      <w:r>
        <w:rPr>
          <w:caps w:val="0"/>
          <w:smallCaps/>
          <w:szCs w:val="20"/>
          <w:highlight w:val="none"/>
        </w:rPr>
        <w:instrText xml:space="preserve"> HYPERLINK \l _Toc21550 </w:instrText>
      </w:r>
      <w:r>
        <w:rPr>
          <w:caps w:val="0"/>
          <w:smallCaps/>
          <w:szCs w:val="20"/>
          <w:highlight w:val="none"/>
        </w:rPr>
        <w:fldChar w:fldCharType="separate"/>
      </w:r>
      <w:r>
        <w:rPr>
          <w:rFonts w:hint="eastAsia" w:ascii="黑体" w:eastAsia="黑体" w:cs="黑体"/>
          <w:highlight w:val="none"/>
        </w:rPr>
        <w:t xml:space="preserve">第一部分 </w:t>
      </w:r>
      <w:r>
        <w:rPr>
          <w:rFonts w:hint="eastAsia" w:ascii="黑体" w:eastAsia="黑体" w:cs="黑体"/>
          <w:bCs w:val="0"/>
          <w:highlight w:val="none"/>
        </w:rPr>
        <w:t>部门概况</w:t>
      </w:r>
      <w:r>
        <w:tab/>
      </w:r>
      <w:r>
        <w:fldChar w:fldCharType="begin"/>
      </w:r>
      <w:r>
        <w:instrText xml:space="preserve"> PAGEREF _Toc21550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_Toc11489 </w:instrText>
      </w:r>
      <w:r>
        <w:rPr>
          <w:caps w:val="0"/>
          <w:smallCaps/>
          <w:szCs w:val="20"/>
          <w:highlight w:val="none"/>
        </w:rPr>
        <w:fldChar w:fldCharType="separate"/>
      </w:r>
      <w:r>
        <w:rPr>
          <w:rFonts w:hint="eastAsia" w:ascii="黑体" w:eastAsia="黑体" w:cs="Times New Roman"/>
          <w:bCs w:val="0"/>
          <w:highlight w:val="none"/>
        </w:rPr>
        <w:t>一、部门职责</w:t>
      </w:r>
      <w:r>
        <w:tab/>
      </w:r>
      <w:r>
        <w:fldChar w:fldCharType="begin"/>
      </w:r>
      <w:r>
        <w:instrText xml:space="preserve"> PAGEREF _Toc11489 \h </w:instrText>
      </w:r>
      <w:r>
        <w:fldChar w:fldCharType="separate"/>
      </w:r>
      <w:r>
        <w:t>3</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_Toc28081 </w:instrText>
      </w:r>
      <w:r>
        <w:rPr>
          <w:caps w:val="0"/>
          <w:smallCaps/>
          <w:szCs w:val="20"/>
          <w:highlight w:val="none"/>
        </w:rPr>
        <w:fldChar w:fldCharType="separate"/>
      </w:r>
      <w:r>
        <w:rPr>
          <w:rFonts w:hint="eastAsia" w:ascii="黑体" w:eastAsia="黑体" w:cs="Times New Roman"/>
          <w:bCs w:val="0"/>
          <w:highlight w:val="none"/>
        </w:rPr>
        <w:t>二、机构设置</w:t>
      </w:r>
      <w:r>
        <w:tab/>
      </w:r>
      <w:r>
        <w:fldChar w:fldCharType="begin"/>
      </w:r>
      <w:r>
        <w:instrText xml:space="preserve"> PAGEREF _Toc28081 \h </w:instrText>
      </w:r>
      <w:r>
        <w:fldChar w:fldCharType="separate"/>
      </w:r>
      <w:r>
        <w:t>3</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_Toc11896 </w:instrText>
      </w:r>
      <w:r>
        <w:rPr>
          <w:caps w:val="0"/>
          <w:smallCaps/>
          <w:szCs w:val="20"/>
          <w:highlight w:val="none"/>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w:t>
      </w:r>
      <w:r>
        <w:rPr>
          <w:rFonts w:hint="eastAsia" w:ascii="黑体" w:eastAsia="黑体" w:cs="黑体"/>
          <w:highlight w:val="none"/>
          <w:lang w:eastAsia="zh-CN"/>
        </w:rPr>
        <w:t>单位</w:t>
      </w:r>
      <w:r>
        <w:rPr>
          <w:rFonts w:ascii="黑体" w:eastAsia="黑体" w:cs="黑体"/>
          <w:highlight w:val="none"/>
        </w:rPr>
        <w:t>决算情况说明</w:t>
      </w:r>
      <w:r>
        <w:tab/>
      </w:r>
      <w:r>
        <w:fldChar w:fldCharType="begin"/>
      </w:r>
      <w:r>
        <w:instrText xml:space="preserve"> PAGEREF _Toc11896 \h </w:instrText>
      </w:r>
      <w:r>
        <w:fldChar w:fldCharType="separate"/>
      </w:r>
      <w:r>
        <w:t>4</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_Toc30380 </w:instrText>
      </w:r>
      <w:r>
        <w:rPr>
          <w:caps w:val="0"/>
          <w:smallCaps/>
          <w:szCs w:val="20"/>
          <w:highlight w:val="none"/>
        </w:rPr>
        <w:fldChar w:fldCharType="separate"/>
      </w:r>
      <w:r>
        <w:rPr>
          <w:rFonts w:hint="eastAsia" w:ascii="黑体" w:eastAsia="黑体" w:cs="Times New Roman"/>
          <w:bCs w:val="0"/>
          <w:highlight w:val="none"/>
        </w:rPr>
        <w:t>一、收入支出决算总体情况说明</w:t>
      </w:r>
      <w:r>
        <w:tab/>
      </w:r>
      <w:r>
        <w:fldChar w:fldCharType="begin"/>
      </w:r>
      <w:r>
        <w:instrText xml:space="preserve"> PAGEREF _Toc30380 \h </w:instrText>
      </w:r>
      <w:r>
        <w:fldChar w:fldCharType="separate"/>
      </w:r>
      <w:r>
        <w:t>4</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_Toc483 </w:instrText>
      </w:r>
      <w:r>
        <w:rPr>
          <w:caps w:val="0"/>
          <w:smallCaps/>
          <w:szCs w:val="20"/>
          <w:highlight w:val="none"/>
        </w:rPr>
        <w:fldChar w:fldCharType="separate"/>
      </w:r>
      <w:r>
        <w:rPr>
          <w:rFonts w:hint="eastAsia" w:ascii="黑体" w:eastAsia="黑体" w:cs="Times New Roman"/>
          <w:bCs w:val="0"/>
          <w:highlight w:val="none"/>
        </w:rPr>
        <w:t>二、收入决算情况说明</w:t>
      </w:r>
      <w:r>
        <w:tab/>
      </w:r>
      <w:r>
        <w:fldChar w:fldCharType="begin"/>
      </w:r>
      <w:r>
        <w:instrText xml:space="preserve"> PAGEREF _Toc483 \h </w:instrText>
      </w:r>
      <w:r>
        <w:fldChar w:fldCharType="separate"/>
      </w:r>
      <w:r>
        <w:t>4</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_Toc27257 </w:instrText>
      </w:r>
      <w:r>
        <w:rPr>
          <w:caps w:val="0"/>
          <w:smallCaps/>
          <w:szCs w:val="20"/>
          <w:highlight w:val="none"/>
        </w:rPr>
        <w:fldChar w:fldCharType="separate"/>
      </w:r>
      <w:r>
        <w:rPr>
          <w:rFonts w:hint="eastAsia" w:ascii="黑体" w:eastAsia="黑体" w:cs="Times New Roman"/>
          <w:bCs w:val="0"/>
          <w:highlight w:val="none"/>
        </w:rPr>
        <w:t>三、支出决算情况说明</w:t>
      </w:r>
      <w:r>
        <w:tab/>
      </w:r>
      <w:r>
        <w:fldChar w:fldCharType="begin"/>
      </w:r>
      <w:r>
        <w:instrText xml:space="preserve"> PAGEREF _Toc27257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_Toc12534 </w:instrText>
      </w:r>
      <w:r>
        <w:rPr>
          <w:caps w:val="0"/>
          <w:smallCaps/>
          <w:szCs w:val="20"/>
          <w:highlight w:val="none"/>
        </w:rPr>
        <w:fldChar w:fldCharType="separate"/>
      </w:r>
      <w:r>
        <w:rPr>
          <w:rFonts w:hint="eastAsia" w:ascii="黑体" w:eastAsia="黑体" w:cs="Times New Roman"/>
          <w:bCs w:val="0"/>
          <w:highlight w:val="none"/>
        </w:rPr>
        <w:t>四、财政拨款收入支出决算总体情况说明</w:t>
      </w:r>
      <w:r>
        <w:tab/>
      </w:r>
      <w:r>
        <w:fldChar w:fldCharType="begin"/>
      </w:r>
      <w:r>
        <w:instrText xml:space="preserve"> PAGEREF _Toc12534 \h </w:instrText>
      </w:r>
      <w:r>
        <w:fldChar w:fldCharType="separate"/>
      </w:r>
      <w:r>
        <w:t>5</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_Toc16370 </w:instrText>
      </w:r>
      <w:r>
        <w:rPr>
          <w:caps w:val="0"/>
          <w:smallCaps/>
          <w:szCs w:val="20"/>
          <w:highlight w:val="none"/>
        </w:rPr>
        <w:fldChar w:fldCharType="separate"/>
      </w:r>
      <w:r>
        <w:rPr>
          <w:rFonts w:hint="eastAsia" w:ascii="黑体" w:eastAsia="黑体" w:cs="Times New Roman"/>
          <w:bCs w:val="0"/>
          <w:highlight w:val="none"/>
        </w:rPr>
        <w:t>五、一般公共预算财政拨款支出决算情况说明</w:t>
      </w:r>
      <w:r>
        <w:tab/>
      </w:r>
      <w:r>
        <w:fldChar w:fldCharType="begin"/>
      </w:r>
      <w:r>
        <w:instrText xml:space="preserve"> PAGEREF _Toc16370 \h </w:instrText>
      </w:r>
      <w:r>
        <w:fldChar w:fldCharType="separate"/>
      </w:r>
      <w:r>
        <w:t>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_Toc533 </w:instrText>
      </w:r>
      <w:r>
        <w:rPr>
          <w:caps w:val="0"/>
          <w:smallCaps/>
          <w:szCs w:val="20"/>
          <w:highlight w:val="none"/>
        </w:rPr>
        <w:fldChar w:fldCharType="separate"/>
      </w:r>
      <w:r>
        <w:rPr>
          <w:rFonts w:hint="eastAsia" w:ascii="黑体" w:eastAsia="黑体" w:cs="Times New Roman"/>
          <w:bCs w:val="0"/>
          <w:highlight w:val="none"/>
        </w:rPr>
        <w:t>六、一般公共预算财政拨款基本支出决算情况说明</w:t>
      </w:r>
      <w:r>
        <w:tab/>
      </w:r>
      <w:r>
        <w:fldChar w:fldCharType="begin"/>
      </w:r>
      <w:r>
        <w:instrText xml:space="preserve"> PAGEREF _Toc533 \h </w:instrText>
      </w:r>
      <w:r>
        <w:fldChar w:fldCharType="separate"/>
      </w:r>
      <w:r>
        <w:t>8</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_Toc27414 </w:instrText>
      </w:r>
      <w:r>
        <w:rPr>
          <w:caps w:val="0"/>
          <w:smallCaps/>
          <w:szCs w:val="20"/>
          <w:highlight w:val="none"/>
        </w:rPr>
        <w:fldChar w:fldCharType="separate"/>
      </w:r>
      <w:r>
        <w:rPr>
          <w:rFonts w:hint="eastAsia" w:ascii="黑体" w:eastAsia="黑体" w:cs="Times New Roman"/>
          <w:bCs w:val="0"/>
          <w:highlight w:val="none"/>
        </w:rPr>
        <w:t>七、“三公”经费财政拨款支出决算情况说明</w:t>
      </w:r>
      <w:r>
        <w:tab/>
      </w:r>
      <w:r>
        <w:fldChar w:fldCharType="begin"/>
      </w:r>
      <w:r>
        <w:instrText xml:space="preserve"> PAGEREF _Toc27414 \h </w:instrText>
      </w:r>
      <w:r>
        <w:fldChar w:fldCharType="separate"/>
      </w:r>
      <w:r>
        <w:t>9</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_Toc27590 </w:instrText>
      </w:r>
      <w:r>
        <w:rPr>
          <w:caps w:val="0"/>
          <w:smallCaps/>
          <w:szCs w:val="20"/>
          <w:highlight w:val="none"/>
        </w:rPr>
        <w:fldChar w:fldCharType="separate"/>
      </w:r>
      <w:r>
        <w:rPr>
          <w:rFonts w:hint="eastAsia" w:ascii="黑体" w:eastAsia="黑体" w:cs="Times New Roman"/>
          <w:bCs w:val="0"/>
          <w:highlight w:val="none"/>
        </w:rPr>
        <w:t>八、政府性基金预算支出决算情况说明</w:t>
      </w:r>
      <w:r>
        <w:tab/>
      </w:r>
      <w:r>
        <w:fldChar w:fldCharType="begin"/>
      </w:r>
      <w:r>
        <w:instrText xml:space="preserve"> PAGEREF _Toc27590 \h </w:instrText>
      </w:r>
      <w:r>
        <w:fldChar w:fldCharType="separate"/>
      </w:r>
      <w:r>
        <w:t>10</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_Toc6349 </w:instrText>
      </w:r>
      <w:r>
        <w:rPr>
          <w:caps w:val="0"/>
          <w:smallCaps/>
          <w:szCs w:val="20"/>
          <w:highlight w:val="none"/>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_Toc6349 \h </w:instrText>
      </w:r>
      <w:r>
        <w:fldChar w:fldCharType="separate"/>
      </w:r>
      <w:r>
        <w:t>10</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_Toc7650 </w:instrText>
      </w:r>
      <w:r>
        <w:rPr>
          <w:caps w:val="0"/>
          <w:smallCaps/>
          <w:szCs w:val="20"/>
          <w:highlight w:val="none"/>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_Toc7650 \h </w:instrText>
      </w:r>
      <w:r>
        <w:fldChar w:fldCharType="separate"/>
      </w:r>
      <w:r>
        <w:t>10</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_Toc24024 </w:instrText>
      </w:r>
      <w:r>
        <w:rPr>
          <w:caps w:val="0"/>
          <w:smallCaps/>
          <w:szCs w:val="20"/>
          <w:highlight w:val="none"/>
        </w:rP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_Toc24024 \h </w:instrText>
      </w:r>
      <w:r>
        <w:fldChar w:fldCharType="separate"/>
      </w:r>
      <w:r>
        <w:t>12</w:t>
      </w:r>
      <w:r>
        <w:fldChar w:fldCharType="end"/>
      </w:r>
      <w:r>
        <w:rPr>
          <w:caps w:val="0"/>
          <w:smallCaps/>
          <w:szCs w:val="20"/>
          <w:highlight w:val="none"/>
        </w:rPr>
        <w:fldChar w:fldCharType="end"/>
      </w:r>
    </w:p>
    <w:p>
      <w:pPr>
        <w:pStyle w:val="15"/>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_Toc5449 </w:instrText>
      </w:r>
      <w:r>
        <w:rPr>
          <w:caps w:val="0"/>
          <w:smallCaps/>
          <w:szCs w:val="20"/>
          <w:highlight w:val="none"/>
        </w:rPr>
        <w:fldChar w:fldCharType="separate"/>
      </w:r>
      <w:r>
        <w:rPr>
          <w:rFonts w:hint="eastAsia" w:ascii="黑体" w:eastAsia="黑体" w:cs="黑体"/>
          <w:bCs w:val="0"/>
          <w:highlight w:val="none"/>
        </w:rPr>
        <w:t>第</w:t>
      </w:r>
      <w:r>
        <w:rPr>
          <w:rFonts w:hint="eastAsia" w:ascii="黑体" w:eastAsia="黑体" w:cs="黑体"/>
          <w:bCs w:val="0"/>
          <w:highlight w:val="none"/>
          <w:lang w:eastAsia="zh-CN"/>
        </w:rPr>
        <w:t>四</w:t>
      </w:r>
      <w:r>
        <w:rPr>
          <w:rFonts w:hint="eastAsia" w:ascii="黑体" w:eastAsia="黑体" w:cs="黑体"/>
          <w:bCs w:val="0"/>
          <w:highlight w:val="none"/>
        </w:rPr>
        <w:t>部分 附表</w:t>
      </w:r>
      <w:r>
        <w:tab/>
      </w:r>
      <w:r>
        <w:fldChar w:fldCharType="begin"/>
      </w:r>
      <w:r>
        <w:instrText xml:space="preserve"> PAGEREF _Toc5449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_Toc6701 </w:instrText>
      </w:r>
      <w:r>
        <w:rPr>
          <w:caps w:val="0"/>
          <w:smallCaps/>
          <w:szCs w:val="20"/>
          <w:highlight w:val="none"/>
        </w:rPr>
        <w:fldChar w:fldCharType="separate"/>
      </w:r>
      <w:r>
        <w:rPr>
          <w:rFonts w:hint="eastAsia" w:ascii="黑体" w:eastAsia="黑体" w:cs="Times New Roman"/>
          <w:bCs w:val="0"/>
          <w:highlight w:val="none"/>
        </w:rPr>
        <w:t>一、收入支出决算总表</w:t>
      </w:r>
      <w:r>
        <w:tab/>
      </w:r>
      <w:r>
        <w:fldChar w:fldCharType="begin"/>
      </w:r>
      <w:r>
        <w:instrText xml:space="preserve"> PAGEREF _Toc6701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_Toc5703 </w:instrText>
      </w:r>
      <w:r>
        <w:rPr>
          <w:caps w:val="0"/>
          <w:smallCaps/>
          <w:szCs w:val="20"/>
          <w:highlight w:val="none"/>
        </w:rPr>
        <w:fldChar w:fldCharType="separate"/>
      </w:r>
      <w:r>
        <w:rPr>
          <w:rFonts w:hint="eastAsia" w:ascii="黑体" w:eastAsia="黑体" w:cs="Times New Roman"/>
          <w:bCs w:val="0"/>
          <w:highlight w:val="none"/>
        </w:rPr>
        <w:t>二、收入决算表</w:t>
      </w:r>
      <w:r>
        <w:tab/>
      </w:r>
      <w:r>
        <w:fldChar w:fldCharType="begin"/>
      </w:r>
      <w:r>
        <w:instrText xml:space="preserve"> PAGEREF _Toc5703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_Toc7252 </w:instrText>
      </w:r>
      <w:r>
        <w:rPr>
          <w:caps w:val="0"/>
          <w:smallCaps/>
          <w:szCs w:val="20"/>
          <w:highlight w:val="none"/>
        </w:rPr>
        <w:fldChar w:fldCharType="separate"/>
      </w:r>
      <w:r>
        <w:rPr>
          <w:rFonts w:hint="eastAsia" w:ascii="黑体" w:eastAsia="黑体" w:cs="Times New Roman"/>
          <w:bCs w:val="0"/>
          <w:highlight w:val="none"/>
        </w:rPr>
        <w:t>三、支出决算表</w:t>
      </w:r>
      <w:r>
        <w:tab/>
      </w:r>
      <w:r>
        <w:fldChar w:fldCharType="begin"/>
      </w:r>
      <w:r>
        <w:instrText xml:space="preserve"> PAGEREF _Toc7252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_Toc2827 </w:instrText>
      </w:r>
      <w:r>
        <w:rPr>
          <w:caps w:val="0"/>
          <w:smallCaps/>
          <w:szCs w:val="20"/>
          <w:highlight w:val="none"/>
        </w:rPr>
        <w:fldChar w:fldCharType="separate"/>
      </w:r>
      <w:r>
        <w:rPr>
          <w:rFonts w:hint="eastAsia" w:ascii="黑体" w:eastAsia="黑体" w:cs="Times New Roman"/>
          <w:bCs w:val="0"/>
          <w:highlight w:val="none"/>
        </w:rPr>
        <w:t>四、财政拨款收入支出决算总表</w:t>
      </w:r>
      <w:r>
        <w:tab/>
      </w:r>
      <w:r>
        <w:fldChar w:fldCharType="begin"/>
      </w:r>
      <w:r>
        <w:instrText xml:space="preserve"> PAGEREF _Toc2827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_Toc11388 </w:instrText>
      </w:r>
      <w:r>
        <w:rPr>
          <w:caps w:val="0"/>
          <w:smallCaps/>
          <w:szCs w:val="20"/>
          <w:highlight w:val="none"/>
        </w:rPr>
        <w:fldChar w:fldCharType="separate"/>
      </w:r>
      <w:r>
        <w:rPr>
          <w:rFonts w:hint="eastAsia" w:ascii="黑体" w:eastAsia="黑体" w:cs="Times New Roman"/>
          <w:bCs w:val="0"/>
          <w:highlight w:val="none"/>
        </w:rPr>
        <w:t>五、财政拨款支出决算明细表</w:t>
      </w:r>
      <w:r>
        <w:tab/>
      </w:r>
      <w:r>
        <w:fldChar w:fldCharType="begin"/>
      </w:r>
      <w:r>
        <w:instrText xml:space="preserve"> PAGEREF _Toc11388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_Toc28378 </w:instrText>
      </w:r>
      <w:r>
        <w:rPr>
          <w:caps w:val="0"/>
          <w:smallCaps/>
          <w:szCs w:val="20"/>
          <w:highlight w:val="none"/>
        </w:rPr>
        <w:fldChar w:fldCharType="separate"/>
      </w:r>
      <w:r>
        <w:rPr>
          <w:rFonts w:hint="eastAsia" w:ascii="黑体" w:eastAsia="黑体" w:cs="Times New Roman"/>
          <w:bCs w:val="0"/>
          <w:highlight w:val="none"/>
        </w:rPr>
        <w:t>六、一般公共预算财政拨款支出决算表</w:t>
      </w:r>
      <w:r>
        <w:tab/>
      </w:r>
      <w:r>
        <w:fldChar w:fldCharType="begin"/>
      </w:r>
      <w:r>
        <w:instrText xml:space="preserve"> PAGEREF _Toc28378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_Toc9565 </w:instrText>
      </w:r>
      <w:r>
        <w:rPr>
          <w:caps w:val="0"/>
          <w:smallCaps/>
          <w:szCs w:val="20"/>
          <w:highlight w:val="none"/>
        </w:rPr>
        <w:fldChar w:fldCharType="separate"/>
      </w:r>
      <w:r>
        <w:rPr>
          <w:rFonts w:hint="eastAsia" w:ascii="黑体" w:eastAsia="黑体" w:cs="Times New Roman"/>
          <w:bCs w:val="0"/>
          <w:highlight w:val="none"/>
        </w:rPr>
        <w:t>七、一般公共预算财政拨款支出决算明细表</w:t>
      </w:r>
      <w:r>
        <w:tab/>
      </w:r>
      <w:r>
        <w:fldChar w:fldCharType="begin"/>
      </w:r>
      <w:r>
        <w:instrText xml:space="preserve"> PAGEREF _Toc9565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_Toc29675 </w:instrText>
      </w:r>
      <w:r>
        <w:rPr>
          <w:caps w:val="0"/>
          <w:smallCaps/>
          <w:szCs w:val="20"/>
          <w:highlight w:val="none"/>
        </w:rPr>
        <w:fldChar w:fldCharType="separate"/>
      </w:r>
      <w:r>
        <w:rPr>
          <w:rFonts w:hint="eastAsia" w:ascii="黑体" w:eastAsia="黑体" w:cs="Times New Roman"/>
          <w:bCs w:val="0"/>
          <w:highlight w:val="none"/>
        </w:rPr>
        <w:t>八、一般公共预算财政拨款基本支出决算表</w:t>
      </w:r>
      <w:r>
        <w:tab/>
      </w:r>
      <w:r>
        <w:fldChar w:fldCharType="begin"/>
      </w:r>
      <w:r>
        <w:instrText xml:space="preserve"> PAGEREF _Toc29675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_Toc12590 </w:instrText>
      </w:r>
      <w:r>
        <w:rPr>
          <w:caps w:val="0"/>
          <w:smallCaps/>
          <w:szCs w:val="20"/>
          <w:highlight w:val="none"/>
        </w:rPr>
        <w:fldChar w:fldCharType="separate"/>
      </w:r>
      <w:r>
        <w:rPr>
          <w:rFonts w:hint="eastAsia" w:ascii="黑体" w:eastAsia="黑体" w:cs="Times New Roman"/>
          <w:bCs w:val="0"/>
          <w:highlight w:val="none"/>
        </w:rPr>
        <w:t>九、一般公共预算财政拨款项目支出决算表</w:t>
      </w:r>
      <w:r>
        <w:tab/>
      </w:r>
      <w:r>
        <w:fldChar w:fldCharType="begin"/>
      </w:r>
      <w:r>
        <w:instrText xml:space="preserve"> PAGEREF _Toc12590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_Toc16652 </w:instrText>
      </w:r>
      <w:r>
        <w:rPr>
          <w:caps w:val="0"/>
          <w:smallCaps/>
          <w:szCs w:val="20"/>
          <w:highlight w:val="none"/>
        </w:rPr>
        <w:fldChar w:fldCharType="separate"/>
      </w:r>
      <w:r>
        <w:rPr>
          <w:rFonts w:hint="eastAsia" w:ascii="黑体" w:eastAsia="黑体" w:cs="Times New Roman"/>
          <w:bCs w:val="0"/>
          <w:highlight w:val="none"/>
        </w:rPr>
        <w:t>十、政府性基金预算财政拨款收入支出决算表</w:t>
      </w:r>
      <w:r>
        <w:tab/>
      </w:r>
      <w:r>
        <w:fldChar w:fldCharType="begin"/>
      </w:r>
      <w:r>
        <w:instrText xml:space="preserve"> PAGEREF _Toc16652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_Toc13104 </w:instrText>
      </w:r>
      <w:r>
        <w:rPr>
          <w:caps w:val="0"/>
          <w:smallCaps/>
          <w:szCs w:val="20"/>
          <w:highlight w:val="none"/>
        </w:rPr>
        <w:fldChar w:fldCharType="separate"/>
      </w:r>
      <w:r>
        <w:rPr>
          <w:rFonts w:hint="eastAsia" w:ascii="黑体" w:eastAsia="黑体" w:cs="Times New Roman"/>
          <w:bCs w:val="0"/>
          <w:highlight w:val="none"/>
        </w:rPr>
        <w:t>十一、国有资本经营预算财政拨款收入支出决算表</w:t>
      </w:r>
      <w:r>
        <w:tab/>
      </w:r>
      <w:r>
        <w:fldChar w:fldCharType="begin"/>
      </w:r>
      <w:r>
        <w:instrText xml:space="preserve"> PAGEREF _Toc13104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_Toc19837 </w:instrText>
      </w:r>
      <w:r>
        <w:rPr>
          <w:caps w:val="0"/>
          <w:smallCaps/>
          <w:szCs w:val="20"/>
          <w:highlight w:val="none"/>
        </w:rPr>
        <w:fldChar w:fldCharType="separate"/>
      </w:r>
      <w:r>
        <w:rPr>
          <w:rFonts w:hint="eastAsia" w:ascii="黑体" w:eastAsia="黑体" w:cs="Times New Roman"/>
          <w:bCs w:val="0"/>
          <w:highlight w:val="none"/>
        </w:rPr>
        <w:t>十二、国有资本经营预算财政拨款支出决算表</w:t>
      </w:r>
      <w:r>
        <w:tab/>
      </w:r>
      <w:r>
        <w:fldChar w:fldCharType="begin"/>
      </w:r>
      <w:r>
        <w:instrText xml:space="preserve"> PAGEREF _Toc19837 \h </w:instrText>
      </w:r>
      <w:r>
        <w:fldChar w:fldCharType="separate"/>
      </w:r>
      <w:r>
        <w:t>16</w:t>
      </w:r>
      <w:r>
        <w:fldChar w:fldCharType="end"/>
      </w:r>
      <w:r>
        <w:rPr>
          <w:caps w:val="0"/>
          <w:smallCaps/>
          <w:szCs w:val="20"/>
          <w:highlight w:val="none"/>
        </w:rPr>
        <w:fldChar w:fldCharType="end"/>
      </w:r>
    </w:p>
    <w:p>
      <w:pPr>
        <w:pStyle w:val="17"/>
        <w:tabs>
          <w:tab w:val="right" w:leader="dot" w:pos="8306"/>
          <w:tab w:val="clear" w:pos="8296"/>
        </w:tabs>
      </w:pPr>
      <w:r>
        <w:rPr>
          <w:caps w:val="0"/>
          <w:smallCaps/>
          <w:szCs w:val="20"/>
          <w:highlight w:val="none"/>
        </w:rPr>
        <w:fldChar w:fldCharType="begin"/>
      </w:r>
      <w:r>
        <w:rPr>
          <w:caps w:val="0"/>
          <w:smallCaps/>
          <w:szCs w:val="20"/>
          <w:highlight w:val="none"/>
        </w:rPr>
        <w:instrText xml:space="preserve"> HYPERLINK \l _Toc27290 </w:instrText>
      </w:r>
      <w:r>
        <w:rPr>
          <w:caps w:val="0"/>
          <w:smallCaps/>
          <w:szCs w:val="20"/>
          <w:highlight w:val="none"/>
        </w:rPr>
        <w:fldChar w:fldCharType="separate"/>
      </w:r>
      <w:r>
        <w:rPr>
          <w:rFonts w:hint="eastAsia" w:ascii="黑体" w:eastAsia="黑体" w:cs="Times New Roman"/>
          <w:bCs w:val="0"/>
          <w:highlight w:val="none"/>
        </w:rPr>
        <w:t>十三、财政拨款“三公”经费支出决算表</w:t>
      </w:r>
      <w:r>
        <w:tab/>
      </w:r>
      <w:r>
        <w:fldChar w:fldCharType="begin"/>
      </w:r>
      <w:r>
        <w:instrText xml:space="preserve"> PAGEREF _Toc27290 \h </w:instrText>
      </w:r>
      <w:r>
        <w:fldChar w:fldCharType="separate"/>
      </w:r>
      <w:r>
        <w:t>16</w:t>
      </w:r>
      <w:r>
        <w:fldChar w:fldCharType="end"/>
      </w:r>
      <w:r>
        <w:rPr>
          <w:caps w:val="0"/>
          <w:smallCaps/>
          <w:szCs w:val="20"/>
          <w:highlight w:val="none"/>
        </w:rPr>
        <w:fldChar w:fldCharType="end"/>
      </w:r>
    </w:p>
    <w:p>
      <w:pPr>
        <w:pStyle w:val="6"/>
        <w:rPr>
          <w:highlight w:val="yellow"/>
        </w:rPr>
      </w:pPr>
      <w:r>
        <w:rPr>
          <w:caps w:val="0"/>
          <w:smallCaps/>
          <w:szCs w:val="20"/>
          <w:highlight w:val="none"/>
        </w:rPr>
        <w:fldChar w:fldCharType="end"/>
      </w:r>
    </w:p>
    <w:p>
      <w:pPr>
        <w:rPr>
          <w:rFonts w:hint="eastAsia" w:ascii="黑体" w:eastAsia="黑体" w:cs="黑体"/>
          <w:highlight w:val="yellow"/>
        </w:rPr>
      </w:pPr>
      <w:r>
        <w:rPr>
          <w:rFonts w:hint="eastAsia" w:ascii="黑体" w:eastAsia="黑体" w:cs="黑体"/>
          <w:highlight w:val="yellow"/>
        </w:rPr>
        <w:br w:type="page"/>
      </w:r>
    </w:p>
    <w:bookmarkEnd w:id="6"/>
    <w:bookmarkEnd w:id="7"/>
    <w:p>
      <w:pPr>
        <w:pStyle w:val="3"/>
        <w:jc w:val="center"/>
        <w:rPr>
          <w:rFonts w:ascii="黑体" w:eastAsia="黑体" w:cs="黑体"/>
          <w:b w:val="0"/>
          <w:bCs w:val="0"/>
          <w:highlight w:val="none"/>
        </w:rPr>
      </w:pPr>
      <w:bookmarkStart w:id="8" w:name="_Toc21550"/>
      <w:bookmarkStart w:id="9" w:name="_Toc15377204"/>
      <w:r>
        <w:rPr>
          <w:rFonts w:hint="eastAsia" w:ascii="黑体" w:eastAsia="黑体" w:cs="黑体"/>
          <w:highlight w:val="none"/>
        </w:rPr>
        <w:t xml:space="preserve">第一部分 </w:t>
      </w:r>
      <w:r>
        <w:rPr>
          <w:rStyle w:val="23"/>
          <w:rFonts w:hint="eastAsia" w:ascii="黑体" w:eastAsia="黑体" w:cs="黑体"/>
          <w:b/>
          <w:bCs w:val="0"/>
          <w:highlight w:val="none"/>
        </w:rPr>
        <w:t>部门概况</w:t>
      </w:r>
      <w:bookmarkEnd w:id="8"/>
    </w:p>
    <w:p>
      <w:pPr>
        <w:pStyle w:val="4"/>
        <w:keepNext/>
        <w:keepLines/>
        <w:pageBreakBefore w:val="0"/>
        <w:widowControl w:val="0"/>
        <w:kinsoku/>
        <w:wordWrap/>
        <w:overflowPunct/>
        <w:topLinePunct w:val="0"/>
        <w:autoSpaceDE/>
        <w:autoSpaceDN/>
        <w:bidi w:val="0"/>
        <w:adjustRightInd/>
        <w:snapToGrid/>
        <w:spacing w:before="0" w:after="0" w:line="340" w:lineRule="exact"/>
        <w:ind w:firstLine="642" w:firstLineChars="200"/>
        <w:textAlignment w:val="auto"/>
        <w:rPr>
          <w:rFonts w:ascii="黑体" w:eastAsia="黑体" w:cs="Times New Roman"/>
          <w:bCs w:val="0"/>
          <w:color w:val="000000"/>
          <w:highlight w:val="none"/>
        </w:rPr>
      </w:pPr>
      <w:bookmarkStart w:id="10" w:name="_Toc111208496"/>
      <w:bookmarkStart w:id="11" w:name="_Toc15377197"/>
      <w:bookmarkStart w:id="12" w:name="_Toc11489"/>
      <w:r>
        <w:rPr>
          <w:rFonts w:hint="eastAsia" w:ascii="黑体" w:eastAsia="黑体" w:cs="Times New Roman"/>
          <w:bCs w:val="0"/>
          <w:color w:val="000000"/>
          <w:highlight w:val="none"/>
        </w:rPr>
        <w:t>一、</w:t>
      </w:r>
      <w:bookmarkEnd w:id="10"/>
      <w:bookmarkEnd w:id="11"/>
      <w:bookmarkStart w:id="13" w:name="_Toc15377198"/>
      <w:bookmarkStart w:id="14" w:name="_Toc15378445"/>
      <w:r>
        <w:rPr>
          <w:rFonts w:hint="eastAsia" w:ascii="黑体" w:eastAsia="黑体" w:cs="Times New Roman"/>
          <w:bCs w:val="0"/>
          <w:color w:val="000000"/>
          <w:highlight w:val="none"/>
        </w:rPr>
        <w:t>部门职责</w:t>
      </w:r>
      <w:bookmarkEnd w:id="12"/>
    </w:p>
    <w:bookmarkEnd w:id="13"/>
    <w:bookmarkEnd w:id="14"/>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eastAsia="zh-CN"/>
        </w:rPr>
      </w:pPr>
      <w:bookmarkStart w:id="15" w:name="_Toc28081"/>
      <w:r>
        <w:rPr>
          <w:rFonts w:hint="eastAsia" w:ascii="仿宋_GB2312" w:hAnsi="仿宋_GB2312" w:eastAsia="仿宋_GB2312" w:cs="仿宋_GB2312"/>
          <w:sz w:val="32"/>
          <w:szCs w:val="32"/>
          <w:lang w:val="en-US" w:eastAsia="zh-CN"/>
        </w:rPr>
        <w:t>1.</w:t>
      </w:r>
      <w:r>
        <w:rPr>
          <w:rFonts w:hint="eastAsia" w:ascii="仿宋_GB2312" w:hAnsi="Times New Roman" w:eastAsia="仿宋_GB2312" w:cs="仿宋_GB2312"/>
          <w:sz w:val="32"/>
          <w:szCs w:val="32"/>
        </w:rPr>
        <w:t>制定并组织实施村镇建设规划，部署重点工程建设，地方道路建设及公共设施，水利设施的管理，负责土地、林木、水等自然资源和生态环境的保护，做好护林防火</w:t>
      </w:r>
      <w:r>
        <w:rPr>
          <w:rFonts w:hint="eastAsia" w:ascii="仿宋_GB2312" w:hAnsi="Times New Roman"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 优化公共服务</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 xml:space="preserve">推进服务型政府建设，组织实施并优化教育、卫生健康、文化、民政、社会保障、退役军人事务等各项公共服务。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4.抓好精神文明建设，丰富群众文化生活，提倡移风易俗，反对封建迷信，破除陈规陋习，树立社会主义新风尚。 </w:t>
      </w:r>
    </w:p>
    <w:p>
      <w:pPr>
        <w:pStyle w:val="4"/>
        <w:keepNext/>
        <w:keepLines/>
        <w:pageBreakBefore w:val="0"/>
        <w:widowControl w:val="0"/>
        <w:kinsoku/>
        <w:wordWrap/>
        <w:overflowPunct/>
        <w:topLinePunct w:val="0"/>
        <w:autoSpaceDE/>
        <w:autoSpaceDN/>
        <w:bidi w:val="0"/>
        <w:adjustRightInd/>
        <w:snapToGrid/>
        <w:spacing w:after="0" w:afterAutospacing="0" w:line="340" w:lineRule="exact"/>
        <w:ind w:firstLine="640" w:firstLineChars="200"/>
        <w:textAlignment w:val="auto"/>
        <w:rPr>
          <w:rFonts w:hint="eastAsia" w:ascii="仿宋_GB2312" w:hAnsi="Times New Roman" w:eastAsia="仿宋_GB2312" w:cs="仿宋_GB2312"/>
          <w:b w:val="0"/>
          <w:bCs w:val="0"/>
          <w:sz w:val="32"/>
          <w:szCs w:val="32"/>
        </w:rPr>
      </w:pPr>
      <w:r>
        <w:rPr>
          <w:rFonts w:hint="eastAsia" w:ascii="仿宋_GB2312" w:hAnsi="Times New Roman" w:eastAsia="仿宋_GB2312" w:cs="仿宋_GB2312"/>
          <w:b w:val="0"/>
          <w:bCs w:val="0"/>
          <w:sz w:val="32"/>
          <w:szCs w:val="32"/>
        </w:rPr>
        <w:t>5.完成上级政府交办的其它事项。</w:t>
      </w:r>
    </w:p>
    <w:p>
      <w:pPr>
        <w:pStyle w:val="4"/>
        <w:keepNext/>
        <w:keepLines/>
        <w:pageBreakBefore w:val="0"/>
        <w:widowControl w:val="0"/>
        <w:kinsoku/>
        <w:wordWrap/>
        <w:overflowPunct/>
        <w:topLinePunct w:val="0"/>
        <w:autoSpaceDE/>
        <w:autoSpaceDN/>
        <w:bidi w:val="0"/>
        <w:adjustRightInd/>
        <w:snapToGrid/>
        <w:spacing w:after="0" w:afterAutospacing="0" w:line="340" w:lineRule="exact"/>
        <w:ind w:firstLine="963" w:firstLineChars="300"/>
        <w:textAlignment w:val="auto"/>
        <w:rPr>
          <w:rFonts w:hint="eastAsia" w:ascii="黑体" w:eastAsia="黑体" w:cs="Times New Roman"/>
          <w:bCs w:val="0"/>
          <w:color w:val="000000"/>
          <w:highlight w:val="none"/>
        </w:rPr>
      </w:pPr>
      <w:r>
        <w:rPr>
          <w:rFonts w:hint="eastAsia" w:ascii="黑体" w:eastAsia="黑体" w:cs="Times New Roman"/>
          <w:bCs w:val="0"/>
          <w:color w:val="000000"/>
          <w:highlight w:val="none"/>
        </w:rPr>
        <w:t>二、机构设置</w:t>
      </w:r>
      <w:bookmarkEnd w:id="15"/>
    </w:p>
    <w:p>
      <w:pPr>
        <w:keepNext w:val="0"/>
        <w:keepLines w:val="0"/>
        <w:pageBreakBefore w:val="0"/>
        <w:widowControl w:val="0"/>
        <w:kinsoku/>
        <w:wordWrap/>
        <w:overflowPunct/>
        <w:topLinePunct w:val="0"/>
        <w:autoSpaceDE/>
        <w:autoSpaceDN/>
        <w:bidi w:val="0"/>
        <w:spacing w:beforeAutospacing="0" w:line="576" w:lineRule="exact"/>
        <w:ind w:firstLine="642" w:firstLineChars="200"/>
        <w:textAlignment w:val="auto"/>
        <w:rPr>
          <w:rFonts w:hint="eastAsia"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（一）机构组成</w:t>
      </w:r>
    </w:p>
    <w:p>
      <w:pPr>
        <w:pStyle w:val="2"/>
        <w:ind w:left="0" w:leftChars="0" w:firstLine="640" w:firstLineChars="200"/>
        <w:rPr>
          <w:rFonts w:hint="eastAsia" w:ascii="仿宋" w:eastAsia="仿宋"/>
          <w:kern w:val="0"/>
          <w:sz w:val="32"/>
          <w:szCs w:val="32"/>
        </w:rPr>
      </w:pPr>
      <w:r>
        <w:rPr>
          <w:rFonts w:hint="eastAsia" w:ascii="仿宋_GB2312" w:eastAsia="仿宋_GB2312" w:cs="仿宋_GB2312"/>
          <w:sz w:val="32"/>
          <w:szCs w:val="32"/>
          <w:lang w:bidi="ar-SA"/>
        </w:rPr>
        <w:t>茂县</w:t>
      </w:r>
      <w:r>
        <w:rPr>
          <w:rFonts w:hint="eastAsia" w:ascii="仿宋_GB2312" w:eastAsia="仿宋_GB2312" w:cs="仿宋_GB2312"/>
          <w:sz w:val="32"/>
          <w:szCs w:val="32"/>
          <w:lang w:eastAsia="zh-CN" w:bidi="ar-SA"/>
        </w:rPr>
        <w:t>黑虎镇人民政府（</w:t>
      </w:r>
      <w:r>
        <w:rPr>
          <w:rFonts w:hint="eastAsia" w:ascii="仿宋_GB2312" w:eastAsia="仿宋_GB2312" w:cs="仿宋_GB2312"/>
          <w:sz w:val="32"/>
          <w:szCs w:val="32"/>
          <w:lang w:val="en-US" w:eastAsia="zh-CN" w:bidi="ar-SA"/>
        </w:rPr>
        <w:t>事业</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val="en-US" w:eastAsia="zh-CN" w:bidi="ar-SA"/>
        </w:rPr>
        <w:t>为二级预算单位，设以下直属公益一类事业机构：便民服务中心、农业农村服务中心、文化体育广电和旅游综合服务中心、村镇规划建设服务中心。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b/>
          <w:bCs/>
          <w:color w:val="000000"/>
          <w:kern w:val="44"/>
          <w:sz w:val="44"/>
          <w:szCs w:val="44"/>
          <w:highlight w:val="yellow"/>
        </w:rPr>
      </w:pPr>
      <w:r>
        <w:rPr>
          <w:rFonts w:hint="eastAsia" w:ascii="仿宋_GB2312" w:hAnsi="仿宋_GB2312" w:eastAsia="仿宋_GB2312" w:cs="仿宋_GB2312"/>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after="330" w:afterAutospacing="0" w:line="579" w:lineRule="auto"/>
        <w:jc w:val="center"/>
        <w:textAlignment w:val="auto"/>
        <w:rPr>
          <w:rFonts w:ascii="黑体" w:eastAsia="黑体" w:cs="黑体"/>
          <w:highlight w:val="none"/>
        </w:rPr>
      </w:pPr>
      <w:bookmarkStart w:id="16" w:name="_Toc111208498"/>
      <w:bookmarkStart w:id="17" w:name="_Toc11896"/>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u w:color="auto"/>
        </w:rPr>
        <w:t>年度</w:t>
      </w:r>
      <w:r>
        <w:rPr>
          <w:rFonts w:hint="eastAsia" w:ascii="黑体" w:eastAsia="黑体" w:cs="黑体"/>
          <w:highlight w:val="none"/>
          <w:u w:color="auto"/>
          <w:lang w:eastAsia="zh-CN"/>
        </w:rPr>
        <w:t>单位</w:t>
      </w:r>
      <w:r>
        <w:rPr>
          <w:rFonts w:ascii="黑体" w:eastAsia="黑体" w:cs="黑体"/>
          <w:highlight w:val="none"/>
          <w:u w:color="auto"/>
        </w:rPr>
        <w:t>决算情况说明</w:t>
      </w:r>
      <w:bookmarkEnd w:id="9"/>
      <w:bookmarkEnd w:id="16"/>
      <w:bookmarkEnd w:id="17"/>
    </w:p>
    <w:p>
      <w:pPr>
        <w:pStyle w:val="4"/>
        <w:keepNext/>
        <w:keepLines/>
        <w:pageBreakBefore w:val="0"/>
        <w:widowControl w:val="0"/>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ascii="黑体" w:eastAsia="黑体" w:cs="Times New Roman"/>
          <w:bCs w:val="0"/>
          <w:color w:val="000000"/>
          <w:highlight w:val="none"/>
        </w:rPr>
      </w:pPr>
      <w:bookmarkStart w:id="18" w:name="_Toc15377205"/>
      <w:bookmarkStart w:id="19" w:name="_Toc30380"/>
      <w:bookmarkStart w:id="20" w:name="_Toc111208499"/>
      <w:r>
        <w:rPr>
          <w:rFonts w:hint="eastAsia" w:ascii="黑体" w:eastAsia="黑体" w:cs="Times New Roman"/>
          <w:bCs w:val="0"/>
          <w:color w:val="000000"/>
          <w:highlight w:val="none"/>
        </w:rPr>
        <w:t>一、收入支出决算总体情况说</w:t>
      </w:r>
      <w:bookmarkEnd w:id="18"/>
      <w:r>
        <w:rPr>
          <w:rFonts w:hint="eastAsia" w:ascii="黑体" w:eastAsia="黑体" w:cs="Times New Roman"/>
          <w:bCs w:val="0"/>
          <w:color w:val="000000"/>
          <w:highlight w:val="none"/>
        </w:rPr>
        <w:t>明</w:t>
      </w:r>
      <w:bookmarkEnd w:id="19"/>
      <w:bookmarkEnd w:id="20"/>
    </w:p>
    <w:p>
      <w:pPr>
        <w:spacing w:beforeAutospacing="0" w:line="600" w:lineRule="exact"/>
        <w:ind w:firstLine="640" w:firstLineChars="200"/>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各为257.86</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31.90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14.12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：人员增加、五险一金基数调整。</w:t>
      </w:r>
    </w:p>
    <w:p>
      <w:pPr>
        <w:pStyle w:val="6"/>
        <w:rPr>
          <w:highlight w:val="yellow"/>
        </w:rPr>
      </w:pPr>
      <w:r>
        <w:rPr>
          <w:rFonts w:hint="eastAsia" w:eastAsia="仿宋"/>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1" w:name="_Toc111208500"/>
      <w:bookmarkStart w:id="22" w:name="_Toc15377206"/>
      <w:bookmarkStart w:id="23" w:name="_Toc483"/>
      <w:r>
        <w:rPr>
          <w:rFonts w:hint="eastAsia" w:ascii="黑体" w:eastAsia="黑体" w:cs="Times New Roman"/>
          <w:bCs w:val="0"/>
          <w:color w:val="000000"/>
          <w:highlight w:val="none"/>
        </w:rPr>
        <w:t>二、收入决算情况说明</w:t>
      </w:r>
      <w:bookmarkEnd w:id="21"/>
      <w:bookmarkEnd w:id="22"/>
      <w:bookmarkEnd w:id="23"/>
    </w:p>
    <w:p>
      <w:pPr>
        <w:spacing w:beforeAutospacing="0"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年收入合计</w:t>
      </w:r>
      <w:r>
        <w:rPr>
          <w:rFonts w:hint="eastAsia" w:ascii="仿宋_GB2312" w:hAnsi="仿宋_GB2312" w:eastAsia="仿宋_GB2312" w:cs="仿宋_GB2312"/>
          <w:color w:val="000000"/>
          <w:sz w:val="32"/>
          <w:highlight w:val="none"/>
          <w:u w:color="auto"/>
          <w:lang w:eastAsia="zh-CN"/>
        </w:rPr>
        <w:t>2</w:t>
      </w:r>
      <w:r>
        <w:rPr>
          <w:rFonts w:hint="eastAsia" w:ascii="仿宋_GB2312" w:hAnsi="仿宋_GB2312" w:eastAsia="仿宋_GB2312" w:cs="仿宋_GB2312"/>
          <w:color w:val="000000"/>
          <w:sz w:val="32"/>
          <w:highlight w:val="none"/>
          <w:u w:color="auto"/>
          <w:lang w:val="en-US" w:eastAsia="zh-CN"/>
        </w:rPr>
        <w:t>57.86</w:t>
      </w:r>
      <w:r>
        <w:rPr>
          <w:rFonts w:hint="eastAsia" w:ascii="仿宋_GB2312" w:hAnsi="仿宋_GB2312" w:eastAsia="仿宋_GB2312" w:cs="仿宋_GB2312"/>
          <w:color w:val="000000"/>
          <w:sz w:val="32"/>
          <w:highlight w:val="none"/>
          <w:u w:color="auto"/>
        </w:rPr>
        <w:t>万元，其中：一般公共预算财政拨款收入</w:t>
      </w:r>
      <w:r>
        <w:rPr>
          <w:rFonts w:hint="eastAsia" w:ascii="仿宋_GB2312" w:hAnsi="仿宋_GB2312" w:eastAsia="仿宋_GB2312" w:cs="仿宋_GB2312"/>
          <w:color w:val="000000"/>
          <w:sz w:val="32"/>
          <w:highlight w:val="none"/>
          <w:u w:color="auto"/>
          <w:lang w:val="en-US" w:eastAsia="zh-CN"/>
        </w:rPr>
        <w:t>257.86</w:t>
      </w:r>
      <w:r>
        <w:rPr>
          <w:rFonts w:hint="eastAsia" w:ascii="仿宋_GB2312" w:hAnsi="仿宋_GB2312" w:eastAsia="仿宋_GB2312" w:cs="仿宋_GB2312"/>
          <w:color w:val="000000"/>
          <w:sz w:val="32"/>
          <w:highlight w:val="none"/>
          <w:u w:color="auto"/>
        </w:rPr>
        <w:t>万元，占100%。</w:t>
      </w:r>
    </w:p>
    <w:p>
      <w:pPr>
        <w:pStyle w:val="2"/>
        <w:jc w:val="both"/>
        <w:rPr>
          <w:highlight w:val="none"/>
        </w:rPr>
      </w:pPr>
      <w:r>
        <w:rPr>
          <w:rFonts w:hint="eastAsia" w:ascii="仿宋_GB2312" w:eastAsia="仿宋_GB2312"/>
          <w:color w:val="FF0000"/>
          <w:sz w:val="32"/>
          <w:szCs w:val="32"/>
          <w:highlight w:val="none"/>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4" w:name="_Toc27257"/>
      <w:bookmarkStart w:id="25" w:name="_Toc15377207"/>
      <w:bookmarkStart w:id="26" w:name="_Toc111208501"/>
      <w:r>
        <w:rPr>
          <w:rFonts w:hint="eastAsia" w:ascii="黑体" w:eastAsia="黑体" w:cs="Times New Roman"/>
          <w:bCs w:val="0"/>
          <w:color w:val="000000"/>
          <w:highlight w:val="none"/>
        </w:rPr>
        <w:t>三、支出决算情况说明</w:t>
      </w:r>
      <w:bookmarkEnd w:id="24"/>
      <w:bookmarkEnd w:id="25"/>
      <w:bookmarkEnd w:id="26"/>
    </w:p>
    <w:p>
      <w:pPr>
        <w:pStyle w:val="6"/>
        <w:spacing w:beforeAutospacing="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年支出合计</w:t>
      </w:r>
      <w:r>
        <w:rPr>
          <w:rFonts w:hint="eastAsia" w:ascii="仿宋_GB2312" w:hAnsi="仿宋_GB2312" w:eastAsia="仿宋_GB2312" w:cs="仿宋_GB2312"/>
          <w:color w:val="000000"/>
          <w:sz w:val="32"/>
          <w:szCs w:val="32"/>
          <w:highlight w:val="none"/>
          <w:lang w:val="en-US" w:eastAsia="zh-CN"/>
        </w:rPr>
        <w:t>257.86</w:t>
      </w:r>
      <w:r>
        <w:rPr>
          <w:rFonts w:hint="eastAsia" w:ascii="仿宋_GB2312" w:hAnsi="仿宋_GB2312" w:eastAsia="仿宋_GB2312" w:cs="仿宋_GB2312"/>
          <w:color w:val="000000"/>
          <w:sz w:val="32"/>
          <w:szCs w:val="32"/>
          <w:highlight w:val="none"/>
        </w:rPr>
        <w:t>万元，其中：基本支出</w:t>
      </w:r>
      <w:r>
        <w:rPr>
          <w:rFonts w:hint="eastAsia" w:ascii="仿宋_GB2312" w:hAnsi="仿宋_GB2312" w:eastAsia="仿宋_GB2312" w:cs="仿宋_GB2312"/>
          <w:color w:val="000000"/>
          <w:sz w:val="32"/>
          <w:szCs w:val="32"/>
          <w:highlight w:val="none"/>
          <w:lang w:val="en-US" w:eastAsia="zh-CN"/>
        </w:rPr>
        <w:t>257.86</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p>
    <w:p>
      <w:pPr>
        <w:jc w:val="both"/>
        <w:rPr>
          <w:rFonts w:ascii="仿宋_GB2312" w:eastAsia="仿宋_GB2312"/>
          <w:color w:val="FF0000"/>
          <w:sz w:val="32"/>
          <w:szCs w:val="32"/>
          <w:highlight w:val="none"/>
        </w:rPr>
      </w:pPr>
      <w:r>
        <w:rPr>
          <w:rFonts w:hint="eastAsia" w:ascii="仿宋" w:hAnsi="仿宋" w:eastAsia="仿宋"/>
          <w:sz w:val="32"/>
          <w:szCs w:val="32"/>
          <w:highlight w:val="none"/>
          <w:shd w:val="pct10" w:color="auto" w:fill="FFFFFF"/>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rPr>
          <w:highlight w:val="none"/>
        </w:rPr>
      </w:pP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7" w:name="_Toc15377208"/>
      <w:bookmarkStart w:id="28" w:name="_Toc111208502"/>
      <w:bookmarkStart w:id="29" w:name="_Toc12534"/>
      <w:r>
        <w:rPr>
          <w:rFonts w:hint="eastAsia" w:ascii="黑体" w:eastAsia="黑体" w:cs="Times New Roman"/>
          <w:bCs w:val="0"/>
          <w:color w:val="000000"/>
          <w:highlight w:val="none"/>
        </w:rPr>
        <w:t>四、财政拨款收入支出决算总体情况说明</w:t>
      </w:r>
      <w:bookmarkEnd w:id="27"/>
      <w:bookmarkEnd w:id="28"/>
      <w:bookmarkEnd w:id="29"/>
    </w:p>
    <w:p>
      <w:pPr>
        <w:spacing w:beforeAutospacing="0" w:line="600" w:lineRule="exact"/>
        <w:ind w:firstLine="640" w:firstLineChars="200"/>
        <w:rPr>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各为257.86</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31.90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14.12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：人员增加、五险一金基数调整。</w:t>
      </w:r>
    </w:p>
    <w:p>
      <w:pPr>
        <w:pStyle w:val="6"/>
        <w:jc w:val="left"/>
        <w:rPr>
          <w:highlight w:val="none"/>
        </w:rPr>
      </w:pPr>
      <w:r>
        <w:rPr>
          <w:rFonts w:hint="eastAsia" w:eastAsia="仿宋"/>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rPr>
          <w:highlight w:val="none"/>
        </w:rPr>
      </w:pP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30" w:name="_Toc15377209"/>
      <w:bookmarkStart w:id="31" w:name="_Toc111208503"/>
      <w:bookmarkStart w:id="32" w:name="_Toc16370"/>
      <w:r>
        <w:rPr>
          <w:rFonts w:hint="eastAsia" w:ascii="黑体" w:eastAsia="黑体" w:cs="Times New Roman"/>
          <w:bCs w:val="0"/>
          <w:color w:val="000000"/>
          <w:highlight w:val="none"/>
        </w:rPr>
        <w:t>五、一般公共预算财政拨款支出决算情况说</w:t>
      </w:r>
      <w:bookmarkEnd w:id="30"/>
      <w:r>
        <w:rPr>
          <w:rFonts w:hint="eastAsia" w:ascii="黑体" w:eastAsia="黑体" w:cs="Times New Roman"/>
          <w:bCs w:val="0"/>
          <w:color w:val="000000"/>
          <w:highlight w:val="none"/>
        </w:rPr>
        <w:t>明</w:t>
      </w:r>
      <w:bookmarkEnd w:id="31"/>
      <w:bookmarkEnd w:id="32"/>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33" w:name="_Toc15377210"/>
      <w:r>
        <w:rPr>
          <w:rFonts w:hint="eastAsia" w:ascii="仿宋_GB2312" w:hAnsi="仿宋_GB2312" w:eastAsia="仿宋_GB2312" w:cs="仿宋_GB2312"/>
          <w:b/>
          <w:color w:val="000000"/>
          <w:sz w:val="32"/>
          <w:szCs w:val="32"/>
          <w:highlight w:val="none"/>
        </w:rPr>
        <w:t>（一）一般公共预算财政拨款支出决算总体情况</w:t>
      </w:r>
      <w:bookmarkEnd w:id="33"/>
    </w:p>
    <w:p>
      <w:pPr>
        <w:spacing w:line="600" w:lineRule="exact"/>
        <w:ind w:firstLine="640" w:firstLineChars="200"/>
        <w:rPr>
          <w:rFonts w:hint="eastAsia" w:ascii="仿宋_GB2312" w:hAnsi="仿宋_GB2312" w:eastAsia="仿宋_GB2312" w:cs="仿宋_GB2312"/>
          <w:b/>
          <w:color w:val="000000"/>
          <w:sz w:val="32"/>
          <w:szCs w:val="32"/>
          <w:highlight w:val="none"/>
        </w:rPr>
      </w:pPr>
      <w:bookmarkStart w:id="34" w:name="_Toc15377211"/>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年度收、支总计</w:t>
      </w:r>
      <w:r>
        <w:rPr>
          <w:rFonts w:hint="eastAsia" w:ascii="仿宋_GB2312" w:hAnsi="仿宋_GB2312" w:eastAsia="仿宋_GB2312" w:cs="仿宋_GB2312"/>
          <w:color w:val="000000"/>
          <w:sz w:val="32"/>
          <w:szCs w:val="32"/>
          <w:highlight w:val="none"/>
          <w:lang w:val="en-US" w:eastAsia="zh-CN"/>
        </w:rPr>
        <w:t>各为257.86</w:t>
      </w:r>
      <w:r>
        <w:rPr>
          <w:rFonts w:hint="eastAsia" w:ascii="仿宋_GB2312" w:hAnsi="仿宋_GB2312" w:eastAsia="仿宋_GB2312" w:cs="仿宋_GB2312"/>
          <w:color w:val="000000"/>
          <w:sz w:val="32"/>
          <w:szCs w:val="32"/>
          <w:highlight w:val="none"/>
        </w:rPr>
        <w:t>万元。与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年相比，收、支总计各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31.90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14.12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：人员增加、五险一金基数调整。</w:t>
      </w:r>
    </w:p>
    <w:p>
      <w:pPr>
        <w:pStyle w:val="6"/>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ind w:firstLine="0"/>
        <w:rPr>
          <w:rFonts w:ascii="仿宋_GB2312" w:eastAsia="仿宋_GB2312"/>
          <w:b/>
          <w:color w:val="000000"/>
          <w:sz w:val="32"/>
          <w:szCs w:val="32"/>
          <w:highlight w:val="none"/>
        </w:rPr>
      </w:pP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（二）一般公共预算财政拨款支出决算结构情况</w:t>
      </w:r>
      <w:bookmarkEnd w:id="34"/>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年一般公共预算财政拨款支出</w:t>
      </w:r>
      <w:r>
        <w:rPr>
          <w:rFonts w:hint="eastAsia" w:ascii="仿宋_GB2312" w:hAnsi="仿宋_GB2312" w:eastAsia="仿宋_GB2312" w:cs="仿宋_GB2312"/>
          <w:color w:val="000000"/>
          <w:sz w:val="32"/>
          <w:highlight w:val="none"/>
          <w:u w:color="auto"/>
          <w:lang w:val="en-US" w:eastAsia="zh-CN"/>
        </w:rPr>
        <w:t>257.86</w:t>
      </w:r>
      <w:r>
        <w:rPr>
          <w:rFonts w:hint="eastAsia" w:ascii="仿宋_GB2312" w:hAnsi="仿宋_GB2312" w:eastAsia="仿宋_GB2312" w:cs="仿宋_GB2312"/>
          <w:color w:val="000000"/>
          <w:sz w:val="32"/>
          <w:szCs w:val="32"/>
          <w:highlight w:val="none"/>
        </w:rPr>
        <w:t>万元，主要用于以下方面:社会保障和就业支出</w:t>
      </w:r>
      <w:r>
        <w:rPr>
          <w:rFonts w:hint="eastAsia" w:ascii="仿宋_GB2312" w:hAnsi="仿宋_GB2312" w:eastAsia="仿宋_GB2312" w:cs="仿宋_GB2312"/>
          <w:color w:val="000000"/>
          <w:sz w:val="32"/>
          <w:highlight w:val="none"/>
          <w:u w:color="auto"/>
          <w:lang w:val="en-US" w:eastAsia="zh-CN"/>
        </w:rPr>
        <w:t>34.45</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13.35</w:t>
      </w:r>
      <w:r>
        <w:rPr>
          <w:rFonts w:hint="eastAsia" w:ascii="仿宋_GB2312" w:hAnsi="仿宋_GB2312" w:eastAsia="仿宋_GB2312" w:cs="仿宋_GB2312"/>
          <w:color w:val="000000"/>
          <w:sz w:val="32"/>
          <w:highlight w:val="none"/>
          <w:u w:color="auto"/>
        </w:rPr>
        <w:t>%；卫生健康支出</w:t>
      </w:r>
      <w:r>
        <w:rPr>
          <w:rFonts w:hint="eastAsia" w:ascii="仿宋_GB2312" w:hAnsi="仿宋_GB2312" w:eastAsia="仿宋_GB2312" w:cs="仿宋_GB2312"/>
          <w:color w:val="000000"/>
          <w:sz w:val="32"/>
          <w:highlight w:val="none"/>
          <w:u w:color="auto"/>
          <w:lang w:val="en-US" w:eastAsia="zh-CN"/>
        </w:rPr>
        <w:t>15.15万元，占5.88%；</w:t>
      </w:r>
      <w:r>
        <w:rPr>
          <w:rFonts w:hint="eastAsia" w:ascii="仿宋_GB2312" w:hAnsi="仿宋_GB2312" w:eastAsia="仿宋_GB2312" w:cs="仿宋_GB2312"/>
          <w:color w:val="000000"/>
          <w:sz w:val="32"/>
          <w:highlight w:val="none"/>
          <w:u w:color="auto"/>
        </w:rPr>
        <w:t>农林水支出</w:t>
      </w:r>
      <w:r>
        <w:rPr>
          <w:rFonts w:hint="eastAsia" w:ascii="仿宋_GB2312" w:hAnsi="仿宋_GB2312" w:eastAsia="仿宋_GB2312" w:cs="仿宋_GB2312"/>
          <w:color w:val="000000"/>
          <w:sz w:val="32"/>
          <w:highlight w:val="none"/>
          <w:u w:color="auto"/>
          <w:lang w:val="en-US" w:eastAsia="zh-CN"/>
        </w:rPr>
        <w:t>187.83</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72.84</w:t>
      </w:r>
      <w:r>
        <w:rPr>
          <w:rFonts w:hint="eastAsia" w:ascii="仿宋_GB2312" w:hAnsi="仿宋_GB2312" w:eastAsia="仿宋_GB2312" w:cs="仿宋_GB2312"/>
          <w:color w:val="000000"/>
          <w:sz w:val="32"/>
          <w:highlight w:val="none"/>
          <w:u w:color="auto"/>
        </w:rPr>
        <w:t>%；住房保障支出</w:t>
      </w:r>
      <w:r>
        <w:rPr>
          <w:rFonts w:hint="eastAsia" w:ascii="仿宋_GB2312" w:hAnsi="仿宋_GB2312" w:eastAsia="仿宋_GB2312" w:cs="仿宋_GB2312"/>
          <w:color w:val="000000"/>
          <w:sz w:val="32"/>
          <w:highlight w:val="none"/>
          <w:u w:color="auto"/>
          <w:lang w:val="en-US" w:eastAsia="zh-CN"/>
        </w:rPr>
        <w:t>20.43</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7.93</w:t>
      </w:r>
      <w:r>
        <w:rPr>
          <w:rFonts w:hint="eastAsia" w:ascii="仿宋_GB2312" w:hAnsi="仿宋_GB2312" w:eastAsia="仿宋_GB2312" w:cs="仿宋_GB2312"/>
          <w:color w:val="000000"/>
          <w:sz w:val="32"/>
          <w:highlight w:val="none"/>
          <w:u w:color="auto"/>
        </w:rPr>
        <w:t>%</w:t>
      </w:r>
      <w:r>
        <w:rPr>
          <w:rFonts w:hint="eastAsia" w:ascii="仿宋_GB2312" w:hAnsi="仿宋_GB2312" w:eastAsia="仿宋_GB2312" w:cs="仿宋_GB2312"/>
          <w:color w:val="000000"/>
          <w:sz w:val="32"/>
          <w:highlight w:val="none"/>
          <w:u w:color="auto"/>
          <w:lang w:eastAsia="zh-CN"/>
        </w:rPr>
        <w:t>。</w:t>
      </w:r>
      <w:bookmarkStart w:id="35" w:name="_Toc15377212"/>
    </w:p>
    <w:p>
      <w:pPr>
        <w:pStyle w:val="6"/>
        <w:rPr>
          <w:highlight w:val="none"/>
        </w:rPr>
      </w:pPr>
      <w:r>
        <w:rPr>
          <w:rFonts w:hint="eastAsia" w:ascii="仿宋" w:hAnsi="仿宋" w:eastAsia="仿宋"/>
          <w:sz w:val="32"/>
          <w:szCs w:val="32"/>
          <w:highlight w:val="none"/>
          <w:lang w:eastAsia="zh-CN"/>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（三）一般公共预算财政拨款支出决算具体情况</w:t>
      </w:r>
      <w:bookmarkEnd w:id="35"/>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bookmarkStart w:id="36" w:name="_Toc15377444"/>
      <w:bookmarkStart w:id="37" w:name="_Toc15378460"/>
      <w:bookmarkStart w:id="38" w:name="_Toc15377213"/>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highlight w:val="none"/>
          <w:u w:color="auto"/>
        </w:rPr>
        <w:t>年一般公共预算支出决算数为</w:t>
      </w:r>
      <w:r>
        <w:rPr>
          <w:rFonts w:hint="eastAsia" w:ascii="仿宋_GB2312" w:hAnsi="仿宋_GB2312" w:eastAsia="仿宋_GB2312" w:cs="仿宋_GB2312"/>
          <w:color w:val="000000"/>
          <w:sz w:val="32"/>
          <w:highlight w:val="none"/>
          <w:u w:color="auto"/>
          <w:lang w:val="en-US" w:eastAsia="zh-CN"/>
        </w:rPr>
        <w:t>257.86</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rPr>
        <w:t>，完成预算100%。其中：</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sz w:val="32"/>
          <w:szCs w:val="32"/>
          <w:highlight w:val="none"/>
        </w:rPr>
        <w:t>社会保障和就业支出（208）行政事业单位养老支出（05）机关事业单位基本养老保险缴费支出（05）支出决算</w:t>
      </w:r>
      <w:r>
        <w:rPr>
          <w:rFonts w:hint="eastAsia" w:ascii="仿宋_GB2312" w:hAnsi="仿宋_GB2312" w:eastAsia="仿宋_GB2312" w:cs="仿宋_GB2312"/>
          <w:color w:val="000000"/>
          <w:sz w:val="32"/>
          <w:szCs w:val="32"/>
          <w:highlight w:val="none"/>
          <w:lang w:val="en-US" w:eastAsia="zh-CN"/>
        </w:rPr>
        <w:t>22.97</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社会保障和就业支出（208）行政事业单位养老支出（05）机关事业单位职业年金缴费支出（06）支出决算</w:t>
      </w:r>
      <w:r>
        <w:rPr>
          <w:rFonts w:hint="eastAsia" w:ascii="仿宋_GB2312" w:hAnsi="仿宋_GB2312" w:eastAsia="仿宋_GB2312" w:cs="仿宋_GB2312"/>
          <w:color w:val="000000"/>
          <w:sz w:val="32"/>
          <w:szCs w:val="32"/>
          <w:highlight w:val="none"/>
          <w:lang w:val="en-US" w:eastAsia="zh-CN"/>
        </w:rPr>
        <w:t>11.48</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pStyle w:val="16"/>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3.卫生健康支出（210）行政事业单位医疗（11）事业单位医疗（102）支出15.15万元，完成预算100%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4.农林水支出（213）农业农村（01）事业运行（04）支出决算187.83万元，完成预算100%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5.住房保障支出（221）住房改革支出（02）住房公积金（01）支出决算20.43万元，完成预算100%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 w:val="0"/>
          <w:color w:val="000000"/>
          <w:highlight w:val="none"/>
        </w:rPr>
      </w:pPr>
      <w:bookmarkStart w:id="39" w:name="_Toc15377214"/>
      <w:bookmarkStart w:id="40" w:name="_Toc533"/>
      <w:bookmarkStart w:id="41" w:name="_Toc111208504"/>
      <w:r>
        <w:rPr>
          <w:rFonts w:hint="eastAsia" w:ascii="黑体" w:eastAsia="黑体" w:cs="Times New Roman"/>
          <w:bCs w:val="0"/>
          <w:color w:val="000000"/>
          <w:highlight w:val="none"/>
        </w:rPr>
        <w:t>六、一般公共预算财政拨款基本支出决算情况说</w:t>
      </w:r>
      <w:bookmarkEnd w:id="39"/>
      <w:r>
        <w:rPr>
          <w:rFonts w:hint="eastAsia" w:ascii="黑体" w:eastAsia="黑体" w:cs="Times New Roman"/>
          <w:bCs w:val="0"/>
          <w:color w:val="000000"/>
          <w:highlight w:val="none"/>
        </w:rPr>
        <w:t>明</w:t>
      </w:r>
      <w:bookmarkEnd w:id="40"/>
      <w:bookmarkEnd w:id="41"/>
    </w:p>
    <w:p>
      <w:pPr>
        <w:spacing w:beforeAutospacing="0"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highlight w:val="none"/>
          <w:u w:color="auto"/>
        </w:rPr>
        <w:t>年一般公共预算财政拨款基本支出</w:t>
      </w:r>
      <w:r>
        <w:rPr>
          <w:rFonts w:hint="eastAsia" w:ascii="仿宋_GB2312" w:hAnsi="仿宋_GB2312" w:eastAsia="仿宋_GB2312" w:cs="仿宋_GB2312"/>
          <w:color w:val="auto"/>
          <w:sz w:val="32"/>
          <w:highlight w:val="none"/>
          <w:u w:color="auto"/>
          <w:lang w:val="en-US" w:eastAsia="zh-CN"/>
        </w:rPr>
        <w:t>257.86</w:t>
      </w:r>
      <w:r>
        <w:rPr>
          <w:rFonts w:hint="eastAsia" w:ascii="仿宋_GB2312" w:hAnsi="仿宋_GB2312" w:eastAsia="仿宋_GB2312" w:cs="仿宋_GB2312"/>
          <w:color w:val="auto"/>
          <w:sz w:val="32"/>
          <w:szCs w:val="32"/>
          <w:highlight w:val="none"/>
        </w:rPr>
        <w:t>万元，其中：</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highlight w:val="none"/>
          <w:u w:color="auto"/>
          <w:lang w:eastAsia="zh-CN"/>
        </w:rPr>
        <w:t>2</w:t>
      </w:r>
      <w:r>
        <w:rPr>
          <w:rFonts w:hint="eastAsia" w:ascii="仿宋_GB2312" w:hAnsi="仿宋_GB2312" w:eastAsia="仿宋_GB2312" w:cs="仿宋_GB2312"/>
          <w:color w:val="auto"/>
          <w:sz w:val="32"/>
          <w:highlight w:val="none"/>
          <w:u w:color="auto"/>
          <w:lang w:val="en-US" w:eastAsia="zh-CN"/>
        </w:rPr>
        <w:t>48.22</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highlight w:val="none"/>
          <w:u w:color="auto"/>
        </w:rPr>
        <w:t>基本工资</w:t>
      </w:r>
      <w:r>
        <w:rPr>
          <w:rFonts w:hint="eastAsia" w:ascii="仿宋_GB2312" w:hAnsi="仿宋_GB2312" w:eastAsia="仿宋_GB2312" w:cs="仿宋_GB2312"/>
          <w:color w:val="auto"/>
          <w:sz w:val="32"/>
          <w:highlight w:val="none"/>
          <w:u w:color="auto"/>
          <w:lang w:val="en-US" w:eastAsia="zh-CN"/>
        </w:rPr>
        <w:t>47.79</w:t>
      </w:r>
      <w:r>
        <w:rPr>
          <w:rFonts w:hint="eastAsia" w:ascii="仿宋_GB2312" w:hAnsi="仿宋_GB2312" w:eastAsia="仿宋_GB2312" w:cs="仿宋_GB2312"/>
          <w:color w:val="auto"/>
          <w:sz w:val="32"/>
          <w:highlight w:val="none"/>
          <w:u w:color="auto"/>
        </w:rPr>
        <w:t>万元、津贴补贴</w:t>
      </w:r>
      <w:r>
        <w:rPr>
          <w:rFonts w:hint="eastAsia" w:ascii="仿宋_GB2312" w:hAnsi="仿宋_GB2312" w:eastAsia="仿宋_GB2312" w:cs="仿宋_GB2312"/>
          <w:color w:val="auto"/>
          <w:sz w:val="32"/>
          <w:highlight w:val="none"/>
          <w:u w:color="auto"/>
          <w:lang w:val="en-US" w:eastAsia="zh-CN"/>
        </w:rPr>
        <w:t>21.43</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auto"/>
          <w:sz w:val="32"/>
          <w:highlight w:val="none"/>
          <w:u w:color="auto"/>
          <w:lang w:eastAsia="zh-CN"/>
        </w:rPr>
        <w:t>、</w:t>
      </w:r>
      <w:r>
        <w:rPr>
          <w:rFonts w:hint="eastAsia" w:ascii="仿宋_GB2312" w:hAnsi="仿宋_GB2312" w:eastAsia="仿宋_GB2312" w:cs="仿宋_GB2312"/>
          <w:color w:val="000000"/>
          <w:sz w:val="32"/>
          <w:highlight w:val="none"/>
          <w:u w:color="auto"/>
          <w:lang w:eastAsia="zh-CN"/>
        </w:rPr>
        <w:t>绩效工资</w:t>
      </w:r>
      <w:r>
        <w:rPr>
          <w:rFonts w:hint="eastAsia" w:ascii="仿宋_GB2312" w:hAnsi="仿宋_GB2312" w:eastAsia="仿宋_GB2312" w:cs="仿宋_GB2312"/>
          <w:color w:val="000000"/>
          <w:sz w:val="32"/>
          <w:highlight w:val="none"/>
          <w:u w:color="auto"/>
          <w:lang w:val="en-US" w:eastAsia="zh-CN"/>
        </w:rPr>
        <w:t>105.03万元</w:t>
      </w:r>
      <w:r>
        <w:rPr>
          <w:rFonts w:hint="eastAsia" w:ascii="仿宋_GB2312" w:hAnsi="仿宋_GB2312" w:eastAsia="仿宋_GB2312" w:cs="仿宋_GB2312"/>
          <w:color w:val="000000"/>
          <w:sz w:val="32"/>
          <w:highlight w:val="none"/>
          <w:u w:color="auto"/>
        </w:rPr>
        <w:t>、机关事业单位基本养老保险缴费</w:t>
      </w:r>
      <w:r>
        <w:rPr>
          <w:rFonts w:hint="eastAsia" w:ascii="仿宋_GB2312" w:hAnsi="仿宋_GB2312" w:eastAsia="仿宋_GB2312" w:cs="仿宋_GB2312"/>
          <w:color w:val="000000"/>
          <w:sz w:val="32"/>
          <w:highlight w:val="none"/>
          <w:u w:color="auto"/>
          <w:lang w:val="en-US" w:eastAsia="zh-CN"/>
        </w:rPr>
        <w:t>22.97</w:t>
      </w:r>
      <w:r>
        <w:rPr>
          <w:rFonts w:hint="eastAsia" w:ascii="仿宋_GB2312" w:hAnsi="仿宋_GB2312" w:eastAsia="仿宋_GB2312" w:cs="仿宋_GB2312"/>
          <w:color w:val="000000"/>
          <w:sz w:val="32"/>
          <w:highlight w:val="none"/>
          <w:u w:color="auto"/>
        </w:rPr>
        <w:t>万元、职业年金缴费</w:t>
      </w:r>
      <w:r>
        <w:rPr>
          <w:rFonts w:hint="eastAsia" w:ascii="仿宋_GB2312" w:hAnsi="仿宋_GB2312" w:eastAsia="仿宋_GB2312" w:cs="仿宋_GB2312"/>
          <w:color w:val="000000"/>
          <w:sz w:val="32"/>
          <w:highlight w:val="none"/>
          <w:u w:color="auto"/>
          <w:lang w:val="en-US" w:eastAsia="zh-CN"/>
        </w:rPr>
        <w:t>11.48</w:t>
      </w:r>
      <w:r>
        <w:rPr>
          <w:rFonts w:hint="eastAsia" w:ascii="仿宋_GB2312" w:hAnsi="仿宋_GB2312" w:eastAsia="仿宋_GB2312" w:cs="仿宋_GB2312"/>
          <w:color w:val="000000"/>
          <w:sz w:val="32"/>
          <w:highlight w:val="none"/>
          <w:u w:color="auto"/>
        </w:rPr>
        <w:t>万元、职工基本医疗保险缴费</w:t>
      </w:r>
      <w:r>
        <w:rPr>
          <w:rFonts w:hint="eastAsia" w:ascii="仿宋_GB2312" w:hAnsi="仿宋_GB2312" w:eastAsia="仿宋_GB2312" w:cs="仿宋_GB2312"/>
          <w:color w:val="000000"/>
          <w:sz w:val="32"/>
          <w:highlight w:val="none"/>
          <w:u w:color="auto"/>
          <w:lang w:val="en-US" w:eastAsia="zh-CN"/>
        </w:rPr>
        <w:t>15.15</w:t>
      </w:r>
      <w:r>
        <w:rPr>
          <w:rFonts w:hint="eastAsia" w:ascii="仿宋_GB2312" w:hAnsi="仿宋_GB2312" w:eastAsia="仿宋_GB2312" w:cs="仿宋_GB2312"/>
          <w:color w:val="000000"/>
          <w:sz w:val="32"/>
          <w:highlight w:val="none"/>
          <w:u w:color="auto"/>
        </w:rPr>
        <w:t>万元、其他社会保障缴费</w:t>
      </w:r>
      <w:r>
        <w:rPr>
          <w:rFonts w:hint="eastAsia" w:ascii="仿宋_GB2312" w:hAnsi="仿宋_GB2312" w:eastAsia="仿宋_GB2312" w:cs="仿宋_GB2312"/>
          <w:color w:val="000000"/>
          <w:sz w:val="32"/>
          <w:highlight w:val="none"/>
          <w:u w:color="auto"/>
          <w:lang w:val="en-US" w:eastAsia="zh-CN"/>
        </w:rPr>
        <w:t>1.09</w:t>
      </w:r>
      <w:r>
        <w:rPr>
          <w:rFonts w:hint="eastAsia" w:ascii="仿宋_GB2312" w:hAnsi="仿宋_GB2312" w:eastAsia="仿宋_GB2312" w:cs="仿宋_GB2312"/>
          <w:color w:val="000000"/>
          <w:sz w:val="32"/>
          <w:highlight w:val="none"/>
          <w:u w:color="auto"/>
        </w:rPr>
        <w:t>万元、住房公积金</w:t>
      </w:r>
      <w:r>
        <w:rPr>
          <w:rFonts w:hint="eastAsia" w:ascii="仿宋_GB2312" w:hAnsi="仿宋_GB2312" w:eastAsia="仿宋_GB2312" w:cs="仿宋_GB2312"/>
          <w:color w:val="000000"/>
          <w:sz w:val="32"/>
          <w:highlight w:val="none"/>
          <w:u w:color="auto"/>
          <w:lang w:val="en-US" w:eastAsia="zh-CN"/>
        </w:rPr>
        <w:t>20.43</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医疗费</w:t>
      </w:r>
      <w:r>
        <w:rPr>
          <w:rFonts w:hint="eastAsia" w:ascii="仿宋_GB2312" w:hAnsi="仿宋_GB2312" w:eastAsia="仿宋_GB2312" w:cs="仿宋_GB2312"/>
          <w:color w:val="000000"/>
          <w:sz w:val="32"/>
          <w:highlight w:val="none"/>
          <w:u w:color="auto"/>
          <w:lang w:val="en-US" w:eastAsia="zh-CN"/>
        </w:rPr>
        <w:t>2.13万元、</w:t>
      </w:r>
      <w:r>
        <w:rPr>
          <w:rFonts w:hint="eastAsia" w:ascii="仿宋_GB2312" w:hAnsi="仿宋_GB2312" w:eastAsia="仿宋_GB2312" w:cs="仿宋_GB2312"/>
          <w:color w:val="000000"/>
          <w:sz w:val="32"/>
          <w:highlight w:val="none"/>
          <w:u w:color="auto"/>
        </w:rPr>
        <w:t>生活补助</w:t>
      </w:r>
      <w:r>
        <w:rPr>
          <w:rFonts w:hint="eastAsia" w:ascii="仿宋_GB2312" w:hAnsi="仿宋_GB2312" w:eastAsia="仿宋_GB2312" w:cs="仿宋_GB2312"/>
          <w:color w:val="000000"/>
          <w:sz w:val="32"/>
          <w:highlight w:val="none"/>
          <w:u w:color="auto"/>
          <w:lang w:val="en-US" w:eastAsia="zh-CN"/>
        </w:rPr>
        <w:t>0.72</w:t>
      </w:r>
      <w:r>
        <w:rPr>
          <w:rFonts w:hint="eastAsia" w:ascii="仿宋_GB2312" w:hAnsi="仿宋_GB2312" w:eastAsia="仿宋_GB2312" w:cs="仿宋_GB2312"/>
          <w:color w:val="000000"/>
          <w:sz w:val="32"/>
          <w:highlight w:val="none"/>
          <w:u w:color="auto"/>
        </w:rPr>
        <w:t>万元。</w:t>
      </w:r>
    </w:p>
    <w:p>
      <w:pPr>
        <w:spacing w:line="600" w:lineRule="exact"/>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公用经费</w:t>
      </w:r>
      <w:r>
        <w:rPr>
          <w:rFonts w:hint="eastAsia" w:ascii="仿宋_GB2312" w:hAnsi="仿宋_GB2312" w:eastAsia="仿宋_GB2312" w:cs="仿宋_GB2312"/>
          <w:color w:val="000000"/>
          <w:sz w:val="32"/>
          <w:highlight w:val="none"/>
          <w:u w:color="auto"/>
          <w:lang w:val="en-US" w:eastAsia="zh-CN"/>
        </w:rPr>
        <w:t>9.64</w:t>
      </w:r>
      <w:r>
        <w:rPr>
          <w:rFonts w:hint="eastAsia" w:ascii="仿宋_GB2312" w:hAnsi="仿宋_GB2312" w:eastAsia="仿宋_GB2312" w:cs="仿宋_GB2312"/>
          <w:color w:val="000000"/>
          <w:sz w:val="32"/>
          <w:szCs w:val="32"/>
          <w:highlight w:val="none"/>
        </w:rPr>
        <w:t>万元，主要包括：</w:t>
      </w:r>
      <w:r>
        <w:rPr>
          <w:rFonts w:hint="eastAsia" w:ascii="仿宋_GB2312" w:hAnsi="仿宋_GB2312" w:eastAsia="仿宋_GB2312" w:cs="仿宋_GB2312"/>
          <w:color w:val="000000"/>
          <w:sz w:val="32"/>
          <w:szCs w:val="32"/>
          <w:highlight w:val="none"/>
          <w:lang w:val="en-US" w:eastAsia="zh-CN"/>
        </w:rPr>
        <w:t>办公费1.57万元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highlight w:val="none"/>
          <w:u w:color="auto"/>
        </w:rPr>
        <w:t>电费</w:t>
      </w:r>
      <w:r>
        <w:rPr>
          <w:rFonts w:hint="eastAsia" w:ascii="仿宋_GB2312" w:hAnsi="仿宋_GB2312" w:eastAsia="仿宋_GB2312" w:cs="仿宋_GB2312"/>
          <w:color w:val="000000"/>
          <w:sz w:val="32"/>
          <w:highlight w:val="none"/>
          <w:u w:color="auto"/>
          <w:lang w:val="en-US" w:eastAsia="zh-CN"/>
        </w:rPr>
        <w:t>0.70</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邮电费</w:t>
      </w:r>
      <w:r>
        <w:rPr>
          <w:rFonts w:hint="eastAsia" w:ascii="仿宋_GB2312" w:hAnsi="仿宋_GB2312" w:eastAsia="仿宋_GB2312" w:cs="仿宋_GB2312"/>
          <w:color w:val="000000"/>
          <w:sz w:val="32"/>
          <w:highlight w:val="none"/>
          <w:u w:color="auto"/>
          <w:lang w:val="en-US" w:eastAsia="zh-CN"/>
        </w:rPr>
        <w:t>0.89</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、差旅费</w:t>
      </w:r>
      <w:r>
        <w:rPr>
          <w:rFonts w:hint="eastAsia" w:ascii="仿宋_GB2312" w:hAnsi="仿宋_GB2312" w:eastAsia="仿宋_GB2312" w:cs="仿宋_GB2312"/>
          <w:color w:val="000000"/>
          <w:sz w:val="32"/>
          <w:highlight w:val="none"/>
          <w:u w:color="auto"/>
          <w:lang w:val="en-US" w:eastAsia="zh-CN"/>
        </w:rPr>
        <w:t>6.48万元</w:t>
      </w:r>
      <w:r>
        <w:rPr>
          <w:rFonts w:hint="eastAsia" w:ascii="仿宋_GB2312" w:hAnsi="仿宋_GB2312" w:eastAsia="仿宋_GB2312" w:cs="仿宋_GB2312"/>
          <w:color w:val="000000"/>
          <w:sz w:val="32"/>
          <w:highlight w:val="none"/>
          <w:u w:color="auto"/>
          <w:lang w:eastAsia="zh-CN"/>
        </w:rPr>
        <w:t>。</w:t>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42" w:name="_Toc111208505"/>
      <w:bookmarkStart w:id="43" w:name="_Toc27414"/>
      <w:bookmarkStart w:id="44" w:name="_Toc15377215"/>
      <w:r>
        <w:rPr>
          <w:rFonts w:hint="eastAsia" w:ascii="黑体" w:eastAsia="黑体" w:cs="Times New Roman"/>
          <w:bCs w:val="0"/>
          <w:color w:val="000000"/>
          <w:highlight w:val="none"/>
        </w:rPr>
        <w:t>七、“三公”经费财政拨款支出决算情况说明</w:t>
      </w:r>
      <w:bookmarkEnd w:id="42"/>
      <w:bookmarkEnd w:id="43"/>
      <w:bookmarkEnd w:id="44"/>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45" w:name="_Toc15377216"/>
      <w:r>
        <w:rPr>
          <w:rFonts w:hint="eastAsia" w:ascii="仿宋_GB2312" w:hAnsi="仿宋_GB2312" w:eastAsia="仿宋_GB2312" w:cs="仿宋_GB2312"/>
          <w:b/>
          <w:color w:val="000000"/>
          <w:sz w:val="32"/>
          <w:szCs w:val="32"/>
          <w:highlight w:val="none"/>
        </w:rPr>
        <w:t>（一）“三公”经费财政拨款支出决算总体情况说明</w:t>
      </w:r>
      <w:bookmarkEnd w:id="45"/>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年“三公”经费财政拨款支出决算为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w:t>
      </w:r>
      <w:bookmarkStart w:id="46" w:name="_Toc15377217"/>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（二）“三公”经费财政拨款支出决算具体情况说明</w:t>
      </w:r>
      <w:bookmarkEnd w:id="46"/>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万元，因公出国（境）费支出决算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万元；公务用车购置及运行维护费支出决算</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万元；公务接待费支出决算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万元。具体情况如下：</w:t>
      </w:r>
    </w:p>
    <w:p>
      <w:pPr>
        <w:pStyle w:val="6"/>
        <w:rPr>
          <w:rFonts w:ascii="仿宋_GB2312" w:eastAsia="仿宋_GB2312"/>
          <w:color w:val="000000"/>
          <w:sz w:val="32"/>
          <w:szCs w:val="32"/>
          <w:highlight w:val="none"/>
        </w:rPr>
      </w:pPr>
      <w:r>
        <w:rPr>
          <w:highlight w:val="none"/>
        </w:rPr>
        <w:drawing>
          <wp:inline distT="0" distB="0" distL="0" distR="0">
            <wp:extent cx="4333240" cy="2886075"/>
            <wp:effectExtent l="4445" t="4445" r="571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1.因公出国（境）经费支出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万元。全年安排因公出国（境）团组</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次，出国（境）</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人。因公出国（境）支出决算比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 xml:space="preserve"> </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2.公务用车购置及运行维护费支出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%。公务用车购置及运行维护费支出决算比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增加</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w:t>
      </w:r>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其中：公务用车购置支出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万元。全年按规定更新购置公务用车0辆，其中：轿车0辆、金额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万元，越野车0辆、金额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万元，载客汽车0辆、金额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万元。截至</w:t>
      </w:r>
      <w:r>
        <w:rPr>
          <w:rFonts w:hint="eastAsia"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辆，其中：轿车</w:t>
      </w:r>
      <w:r>
        <w:rPr>
          <w:rFonts w:hint="eastAsia" w:ascii="仿宋_GB2312" w:hAnsi="仿宋_GB2312" w:eastAsia="仿宋_GB2312" w:cs="仿宋_GB2312"/>
          <w:color w:val="000000"/>
          <w:sz w:val="32"/>
          <w:highlight w:val="none"/>
          <w:u w:color="auto"/>
        </w:rPr>
        <w:t>0辆、越野车</w:t>
      </w:r>
      <w:r>
        <w:rPr>
          <w:rFonts w:hint="eastAsia" w:ascii="仿宋_GB2312" w:hAnsi="仿宋_GB2312" w:eastAsia="仿宋_GB2312" w:cs="仿宋_GB2312"/>
          <w:color w:val="000000"/>
          <w:sz w:val="32"/>
          <w:highlight w:val="none"/>
          <w:u w:color="auto"/>
          <w:lang w:val="en-US" w:eastAsia="zh-CN"/>
        </w:rPr>
        <w:t>4</w:t>
      </w:r>
      <w:r>
        <w:rPr>
          <w:rFonts w:hint="eastAsia" w:ascii="仿宋_GB2312" w:hAnsi="仿宋_GB2312" w:eastAsia="仿宋_GB2312" w:cs="仿宋_GB2312"/>
          <w:color w:val="000000"/>
          <w:sz w:val="32"/>
          <w:highlight w:val="none"/>
          <w:u w:color="auto"/>
        </w:rPr>
        <w:t>辆、载客汽车0辆。</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公务用车运行维护费支出</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万元。</w:t>
      </w:r>
    </w:p>
    <w:p>
      <w:pPr>
        <w:pStyle w:val="6"/>
        <w:numPr>
          <w:ilvl w:val="0"/>
          <w:numId w:val="0"/>
        </w:numPr>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sz w:val="32"/>
          <w:szCs w:val="32"/>
          <w:highlight w:val="none"/>
        </w:rPr>
        <w:t>公务接待费</w:t>
      </w:r>
      <w:bookmarkStart w:id="47" w:name="_Toc15377218"/>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2024年公务接待费支出0万元。</w:t>
      </w:r>
    </w:p>
    <w:p>
      <w:pPr>
        <w:pStyle w:val="4"/>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48" w:name="_Toc111208506"/>
      <w:bookmarkStart w:id="49" w:name="_Toc27590"/>
      <w:r>
        <w:rPr>
          <w:rFonts w:hint="eastAsia" w:ascii="黑体" w:eastAsia="黑体" w:cs="Times New Roman"/>
          <w:bCs w:val="0"/>
          <w:color w:val="000000"/>
          <w:highlight w:val="none"/>
        </w:rPr>
        <w:t>八、政府性基金预算支出决算情况说明</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年政府性基金预算拨款支出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bookmarkStart w:id="50" w:name="_Toc15377219"/>
    </w:p>
    <w:p>
      <w:pPr>
        <w:pStyle w:val="4"/>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1" w:name="_Toc111208507"/>
      <w:bookmarkStart w:id="52" w:name="_Toc6349"/>
      <w:r>
        <w:rPr>
          <w:rFonts w:hint="eastAsia" w:ascii="黑体" w:eastAsia="黑体" w:cs="Times New Roman"/>
          <w:bCs w:val="0"/>
          <w:color w:val="000000"/>
          <w:highlight w:val="none"/>
        </w:rPr>
        <w:t>九、国有资本经营预算支出决算情况说明</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年国有资本经营预算拨款支出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p>
    <w:p>
      <w:pPr>
        <w:pStyle w:val="4"/>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53" w:name="_Toc7650"/>
      <w:bookmarkStart w:id="54" w:name="_Toc15377221"/>
      <w:bookmarkStart w:id="55" w:name="_Toc111208508"/>
      <w:r>
        <w:rPr>
          <w:rFonts w:hint="eastAsia" w:ascii="黑体" w:eastAsia="黑体" w:cs="Times New Roman"/>
          <w:bCs w:val="0"/>
          <w:color w:val="000000"/>
          <w:highlight w:val="none"/>
        </w:rPr>
        <w:t>十、其他重要事项的情况说明</w:t>
      </w:r>
      <w:bookmarkEnd w:id="53"/>
      <w:bookmarkEnd w:id="54"/>
      <w:bookmarkEnd w:id="55"/>
    </w:p>
    <w:p>
      <w:pPr>
        <w:spacing w:beforeAutospacing="0" w:line="600" w:lineRule="exact"/>
        <w:ind w:firstLine="642" w:firstLineChars="200"/>
        <w:outlineLvl w:val="2"/>
        <w:rPr>
          <w:rFonts w:ascii="仿宋" w:eastAsia="仿宋"/>
          <w:b/>
          <w:color w:val="000000"/>
          <w:sz w:val="32"/>
          <w:szCs w:val="32"/>
          <w:highlight w:val="none"/>
        </w:rPr>
      </w:pPr>
      <w:bookmarkStart w:id="56" w:name="_Toc15377222"/>
      <w:r>
        <w:rPr>
          <w:rFonts w:hint="eastAsia" w:ascii="仿宋" w:eastAsia="仿宋"/>
          <w:b/>
          <w:color w:val="000000"/>
          <w:sz w:val="32"/>
          <w:szCs w:val="32"/>
          <w:highlight w:val="none"/>
        </w:rPr>
        <w:t>（一）机关运行经费支出情况</w:t>
      </w:r>
      <w:bookmarkEnd w:id="56"/>
    </w:p>
    <w:p>
      <w:pPr>
        <w:spacing w:line="600"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highlight w:val="none"/>
          <w:u w:color="auto"/>
          <w14:textFill>
            <w14:solidFill>
              <w14:schemeClr w14:val="tx1"/>
            </w14:solidFill>
          </w14:textFill>
        </w:rPr>
        <w:t>年，机关运行经费支出</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9.64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2" w:firstLineChars="200"/>
        <w:outlineLvl w:val="2"/>
        <w:rPr>
          <w:rFonts w:ascii="仿宋" w:eastAsia="仿宋"/>
          <w:b/>
          <w:color w:val="000000"/>
          <w:sz w:val="32"/>
          <w:szCs w:val="32"/>
          <w:highlight w:val="none"/>
        </w:rPr>
      </w:pPr>
      <w:bookmarkStart w:id="57" w:name="_Toc15377223"/>
      <w:r>
        <w:rPr>
          <w:rFonts w:hint="eastAsia" w:ascii="仿宋" w:eastAsia="仿宋"/>
          <w:b/>
          <w:color w:val="000000"/>
          <w:sz w:val="32"/>
          <w:szCs w:val="32"/>
          <w:highlight w:val="none"/>
        </w:rPr>
        <w:t>（二）政府采购支出情况</w:t>
      </w:r>
      <w:bookmarkEnd w:id="57"/>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年，政府采购支出总额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万元、政府采购工程支出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万元、政府采购服务支出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万元。授予中小企业合同金额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万元，其中：授予小微企业合同金额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，占比</w:t>
      </w:r>
      <w:r>
        <w:rPr>
          <w:rFonts w:hint="eastAsia" w:ascii="仿宋_GB2312" w:hAnsi="仿宋_GB2312" w:eastAsia="仿宋_GB2312" w:cs="仿宋_GB2312"/>
          <w:color w:val="000000"/>
          <w:sz w:val="32"/>
          <w:szCs w:val="32"/>
          <w:highlight w:val="none"/>
          <w:lang w:val="en-US" w:eastAsia="zh-CN"/>
        </w:rPr>
        <w:t>0.00%</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58" w:name="_Toc15377224"/>
      <w:r>
        <w:rPr>
          <w:rFonts w:hint="eastAsia" w:ascii="仿宋_GB2312" w:hAnsi="仿宋_GB2312" w:eastAsia="仿宋_GB2312" w:cs="仿宋_GB2312"/>
          <w:b/>
          <w:color w:val="000000"/>
          <w:sz w:val="32"/>
          <w:szCs w:val="32"/>
          <w:highlight w:val="none"/>
        </w:rPr>
        <w:t>（三）国有资产占有使用情况</w:t>
      </w:r>
      <w:bookmarkEnd w:id="58"/>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highlight w:val="none"/>
          <w:u w:color="auto"/>
          <w:lang w:eastAsia="zh-CN"/>
        </w:rPr>
        <w:t>2024</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szCs w:val="32"/>
          <w:highlight w:val="none"/>
        </w:rPr>
        <w:t>12月31日，共有车辆</w:t>
      </w:r>
      <w:r>
        <w:rPr>
          <w:rFonts w:hint="eastAsia" w:ascii="仿宋_GB2312" w:hAnsi="仿宋_GB2312" w:eastAsia="仿宋_GB2312" w:cs="仿宋_GB2312"/>
          <w:color w:val="000000"/>
          <w:sz w:val="32"/>
          <w:highlight w:val="none"/>
          <w:u w:color="auto"/>
        </w:rPr>
        <w:t>4辆，其中：主要领导干部用车0</w:t>
      </w:r>
      <w:r>
        <w:rPr>
          <w:rFonts w:hint="eastAsia" w:ascii="仿宋_GB2312" w:hAnsi="仿宋_GB2312" w:eastAsia="仿宋_GB2312" w:cs="仿宋_GB2312"/>
          <w:color w:val="000000"/>
          <w:sz w:val="32"/>
          <w:szCs w:val="32"/>
          <w:highlight w:val="none"/>
        </w:rPr>
        <w:t>辆、机要通信用车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辆、应急保障用车</w:t>
      </w:r>
      <w:r>
        <w:rPr>
          <w:rFonts w:hint="eastAsia" w:ascii="仿宋_GB2312" w:hAnsi="仿宋_GB2312" w:eastAsia="仿宋_GB2312" w:cs="仿宋_GB2312"/>
          <w:color w:val="000000"/>
          <w:sz w:val="32"/>
          <w:highlight w:val="none"/>
          <w:u w:color="auto"/>
        </w:rPr>
        <w:t>4</w:t>
      </w:r>
      <w:r>
        <w:rPr>
          <w:rFonts w:hint="eastAsia" w:ascii="仿宋_GB2312" w:hAnsi="仿宋_GB2312" w:eastAsia="仿宋_GB2312" w:cs="仿宋_GB2312"/>
          <w:color w:val="000000"/>
          <w:sz w:val="32"/>
          <w:szCs w:val="32"/>
          <w:highlight w:val="none"/>
        </w:rPr>
        <w:t>辆、其他用车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辆。单价50万元以上通用设备</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台（套），单价100万元以上专用设备台</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（套）。</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（四）预算绩效管理情况</w:t>
      </w:r>
    </w:p>
    <w:p>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根据预算绩效管理要求，本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年度预算编制阶段，</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绩效自评</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w:t>
      </w:r>
    </w:p>
    <w:p>
      <w:pPr>
        <w:widowControl/>
        <w:jc w:val="left"/>
        <w:rPr>
          <w:rFonts w:ascii="仿宋_GB2312" w:eastAsia="仿宋_GB2312"/>
          <w:b/>
          <w:color w:val="000000"/>
          <w:sz w:val="32"/>
          <w:szCs w:val="32"/>
          <w:highlight w:val="none"/>
        </w:rPr>
      </w:pPr>
      <w:r>
        <w:rPr>
          <w:rFonts w:ascii="仿宋_GB2312" w:eastAsia="仿宋_GB2312"/>
          <w:b/>
          <w:color w:val="000000"/>
          <w:sz w:val="32"/>
          <w:szCs w:val="32"/>
          <w:highlight w:val="none"/>
        </w:rPr>
        <w:br w:type="page"/>
      </w:r>
    </w:p>
    <w:p>
      <w:pPr>
        <w:numPr>
          <w:ilvl w:val="0"/>
          <w:numId w:val="1"/>
        </w:numPr>
        <w:spacing w:line="600" w:lineRule="exact"/>
        <w:ind w:firstLine="660" w:firstLineChars="150"/>
        <w:jc w:val="center"/>
        <w:outlineLvl w:val="0"/>
        <w:rPr>
          <w:rStyle w:val="30"/>
          <w:rFonts w:ascii="黑体" w:hAnsi="黑体" w:eastAsia="黑体"/>
          <w:b w:val="0"/>
          <w:highlight w:val="none"/>
        </w:rPr>
      </w:pPr>
      <w:bookmarkStart w:id="59" w:name="_Toc15377225"/>
      <w:bookmarkStart w:id="60" w:name="_Toc24024"/>
      <w:bookmarkStart w:id="61" w:name="_Toc15396613"/>
      <w:bookmarkStart w:id="62" w:name="_Toc111208510"/>
      <w:r>
        <w:rPr>
          <w:rFonts w:hint="eastAsia" w:ascii="黑体" w:hAnsi="黑体" w:eastAsia="黑体"/>
          <w:sz w:val="44"/>
          <w:szCs w:val="44"/>
          <w:highlight w:val="none"/>
        </w:rPr>
        <w:t>名</w:t>
      </w:r>
      <w:r>
        <w:rPr>
          <w:rStyle w:val="30"/>
          <w:rFonts w:hint="eastAsia" w:ascii="黑体" w:hAnsi="黑体" w:eastAsia="黑体"/>
          <w:b w:val="0"/>
          <w:highlight w:val="none"/>
        </w:rPr>
        <w:t>词解释</w:t>
      </w:r>
      <w:bookmarkEnd w:id="59"/>
      <w:bookmarkEnd w:id="60"/>
      <w:bookmarkEnd w:id="61"/>
    </w:p>
    <w:p>
      <w:pPr>
        <w:spacing w:line="600" w:lineRule="exact"/>
        <w:jc w:val="left"/>
        <w:rPr>
          <w:rFonts w:ascii="宋体"/>
          <w:b/>
          <w:sz w:val="44"/>
          <w:szCs w:val="44"/>
          <w:highlight w:val="none"/>
        </w:rPr>
      </w:pP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spacing w:line="576" w:lineRule="atLeast"/>
        <w:ind w:firstLine="640" w:firstLineChars="200"/>
        <w:rPr>
          <w:rStyle w:val="20"/>
          <w:rFonts w:ascii="仿宋_GB2312" w:hAnsi="仿宋_GB2312" w:eastAsia="仿宋_GB2312"/>
          <w:b w:val="0"/>
          <w:color w:val="0000FF"/>
          <w:sz w:val="32"/>
          <w:szCs w:val="32"/>
          <w:highlight w:val="none"/>
        </w:rPr>
      </w:pPr>
      <w:r>
        <w:rPr>
          <w:rStyle w:val="20"/>
          <w:rFonts w:ascii="仿宋_GB2312" w:hAnsi="仿宋_GB2312" w:eastAsia="仿宋_GB2312" w:cs="仿宋_GB2312"/>
          <w:b w:val="0"/>
          <w:color w:val="000000"/>
          <w:sz w:val="32"/>
          <w:szCs w:val="32"/>
          <w:highlight w:val="none"/>
        </w:rPr>
        <w:t>9.</w:t>
      </w:r>
      <w:r>
        <w:rPr>
          <w:rStyle w:val="20"/>
          <w:rFonts w:hint="eastAsia" w:ascii="仿宋_GB2312" w:hAnsi="仿宋_GB2312" w:eastAsia="仿宋_GB2312" w:cs="仿宋_GB2312"/>
          <w:b w:val="0"/>
          <w:color w:val="000000"/>
          <w:sz w:val="32"/>
          <w:szCs w:val="32"/>
          <w:highlight w:val="none"/>
        </w:rPr>
        <w:t>一般公共服务（类）人大事务（款）人大会议（项）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0"/>
          <w:rFonts w:hint="eastAsia" w:ascii="仿宋_GB2312" w:hAnsi="仿宋_GB2312" w:eastAsia="仿宋_GB2312" w:cs="仿宋_GB2312"/>
          <w:b w:val="0"/>
          <w:color w:val="0000FF"/>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10.</w:t>
      </w:r>
      <w:r>
        <w:rPr>
          <w:rStyle w:val="20"/>
          <w:rFonts w:hint="eastAsia" w:ascii="仿宋_GB2312" w:hAnsi="仿宋_GB2312" w:eastAsia="仿宋_GB2312" w:cs="仿宋_GB2312"/>
          <w:b w:val="0"/>
          <w:color w:val="000000"/>
          <w:sz w:val="32"/>
          <w:szCs w:val="32"/>
          <w:highlight w:val="none"/>
        </w:rPr>
        <w:t>一般公共服务（类）政府办公厅（室）及相关机构事务（款）行政运行（项）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指单位（包括实行公务员管理的事业单位）的基本支出。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11.</w:t>
      </w:r>
      <w:r>
        <w:rPr>
          <w:rStyle w:val="20"/>
          <w:rFonts w:hint="eastAsia" w:ascii="仿宋_GB2312" w:hAnsi="仿宋_GB2312" w:eastAsia="仿宋_GB2312" w:cs="仿宋_GB2312"/>
          <w:b w:val="0"/>
          <w:color w:val="000000"/>
          <w:sz w:val="32"/>
          <w:szCs w:val="32"/>
          <w:highlight w:val="none"/>
        </w:rPr>
        <w:t>一般公共服务（类）财政事务（款）事业运行（项）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单位机关及参公管理事业单位用于保障机构正常运行、开展日常工作的基本支出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12.</w:t>
      </w:r>
      <w:r>
        <w:rPr>
          <w:rStyle w:val="20"/>
          <w:rFonts w:hint="eastAsia" w:ascii="仿宋_GB2312" w:hAnsi="仿宋_GB2312" w:eastAsia="仿宋_GB2312" w:cs="仿宋_GB2312"/>
          <w:b w:val="0"/>
          <w:color w:val="000000"/>
          <w:sz w:val="32"/>
          <w:szCs w:val="32"/>
          <w:highlight w:val="none"/>
        </w:rPr>
        <w:t>一般公共服务（类）民族事务（款）其他民族事务支出（项）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指单位除上述项目以外其他用于民族事务方面的支出。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13.</w:t>
      </w:r>
      <w:r>
        <w:rPr>
          <w:rStyle w:val="20"/>
          <w:rFonts w:hint="eastAsia" w:ascii="仿宋_GB2312" w:hAnsi="仿宋_GB2312" w:eastAsia="仿宋_GB2312" w:cs="仿宋_GB2312"/>
          <w:b w:val="0"/>
          <w:color w:val="000000"/>
          <w:sz w:val="32"/>
          <w:szCs w:val="32"/>
          <w:highlight w:val="none"/>
        </w:rPr>
        <w:t>一般公共服务（类）党委办公厅（室）及相关机构事务（款）行政运行（项）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w:t>
      </w:r>
      <w:r>
        <w:rPr>
          <w:rFonts w:hint="eastAsia" w:ascii="仿宋_GB2312" w:hAnsi="仿宋_GB2312" w:eastAsia="仿宋_GB2312" w:cs="仿宋_GB2312"/>
          <w:color w:val="000000"/>
          <w:kern w:val="0"/>
          <w:sz w:val="32"/>
          <w:szCs w:val="32"/>
          <w:highlight w:val="none"/>
        </w:rPr>
        <w:t>用于保障机构正常运行、开展日常工作的基本支出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14.</w:t>
      </w:r>
      <w:r>
        <w:rPr>
          <w:rStyle w:val="20"/>
          <w:rFonts w:hint="eastAsia" w:ascii="仿宋_GB2312" w:hAnsi="仿宋_GB2312" w:eastAsia="仿宋_GB2312" w:cs="仿宋_GB2312"/>
          <w:b w:val="0"/>
          <w:color w:val="000000"/>
          <w:sz w:val="32"/>
          <w:szCs w:val="32"/>
          <w:highlight w:val="none"/>
        </w:rPr>
        <w:t>国防支出（类）其他国防支出（款）其他国防支出（项）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指单位其他用于国防方面的支出。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ascii="仿宋_GB2312" w:hAnsi="仿宋_GB2312" w:eastAsia="仿宋_GB2312" w:cs="仿宋_GB2312"/>
          <w:b w:val="0"/>
          <w:color w:val="000000"/>
          <w:sz w:val="32"/>
          <w:szCs w:val="32"/>
          <w:highlight w:val="none"/>
        </w:rPr>
        <w:t>1</w:t>
      </w:r>
      <w:r>
        <w:rPr>
          <w:rStyle w:val="20"/>
          <w:rFonts w:hint="eastAsia" w:ascii="仿宋_GB2312" w:hAnsi="仿宋_GB2312" w:eastAsia="仿宋_GB2312" w:cs="仿宋_GB2312"/>
          <w:b w:val="0"/>
          <w:color w:val="000000"/>
          <w:sz w:val="32"/>
          <w:szCs w:val="32"/>
          <w:highlight w:val="none"/>
        </w:rPr>
        <w:t>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社会保障和就业（类）行政事业单位离退休（款）机关事业单位基本养老保险缴费支出（项）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单位实施养老保险制度由单位缴纳的养老保险费的支出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社会保障和就业（类）行政事业单位离退休（款）机关事业单位职业年金缴费支出（项）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单位实施养老保险制度由单位缴纳的职业年金的支出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社会保障和就业（类）社会福利（款）老年福利（项）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指对老年人提供福利服务方面的支出。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社会保障和就业（类）社会福利（款）其他社会福利支出（项）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指除上述项目以外其他用于社会福利方面的支出。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19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医疗卫生与计划生育（类）基层医疗卫生机构（款）镇镇卫生院（项）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指用于镇镇卫生院支出。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20</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医疗卫生与计划生育（类）行政事业单位医疗（款）行政单位医疗（项）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行政单位用于缴纳单位基本医疗保险支出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21</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医疗卫生与计划生育（类）行政事业单位医疗（款）事业单位医疗（项）</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事业单位用于缴纳单位基本医疗保险支出</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22</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农林水支出（类）农业（款）事业运行（项）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指用于农业事业单位基本支出，事业单位设施、系统运行与资产维护等方面的支出。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23</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农林水支出（类）农业（款）农业资源保护修复与利用（项）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24</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农林水支出（类）农业（款）其他农业支出（项）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指除上述项目以外其他用于农业方面的支出。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25</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农林水支出（类）扶贫（款）农村基础设施建设（项）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指用于农村贫困地区镇村道路、住房、基本农田、水利设施、</w:t>
      </w:r>
      <w:r>
        <w:rPr>
          <w:rStyle w:val="20"/>
          <w:rFonts w:hint="default" w:ascii="仿宋_GB2312" w:hAnsi="仿宋_GB2312" w:eastAsia="仿宋_GB2312" w:cs="仿宋_GB2312"/>
          <w:b w:val="0"/>
          <w:color w:val="000000"/>
          <w:sz w:val="32"/>
          <w:szCs w:val="32"/>
          <w:highlight w:val="none"/>
        </w:rPr>
        <w:t>人畜饮水</w:t>
      </w:r>
      <w:r>
        <w:rPr>
          <w:rStyle w:val="20"/>
          <w:rFonts w:hint="eastAsia" w:ascii="仿宋_GB2312" w:hAnsi="仿宋_GB2312" w:eastAsia="仿宋_GB2312" w:cs="仿宋_GB2312"/>
          <w:b w:val="0"/>
          <w:color w:val="000000"/>
          <w:sz w:val="32"/>
          <w:szCs w:val="32"/>
          <w:highlight w:val="none"/>
        </w:rPr>
        <w:t>、生态环境保护等生产生活条件改善方面的支出。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26</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农林水支出（类）扶贫（款）其他扶贫支出（项）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指农业综合开发部门的其他支出。</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27</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农林水支出（类）农村综合改革（款）对村委会和村党支部的补助（项）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pPr>
        <w:spacing w:line="576" w:lineRule="atLeast"/>
        <w:ind w:firstLine="640" w:firstLineChars="200"/>
        <w:rPr>
          <w:rStyle w:val="20"/>
          <w:rFonts w:ascii="仿宋_GB2312" w:hAnsi="仿宋_GB2312" w:eastAsia="仿宋_GB2312"/>
          <w:b w:val="0"/>
          <w:color w:val="000000"/>
          <w:sz w:val="32"/>
          <w:szCs w:val="32"/>
          <w:highlight w:val="none"/>
        </w:rPr>
      </w:pPr>
      <w:r>
        <w:rPr>
          <w:rStyle w:val="20"/>
          <w:rFonts w:hint="eastAsia" w:ascii="仿宋_GB2312" w:hAnsi="仿宋_GB2312" w:eastAsia="仿宋_GB2312" w:cs="仿宋_GB2312"/>
          <w:b w:val="0"/>
          <w:color w:val="000000"/>
          <w:sz w:val="32"/>
          <w:szCs w:val="32"/>
          <w:highlight w:val="none"/>
        </w:rPr>
        <w:t>28</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农林水支出（类）其他农林水支出（款）其他农林水支出（项）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指除上述项目以外其他用于农林水方面的支出。</w:t>
      </w:r>
    </w:p>
    <w:p>
      <w:pPr>
        <w:spacing w:line="576" w:lineRule="atLeast"/>
        <w:ind w:firstLine="640" w:firstLineChars="200"/>
        <w:rPr>
          <w:rFonts w:ascii="仿宋_GB2312" w:hAnsi="仿宋_GB2312" w:eastAsia="仿宋_GB2312"/>
          <w:color w:val="000000"/>
          <w:sz w:val="32"/>
          <w:szCs w:val="32"/>
          <w:highlight w:val="none"/>
        </w:rPr>
      </w:pPr>
      <w:r>
        <w:rPr>
          <w:rStyle w:val="20"/>
          <w:rFonts w:hint="eastAsia" w:ascii="仿宋_GB2312" w:hAnsi="仿宋_GB2312" w:eastAsia="仿宋_GB2312" w:cs="仿宋_GB2312"/>
          <w:b w:val="0"/>
          <w:color w:val="000000"/>
          <w:sz w:val="32"/>
          <w:szCs w:val="32"/>
          <w:highlight w:val="none"/>
        </w:rPr>
        <w:t>29</w:t>
      </w:r>
      <w:r>
        <w:rPr>
          <w:rStyle w:val="20"/>
          <w:rFonts w:ascii="仿宋_GB2312" w:hAnsi="仿宋_GB2312" w:eastAsia="仿宋_GB2312" w:cs="仿宋_GB2312"/>
          <w:b w:val="0"/>
          <w:color w:val="000000"/>
          <w:sz w:val="32"/>
          <w:szCs w:val="32"/>
          <w:highlight w:val="none"/>
        </w:rPr>
        <w:t>.</w:t>
      </w:r>
      <w:r>
        <w:rPr>
          <w:rStyle w:val="20"/>
          <w:rFonts w:hint="eastAsia" w:ascii="仿宋_GB2312" w:hAnsi="仿宋_GB2312" w:eastAsia="仿宋_GB2312" w:cs="仿宋_GB2312"/>
          <w:b w:val="0"/>
          <w:color w:val="000000"/>
          <w:sz w:val="32"/>
          <w:szCs w:val="32"/>
          <w:highlight w:val="none"/>
        </w:rPr>
        <w:t>住房保障支出（类）住房改革支出（款）住房公积金（项）</w:t>
      </w:r>
      <w:r>
        <w:rPr>
          <w:rStyle w:val="20"/>
          <w:rFonts w:ascii="仿宋_GB2312" w:hAnsi="仿宋_GB2312" w:eastAsia="仿宋_GB2312" w:cs="仿宋_GB2312"/>
          <w:b w:val="0"/>
          <w:color w:val="000000"/>
          <w:sz w:val="32"/>
          <w:szCs w:val="32"/>
          <w:highlight w:val="none"/>
        </w:rPr>
        <w:t xml:space="preserve">: </w:t>
      </w:r>
      <w:r>
        <w:rPr>
          <w:rStyle w:val="20"/>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反映行政事业单位按规定为职工缴纳的住房公积金</w:t>
      </w:r>
      <w:r>
        <w:rPr>
          <w:rStyle w:val="20"/>
          <w:rFonts w:hint="eastAsia" w:ascii="仿宋_GB2312" w:hAnsi="仿宋_GB2312" w:eastAsia="仿宋_GB2312" w:cs="仿宋_GB2312"/>
          <w:b w:val="0"/>
          <w:color w:val="000000"/>
          <w:sz w:val="32"/>
          <w:szCs w:val="32"/>
          <w:highlight w:val="none"/>
        </w:rPr>
        <w:t>。</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pPr>
        <w:pStyle w:val="24"/>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bookmarkEnd w:id="62"/>
    <w:p>
      <w:pPr>
        <w:pageBreakBefore w:val="0"/>
        <w:widowControl w:val="0"/>
        <w:kinsoku/>
        <w:wordWrap/>
        <w:overflowPunct/>
        <w:topLinePunct w:val="0"/>
        <w:bidi w:val="0"/>
        <w:spacing w:line="576" w:lineRule="atLeast"/>
        <w:rPr>
          <w:rFonts w:hint="eastAsia" w:ascii="仿宋_GB2312" w:eastAsia="仿宋_GB2312"/>
          <w:sz w:val="32"/>
          <w:szCs w:val="32"/>
          <w:highlight w:val="none"/>
        </w:rPr>
      </w:pPr>
    </w:p>
    <w:p>
      <w:pPr>
        <w:pStyle w:val="13"/>
        <w:rPr>
          <w:highlight w:val="none"/>
        </w:rPr>
      </w:pPr>
    </w:p>
    <w:p>
      <w:pPr>
        <w:pStyle w:val="3"/>
        <w:jc w:val="center"/>
        <w:rPr>
          <w:rFonts w:ascii="黑体" w:eastAsia="黑体" w:cs="黑体"/>
          <w:b w:val="0"/>
          <w:bCs w:val="0"/>
          <w:highlight w:val="none"/>
        </w:rPr>
      </w:pPr>
      <w:bookmarkStart w:id="63" w:name="_Toc5449"/>
      <w:bookmarkStart w:id="64" w:name="_Toc79163885"/>
      <w:bookmarkStart w:id="65" w:name="_Toc111208512"/>
      <w:bookmarkStart w:id="66" w:name="_Toc79163635"/>
      <w:r>
        <w:rPr>
          <w:rFonts w:hint="eastAsia" w:ascii="黑体" w:eastAsia="黑体" w:cs="黑体"/>
          <w:b w:val="0"/>
          <w:bCs w:val="0"/>
          <w:highlight w:val="none"/>
        </w:rPr>
        <w:t>第</w:t>
      </w:r>
      <w:r>
        <w:rPr>
          <w:rFonts w:hint="eastAsia" w:ascii="黑体" w:eastAsia="黑体" w:cs="黑体"/>
          <w:b w:val="0"/>
          <w:bCs w:val="0"/>
          <w:highlight w:val="none"/>
          <w:lang w:val="en-US" w:eastAsia="zh-CN"/>
        </w:rPr>
        <w:t>四</w:t>
      </w:r>
      <w:r>
        <w:rPr>
          <w:rFonts w:hint="eastAsia" w:ascii="黑体" w:eastAsia="黑体" w:cs="黑体"/>
          <w:b w:val="0"/>
          <w:bCs w:val="0"/>
          <w:highlight w:val="none"/>
        </w:rPr>
        <w:t>部分 附表</w:t>
      </w:r>
      <w:bookmarkEnd w:id="63"/>
      <w:bookmarkEnd w:id="64"/>
      <w:bookmarkEnd w:id="65"/>
      <w:bookmarkEnd w:id="66"/>
    </w:p>
    <w:p>
      <w:pPr>
        <w:pStyle w:val="4"/>
        <w:ind w:firstLine="640" w:firstLineChars="200"/>
        <w:rPr>
          <w:rFonts w:hint="eastAsia" w:ascii="黑体" w:eastAsia="黑体" w:cs="Times New Roman"/>
          <w:b w:val="0"/>
          <w:bCs w:val="0"/>
          <w:color w:val="000000"/>
          <w:highlight w:val="none"/>
        </w:rPr>
      </w:pPr>
      <w:bookmarkStart w:id="67" w:name="_Toc6701"/>
      <w:r>
        <w:rPr>
          <w:rFonts w:hint="eastAsia" w:ascii="黑体" w:eastAsia="黑体" w:cs="Times New Roman"/>
          <w:b w:val="0"/>
          <w:bCs w:val="0"/>
          <w:color w:val="000000"/>
          <w:highlight w:val="none"/>
        </w:rPr>
        <w:t>一、收入支出决算总表</w:t>
      </w:r>
      <w:bookmarkEnd w:id="67"/>
    </w:p>
    <w:p>
      <w:pPr>
        <w:pStyle w:val="4"/>
        <w:ind w:firstLine="640" w:firstLineChars="200"/>
        <w:rPr>
          <w:rFonts w:hint="eastAsia" w:ascii="黑体" w:eastAsia="黑体" w:cs="Times New Roman"/>
          <w:b w:val="0"/>
          <w:bCs w:val="0"/>
          <w:color w:val="000000"/>
          <w:highlight w:val="none"/>
        </w:rPr>
      </w:pPr>
      <w:bookmarkStart w:id="68" w:name="_Toc5703"/>
      <w:r>
        <w:rPr>
          <w:rFonts w:hint="eastAsia" w:ascii="黑体" w:eastAsia="黑体" w:cs="Times New Roman"/>
          <w:b w:val="0"/>
          <w:bCs w:val="0"/>
          <w:color w:val="000000"/>
          <w:highlight w:val="none"/>
        </w:rPr>
        <w:t>二、收入决算表</w:t>
      </w:r>
      <w:bookmarkEnd w:id="68"/>
    </w:p>
    <w:p>
      <w:pPr>
        <w:pStyle w:val="4"/>
        <w:ind w:firstLine="640" w:firstLineChars="200"/>
        <w:rPr>
          <w:rFonts w:hint="eastAsia" w:ascii="黑体" w:eastAsia="黑体" w:cs="Times New Roman"/>
          <w:b w:val="0"/>
          <w:bCs w:val="0"/>
          <w:color w:val="000000"/>
          <w:highlight w:val="none"/>
        </w:rPr>
      </w:pPr>
      <w:bookmarkStart w:id="69" w:name="_Toc7252"/>
      <w:r>
        <w:rPr>
          <w:rFonts w:hint="eastAsia" w:ascii="黑体" w:eastAsia="黑体" w:cs="Times New Roman"/>
          <w:b w:val="0"/>
          <w:bCs w:val="0"/>
          <w:color w:val="000000"/>
          <w:highlight w:val="none"/>
        </w:rPr>
        <w:t>三、支出决算表</w:t>
      </w:r>
      <w:bookmarkEnd w:id="69"/>
    </w:p>
    <w:p>
      <w:pPr>
        <w:pStyle w:val="4"/>
        <w:ind w:firstLine="640" w:firstLineChars="200"/>
        <w:rPr>
          <w:rFonts w:hint="eastAsia" w:ascii="黑体" w:eastAsia="黑体" w:cs="Times New Roman"/>
          <w:b w:val="0"/>
          <w:bCs w:val="0"/>
          <w:color w:val="000000"/>
          <w:highlight w:val="none"/>
        </w:rPr>
      </w:pPr>
      <w:bookmarkStart w:id="70" w:name="_Toc2827"/>
      <w:r>
        <w:rPr>
          <w:rFonts w:hint="eastAsia" w:ascii="黑体" w:eastAsia="黑体" w:cs="Times New Roman"/>
          <w:b w:val="0"/>
          <w:bCs w:val="0"/>
          <w:color w:val="000000"/>
          <w:highlight w:val="none"/>
        </w:rPr>
        <w:t>四、财政拨款收入支出决算总表</w:t>
      </w:r>
      <w:bookmarkEnd w:id="70"/>
    </w:p>
    <w:p>
      <w:pPr>
        <w:pStyle w:val="4"/>
        <w:ind w:firstLine="640" w:firstLineChars="200"/>
        <w:rPr>
          <w:rFonts w:hint="eastAsia" w:ascii="黑体" w:eastAsia="黑体" w:cs="Times New Roman"/>
          <w:b w:val="0"/>
          <w:bCs w:val="0"/>
          <w:color w:val="000000"/>
          <w:highlight w:val="none"/>
        </w:rPr>
      </w:pPr>
      <w:bookmarkStart w:id="71" w:name="_Toc11388"/>
      <w:r>
        <w:rPr>
          <w:rFonts w:hint="eastAsia" w:ascii="黑体" w:eastAsia="黑体" w:cs="Times New Roman"/>
          <w:b w:val="0"/>
          <w:bCs w:val="0"/>
          <w:color w:val="000000"/>
          <w:highlight w:val="none"/>
        </w:rPr>
        <w:t>五、财政拨款支出决算明细表</w:t>
      </w:r>
      <w:bookmarkEnd w:id="71"/>
    </w:p>
    <w:p>
      <w:pPr>
        <w:pStyle w:val="4"/>
        <w:ind w:firstLine="640" w:firstLineChars="200"/>
        <w:rPr>
          <w:rFonts w:hint="eastAsia" w:ascii="黑体" w:eastAsia="黑体" w:cs="Times New Roman"/>
          <w:b w:val="0"/>
          <w:bCs w:val="0"/>
          <w:color w:val="000000"/>
          <w:highlight w:val="none"/>
        </w:rPr>
      </w:pPr>
      <w:bookmarkStart w:id="72" w:name="_Toc28378"/>
      <w:r>
        <w:rPr>
          <w:rFonts w:hint="eastAsia" w:ascii="黑体" w:eastAsia="黑体" w:cs="Times New Roman"/>
          <w:b w:val="0"/>
          <w:bCs w:val="0"/>
          <w:color w:val="000000"/>
          <w:highlight w:val="none"/>
        </w:rPr>
        <w:t>六、一般公共预算财政拨款支出决算表</w:t>
      </w:r>
      <w:bookmarkEnd w:id="72"/>
    </w:p>
    <w:p>
      <w:pPr>
        <w:pStyle w:val="4"/>
        <w:ind w:firstLine="640" w:firstLineChars="200"/>
        <w:rPr>
          <w:rFonts w:hint="eastAsia" w:ascii="黑体" w:eastAsia="黑体" w:cs="Times New Roman"/>
          <w:b w:val="0"/>
          <w:bCs w:val="0"/>
          <w:color w:val="000000"/>
          <w:highlight w:val="none"/>
        </w:rPr>
      </w:pPr>
      <w:bookmarkStart w:id="73" w:name="_Toc9565"/>
      <w:r>
        <w:rPr>
          <w:rFonts w:hint="eastAsia" w:ascii="黑体" w:eastAsia="黑体" w:cs="Times New Roman"/>
          <w:b w:val="0"/>
          <w:bCs w:val="0"/>
          <w:color w:val="000000"/>
          <w:highlight w:val="none"/>
        </w:rPr>
        <w:t>七、一般公共预算财政拨款支出决算明细表</w:t>
      </w:r>
      <w:bookmarkEnd w:id="73"/>
    </w:p>
    <w:p>
      <w:pPr>
        <w:pStyle w:val="4"/>
        <w:ind w:firstLine="640" w:firstLineChars="200"/>
        <w:rPr>
          <w:rFonts w:hint="eastAsia" w:ascii="黑体" w:eastAsia="黑体" w:cs="Times New Roman"/>
          <w:b w:val="0"/>
          <w:bCs w:val="0"/>
          <w:color w:val="000000"/>
          <w:highlight w:val="none"/>
        </w:rPr>
      </w:pPr>
      <w:bookmarkStart w:id="74" w:name="_Toc29675"/>
      <w:r>
        <w:rPr>
          <w:rFonts w:hint="eastAsia" w:ascii="黑体" w:eastAsia="黑体" w:cs="Times New Roman"/>
          <w:b w:val="0"/>
          <w:bCs w:val="0"/>
          <w:color w:val="000000"/>
          <w:highlight w:val="none"/>
        </w:rPr>
        <w:t>八、一般公共预算财政拨款基本支出决算表</w:t>
      </w:r>
      <w:bookmarkEnd w:id="74"/>
    </w:p>
    <w:p>
      <w:pPr>
        <w:pStyle w:val="4"/>
        <w:ind w:firstLine="640" w:firstLineChars="200"/>
        <w:rPr>
          <w:rFonts w:hint="eastAsia" w:ascii="黑体" w:eastAsia="黑体" w:cs="Times New Roman"/>
          <w:b w:val="0"/>
          <w:bCs w:val="0"/>
          <w:color w:val="000000"/>
          <w:highlight w:val="none"/>
        </w:rPr>
      </w:pPr>
      <w:bookmarkStart w:id="75" w:name="_Toc12590"/>
      <w:r>
        <w:rPr>
          <w:rFonts w:hint="eastAsia" w:ascii="黑体" w:eastAsia="黑体" w:cs="Times New Roman"/>
          <w:b w:val="0"/>
          <w:bCs w:val="0"/>
          <w:color w:val="000000"/>
          <w:highlight w:val="none"/>
        </w:rPr>
        <w:t>九、一般公共预算财政拨款项目支出决算表</w:t>
      </w:r>
      <w:bookmarkEnd w:id="75"/>
    </w:p>
    <w:p>
      <w:pPr>
        <w:pStyle w:val="4"/>
        <w:ind w:firstLine="640" w:firstLineChars="200"/>
        <w:rPr>
          <w:rFonts w:hint="eastAsia" w:ascii="黑体" w:eastAsia="黑体" w:cs="Times New Roman"/>
          <w:b w:val="0"/>
          <w:bCs w:val="0"/>
          <w:color w:val="000000"/>
          <w:highlight w:val="none"/>
        </w:rPr>
      </w:pPr>
      <w:bookmarkStart w:id="76" w:name="_Toc16652"/>
      <w:r>
        <w:rPr>
          <w:rFonts w:hint="eastAsia" w:ascii="黑体" w:eastAsia="黑体" w:cs="Times New Roman"/>
          <w:b w:val="0"/>
          <w:bCs w:val="0"/>
          <w:color w:val="000000"/>
          <w:highlight w:val="none"/>
        </w:rPr>
        <w:t>十、政府性基金预算财政拨款收入支出决算表</w:t>
      </w:r>
      <w:bookmarkEnd w:id="76"/>
    </w:p>
    <w:p>
      <w:pPr>
        <w:pStyle w:val="4"/>
        <w:ind w:firstLine="640" w:firstLineChars="200"/>
        <w:rPr>
          <w:rFonts w:hint="eastAsia" w:ascii="黑体" w:eastAsia="黑体" w:cs="Times New Roman"/>
          <w:b w:val="0"/>
          <w:bCs w:val="0"/>
          <w:color w:val="000000"/>
          <w:highlight w:val="none"/>
        </w:rPr>
      </w:pPr>
      <w:bookmarkStart w:id="77" w:name="_Toc13104"/>
      <w:r>
        <w:rPr>
          <w:rFonts w:hint="eastAsia" w:ascii="黑体" w:eastAsia="黑体" w:cs="Times New Roman"/>
          <w:b w:val="0"/>
          <w:bCs w:val="0"/>
          <w:color w:val="000000"/>
          <w:highlight w:val="none"/>
        </w:rPr>
        <w:t>十一、国有资本经营预算财政拨款收入支出决算表</w:t>
      </w:r>
      <w:bookmarkEnd w:id="77"/>
    </w:p>
    <w:p>
      <w:pPr>
        <w:pStyle w:val="4"/>
        <w:ind w:firstLine="640" w:firstLineChars="200"/>
        <w:rPr>
          <w:rFonts w:hint="eastAsia" w:ascii="黑体" w:eastAsia="黑体" w:cs="Times New Roman"/>
          <w:b w:val="0"/>
          <w:bCs w:val="0"/>
          <w:color w:val="000000"/>
          <w:highlight w:val="none"/>
        </w:rPr>
      </w:pPr>
      <w:bookmarkStart w:id="78" w:name="_Toc19837"/>
      <w:r>
        <w:rPr>
          <w:rFonts w:hint="eastAsia" w:ascii="黑体" w:eastAsia="黑体" w:cs="Times New Roman"/>
          <w:b w:val="0"/>
          <w:bCs w:val="0"/>
          <w:color w:val="000000"/>
          <w:highlight w:val="none"/>
        </w:rPr>
        <w:t>十二、国有资本经营预算财政拨款支出决算表</w:t>
      </w:r>
      <w:bookmarkEnd w:id="78"/>
    </w:p>
    <w:p>
      <w:pPr>
        <w:pStyle w:val="4"/>
        <w:ind w:firstLine="640" w:firstLineChars="200"/>
        <w:rPr>
          <w:rFonts w:ascii="黑体" w:eastAsia="黑体" w:cs="Times New Roman"/>
          <w:b w:val="0"/>
          <w:bCs w:val="0"/>
          <w:color w:val="000000"/>
          <w:highlight w:val="none"/>
        </w:rPr>
      </w:pPr>
      <w:bookmarkStart w:id="79" w:name="_Toc27290"/>
      <w:r>
        <w:rPr>
          <w:rFonts w:hint="eastAsia" w:ascii="黑体" w:eastAsia="黑体" w:cs="Times New Roman"/>
          <w:b w:val="0"/>
          <w:bCs w:val="0"/>
          <w:color w:val="000000"/>
          <w:highlight w:val="none"/>
        </w:rPr>
        <w:t>十三、财政拨款“三公”经费支出决算表</w:t>
      </w:r>
      <w:bookmarkEnd w:id="7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TNkMGQ3MDkyOTg0ZDZiNWRhOGE4ZTg3NzZmZDIzZDAifQ=="/>
  </w:docVars>
  <w:rsids>
    <w:rsidRoot w:val="00000000"/>
    <w:rsid w:val="01680E90"/>
    <w:rsid w:val="020C0D02"/>
    <w:rsid w:val="056E21A2"/>
    <w:rsid w:val="06C82460"/>
    <w:rsid w:val="08F03392"/>
    <w:rsid w:val="092D6E22"/>
    <w:rsid w:val="0B292074"/>
    <w:rsid w:val="0BD460C1"/>
    <w:rsid w:val="0C5502A8"/>
    <w:rsid w:val="138D286B"/>
    <w:rsid w:val="170F0A7C"/>
    <w:rsid w:val="1A493575"/>
    <w:rsid w:val="1CEB6DC6"/>
    <w:rsid w:val="1D322F3A"/>
    <w:rsid w:val="22693B00"/>
    <w:rsid w:val="2427248B"/>
    <w:rsid w:val="252C5398"/>
    <w:rsid w:val="26017B86"/>
    <w:rsid w:val="28FB3E89"/>
    <w:rsid w:val="2E3C636A"/>
    <w:rsid w:val="2F145784"/>
    <w:rsid w:val="30882619"/>
    <w:rsid w:val="31E026AE"/>
    <w:rsid w:val="32002097"/>
    <w:rsid w:val="3C196E25"/>
    <w:rsid w:val="3F3C54DB"/>
    <w:rsid w:val="40127E7D"/>
    <w:rsid w:val="431F0CA0"/>
    <w:rsid w:val="445F4429"/>
    <w:rsid w:val="4C083CEC"/>
    <w:rsid w:val="4CD751C3"/>
    <w:rsid w:val="4E542903"/>
    <w:rsid w:val="4FDE113D"/>
    <w:rsid w:val="52196286"/>
    <w:rsid w:val="59F7625F"/>
    <w:rsid w:val="5AA72802"/>
    <w:rsid w:val="5D094A6B"/>
    <w:rsid w:val="5D316DAF"/>
    <w:rsid w:val="5EC73BB2"/>
    <w:rsid w:val="60653B68"/>
    <w:rsid w:val="65742E3B"/>
    <w:rsid w:val="66567FB5"/>
    <w:rsid w:val="6C7C5D3F"/>
    <w:rsid w:val="6D393A92"/>
    <w:rsid w:val="6DC615E4"/>
    <w:rsid w:val="6E816407"/>
    <w:rsid w:val="6EB10CA6"/>
    <w:rsid w:val="71862CD7"/>
    <w:rsid w:val="774D408F"/>
    <w:rsid w:val="77560441"/>
    <w:rsid w:val="D5FFB5E6"/>
    <w:rsid w:val="FBEE04AC"/>
    <w:rsid w:val="FF32D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qFormat/>
    <w:uiPriority w:val="0"/>
    <w:pPr>
      <w:tabs>
        <w:tab w:val="right" w:leader="dot" w:pos="8296"/>
      </w:tabs>
      <w:ind w:left="200" w:leftChars="200"/>
    </w:p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character" w:customStyle="1" w:styleId="23">
    <w:name w:val="heading 1 Char"/>
    <w:basedOn w:val="19"/>
    <w:link w:val="3"/>
    <w:qFormat/>
    <w:uiPriority w:val="0"/>
    <w:rPr>
      <w:rFonts w:ascii="Times New Roman" w:hAnsi="Times New Roman" w:eastAsia="宋体" w:cs="Times New Roman"/>
      <w:b/>
      <w:bCs/>
      <w:kern w:val="44"/>
      <w:sz w:val="44"/>
      <w:szCs w:val="44"/>
      <w:lang w:val="en-US" w:eastAsia="zh-CN" w:bidi="ar-SA"/>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Header Char"/>
    <w:basedOn w:val="19"/>
    <w:qFormat/>
    <w:uiPriority w:val="0"/>
    <w:rPr>
      <w:rFonts w:ascii="Times New Roman" w:hAnsi="Times New Roman"/>
      <w:sz w:val="18"/>
      <w:szCs w:val="18"/>
    </w:rPr>
  </w:style>
  <w:style w:type="character" w:customStyle="1" w:styleId="26">
    <w:name w:val="Footer Char"/>
    <w:basedOn w:val="19"/>
    <w:qFormat/>
    <w:uiPriority w:val="0"/>
    <w:rPr>
      <w:rFonts w:ascii="Times New Roman" w:hAnsi="Times New Roman"/>
      <w:sz w:val="18"/>
      <w:szCs w:val="18"/>
    </w:rPr>
  </w:style>
  <w:style w:type="character" w:customStyle="1" w:styleId="27">
    <w:name w:val="Body Text Char"/>
    <w:basedOn w:val="19"/>
    <w:qFormat/>
    <w:uiPriority w:val="0"/>
    <w:rPr>
      <w:rFonts w:ascii="Times New Roman" w:hAnsi="Times New Roman"/>
      <w:szCs w:val="24"/>
    </w:rPr>
  </w:style>
  <w:style w:type="paragraph" w:styleId="28">
    <w:name w:val="List Paragraph"/>
    <w:basedOn w:val="1"/>
    <w:qFormat/>
    <w:uiPriority w:val="0"/>
    <w:pPr>
      <w:ind w:firstLine="200" w:firstLineChars="200"/>
    </w:pPr>
  </w:style>
  <w:style w:type="paragraph" w:customStyle="1" w:styleId="29">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30">
    <w:name w:val="标题 1 字符"/>
    <w:basedOn w:val="19"/>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225.96</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257.86</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 </a:t>
                    </a:r>
                    <a:r>
                      <a:rPr lang="en-US" altLang="zh-CN"/>
                      <a:t>257.86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265.24</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225.96</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257.86</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225.96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205363614399613"/>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257.86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244.05</c:v>
                </c:pt>
                <c:pt idx="1">
                  <c:v>265.24</c:v>
                </c:pt>
              </c:numCache>
            </c:numRef>
          </c:val>
        </c:ser>
        <c:dLbls>
          <c:showLegendKey val="0"/>
          <c:showVal val="1"/>
          <c:showCatName val="0"/>
          <c:showSerName val="0"/>
          <c:showPercent val="0"/>
          <c:showBubbleSize val="0"/>
        </c:dLbls>
        <c:gapWidth val="246"/>
        <c:overlap val="-28"/>
        <c:axId val="277025957"/>
        <c:axId val="47227912"/>
      </c:barChart>
      <c:catAx>
        <c:axId val="277025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7912"/>
        <c:crosses val="autoZero"/>
        <c:auto val="1"/>
        <c:lblAlgn val="ctr"/>
        <c:lblOffset val="100"/>
        <c:noMultiLvlLbl val="0"/>
      </c:catAx>
      <c:valAx>
        <c:axId val="47227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25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31456873640976"/>
                  <c:y val="0.037611559711007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社会保障和就业（类）支出1</a:t>
                    </a:r>
                    <a:r>
                      <a:rPr lang="en-US" altLang="zh-CN"/>
                      <a:t>3.35</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91785455424015"/>
                  <c:y val="0.178070548236294"/>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卫生健康（类）支出5</a:t>
                    </a:r>
                    <a:r>
                      <a:rPr lang="en-US" altLang="zh-CN"/>
                      <a:t>.88</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0466296206813"/>
                  <c:y val="-0.127496812579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85841990819"/>
                      <c:h val="0.116234594135147"/>
                    </c:manualLayout>
                  </c15:layout>
                </c:ext>
              </c:extLst>
            </c:dLbl>
            <c:dLbl>
              <c:idx val="4"/>
              <c:layout>
                <c:manualLayout>
                  <c:x val="-0.16199565112346"/>
                  <c:y val="-0.00361240968975776"/>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农林水（类）支出7</a:t>
                    </a:r>
                    <a:r>
                      <a:rPr lang="en-US" altLang="zh-CN"/>
                      <a:t>2.84</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0241604252234839"/>
                  <c:y val="0.072248193795155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t>住房保障（类）支出</a:t>
                    </a:r>
                  </a:p>
                  <a:p>
                    <a:pPr defTabSz="914400">
                      <a:defRPr lang="zh-CN" sz="1000" b="1" i="0" u="none" strike="noStrike" kern="1200" spc="0" baseline="0">
                        <a:solidFill>
                          <a:schemeClr val="accent6"/>
                        </a:solidFill>
                        <a:latin typeface="+mn-lt"/>
                        <a:ea typeface="+mn-ea"/>
                        <a:cs typeface="+mn-cs"/>
                      </a:defRPr>
                    </a:pPr>
                    <a:r>
                      <a:rPr lang="en-US" altLang="zh-CN"/>
                      <a:t>7.93</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800193283401788"/>
                      <c:h val="0.140883977900552"/>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Sheet1!$A$2:$A$7</c:f>
              <c:strCache>
                <c:ptCount val="6"/>
                <c:pt idx="1">
                  <c:v>社会保障和就业（类）支出</c:v>
                </c:pt>
                <c:pt idx="2">
                  <c:v>卫生健康（类）支出</c:v>
                </c:pt>
                <c:pt idx="4">
                  <c:v>农林水（类）支出</c:v>
                </c:pt>
                <c:pt idx="5">
                  <c:v>住房保障（类）支出</c:v>
                </c:pt>
              </c:strCache>
            </c:strRef>
          </c:cat>
          <c:val>
            <c:numRef>
              <c:f>Sheet1!$B$2:$B$7</c:f>
              <c:numCache>
                <c:formatCode>General</c:formatCode>
                <c:ptCount val="6"/>
                <c:pt idx="1">
                  <c:v>35.91</c:v>
                </c:pt>
                <c:pt idx="2">
                  <c:v>14.46</c:v>
                </c:pt>
                <c:pt idx="4">
                  <c:v>194.09</c:v>
                </c:pt>
                <c:pt idx="5">
                  <c:v>20.79</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三公经费</a:t>
            </a:r>
            <a:endParaRPr lang="zh-CN"/>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1"/>
              <c:delete val="1"/>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{0,5.14,0}</c:f>
              <c:numCache>
                <c:formatCode>General</c:formatCode>
                <c:ptCount val="3"/>
                <c:pt idx="0">
                  <c:v>0</c:v>
                </c:pt>
                <c:pt idx="1">
                  <c:v>5.14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1"/>
    <c:dispBlanksAs val="zero"/>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4643</Words>
  <Characters>5067</Characters>
  <Lines>592</Lines>
  <Paragraphs>194</Paragraphs>
  <TotalTime>15</TotalTime>
  <ScaleCrop>false</ScaleCrop>
  <LinksUpToDate>false</LinksUpToDate>
  <CharactersWithSpaces>5129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2023-08-19T15:28:00Z</dcterms:created>
  <dc:creator>pjf</dc:creator>
  <cp:lastModifiedBy>user</cp:lastModifiedBy>
  <cp:lastPrinted>2025-09-25T15:30:00Z</cp:lastPrinted>
  <dcterms:modified xsi:type="dcterms:W3CDTF">2026-05-18T09:38:11Z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C8EF93B24C8C4E7BBCD9A55B761F3797_13</vt:lpwstr>
  </property>
  <property fmtid="{D5CDD505-2E9C-101B-9397-08002B2CF9AE}" pid="4" name="KSOTemplateDocerSaveRecord">
    <vt:lpwstr>eyJoZGlkIjoiYzBjZDIxODBjOTA0MDJiM2NjOTQ3MTRkMjI5MDE5NzAiLCJ1c2VySWQiOiI0MTUyOTE0MjcifQ==</vt:lpwstr>
  </property>
</Properties>
</file>