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6" w:name="_GoBack"/>
      <w:bookmarkEnd w:id="76"/>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77425"/>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阿坝州茂县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回龙乡人民政府部门决算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rPr>
          <w:rFonts w:cstheme="minorBidi"/>
        </w:rPr>
      </w:pPr>
      <w:r>
        <w:fldChar w:fldCharType="begin"/>
      </w:r>
      <w:r>
        <w:instrText xml:space="preserve"> HYPERLINK \l "_Toc15396599" </w:instrText>
      </w:r>
      <w:r>
        <w:fldChar w:fldCharType="separate"/>
      </w:r>
      <w:r>
        <w:rPr>
          <w:rStyle w:val="15"/>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4</w:t>
      </w:r>
      <w:r>
        <w:rPr>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1"/>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十、预算绩效情况说明.........    ........... ..14</w:t>
      </w:r>
    </w:p>
    <w:p>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0"/>
        <w:rPr>
          <w:rFonts w:hint="eastAsia" w:eastAsia="仿宋" w:cstheme="minorBidi"/>
          <w:lang w:val="en-US" w:eastAsia="zh-CN"/>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lang w:val="en-US" w:eastAsia="zh-CN"/>
        </w:rPr>
        <w:t>2</w:t>
      </w:r>
      <w:r>
        <w:fldChar w:fldCharType="end"/>
      </w:r>
      <w:r>
        <w:rPr>
          <w:rFonts w:hint="eastAsia"/>
          <w:lang w:val="en-US" w:eastAsia="zh-CN"/>
        </w:rPr>
        <w:t>6</w:t>
      </w:r>
    </w:p>
    <w:p>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四部分附件</w:t>
      </w:r>
      <w:r>
        <w:tab/>
      </w:r>
      <w:r>
        <w:rPr>
          <w:rFonts w:hint="eastAsia"/>
          <w:lang w:val="en-US" w:eastAsia="zh-CN"/>
        </w:rPr>
        <w:t>3</w:t>
      </w:r>
      <w:r>
        <w:fldChar w:fldCharType="end"/>
      </w:r>
      <w:r>
        <w:rPr>
          <w:rFonts w:hint="eastAsia"/>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7</w:t>
      </w:r>
    </w:p>
    <w:p>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五部分附表</w:t>
      </w:r>
      <w:r>
        <w:tab/>
      </w:r>
      <w:r>
        <w:rPr>
          <w:rFonts w:hint="eastAsia"/>
          <w:lang w:val="en-US" w:eastAsia="zh-CN"/>
        </w:rPr>
        <w:t>4</w:t>
      </w:r>
      <w:r>
        <w:fldChar w:fldCharType="end"/>
      </w:r>
      <w:r>
        <w:rPr>
          <w:rFonts w:hint="eastAsia"/>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4</w:t>
      </w:r>
      <w:r>
        <w:rPr>
          <w:rFonts w:ascii="仿宋" w:hAnsi="仿宋" w:eastAsia="仿宋"/>
          <w:sz w:val="28"/>
          <w:szCs w:val="28"/>
        </w:rPr>
        <w:fldChar w:fldCharType="end"/>
      </w:r>
      <w:r>
        <w:rPr>
          <w:rFonts w:hint="eastAsia" w:ascii="仿宋" w:hAnsi="仿宋" w:eastAsia="仿宋"/>
          <w:sz w:val="28"/>
          <w:szCs w:val="28"/>
          <w:lang w:val="en-US" w:eastAsia="zh-CN"/>
        </w:rPr>
        <w:t>0</w:t>
      </w:r>
    </w:p>
    <w:p>
      <w:pPr>
        <w:widowControl/>
        <w:jc w:val="left"/>
        <w:rPr>
          <w:rFonts w:ascii="仿宋_GB2312" w:hAnsi="仿宋_GB2312" w:eastAsia="仿宋_GB2312" w:cs="仿宋_GB2312"/>
          <w:bCs/>
          <w:kern w:val="44"/>
          <w:sz w:val="32"/>
          <w:szCs w:val="32"/>
        </w:rPr>
      </w:pPr>
      <w:r>
        <w:rPr>
          <w:rFonts w:ascii="仿宋" w:hAnsi="仿宋" w:eastAsia="仿宋"/>
          <w:color w:val="000000"/>
          <w:sz w:val="24"/>
        </w:rPr>
        <w:fldChar w:fldCharType="end"/>
      </w:r>
      <w:bookmarkStart w:id="12" w:name="_Toc15396599"/>
      <w:bookmarkStart w:id="13" w:name="_Toc15377196"/>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r>
        <w:rPr>
          <w:rStyle w:val="24"/>
          <w:rFonts w:hint="eastAsia" w:ascii="方正小标宋简体" w:hAnsi="方正小标宋简体" w:eastAsia="方正小标宋简体" w:cs="方正小标宋简体"/>
          <w:b w:val="0"/>
          <w:bCs w:val="0"/>
          <w:sz w:val="44"/>
          <w:szCs w:val="44"/>
        </w:rPr>
        <w:t>第一部分 部门概况</w:t>
      </w:r>
      <w:bookmarkEnd w:id="12"/>
      <w:bookmarkEnd w:id="13"/>
    </w:p>
    <w:p>
      <w:pPr>
        <w:pStyle w:val="3"/>
        <w:keepNext/>
        <w:keepLines/>
        <w:pageBreakBefore w:val="0"/>
        <w:widowControl w:val="0"/>
        <w:numPr>
          <w:ilvl w:val="0"/>
          <w:numId w:val="1"/>
        </w:numPr>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4" w:name="_Toc15396600"/>
      <w:bookmarkStart w:id="15" w:name="_Toc15377197"/>
      <w:r>
        <w:rPr>
          <w:rFonts w:hint="eastAsia" w:ascii="黑体" w:hAnsi="黑体" w:eastAsia="黑体"/>
          <w:b w:val="0"/>
          <w:color w:val="000000"/>
        </w:rPr>
        <w:t>基</w:t>
      </w:r>
      <w:r>
        <w:rPr>
          <w:rStyle w:val="25"/>
          <w:rFonts w:hint="eastAsia" w:ascii="黑体" w:hAnsi="黑体" w:eastAsia="黑体"/>
          <w:b w:val="0"/>
          <w:bCs w:val="0"/>
        </w:rPr>
        <w:t>本职能及主要工作</w:t>
      </w:r>
      <w:bookmarkEnd w:id="14"/>
      <w:bookmarkEnd w:id="15"/>
      <w:bookmarkStart w:id="16" w:name="_Toc15377198"/>
      <w:bookmarkStart w:id="17" w:name="_Toc15378445"/>
    </w:p>
    <w:p>
      <w:pPr>
        <w:pStyle w:val="5"/>
        <w:adjustRightInd w:val="0"/>
        <w:snapToGrid w:val="0"/>
        <w:spacing w:before="93" w:line="576" w:lineRule="exact"/>
        <w:ind w:firstLine="672" w:firstLineChars="210"/>
        <w:rPr>
          <w:rStyle w:val="25"/>
          <w:rFonts w:hint="eastAsia" w:ascii="楷体" w:hAnsi="楷体" w:eastAsia="楷体" w:cs="楷体"/>
          <w:b w:val="0"/>
          <w:bCs w:val="0"/>
        </w:rPr>
      </w:pPr>
      <w:r>
        <w:rPr>
          <w:rFonts w:hint="eastAsia" w:ascii="楷体" w:hAnsi="楷体" w:eastAsia="楷体" w:cs="楷体"/>
          <w:bCs/>
          <w:color w:val="000000"/>
          <w:sz w:val="32"/>
          <w:szCs w:val="32"/>
        </w:rPr>
        <w:t>（一）</w:t>
      </w:r>
      <w:r>
        <w:rPr>
          <w:rFonts w:hint="eastAsia" w:ascii="楷体" w:hAnsi="楷体" w:eastAsia="楷体" w:cs="楷体"/>
          <w:bCs/>
          <w:color w:val="000000"/>
          <w:sz w:val="32"/>
          <w:szCs w:val="32"/>
          <w:lang w:eastAsia="zh-CN"/>
        </w:rPr>
        <w:t>基本</w:t>
      </w:r>
      <w:r>
        <w:rPr>
          <w:rFonts w:hint="eastAsia" w:ascii="楷体" w:hAnsi="楷体" w:eastAsia="楷体" w:cs="楷体"/>
          <w:bCs/>
          <w:color w:val="000000"/>
          <w:sz w:val="32"/>
          <w:szCs w:val="32"/>
        </w:rPr>
        <w:t>职能</w:t>
      </w:r>
      <w:bookmarkEnd w:id="16"/>
      <w:bookmarkEnd w:id="17"/>
    </w:p>
    <w:p>
      <w:pPr>
        <w:pStyle w:val="5"/>
        <w:adjustRightInd w:val="0"/>
        <w:snapToGrid w:val="0"/>
        <w:spacing w:before="93" w:line="576" w:lineRule="exact"/>
        <w:ind w:firstLine="672" w:firstLineChars="210"/>
        <w:rPr>
          <w:rFonts w:hAnsi="楷体"/>
          <w:sz w:val="32"/>
          <w:szCs w:val="32"/>
        </w:rPr>
      </w:pPr>
      <w:r>
        <w:rPr>
          <w:rFonts w:hint="eastAsia" w:hAnsi="楷体"/>
          <w:sz w:val="32"/>
          <w:szCs w:val="32"/>
        </w:rPr>
        <w:t>负责草拟本乡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乡国土、城建管理规划措施；宣传教育、文化、科技、卫生等方面的政策、知识；严格按规定做好财务管理工作。</w:t>
      </w:r>
    </w:p>
    <w:p>
      <w:pPr>
        <w:spacing w:line="600" w:lineRule="exact"/>
        <w:ind w:firstLine="640" w:firstLineChars="200"/>
        <w:outlineLvl w:val="1"/>
        <w:rPr>
          <w:rStyle w:val="25"/>
          <w:rFonts w:hint="eastAsia" w:ascii="楷体" w:hAnsi="楷体" w:eastAsia="楷体" w:cs="楷体"/>
          <w:b w:val="0"/>
          <w:bCs w:val="0"/>
        </w:rPr>
      </w:pPr>
      <w:bookmarkStart w:id="18" w:name="_Toc15377199"/>
      <w:bookmarkStart w:id="19" w:name="_Toc15378446"/>
      <w:r>
        <w:rPr>
          <w:rFonts w:hint="eastAsia" w:ascii="楷体" w:hAnsi="楷体" w:eastAsia="楷体" w:cs="楷体"/>
          <w:bCs/>
          <w:color w:val="000000"/>
          <w:sz w:val="32"/>
          <w:szCs w:val="32"/>
        </w:rPr>
        <w:t>（二）2018年重点工作完成情况</w:t>
      </w:r>
      <w:bookmarkEnd w:id="18"/>
      <w:bookmarkEnd w:id="19"/>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Cs/>
          <w:color w:val="000000"/>
          <w:kern w:val="0"/>
          <w:sz w:val="32"/>
          <w:szCs w:val="32"/>
          <w:lang w:val="en-US" w:eastAsia="zh-CN"/>
        </w:rPr>
      </w:pPr>
      <w:bookmarkStart w:id="20" w:name="_Toc15377200"/>
      <w:bookmarkStart w:id="21" w:name="_Toc15396601"/>
      <w:r>
        <w:rPr>
          <w:rFonts w:hint="eastAsia" w:ascii="仿宋_GB2312" w:hAnsi="仿宋_GB2312" w:eastAsia="仿宋_GB2312" w:cs="仿宋_GB2312"/>
          <w:bCs/>
          <w:color w:val="000000"/>
          <w:kern w:val="0"/>
          <w:sz w:val="32"/>
          <w:szCs w:val="32"/>
          <w:lang w:val="en-US" w:eastAsia="zh-CN"/>
        </w:rPr>
        <w:t>高度重视春耕备耕工作，开展农资市场专项整治和农产品质量安全宣传活动4次，开展蔬菜、水果农药残留检测43次，举办专业培训12次，培训各类技术人员1800余人次，发放宣传农业技术培训资料600余份。</w:t>
      </w:r>
      <w:r>
        <w:rPr>
          <w:rFonts w:hint="eastAsia" w:ascii="仿宋_GB2312" w:hAnsi="仿宋_GB2312" w:eastAsia="仿宋_GB2312" w:cs="仿宋_GB2312"/>
          <w:color w:val="000000"/>
          <w:sz w:val="32"/>
          <w:szCs w:val="32"/>
        </w:rPr>
        <w:t>就业促进工程。提高群众就业能力，拓宽群众就业渠道。201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全年我乡共组织农民实用技术培训11次，800余人受益，林业员</w:t>
      </w:r>
      <w:r>
        <w:rPr>
          <w:rFonts w:hint="eastAsia" w:ascii="仿宋_GB2312" w:hAnsi="仿宋_GB2312" w:eastAsia="仿宋_GB2312" w:cs="仿宋_GB2312"/>
          <w:color w:val="000000"/>
          <w:sz w:val="32"/>
          <w:szCs w:val="32"/>
          <w:lang w:val="en-US" w:eastAsia="zh-CN"/>
        </w:rPr>
        <w:t>56</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全乡外出务工人员286人。</w:t>
      </w:r>
      <w:r>
        <w:rPr>
          <w:rFonts w:hint="eastAsia" w:ascii="仿宋_GB2312" w:hAnsi="仿宋_GB2312" w:eastAsia="仿宋_GB2312" w:cs="仿宋_GB2312"/>
          <w:bCs/>
          <w:color w:val="000000"/>
          <w:sz w:val="32"/>
          <w:szCs w:val="32"/>
        </w:rPr>
        <w:t>圆满完成</w:t>
      </w:r>
      <w:r>
        <w:rPr>
          <w:rFonts w:hint="eastAsia" w:ascii="仿宋_GB2312" w:hAnsi="仿宋_GB2312" w:eastAsia="仿宋_GB2312" w:cs="仿宋_GB2312"/>
          <w:bCs/>
          <w:color w:val="000000"/>
          <w:sz w:val="32"/>
          <w:szCs w:val="32"/>
          <w:lang w:val="en-US" w:eastAsia="zh-CN"/>
        </w:rPr>
        <w:t>2018</w:t>
      </w:r>
      <w:r>
        <w:rPr>
          <w:rFonts w:hint="eastAsia" w:ascii="仿宋_GB2312" w:hAnsi="仿宋_GB2312" w:eastAsia="仿宋_GB2312" w:cs="仿宋_GB2312"/>
          <w:bCs/>
          <w:color w:val="000000"/>
          <w:sz w:val="32"/>
          <w:szCs w:val="32"/>
        </w:rPr>
        <w:t>年39户146人贫困人口脱贫，</w:t>
      </w:r>
      <w:r>
        <w:rPr>
          <w:rFonts w:hint="eastAsia" w:ascii="仿宋_GB2312" w:hAnsi="仿宋_GB2312" w:eastAsia="仿宋_GB2312" w:cs="仿宋_GB2312"/>
          <w:bCs/>
          <w:color w:val="000000"/>
          <w:sz w:val="32"/>
          <w:szCs w:val="32"/>
          <w:lang w:eastAsia="zh-CN"/>
        </w:rPr>
        <w:t>小牛儿村</w:t>
      </w:r>
      <w:r>
        <w:rPr>
          <w:rFonts w:hint="eastAsia" w:ascii="仿宋_GB2312" w:hAnsi="仿宋_GB2312" w:eastAsia="仿宋_GB2312" w:cs="仿宋_GB2312"/>
          <w:bCs/>
          <w:color w:val="000000"/>
          <w:sz w:val="32"/>
          <w:szCs w:val="32"/>
        </w:rPr>
        <w:t>脱贫摘帽</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全年共计为乡内13名群众办理城乡困难群众医疗救助，向民政局上报救助资金14.87万元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color w:val="000000"/>
          <w:kern w:val="0"/>
          <w:sz w:val="32"/>
          <w:szCs w:val="32"/>
          <w:lang w:val="en-US" w:eastAsia="zh-CN" w:bidi="ar"/>
        </w:rPr>
        <w:t>我乡2018年城乡低保共发放资金12.72万元；城镇低保39户，62人，全年共发放资金21.97万元。</w:t>
      </w:r>
      <w:r>
        <w:rPr>
          <w:rFonts w:hint="eastAsia" w:ascii="仿宋_GB2312" w:hAnsi="仿宋_GB2312" w:eastAsia="仿宋_GB2312" w:cs="仿宋_GB2312"/>
          <w:bCs/>
          <w:color w:val="000000"/>
          <w:kern w:val="0"/>
          <w:sz w:val="32"/>
          <w:szCs w:val="32"/>
          <w:lang w:val="en-US" w:eastAsia="zh-CN"/>
        </w:rPr>
        <w:t>新参保9人，金额0.46万元，发放宣传资料及海报共计三千余册，开展了一次全面养老保险待遇核查，每月一次待遇资格认证，以确保养老基金安全。开展草原防火知识培训8次，通过横幅，标语加强村民对于护林防火的意识，确保护林防火工作的顺利开展。退耕还林和高半山植被恢复补植刺槐3500株，栽植行道树6000株；开展义务植树48500株。加强护林防火的宣传和管控工作，建立巡查制度，各驻村干部每月对所驻村进行3-4次检查。</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spacing w:line="576"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茂县</w:t>
      </w:r>
      <w:r>
        <w:rPr>
          <w:rFonts w:hint="eastAsia" w:ascii="仿宋_GB2312" w:hAnsi="黑体" w:eastAsia="仿宋_GB2312" w:cs="宋体"/>
          <w:sz w:val="32"/>
          <w:szCs w:val="32"/>
        </w:rPr>
        <w:t>回龙</w:t>
      </w:r>
      <w:r>
        <w:rPr>
          <w:rFonts w:hint="eastAsia" w:ascii="仿宋_GB2312" w:hAnsi="黑体" w:eastAsia="仿宋_GB2312"/>
          <w:sz w:val="32"/>
          <w:szCs w:val="32"/>
        </w:rPr>
        <w:t>乡人民政府属</w:t>
      </w:r>
      <w:r>
        <w:rPr>
          <w:rFonts w:hint="eastAsia" w:ascii="仿宋_GB2312" w:hAnsi="黑体" w:eastAsia="仿宋_GB2312"/>
          <w:sz w:val="32"/>
          <w:szCs w:val="32"/>
          <w:lang w:eastAsia="zh-CN"/>
        </w:rPr>
        <w:t>一级</w:t>
      </w:r>
      <w:r>
        <w:rPr>
          <w:rFonts w:hint="eastAsia" w:ascii="仿宋_GB2312" w:hAnsi="黑体" w:eastAsia="仿宋_GB2312"/>
          <w:sz w:val="32"/>
          <w:szCs w:val="32"/>
        </w:rPr>
        <w:t>行政单位，下设行政单位0个，其中内设机构2个</w:t>
      </w:r>
      <w:r>
        <w:rPr>
          <w:rFonts w:hint="eastAsia" w:ascii="仿宋_GB2312" w:hAnsi="黑体" w:eastAsia="仿宋_GB2312"/>
          <w:sz w:val="32"/>
          <w:szCs w:val="32"/>
          <w:lang w:eastAsia="zh-CN"/>
        </w:rPr>
        <w:t>。</w:t>
      </w:r>
    </w:p>
    <w:p>
      <w:pPr>
        <w:pStyle w:val="5"/>
        <w:numPr>
          <w:ilvl w:val="0"/>
          <w:numId w:val="2"/>
        </w:numPr>
        <w:adjustRightInd w:val="0"/>
        <w:snapToGrid w:val="0"/>
        <w:spacing w:before="93" w:line="576" w:lineRule="exact"/>
        <w:ind w:firstLine="640" w:firstLineChars="200"/>
        <w:outlineLvl w:val="2"/>
        <w:rPr>
          <w:rFonts w:hAnsi="仿宋_GB2312" w:cs="仿宋_GB2312"/>
          <w:color w:val="000000"/>
          <w:sz w:val="32"/>
          <w:szCs w:val="32"/>
        </w:rPr>
      </w:pPr>
      <w:r>
        <w:rPr>
          <w:rFonts w:hint="eastAsia" w:hAnsi="仿宋_GB2312" w:cs="仿宋_GB2312"/>
          <w:color w:val="000000"/>
          <w:sz w:val="32"/>
          <w:szCs w:val="32"/>
        </w:rPr>
        <w:t>茂县</w:t>
      </w:r>
      <w:r>
        <w:rPr>
          <w:rFonts w:hint="eastAsia" w:hAnsi="仿宋_GB2312" w:cs="仿宋_GB2312"/>
          <w:color w:val="000000"/>
          <w:sz w:val="32"/>
          <w:szCs w:val="32"/>
          <w:lang w:eastAsia="zh-CN"/>
        </w:rPr>
        <w:t>回龙乡</w:t>
      </w:r>
      <w:r>
        <w:rPr>
          <w:rFonts w:hint="eastAsia" w:hAnsi="仿宋_GB2312" w:cs="仿宋_GB2312"/>
          <w:color w:val="000000"/>
          <w:sz w:val="32"/>
          <w:szCs w:val="32"/>
        </w:rPr>
        <w:t>党政机关</w:t>
      </w:r>
    </w:p>
    <w:p>
      <w:pPr>
        <w:pStyle w:val="5"/>
        <w:numPr>
          <w:ilvl w:val="0"/>
          <w:numId w:val="2"/>
        </w:numPr>
        <w:adjustRightInd w:val="0"/>
        <w:snapToGrid w:val="0"/>
        <w:spacing w:before="93" w:line="576" w:lineRule="exact"/>
        <w:ind w:firstLine="640" w:firstLineChars="200"/>
        <w:outlineLvl w:val="2"/>
        <w:rPr>
          <w:rFonts w:hAnsi="仿宋_GB2312" w:cs="仿宋_GB2312"/>
          <w:color w:val="000000"/>
          <w:sz w:val="32"/>
          <w:szCs w:val="32"/>
        </w:rPr>
      </w:pPr>
      <w:r>
        <w:rPr>
          <w:rFonts w:hint="eastAsia" w:hAnsi="仿宋_GB2312" w:cs="仿宋_GB2312"/>
          <w:color w:val="000000"/>
          <w:sz w:val="32"/>
          <w:szCs w:val="32"/>
        </w:rPr>
        <w:t>茂县</w:t>
      </w:r>
      <w:r>
        <w:rPr>
          <w:rFonts w:hint="eastAsia" w:hAnsi="仿宋_GB2312" w:cs="仿宋_GB2312"/>
          <w:color w:val="000000"/>
          <w:sz w:val="32"/>
          <w:szCs w:val="32"/>
          <w:lang w:eastAsia="zh-CN"/>
        </w:rPr>
        <w:t>回龙乡</w:t>
      </w:r>
      <w:r>
        <w:rPr>
          <w:rFonts w:hint="eastAsia" w:hAnsi="仿宋_GB2312" w:cs="仿宋_GB2312"/>
          <w:color w:val="000000"/>
          <w:sz w:val="32"/>
          <w:szCs w:val="32"/>
        </w:rPr>
        <w:t>政府机关</w:t>
      </w:r>
    </w:p>
    <w:p>
      <w:pPr>
        <w:pStyle w:val="5"/>
        <w:numPr>
          <w:ilvl w:val="0"/>
          <w:numId w:val="2"/>
        </w:numPr>
        <w:adjustRightInd w:val="0"/>
        <w:snapToGrid w:val="0"/>
        <w:spacing w:before="93" w:line="576" w:lineRule="exact"/>
        <w:ind w:firstLine="640" w:firstLineChars="200"/>
        <w:outlineLvl w:val="2"/>
        <w:rPr>
          <w:rFonts w:hAnsi="仿宋_GB2312" w:cs="仿宋_GB2312"/>
          <w:color w:val="000000"/>
          <w:sz w:val="32"/>
          <w:szCs w:val="32"/>
        </w:rPr>
      </w:pPr>
      <w:r>
        <w:rPr>
          <w:rFonts w:hint="eastAsia" w:hAnsi="仿宋_GB2312" w:cs="仿宋_GB2312"/>
          <w:color w:val="000000"/>
          <w:sz w:val="32"/>
          <w:szCs w:val="32"/>
        </w:rPr>
        <w:t>茂县</w:t>
      </w:r>
      <w:r>
        <w:rPr>
          <w:rFonts w:hint="eastAsia" w:hAnsi="仿宋_GB2312" w:cs="仿宋_GB2312"/>
          <w:color w:val="000000"/>
          <w:sz w:val="32"/>
          <w:szCs w:val="32"/>
          <w:lang w:eastAsia="zh-CN"/>
        </w:rPr>
        <w:t>回龙乡</w:t>
      </w:r>
      <w:r>
        <w:rPr>
          <w:rFonts w:hint="eastAsia" w:hAnsi="仿宋_GB2312" w:cs="仿宋_GB2312"/>
          <w:color w:val="000000"/>
          <w:sz w:val="32"/>
          <w:szCs w:val="32"/>
        </w:rPr>
        <w:t>财政所</w:t>
      </w:r>
    </w:p>
    <w:p>
      <w:pPr>
        <w:pStyle w:val="5"/>
        <w:numPr>
          <w:ilvl w:val="0"/>
          <w:numId w:val="2"/>
        </w:numPr>
        <w:adjustRightInd w:val="0"/>
        <w:snapToGrid w:val="0"/>
        <w:spacing w:before="93" w:line="576" w:lineRule="exact"/>
        <w:ind w:firstLine="640" w:firstLineChars="200"/>
        <w:outlineLvl w:val="2"/>
        <w:rPr>
          <w:rFonts w:hAnsi="仿宋_GB2312" w:cs="仿宋_GB2312"/>
          <w:color w:val="000000"/>
          <w:sz w:val="32"/>
          <w:szCs w:val="32"/>
        </w:rPr>
      </w:pPr>
      <w:r>
        <w:rPr>
          <w:rFonts w:hint="eastAsia" w:hAnsi="仿宋_GB2312" w:cs="仿宋_GB2312"/>
          <w:color w:val="000000"/>
          <w:sz w:val="32"/>
          <w:szCs w:val="32"/>
        </w:rPr>
        <w:t>茂县</w:t>
      </w:r>
      <w:r>
        <w:rPr>
          <w:rFonts w:hint="eastAsia" w:hAnsi="仿宋_GB2312" w:cs="仿宋_GB2312"/>
          <w:color w:val="000000"/>
          <w:sz w:val="32"/>
          <w:szCs w:val="32"/>
          <w:lang w:eastAsia="zh-CN"/>
        </w:rPr>
        <w:t>回龙乡</w:t>
      </w:r>
      <w:r>
        <w:rPr>
          <w:rFonts w:hint="eastAsia" w:hAnsi="仿宋_GB2312" w:cs="仿宋_GB2312"/>
          <w:color w:val="000000"/>
          <w:sz w:val="32"/>
          <w:szCs w:val="32"/>
        </w:rPr>
        <w:t>综合发展服务中心办公室</w:t>
      </w:r>
    </w:p>
    <w:p>
      <w:pPr>
        <w:pStyle w:val="5"/>
        <w:numPr>
          <w:ilvl w:val="0"/>
          <w:numId w:val="2"/>
        </w:numPr>
        <w:adjustRightInd w:val="0"/>
        <w:snapToGrid w:val="0"/>
        <w:spacing w:before="93" w:line="576" w:lineRule="exact"/>
        <w:ind w:firstLine="640" w:firstLineChars="200"/>
        <w:outlineLvl w:val="2"/>
        <w:rPr>
          <w:rFonts w:hAnsi="仿宋_GB2312" w:cs="仿宋_GB2312"/>
          <w:color w:val="000000"/>
          <w:sz w:val="32"/>
          <w:szCs w:val="32"/>
        </w:rPr>
      </w:pPr>
      <w:r>
        <w:rPr>
          <w:rFonts w:hint="eastAsia" w:hAnsi="仿宋_GB2312" w:cs="仿宋_GB2312"/>
          <w:color w:val="000000"/>
          <w:sz w:val="32"/>
          <w:szCs w:val="32"/>
        </w:rPr>
        <w:t>茂县</w:t>
      </w:r>
      <w:r>
        <w:rPr>
          <w:rFonts w:hint="eastAsia" w:hAnsi="仿宋_GB2312" w:cs="仿宋_GB2312"/>
          <w:color w:val="000000"/>
          <w:sz w:val="32"/>
          <w:szCs w:val="32"/>
          <w:lang w:eastAsia="zh-CN"/>
        </w:rPr>
        <w:t>回龙乡</w:t>
      </w:r>
      <w:r>
        <w:rPr>
          <w:rFonts w:hint="eastAsia" w:hAnsi="仿宋_GB2312" w:cs="仿宋_GB2312"/>
          <w:color w:val="000000"/>
          <w:sz w:val="32"/>
          <w:szCs w:val="32"/>
        </w:rPr>
        <w:t>中心校</w:t>
      </w:r>
    </w:p>
    <w:p>
      <w:pPr>
        <w:spacing w:line="576" w:lineRule="exact"/>
        <w:ind w:firstLine="640" w:firstLineChars="200"/>
        <w:rPr>
          <w:rFonts w:hint="eastAsia" w:ascii="仿宋_GB2312" w:hAnsi="黑体" w:eastAsia="仿宋_GB2312"/>
          <w:sz w:val="32"/>
          <w:szCs w:val="32"/>
        </w:rPr>
      </w:pPr>
    </w:p>
    <w:p>
      <w:pPr>
        <w:spacing w:line="576" w:lineRule="exact"/>
        <w:ind w:firstLine="640" w:firstLineChars="200"/>
        <w:rPr>
          <w:rFonts w:hint="eastAsia" w:ascii="仿宋_GB2312" w:hAnsi="黑体" w:eastAsia="仿宋_GB2312"/>
          <w:sz w:val="32"/>
          <w:szCs w:val="32"/>
        </w:rPr>
      </w:pPr>
    </w:p>
    <w:p>
      <w:pPr>
        <w:spacing w:line="576" w:lineRule="exact"/>
        <w:rPr>
          <w:rFonts w:hint="eastAsia" w:ascii="仿宋_GB2312" w:hAnsi="黑体" w:eastAsia="仿宋_GB2312"/>
          <w:sz w:val="32"/>
          <w:szCs w:val="32"/>
        </w:rPr>
      </w:pPr>
    </w:p>
    <w:p>
      <w:pPr>
        <w:numPr>
          <w:ilvl w:val="0"/>
          <w:numId w:val="3"/>
        </w:numPr>
        <w:adjustRightInd w:val="0"/>
        <w:snapToGrid w:val="0"/>
        <w:spacing w:line="360" w:lineRule="auto"/>
        <w:jc w:val="center"/>
        <w:outlineLvl w:val="0"/>
        <w:rPr>
          <w:rFonts w:ascii="黑体" w:hAnsi="黑体" w:eastAsia="黑体"/>
          <w:kern w:val="44"/>
          <w:sz w:val="44"/>
          <w:szCs w:val="44"/>
        </w:rPr>
      </w:pPr>
      <w:bookmarkStart w:id="22" w:name="_Toc15396602"/>
      <w:bookmarkStart w:id="23" w:name="_Toc15377204"/>
      <w:r>
        <w:rPr>
          <w:rStyle w:val="24"/>
          <w:rFonts w:hint="eastAsia" w:ascii="黑体" w:hAnsi="黑体" w:eastAsia="黑体"/>
          <w:b w:val="0"/>
          <w:bCs w:val="0"/>
        </w:rPr>
        <w:t>2018年度部门决算情况说明</w:t>
      </w:r>
      <w:bookmarkEnd w:id="22"/>
      <w:bookmarkEnd w:id="23"/>
    </w:p>
    <w:p>
      <w:pPr>
        <w:pStyle w:val="23"/>
        <w:numPr>
          <w:ilvl w:val="0"/>
          <w:numId w:val="4"/>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drawing>
          <wp:anchor distT="0" distB="0" distL="114300" distR="114300" simplePos="0" relativeHeight="251661312" behindDoc="0" locked="0" layoutInCell="1" allowOverlap="1">
            <wp:simplePos x="0" y="0"/>
            <wp:positionH relativeFrom="column">
              <wp:posOffset>714375</wp:posOffset>
            </wp:positionH>
            <wp:positionV relativeFrom="paragraph">
              <wp:posOffset>1161415</wp:posOffset>
            </wp:positionV>
            <wp:extent cx="3981450" cy="2105025"/>
            <wp:effectExtent l="19050" t="0" r="19050" b="0"/>
            <wp:wrapTopAndBottom/>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黑体" w:eastAsia="仿宋_GB2312"/>
          <w:color w:val="000000"/>
          <w:sz w:val="32"/>
          <w:szCs w:val="32"/>
        </w:rPr>
        <w:t>2018年度收支总计1426.46万元,与2017年相比，收入减少99.22万元，下降6.4%。主要变动原因是回龙乡贫困村全部脱贫项目投入减少。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3"/>
        <w:numPr>
          <w:ilvl w:val="0"/>
          <w:numId w:val="4"/>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62336" behindDoc="0" locked="0" layoutInCell="1" allowOverlap="1">
            <wp:simplePos x="0" y="0"/>
            <wp:positionH relativeFrom="column">
              <wp:posOffset>714375</wp:posOffset>
            </wp:positionH>
            <wp:positionV relativeFrom="paragraph">
              <wp:posOffset>1651635</wp:posOffset>
            </wp:positionV>
            <wp:extent cx="3733800" cy="2352675"/>
            <wp:effectExtent l="19050" t="0" r="19050" b="0"/>
            <wp:wrapTopAndBottom/>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 w:eastAsia="仿宋_GB2312"/>
          <w:color w:val="000000"/>
          <w:sz w:val="32"/>
          <w:szCs w:val="32"/>
        </w:rPr>
        <w:t>2018年本年收入合计1412.64万元，其中：一般公共预算财政拨款收入1347.62万元，占95.39%；政府性基金预算财政拨款收入2.7万元，占0.19%；事业收入62.2万元，占4.4%；其他收入0.12万</w:t>
      </w:r>
      <w:r>
        <w:rPr>
          <w:rFonts w:hint="eastAsia" w:ascii="仿宋_GB2312" w:hAnsi="仿宋" w:eastAsia="仿宋_GB2312"/>
          <w:sz w:val="32"/>
          <w:szCs w:val="32"/>
        </w:rPr>
        <w:t>元，占0.02%。</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3"/>
        <w:numPr>
          <w:ilvl w:val="0"/>
          <w:numId w:val="4"/>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rPr>
          <w:rFonts w:ascii="仿宋_GB2312" w:hAnsi="黑体" w:eastAsia="仿宋_GB2312"/>
          <w:color w:val="000000"/>
          <w:sz w:val="32"/>
          <w:szCs w:val="32"/>
        </w:rPr>
      </w:pPr>
      <w:r>
        <w:rPr>
          <w:rFonts w:hint="eastAsia" w:ascii="仿宋_GB2312" w:hAnsi="黑体" w:eastAsia="仿宋_GB2312"/>
          <w:color w:val="000000"/>
          <w:sz w:val="32"/>
          <w:szCs w:val="32"/>
        </w:rPr>
        <w:drawing>
          <wp:anchor distT="0" distB="0" distL="114300" distR="114300" simplePos="0" relativeHeight="251663360" behindDoc="0" locked="0" layoutInCell="1" allowOverlap="1">
            <wp:simplePos x="0" y="0"/>
            <wp:positionH relativeFrom="column">
              <wp:posOffset>390525</wp:posOffset>
            </wp:positionH>
            <wp:positionV relativeFrom="paragraph">
              <wp:posOffset>971550</wp:posOffset>
            </wp:positionV>
            <wp:extent cx="4114800" cy="2371725"/>
            <wp:effectExtent l="19050" t="0" r="19050" b="0"/>
            <wp:wrapTopAndBottom/>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黑体" w:eastAsia="仿宋_GB2312"/>
          <w:color w:val="000000"/>
          <w:sz w:val="32"/>
          <w:szCs w:val="32"/>
        </w:rPr>
        <w:t>2018年本年支出合计1373.33万元，其中：基本支出1204.10万元，占87.67%；项目支出169.23万元，占12.33%。</w:t>
      </w:r>
    </w:p>
    <w:p>
      <w:pPr>
        <w:pStyle w:val="3"/>
        <w:keepNext/>
        <w:keepLines/>
        <w:pageBreakBefore w:val="0"/>
        <w:widowControl w:val="0"/>
        <w:tabs>
          <w:tab w:val="left" w:pos="7275"/>
        </w:tabs>
        <w:kinsoku/>
        <w:wordWrap/>
        <w:overflowPunct/>
        <w:topLinePunct w:val="0"/>
        <w:autoSpaceDE/>
        <w:autoSpaceDN/>
        <w:bidi w:val="0"/>
        <w:adjustRightInd/>
        <w:snapToGrid/>
        <w:spacing w:line="416" w:lineRule="auto"/>
        <w:ind w:firstLine="640" w:firstLineChars="200"/>
        <w:textAlignment w:val="auto"/>
        <w:rPr>
          <w:rStyle w:val="25"/>
          <w:rFonts w:ascii="黑体" w:hAnsi="黑体" w:eastAsia="黑体"/>
          <w:b w:val="0"/>
          <w:bCs/>
        </w:rPr>
      </w:pPr>
      <w:bookmarkStart w:id="30" w:name="_Toc15377208"/>
      <w:bookmarkStart w:id="31" w:name="_Toc15396606"/>
      <w:r>
        <w:rPr>
          <w:rFonts w:hint="eastAsia" w:ascii="黑体" w:hAnsi="黑体" w:eastAsia="黑体"/>
          <w:b w:val="0"/>
          <w:bCs w:val="0"/>
          <w:color w:val="000000"/>
        </w:rPr>
        <w:t>四、财</w:t>
      </w:r>
      <w:r>
        <w:rPr>
          <w:rStyle w:val="25"/>
          <w:rFonts w:hint="eastAsia" w:ascii="黑体" w:hAnsi="黑体" w:eastAsia="黑体"/>
          <w:b w:val="0"/>
          <w:bCs/>
        </w:rPr>
        <w:t>政拨款收入支出决算总体情况说明</w:t>
      </w:r>
      <w:bookmarkEnd w:id="30"/>
      <w:bookmarkEnd w:id="31"/>
      <w:r>
        <w:rPr>
          <w:rStyle w:val="25"/>
          <w:rFonts w:ascii="黑体" w:hAnsi="黑体" w:eastAsia="黑体"/>
          <w:b w:val="0"/>
          <w:bCs/>
        </w:rPr>
        <w:tab/>
      </w:r>
    </w:p>
    <w:p>
      <w:pPr>
        <w:spacing w:line="60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sz w:val="32"/>
          <w:szCs w:val="32"/>
        </w:rPr>
        <w:drawing>
          <wp:anchor distT="0" distB="0" distL="114300" distR="114300" simplePos="0" relativeHeight="251664384" behindDoc="0" locked="0" layoutInCell="1" allowOverlap="1">
            <wp:simplePos x="0" y="0"/>
            <wp:positionH relativeFrom="column">
              <wp:posOffset>542925</wp:posOffset>
            </wp:positionH>
            <wp:positionV relativeFrom="paragraph">
              <wp:posOffset>1340485</wp:posOffset>
            </wp:positionV>
            <wp:extent cx="4048125" cy="2257425"/>
            <wp:effectExtent l="19050" t="0" r="9525" b="0"/>
            <wp:wrapTopAndBottom/>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黑体" w:eastAsia="仿宋_GB2312"/>
          <w:color w:val="000000"/>
          <w:sz w:val="32"/>
          <w:szCs w:val="32"/>
        </w:rPr>
        <w:t>2018年财政拨款收入总计1364.13万元。与2017年相比，财政拨款收入减少161.55万元，下降10.58%。主要变动原因是回龙乡贫困村全部脱贫项目投入减少。</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32" w:name="_Toc15396607"/>
      <w:bookmarkStart w:id="33" w:name="_Toc15377209"/>
      <w:r>
        <w:rPr>
          <w:rFonts w:hint="eastAsia" w:ascii="黑体" w:hAnsi="黑体" w:eastAsia="黑体"/>
          <w:b w:val="0"/>
          <w:bCs w:val="0"/>
          <w:color w:val="000000"/>
        </w:rPr>
        <w:t>五</w:t>
      </w:r>
      <w:r>
        <w:rPr>
          <w:rFonts w:hint="eastAsia" w:ascii="黑体" w:hAnsi="黑体" w:eastAsia="黑体"/>
          <w:color w:val="000000"/>
        </w:rPr>
        <w:t>、一</w:t>
      </w:r>
      <w:r>
        <w:rPr>
          <w:rStyle w:val="25"/>
          <w:rFonts w:hint="eastAsia" w:ascii="黑体" w:hAnsi="黑体" w:eastAsia="黑体"/>
          <w:b w:val="0"/>
          <w:bCs/>
        </w:rPr>
        <w:t>般公共预算财政拨款支出决算情况说明</w:t>
      </w:r>
      <w:bookmarkEnd w:id="32"/>
      <w:bookmarkEnd w:id="33"/>
      <w:bookmarkStart w:id="34" w:name="_Toc15377210"/>
    </w:p>
    <w:p>
      <w:pPr>
        <w:spacing w:line="600" w:lineRule="exact"/>
        <w:ind w:firstLine="642" w:firstLineChars="200"/>
        <w:outlineLvl w:val="1"/>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drawing>
          <wp:anchor distT="0" distB="0" distL="114300" distR="114300" simplePos="0" relativeHeight="251665408" behindDoc="0" locked="0" layoutInCell="1" allowOverlap="1">
            <wp:simplePos x="0" y="0"/>
            <wp:positionH relativeFrom="column">
              <wp:posOffset>723900</wp:posOffset>
            </wp:positionH>
            <wp:positionV relativeFrom="paragraph">
              <wp:posOffset>1629410</wp:posOffset>
            </wp:positionV>
            <wp:extent cx="4076700" cy="2505075"/>
            <wp:effectExtent l="19050" t="0" r="19050" b="0"/>
            <wp:wrapTopAndBottom/>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楷体" w:eastAsia="仿宋_GB2312"/>
          <w:color w:val="000000"/>
          <w:sz w:val="32"/>
          <w:szCs w:val="32"/>
        </w:rPr>
        <w:t>2018年一般公共预算财政拨款支出1326.45万元，占本年支出合计的96.58%。与2017年相比，一般公共预算财政拨款减少246.01万元，下降15.43%。主要变动原因是回龙乡贫困村全部脱贫项目投入减少。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2" w:firstLineChars="200"/>
        <w:outlineLvl w:val="1"/>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_GB2312" w:hAnsi="楷体" w:eastAsia="仿宋_GB2312"/>
          <w:color w:val="000000" w:themeColor="text1"/>
          <w:sz w:val="32"/>
          <w:szCs w:val="32"/>
          <w14:textFill>
            <w14:solidFill>
              <w14:schemeClr w14:val="tx1"/>
            </w14:solidFill>
          </w14:textFill>
        </w:rPr>
      </w:pPr>
      <w:r>
        <w:rPr>
          <w:rFonts w:hint="eastAsia" w:ascii="仿宋_GB2312" w:hAnsi="楷体" w:eastAsia="仿宋_GB2312"/>
          <w:color w:val="000000"/>
          <w:sz w:val="32"/>
          <w:szCs w:val="32"/>
        </w:rPr>
        <w:t>2018年一般公共预算财</w:t>
      </w:r>
      <w:r>
        <w:rPr>
          <w:rFonts w:hint="eastAsia" w:ascii="仿宋_GB2312" w:hAnsi="楷体" w:eastAsia="仿宋_GB2312"/>
          <w:color w:val="000000" w:themeColor="text1"/>
          <w:sz w:val="32"/>
          <w:szCs w:val="32"/>
          <w14:textFill>
            <w14:solidFill>
              <w14:schemeClr w14:val="tx1"/>
            </w14:solidFill>
          </w14:textFill>
        </w:rPr>
        <w:t>政拨款支出1326.45万元，主要用于以下方面:一般公共服务支出190.7</w:t>
      </w:r>
      <w:r>
        <w:rPr>
          <w:rFonts w:hint="eastAsia" w:ascii="仿宋_GB2312" w:hAnsi="楷体" w:eastAsia="仿宋_GB2312"/>
          <w:color w:val="000000" w:themeColor="text1"/>
          <w:sz w:val="32"/>
          <w:szCs w:val="32"/>
          <w:lang w:val="en-US" w:eastAsia="zh-CN"/>
          <w14:textFill>
            <w14:solidFill>
              <w14:schemeClr w14:val="tx1"/>
            </w14:solidFill>
          </w14:textFill>
        </w:rPr>
        <w:t>8</w:t>
      </w:r>
      <w:r>
        <w:rPr>
          <w:rFonts w:hint="eastAsia" w:ascii="仿宋_GB2312" w:hAnsi="楷体" w:eastAsia="仿宋_GB2312"/>
          <w:color w:val="000000" w:themeColor="text1"/>
          <w:sz w:val="32"/>
          <w:szCs w:val="32"/>
          <w14:textFill>
            <w14:solidFill>
              <w14:schemeClr w14:val="tx1"/>
            </w14:solidFill>
          </w14:textFill>
        </w:rPr>
        <w:t>万元，占13.89%；国防支出1.21万元，占0.08%；公共安全支出2.27万元，占0.16%</w:t>
      </w:r>
      <w:r>
        <w:rPr>
          <w:rFonts w:hint="eastAsia" w:ascii="仿宋_GB2312" w:hAnsi="楷体" w:eastAsia="仿宋_GB2312"/>
          <w:color w:val="000000" w:themeColor="text1"/>
          <w:sz w:val="32"/>
          <w:szCs w:val="32"/>
          <w:lang w:val="en-US" w:eastAsia="zh-CN"/>
          <w14:textFill>
            <w14:solidFill>
              <w14:schemeClr w14:val="tx1"/>
            </w14:solidFill>
          </w14:textFill>
        </w:rPr>
        <w:t>;</w:t>
      </w:r>
      <w:r>
        <w:rPr>
          <w:rFonts w:hint="eastAsia" w:ascii="仿宋_GB2312" w:hAnsi="楷体" w:eastAsia="仿宋_GB2312"/>
          <w:color w:val="000000" w:themeColor="text1"/>
          <w:sz w:val="32"/>
          <w:szCs w:val="32"/>
          <w14:textFill>
            <w14:solidFill>
              <w14:schemeClr w14:val="tx1"/>
            </w14:solidFill>
          </w14:textFill>
        </w:rPr>
        <w:t>教育支出221.23万元，占16.10%；社会保障和就业支出173.07万元，占12.6%；医疗卫生支出438.3</w:t>
      </w:r>
      <w:r>
        <w:rPr>
          <w:rFonts w:hint="eastAsia" w:ascii="仿宋_GB2312" w:hAnsi="楷体" w:eastAsia="仿宋_GB2312"/>
          <w:color w:val="000000" w:themeColor="text1"/>
          <w:sz w:val="32"/>
          <w:szCs w:val="32"/>
          <w:lang w:val="en-US" w:eastAsia="zh-CN"/>
          <w14:textFill>
            <w14:solidFill>
              <w14:schemeClr w14:val="tx1"/>
            </w14:solidFill>
          </w14:textFill>
        </w:rPr>
        <w:t>0</w:t>
      </w:r>
      <w:r>
        <w:rPr>
          <w:rFonts w:hint="eastAsia" w:ascii="仿宋_GB2312" w:hAnsi="楷体" w:eastAsia="仿宋_GB2312"/>
          <w:color w:val="000000" w:themeColor="text1"/>
          <w:sz w:val="32"/>
          <w:szCs w:val="32"/>
          <w14:textFill>
            <w14:solidFill>
              <w14:schemeClr w14:val="tx1"/>
            </w14:solidFill>
          </w14:textFill>
        </w:rPr>
        <w:t>万元，占35.13%；农林水支出209.62万元，占15.26%;住房保障支出89.9</w:t>
      </w:r>
      <w:r>
        <w:rPr>
          <w:rFonts w:hint="eastAsia" w:ascii="仿宋_GB2312" w:hAnsi="楷体" w:eastAsia="仿宋_GB2312"/>
          <w:color w:val="000000" w:themeColor="text1"/>
          <w:sz w:val="32"/>
          <w:szCs w:val="32"/>
          <w:lang w:val="en-US" w:eastAsia="zh-CN"/>
          <w14:textFill>
            <w14:solidFill>
              <w14:schemeClr w14:val="tx1"/>
            </w14:solidFill>
          </w14:textFill>
        </w:rPr>
        <w:t>7</w:t>
      </w:r>
      <w:r>
        <w:rPr>
          <w:rFonts w:hint="eastAsia" w:ascii="仿宋_GB2312" w:hAnsi="楷体" w:eastAsia="仿宋_GB2312"/>
          <w:color w:val="000000" w:themeColor="text1"/>
          <w:sz w:val="32"/>
          <w:szCs w:val="32"/>
          <w14:textFill>
            <w14:solidFill>
              <w14:schemeClr w14:val="tx1"/>
            </w14:solidFill>
          </w14:textFill>
        </w:rPr>
        <w:t>万元，占6.55%。</w:t>
      </w:r>
    </w:p>
    <w:p>
      <w:pPr>
        <w:spacing w:line="600" w:lineRule="exact"/>
        <w:ind w:firstLine="64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285750</wp:posOffset>
            </wp:positionH>
            <wp:positionV relativeFrom="paragraph">
              <wp:posOffset>219075</wp:posOffset>
            </wp:positionV>
            <wp:extent cx="4572000" cy="2743200"/>
            <wp:effectExtent l="19050" t="0" r="19050" b="0"/>
            <wp:wrapNone/>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（图6：一般公共预算财政拨款支出决算结构）（饼状图）</w:t>
      </w:r>
    </w:p>
    <w:p>
      <w:pPr>
        <w:spacing w:line="600" w:lineRule="exact"/>
        <w:ind w:firstLine="642" w:firstLineChars="200"/>
        <w:outlineLvl w:val="1"/>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0" w:firstLineChars="200"/>
        <w:outlineLvl w:val="2"/>
        <w:rPr>
          <w:rStyle w:val="14"/>
          <w:rFonts w:ascii="仿宋_GB2312" w:eastAsia="仿宋_GB2312" w:cs="仿宋_GB2312"/>
          <w:bCs/>
          <w:color w:val="000000"/>
        </w:rPr>
      </w:pPr>
      <w:bookmarkStart w:id="37" w:name="_Toc15378460"/>
      <w:bookmarkStart w:id="38" w:name="_Toc15377444"/>
      <w:bookmarkStart w:id="39" w:name="_Toc15377213"/>
      <w:r>
        <w:rPr>
          <w:rStyle w:val="14"/>
          <w:rFonts w:hint="eastAsia" w:ascii="仿宋_GB2312" w:hAnsi="楷体" w:eastAsia="仿宋_GB2312" w:cs="仿宋_GB2312"/>
          <w:b w:val="0"/>
          <w:bCs/>
          <w:color w:val="000000"/>
          <w:sz w:val="32"/>
          <w:szCs w:val="32"/>
        </w:rPr>
        <w:t>2018年般公共预算支出决算数为1326.45万元，完成预算100</w:t>
      </w:r>
      <w:r>
        <w:rPr>
          <w:rStyle w:val="14"/>
          <w:rFonts w:ascii="仿宋_GB2312" w:hAnsi="楷体" w:eastAsia="仿宋_GB2312" w:cs="仿宋_GB2312"/>
          <w:b w:val="0"/>
          <w:bCs/>
          <w:color w:val="000000"/>
          <w:sz w:val="32"/>
          <w:szCs w:val="32"/>
        </w:rPr>
        <w:t>%</w:t>
      </w:r>
      <w:r>
        <w:rPr>
          <w:rStyle w:val="14"/>
          <w:rFonts w:hint="eastAsia" w:ascii="仿宋_GB2312" w:hAnsi="楷体" w:eastAsia="仿宋_GB2312" w:cs="仿宋_GB2312"/>
          <w:b w:val="0"/>
          <w:bCs/>
          <w:color w:val="000000"/>
          <w:sz w:val="32"/>
          <w:szCs w:val="32"/>
        </w:rPr>
        <w:t>。其中：</w:t>
      </w:r>
      <w:bookmarkEnd w:id="37"/>
      <w:bookmarkEnd w:id="38"/>
      <w:bookmarkEnd w:id="39"/>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1.一般公共服务（201）人大事务（01）人大会议（04）:支出决算为2.05万元，完成预算100%，决算数等于预算数。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2.一般公共服务（201）政府办公厅（室）及相关机构事务（03）行政运行（01）:支出决算为123.78万元，完成预算100%，决算数等于预算数。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3.一般公共服务（201）政府办公厅（室）及相关机构事务（03）一般行政管理事务（02）:支出决算为19万元，完成预算100%，决算数等于预算数。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4.一般公共服务（201）财政事务（06）事业运行（50）:支出决算为15.94万元，完成预算100%，决算数等于预算数。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5.一般公共服务（201）民族事务（23）其他民族事务支出（99）:支出决算为0.5万元，完成预算100%，决算数等于预算数。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6.一般公共服务（201）党委办公厅（室）及相关机构事务（31）行政运行（01）:支出决算为29.51万元，完成预算100%，决算数等于预算数。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7.国防支出（203）其他国防支出（99）其他国防支出（01）: 支出决算为1.21万元，完成预算100%，决算数等于预算数。</w:t>
      </w:r>
    </w:p>
    <w:p>
      <w:pPr>
        <w:spacing w:line="576" w:lineRule="exact"/>
        <w:ind w:firstLine="640" w:firstLineChars="200"/>
        <w:rPr>
          <w:rFonts w:ascii="仿宋_GB2312" w:hAnsi="楷体" w:eastAsia="仿宋_GB2312" w:cs="仿宋_GB2312"/>
          <w:bCs/>
          <w:color w:val="000000"/>
          <w:sz w:val="32"/>
          <w:szCs w:val="32"/>
        </w:rPr>
      </w:pPr>
      <w:r>
        <w:rPr>
          <w:rStyle w:val="14"/>
          <w:rFonts w:hint="eastAsia" w:ascii="仿宋_GB2312" w:hAnsi="楷体" w:eastAsia="仿宋_GB2312" w:cs="仿宋_GB2312"/>
          <w:b w:val="0"/>
          <w:bCs/>
          <w:color w:val="000000"/>
          <w:sz w:val="32"/>
          <w:szCs w:val="32"/>
        </w:rPr>
        <w:t>8.公共安全支出（204）公安（02）一般行政管理事务（02）: 支出决算为2.27万元，完成预算100%，决算数等于预算数。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9.教育（205）普通教育（02）学前教育（01）:支出决算为19.34万元，完成预算100%，决算数等于预算数。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10.教育（205）普通教育（02）小学教育（02）:支出决算为193.19万元，完成预算99.94%，决算数小于预算数的主要年末有结转资金。</w:t>
      </w:r>
    </w:p>
    <w:p>
      <w:pPr>
        <w:spacing w:line="576" w:lineRule="exact"/>
        <w:ind w:firstLine="640" w:firstLineChars="200"/>
        <w:rPr>
          <w:rFonts w:ascii="仿宋_GB2312" w:hAnsi="楷体" w:eastAsia="仿宋_GB2312" w:cs="仿宋_GB2312"/>
          <w:bCs/>
          <w:color w:val="000000"/>
          <w:sz w:val="32"/>
          <w:szCs w:val="32"/>
        </w:rPr>
      </w:pPr>
      <w:r>
        <w:rPr>
          <w:rStyle w:val="14"/>
          <w:rFonts w:hint="eastAsia" w:ascii="仿宋_GB2312" w:hAnsi="楷体" w:eastAsia="仿宋_GB2312" w:cs="仿宋_GB2312"/>
          <w:b w:val="0"/>
          <w:bCs/>
          <w:color w:val="000000"/>
          <w:sz w:val="32"/>
          <w:szCs w:val="32"/>
        </w:rPr>
        <w:t>11.教育（205）教育费附加安排的支出（09）其他教育费附加安排的支出（99）:支出决算为8.7万元，完成预算100%，决算数等于预算数。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12.社会保障和就业（208）行政事业单位离退休（05）机关事业单位基本养老保险缴费支出（05）:支出决算为115.37万元，完成预算100%，决算数等于预算数。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13.社会保障和就业（208）行政事业单位离退休（05）机关事业单位职业年金缴费支出（06）:支出决算为42.28万元，完成预算100%，决算数等于预算数。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14.社会保障和就业（208）抚恤（08）在乡复员、退伍军人生活补助（03）:支出决算为13.62万元，完成预算100%，决算数等于预算数。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15.社会保障和就业（208）社会福利（10）老年福利（02）:支出决算为0.63万元，完成预算100%，决算数等于预算数。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16.社会保障和就业（208）社会福利（10）其他社会福利支出（99）:支出决算为1.17万元，完成预算100%，决算数等于预算数。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17.医疗卫生与计划生育（210）基层医疗卫生机构（03）乡镇卫生院（02）:支出决算为369.21万元，完成预算100%，决算数等于预算数。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18.医疗卫生与计划生育（210）行政事业单位医疗（11）行政单位医疗（01）:支出决算为18.59万元，完成预算100%，决算数等于预算数。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19.医疗卫生与计划生育（210）行政事业单位医疗（11）事业单位医疗（02）:支出决算为50.5万元，完成预算100%，决算数等于预算数。</w:t>
      </w:r>
    </w:p>
    <w:p>
      <w:pPr>
        <w:spacing w:line="576" w:lineRule="exact"/>
        <w:ind w:firstLine="640" w:firstLineChars="200"/>
        <w:rPr>
          <w:rFonts w:ascii="仿宋_GB2312" w:hAnsi="楷体" w:eastAsia="仿宋_GB2312" w:cs="仿宋_GB2312"/>
          <w:color w:val="000000"/>
          <w:sz w:val="32"/>
          <w:szCs w:val="32"/>
        </w:rPr>
      </w:pPr>
      <w:r>
        <w:rPr>
          <w:rStyle w:val="14"/>
          <w:rFonts w:hint="eastAsia" w:ascii="仿宋_GB2312" w:hAnsi="楷体" w:eastAsia="仿宋_GB2312" w:cs="仿宋_GB2312"/>
          <w:b w:val="0"/>
          <w:bCs/>
          <w:color w:val="000000"/>
          <w:sz w:val="32"/>
          <w:szCs w:val="32"/>
        </w:rPr>
        <w:t>20.农林水支出（213）农业（01）事业运行（04）:支出决算为82.56万元，完成预算100%，决算数等于预算数。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21.农林水支出（213）农业（01）对高校毕业生到基层任职补助（52）:支出决算为5.12万元，完成预算100%，决算数等于预算数。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22.农林水支出（213）农业（01）其他农业支出（99）:支出决算为13.72万元，完成预算</w:t>
      </w:r>
      <w:r>
        <w:rPr>
          <w:rStyle w:val="14"/>
          <w:rFonts w:hint="eastAsia" w:ascii="仿宋_GB2312" w:hAnsi="楷体" w:eastAsia="仿宋_GB2312" w:cs="仿宋_GB2312"/>
          <w:b w:val="0"/>
          <w:bCs/>
          <w:color w:val="000000"/>
          <w:sz w:val="32"/>
          <w:szCs w:val="32"/>
          <w:lang w:val="en-US" w:eastAsia="zh-CN"/>
        </w:rPr>
        <w:t>100</w:t>
      </w:r>
      <w:r>
        <w:rPr>
          <w:rStyle w:val="14"/>
          <w:rFonts w:hint="eastAsia" w:ascii="仿宋_GB2312" w:hAnsi="楷体" w:eastAsia="仿宋_GB2312" w:cs="仿宋_GB2312"/>
          <w:b w:val="0"/>
          <w:bCs/>
          <w:color w:val="000000"/>
          <w:sz w:val="32"/>
          <w:szCs w:val="32"/>
        </w:rPr>
        <w:t>%，决算数等于预算数。的是资金的结转。</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23.农林水支出（213）林业（02）林业事业机构（04）:支出决算为9.68万元，完成预算100%，决算数等于预算数。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24.农林水支出（213）扶贫（05）其他扶贫支出（99）:支出决算为12万元，完成预算100%，决算数等于预算数。</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 xml:space="preserve">25.农林水支出（213）农村综合改革（07）对村民委员会和村党支部的补助（05）:支出决算为85.15万元，完成预算100%， </w:t>
      </w:r>
    </w:p>
    <w:p>
      <w:pPr>
        <w:spacing w:line="576" w:lineRule="exact"/>
        <w:ind w:firstLine="640" w:firstLineChars="200"/>
        <w:rPr>
          <w:rStyle w:val="14"/>
          <w:rFonts w:ascii="仿宋_GB2312" w:hAnsi="楷体" w:eastAsia="仿宋_GB2312" w:cs="仿宋_GB2312"/>
          <w:b w:val="0"/>
          <w:bCs/>
          <w:color w:val="000000"/>
          <w:sz w:val="32"/>
          <w:szCs w:val="32"/>
        </w:rPr>
      </w:pPr>
      <w:r>
        <w:rPr>
          <w:rStyle w:val="14"/>
          <w:rFonts w:hint="eastAsia" w:ascii="仿宋_GB2312" w:hAnsi="楷体" w:eastAsia="仿宋_GB2312" w:cs="仿宋_GB2312"/>
          <w:b w:val="0"/>
          <w:bCs/>
          <w:color w:val="000000"/>
          <w:sz w:val="32"/>
          <w:szCs w:val="32"/>
        </w:rPr>
        <w:t>26.农林水支出（213）其他农林水支出（99）其他农林水支出（99）:支出决算为1.39万元，完成预算100%，决算数等于预算数。</w:t>
      </w:r>
    </w:p>
    <w:p>
      <w:pPr>
        <w:spacing w:line="576" w:lineRule="exact"/>
        <w:ind w:firstLine="640" w:firstLineChars="200"/>
        <w:rPr>
          <w:rFonts w:ascii="仿宋_GB2312" w:hAnsi="楷体" w:eastAsia="仿宋_GB2312" w:cs="仿宋_GB2312"/>
          <w:color w:val="000000"/>
          <w:sz w:val="32"/>
          <w:szCs w:val="32"/>
        </w:rPr>
      </w:pPr>
      <w:r>
        <w:rPr>
          <w:rStyle w:val="14"/>
          <w:rFonts w:hint="eastAsia" w:ascii="仿宋_GB2312" w:hAnsi="楷体" w:eastAsia="仿宋_GB2312" w:cs="仿宋_GB2312"/>
          <w:b w:val="0"/>
          <w:bCs/>
          <w:color w:val="000000"/>
          <w:sz w:val="32"/>
          <w:szCs w:val="32"/>
        </w:rPr>
        <w:t>27.住房保障支出（221）住房改革支出（02）住房公积金（01）:支出决算为88.95万元，完成预算100%，决算数等于预算数。</w:t>
      </w:r>
    </w:p>
    <w:p>
      <w:pPr>
        <w:spacing w:line="576" w:lineRule="exact"/>
        <w:ind w:firstLine="640" w:firstLineChars="200"/>
        <w:rPr>
          <w:rFonts w:ascii="仿宋_GB2312" w:hAnsi="楷体" w:eastAsia="仿宋_GB2312" w:cs="仿宋_GB2312"/>
          <w:color w:val="000000"/>
          <w:sz w:val="32"/>
          <w:szCs w:val="32"/>
        </w:rPr>
      </w:pPr>
      <w:r>
        <w:rPr>
          <w:rStyle w:val="14"/>
          <w:rFonts w:hint="eastAsia" w:ascii="仿宋_GB2312" w:hAnsi="楷体" w:eastAsia="仿宋_GB2312" w:cs="仿宋_GB2312"/>
          <w:b w:val="0"/>
          <w:bCs/>
          <w:color w:val="000000"/>
          <w:sz w:val="32"/>
          <w:szCs w:val="32"/>
        </w:rPr>
        <w:t>28.住房保障支出（221）住房改革支出（02）购房补贴（03）:支出决算为1.02万元，完成预算100%，决算数等于预算数。</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b/>
          <w:bCs/>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w:t>
      </w:r>
      <w:r>
        <w:rPr>
          <w:rStyle w:val="25"/>
          <w:rFonts w:hint="eastAsia" w:ascii="黑体" w:hAnsi="黑体" w:eastAsia="黑体"/>
          <w:b w:val="0"/>
          <w:bCs/>
        </w:rPr>
        <w:t>公共预算财政拨款基本支出决算情况说明</w:t>
      </w:r>
      <w:bookmarkEnd w:id="40"/>
      <w:bookmarkEnd w:id="41"/>
    </w:p>
    <w:p>
      <w:pPr>
        <w:spacing w:line="600" w:lineRule="exact"/>
        <w:ind w:firstLine="645"/>
        <w:rPr>
          <w:rFonts w:ascii="楷体" w:hAnsi="楷体" w:eastAsia="楷体"/>
          <w:color w:val="000000"/>
          <w:sz w:val="32"/>
          <w:szCs w:val="32"/>
        </w:rPr>
      </w:pPr>
      <w:r>
        <w:rPr>
          <w:rFonts w:ascii="楷体" w:hAnsi="楷体" w:eastAsia="楷体"/>
          <w:color w:val="000000"/>
          <w:sz w:val="32"/>
          <w:szCs w:val="32"/>
        </w:rPr>
        <w:t>201</w:t>
      </w:r>
      <w:r>
        <w:rPr>
          <w:rFonts w:hint="eastAsia" w:ascii="楷体" w:hAnsi="楷体" w:eastAsia="楷体"/>
          <w:color w:val="000000"/>
          <w:sz w:val="32"/>
          <w:szCs w:val="32"/>
        </w:rPr>
        <w:t>8年一般公共预算财政拨款基本支出1159.91万元，其中：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1128.11万元，主要包括：基本工资、津贴补贴、奖金、绩效工资、机关事业单位基本养老保险缴费、职业年金缴费、职工基本医疗保险缴费、其他社会保障缴费、其他工资福利支出、抚恤金、生活补助、医疗费、奖励金、住房公积金、购房补贴等。</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公用经费31.8万元，主要包括：办公费、印刷费、电费、邮电费、差旅费、培训费、公务用车运行维护费等。</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rFonts w:ascii="黑体" w:hAnsi="黑体" w:eastAsia="黑体"/>
          <w:b w:val="0"/>
          <w:bCs w:val="0"/>
        </w:rPr>
      </w:pPr>
      <w:bookmarkStart w:id="42" w:name="_Toc15396609"/>
      <w:bookmarkStart w:id="43" w:name="_Toc15377215"/>
      <w:r>
        <w:rPr>
          <w:rFonts w:hint="eastAsia" w:ascii="黑体" w:eastAsia="黑体"/>
          <w:b w:val="0"/>
          <w:bCs w:val="0"/>
          <w:color w:val="000000"/>
        </w:rPr>
        <w:t>七、</w:t>
      </w:r>
      <w:r>
        <w:rPr>
          <w:rStyle w:val="25"/>
          <w:rFonts w:hint="eastAsia" w:ascii="黑体" w:hAnsi="黑体" w:eastAsia="黑体"/>
          <w:b w:val="0"/>
          <w:bCs w:val="0"/>
        </w:rPr>
        <w:t>“三公”经费财政拨款支出决算情况说明</w:t>
      </w:r>
      <w:bookmarkEnd w:id="42"/>
      <w:bookmarkEnd w:id="43"/>
    </w:p>
    <w:p>
      <w:pPr>
        <w:spacing w:line="600" w:lineRule="exact"/>
        <w:ind w:firstLine="642" w:firstLineChars="200"/>
        <w:outlineLvl w:val="1"/>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2018年“三公”经费财政拨款支出决算为4万元，完成预算100%，决算数小于预算数，主要原因是公务接待未支付。</w:t>
      </w:r>
    </w:p>
    <w:p>
      <w:pPr>
        <w:spacing w:line="600" w:lineRule="exact"/>
        <w:ind w:firstLine="642" w:firstLineChars="200"/>
        <w:outlineLvl w:val="1"/>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60288" behindDoc="0" locked="0" layoutInCell="1" allowOverlap="1">
            <wp:simplePos x="0" y="0"/>
            <wp:positionH relativeFrom="column">
              <wp:posOffset>790575</wp:posOffset>
            </wp:positionH>
            <wp:positionV relativeFrom="paragraph">
              <wp:posOffset>1740535</wp:posOffset>
            </wp:positionV>
            <wp:extent cx="4124325" cy="2419350"/>
            <wp:effectExtent l="19050" t="0" r="9525" b="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 w:eastAsia="仿宋_GB2312"/>
          <w:color w:val="000000"/>
          <w:sz w:val="32"/>
          <w:szCs w:val="32"/>
        </w:rPr>
        <w:t>2018年“三公”经费财政拨款支出决算中，因公出国（境）费支出决算0万元，占0%；公务用车购置及运行维护费支出决算4万元，占100%；公务接待费支出决算0万元，占0%。具体情况如下：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r>
        <w:rPr>
          <w:rFonts w:hint="eastAsia" w:ascii="仿宋_GB2312" w:eastAsia="仿宋_GB2312"/>
          <w:color w:val="000000"/>
          <w:sz w:val="32"/>
          <w:szCs w:val="32"/>
        </w:rPr>
        <w:t>全年安排因公出国（境）团组0次，出国（境）0人。因公出国（境）支出决算比2017年增加/减少0万元，增长/下降0%。</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4万元,</w:t>
      </w:r>
      <w:r>
        <w:rPr>
          <w:rStyle w:val="14"/>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公务用车购置及运行维护费支出决算比2017年无增减。主要原因是严格按预算支付。</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0万元。全年按规定更新购置公务用车0辆，其中：轿车0辆、金额0万元，越野车0辆、金额0万元，载客汽0辆、金额0万元0。截至2018年12月底，单位共有公务用车5辆，其中：轿车3辆、越野车1辆、载客汽车1辆。</w:t>
      </w:r>
    </w:p>
    <w:p>
      <w:pPr>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4万元。主要用于</w:t>
      </w:r>
      <w:r>
        <w:rPr>
          <w:rFonts w:hint="eastAsia" w:ascii="仿宋_GB2312" w:eastAsia="仿宋_GB2312"/>
          <w:color w:val="000000"/>
          <w:sz w:val="32"/>
          <w:szCs w:val="32"/>
          <w:lang w:eastAsia="zh-CN"/>
        </w:rPr>
        <w:t>下村开展日常工作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r>
        <w:rPr>
          <w:rStyle w:val="14"/>
          <w:rFonts w:hint="eastAsia" w:ascii="仿宋_GB2312" w:hAnsi="仿宋" w:eastAsia="仿宋_GB2312"/>
          <w:b w:val="0"/>
          <w:bCs/>
          <w:color w:val="000000"/>
          <w:sz w:val="32"/>
          <w:szCs w:val="32"/>
        </w:rPr>
        <w:t>完成预算0%。</w:t>
      </w:r>
      <w:r>
        <w:rPr>
          <w:rFonts w:hint="eastAsia" w:ascii="仿宋_GB2312" w:eastAsia="仿宋_GB2312"/>
          <w:color w:val="000000"/>
          <w:sz w:val="32"/>
          <w:szCs w:val="32"/>
        </w:rPr>
        <w:t>公务接待费支出决算比2017年无增减。</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主要用于执行公务、开展业务活动开支的交通费、住宿费、用餐费等。国内公务接待0批次，0人次（不包括陪同人员），共计支出0万元。其中：</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bookmarkStart w:id="46" w:name="_Toc15377218"/>
      <w:bookmarkStart w:id="47" w:name="_Toc15396610"/>
    </w:p>
    <w:p>
      <w:pPr>
        <w:pStyle w:val="3"/>
        <w:keepNext/>
        <w:keepLines/>
        <w:pageBreakBefore w:val="0"/>
        <w:widowControl w:val="0"/>
        <w:kinsoku/>
        <w:wordWrap/>
        <w:overflowPunct/>
        <w:topLinePunct w:val="0"/>
        <w:autoSpaceDE/>
        <w:autoSpaceDN/>
        <w:bidi w:val="0"/>
        <w:adjustRightInd/>
        <w:snapToGrid/>
        <w:spacing w:line="416" w:lineRule="auto"/>
        <w:ind w:firstLine="642" w:firstLineChars="200"/>
        <w:textAlignment w:val="auto"/>
        <w:rPr>
          <w:rStyle w:val="25"/>
          <w:rFonts w:ascii="仿宋" w:hAnsi="仿宋" w:eastAsia="仿宋"/>
          <w:b/>
          <w:bCs/>
          <w:color w:val="000000"/>
        </w:rPr>
      </w:pPr>
      <w:r>
        <w:rPr>
          <w:rFonts w:hint="eastAsia" w:ascii="黑体" w:eastAsia="黑体"/>
          <w:color w:val="000000"/>
        </w:rPr>
        <w:t>八、</w:t>
      </w:r>
      <w:r>
        <w:rPr>
          <w:rStyle w:val="25"/>
          <w:rFonts w:hint="eastAsia" w:ascii="黑体" w:hAnsi="黑体" w:eastAsia="黑体"/>
          <w:b w:val="0"/>
          <w:bCs/>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8年政府性基金预算拨款支出2.7万元。</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rFonts w:ascii="黑体" w:hAnsi="黑体" w:eastAsia="黑体"/>
          <w:b w:val="0"/>
          <w:bCs w:val="0"/>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pStyle w:val="3"/>
        <w:ind w:firstLine="640" w:firstLineChars="200"/>
        <w:rPr>
          <w:rFonts w:ascii="仿宋_GB2312" w:hAnsi="黑体" w:eastAsia="仿宋_GB2312"/>
          <w:b w:val="0"/>
        </w:rPr>
      </w:pPr>
      <w:r>
        <w:rPr>
          <w:rFonts w:hint="eastAsia" w:ascii="仿宋_GB2312" w:eastAsia="仿宋_GB2312"/>
          <w:b w:val="0"/>
          <w:color w:val="000000"/>
        </w:rPr>
        <w:t>2018年国有资本经营预算拨款支出0万元</w:t>
      </w:r>
      <w:r>
        <w:rPr>
          <w:rFonts w:hint="eastAsia" w:ascii="仿宋_GB2312" w:eastAsia="仿宋_GB2312"/>
          <w:color w:val="000000"/>
        </w:rPr>
        <w:t>。</w:t>
      </w:r>
    </w:p>
    <w:p>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5"/>
          <w:rFonts w:ascii="黑体" w:hAnsi="黑体" w:eastAsia="黑体"/>
          <w:b w:val="0"/>
          <w:bCs/>
        </w:rPr>
      </w:pPr>
      <w:r>
        <w:rPr>
          <w:rStyle w:val="25"/>
          <w:rFonts w:hint="eastAsia" w:ascii="黑体" w:hAnsi="黑体" w:eastAsia="黑体"/>
          <w:b w:val="0"/>
          <w:bCs/>
        </w:rPr>
        <w:t>十、预算绩效情况说明</w:t>
      </w:r>
    </w:p>
    <w:p>
      <w:pPr>
        <w:spacing w:line="600" w:lineRule="exact"/>
        <w:ind w:firstLine="642" w:firstLineChars="200"/>
        <w:outlineLvl w:val="1"/>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项目开展了预算事前绩效评估，对5个项目编制了绩效目标，预算执行过程中，选取5个项目开展绩效监控，年终执行完毕后，对5个项目开展了绩效目标完成情况梳理填报。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回龙乡人民政府按要求对2018年部门整体支出开展绩效自评，从评价情况来看</w:t>
      </w:r>
      <w:r>
        <w:rPr>
          <w:rFonts w:ascii="仿宋_GB2312" w:hAnsi="仿宋_GB2312" w:eastAsia="仿宋_GB2312" w:cs="仿宋_GB2312"/>
          <w:sz w:val="32"/>
          <w:szCs w:val="32"/>
        </w:rPr>
        <w:t>2018年</w:t>
      </w:r>
      <w:r>
        <w:rPr>
          <w:rFonts w:hint="eastAsia" w:ascii="仿宋_GB2312" w:hAnsi="仿宋_GB2312" w:eastAsia="仿宋_GB2312" w:cs="仿宋_GB2312"/>
          <w:sz w:val="32"/>
          <w:szCs w:val="32"/>
        </w:rPr>
        <w:t>我乡整体支出绩效评价自查自评结果良好，全年基本支出保证了我乡的正常运行和日常工作的正常开展，项目支出保障了重点工作的开展，绩效目标得到较好实现，绩效管理水平不断提高，绩效指标体系逐渐丰富和完善。</w:t>
      </w:r>
    </w:p>
    <w:p>
      <w:pPr>
        <w:spacing w:line="600" w:lineRule="exact"/>
        <w:ind w:firstLine="642" w:firstLineChars="200"/>
        <w:outlineLvl w:val="1"/>
        <w:rPr>
          <w:rFonts w:ascii="仿宋_GB2312" w:hAnsi="楷体"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楷体" w:hAnsi="楷体" w:eastAsia="楷体" w:cs="仿宋_GB2312"/>
          <w:sz w:val="32"/>
          <w:szCs w:val="32"/>
        </w:rPr>
        <w:t xml:space="preserve"> </w:t>
      </w:r>
      <w:r>
        <w:rPr>
          <w:rFonts w:hint="eastAsia" w:ascii="仿宋_GB2312" w:hAnsi="楷体" w:eastAsia="仿宋_GB2312" w:cs="仿宋_GB2312"/>
          <w:sz w:val="32"/>
          <w:szCs w:val="32"/>
        </w:rPr>
        <w:t xml:space="preserve"> 本部门在2018年度部门决算中反映“</w:t>
      </w:r>
      <w:r>
        <w:rPr>
          <w:rFonts w:hint="eastAsia" w:ascii="仿宋_GB2312" w:hAnsi="楷体" w:eastAsia="仿宋_GB2312"/>
          <w:color w:val="000000" w:themeColor="text1"/>
          <w:sz w:val="32"/>
          <w:szCs w:val="32"/>
          <w14:textFill>
            <w14:solidFill>
              <w14:schemeClr w14:val="tx1"/>
            </w14:solidFill>
          </w14:textFill>
        </w:rPr>
        <w:t>环境卫生整治项目</w:t>
      </w:r>
      <w:r>
        <w:rPr>
          <w:rFonts w:hint="eastAsia" w:ascii="仿宋_GB2312" w:hAnsi="楷体" w:eastAsia="仿宋_GB2312" w:cs="仿宋_GB2312"/>
          <w:sz w:val="32"/>
          <w:szCs w:val="32"/>
        </w:rPr>
        <w:t>”“</w:t>
      </w:r>
      <w:r>
        <w:rPr>
          <w:rFonts w:hint="eastAsia" w:ascii="仿宋_GB2312" w:hAnsi="楷体" w:eastAsia="仿宋_GB2312"/>
          <w:color w:val="000000"/>
          <w:sz w:val="32"/>
          <w:szCs w:val="32"/>
        </w:rPr>
        <w:t xml:space="preserve"> 基层组织活动和公共服务运行经费</w:t>
      </w:r>
      <w:r>
        <w:rPr>
          <w:rFonts w:hint="eastAsia" w:ascii="仿宋_GB2312" w:hAnsi="楷体" w:eastAsia="仿宋_GB2312" w:cs="仿宋_GB2312"/>
          <w:sz w:val="32"/>
          <w:szCs w:val="32"/>
        </w:rPr>
        <w:t>”“白布村岷江干旱河谷生态治理”</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养老服务业发展发展专项补助资金</w:t>
      </w:r>
      <w:r>
        <w:rPr>
          <w:rFonts w:hint="eastAsia" w:ascii="仿宋_GB2312" w:eastAsia="仿宋_GB2312"/>
          <w:color w:val="000000" w:themeColor="text1"/>
          <w:sz w:val="32"/>
          <w:szCs w:val="32"/>
          <w14:textFill>
            <w14:solidFill>
              <w14:schemeClr w14:val="tx1"/>
            </w14:solidFill>
          </w14:textFill>
        </w:rPr>
        <w:t>”“其他民族事务文化活动资金”</w:t>
      </w:r>
      <w:r>
        <w:rPr>
          <w:rFonts w:hint="eastAsia" w:ascii="仿宋_GB2312" w:hAnsi="楷体" w:eastAsia="仿宋_GB2312" w:cs="仿宋_GB2312"/>
          <w:sz w:val="32"/>
          <w:szCs w:val="32"/>
        </w:rPr>
        <w:t>等5个项目绩效目标实际完成情况。</w:t>
      </w:r>
    </w:p>
    <w:p>
      <w:pPr>
        <w:spacing w:line="600"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themeColor="text1"/>
          <w:sz w:val="32"/>
          <w:szCs w:val="32"/>
          <w14:textFill>
            <w14:solidFill>
              <w14:schemeClr w14:val="tx1"/>
            </w14:solidFill>
          </w14:textFill>
        </w:rPr>
        <w:t>1</w:t>
      </w:r>
      <w:r>
        <w:rPr>
          <w:rFonts w:hint="eastAsia" w:ascii="仿宋_GB2312" w:hAnsi="楷体" w:eastAsia="仿宋_GB2312"/>
          <w:color w:val="000000" w:themeColor="text1"/>
          <w:sz w:val="32"/>
          <w:szCs w:val="32"/>
          <w:lang w:eastAsia="zh-CN"/>
          <w14:textFill>
            <w14:solidFill>
              <w14:schemeClr w14:val="tx1"/>
            </w14:solidFill>
          </w14:textFill>
        </w:rPr>
        <w:t>.</w:t>
      </w:r>
      <w:r>
        <w:rPr>
          <w:rFonts w:hint="eastAsia" w:ascii="仿宋_GB2312" w:hAnsi="楷体" w:eastAsia="仿宋_GB2312"/>
          <w:color w:val="000000" w:themeColor="text1"/>
          <w:sz w:val="32"/>
          <w:szCs w:val="32"/>
          <w14:textFill>
            <w14:solidFill>
              <w14:schemeClr w14:val="tx1"/>
            </w14:solidFill>
          </w14:textFill>
        </w:rPr>
        <w:t>环境卫生整治项目</w:t>
      </w:r>
      <w:r>
        <w:rPr>
          <w:rFonts w:hint="eastAsia" w:ascii="仿宋_GB2312" w:hAnsi="楷体" w:eastAsia="仿宋_GB2312" w:cs="仿宋_GB2312"/>
          <w:sz w:val="32"/>
          <w:szCs w:val="32"/>
        </w:rPr>
        <w:t>项目绩效目标完成情况综述。项目全年预算数12万元，执行数为12万元，完成预算的100%。</w:t>
      </w:r>
      <w:r>
        <w:rPr>
          <w:rFonts w:hint="eastAsia" w:ascii="仿宋_GB2312" w:hAnsi="楷体" w:eastAsia="仿宋_GB2312"/>
          <w:color w:val="000000"/>
          <w:sz w:val="32"/>
          <w:szCs w:val="32"/>
        </w:rPr>
        <w:t>通过项目实施，保障了村级道路的整洁与干净，维护了我乡4个行政村的</w:t>
      </w:r>
      <w:r>
        <w:rPr>
          <w:rFonts w:hint="eastAsia" w:ascii="仿宋_GB2312" w:hAnsi="楷体" w:eastAsia="仿宋_GB2312"/>
          <w:color w:val="000000"/>
          <w:sz w:val="32"/>
          <w:szCs w:val="32"/>
          <w:lang w:val="zh-CN"/>
        </w:rPr>
        <w:t>生态效益，满足了人民群众不断增长的生活需求，提高人居环境生活质量，</w:t>
      </w:r>
      <w:r>
        <w:rPr>
          <w:rFonts w:hint="eastAsia" w:ascii="仿宋_GB2312" w:hAnsi="楷体" w:eastAsia="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78" w:lineRule="exact"/>
        <w:ind w:firstLine="632"/>
        <w:rPr>
          <w:rFonts w:ascii="仿宋_GB2312" w:hAnsi="楷体" w:eastAsia="仿宋_GB2312"/>
          <w:bCs/>
          <w:color w:val="000000"/>
          <w:sz w:val="32"/>
          <w:szCs w:val="32"/>
        </w:rPr>
      </w:pPr>
      <w:r>
        <w:rPr>
          <w:rFonts w:hint="eastAsia" w:ascii="仿宋_GB2312" w:hAnsi="楷体" w:eastAsia="仿宋_GB2312" w:cs="仿宋_GB2312"/>
          <w:sz w:val="32"/>
          <w:szCs w:val="32"/>
        </w:rPr>
        <w:t>2</w:t>
      </w:r>
      <w:r>
        <w:rPr>
          <w:rFonts w:hint="eastAsia" w:ascii="仿宋_GB2312" w:hAnsi="楷体" w:eastAsia="仿宋_GB2312" w:cs="仿宋_GB2312"/>
          <w:sz w:val="32"/>
          <w:szCs w:val="32"/>
          <w:lang w:eastAsia="zh-CN"/>
        </w:rPr>
        <w:t>.</w:t>
      </w:r>
      <w:r>
        <w:rPr>
          <w:rFonts w:hint="eastAsia" w:ascii="仿宋_GB2312" w:hAnsi="楷体" w:eastAsia="仿宋_GB2312" w:cs="仿宋_GB2312"/>
          <w:sz w:val="32"/>
          <w:szCs w:val="32"/>
        </w:rPr>
        <w:t>白布村岷江干旱河谷生态治理项目绩效目标完成情况综述。项目全年预算数200万元，执行数为111.1965万元，完成预算的55.59%。经济效益：</w:t>
      </w:r>
      <w:r>
        <w:rPr>
          <w:rFonts w:hint="eastAsia" w:ascii="仿宋_GB2312" w:hAnsi="楷体" w:eastAsia="仿宋_GB2312"/>
          <w:bCs/>
          <w:color w:val="000000"/>
          <w:sz w:val="32"/>
          <w:szCs w:val="32"/>
        </w:rPr>
        <w:t>120亩干旱河谷生态治理示范基地建设项目完成后，</w:t>
      </w:r>
      <w:r>
        <w:rPr>
          <w:rFonts w:hint="eastAsia" w:ascii="仿宋_GB2312" w:hAnsi="楷体" w:eastAsia="仿宋_GB2312" w:cs="仿宋_GB2312"/>
          <w:bCs/>
          <w:color w:val="333333"/>
          <w:sz w:val="32"/>
          <w:szCs w:val="32"/>
        </w:rPr>
        <w:t>带动农户走特色水果高效生态种植的产业化道路。</w:t>
      </w:r>
      <w:r>
        <w:rPr>
          <w:rFonts w:hint="eastAsia" w:ascii="仿宋_GB2312" w:hAnsi="楷体" w:eastAsia="仿宋_GB2312"/>
          <w:bCs/>
          <w:color w:val="000000"/>
          <w:sz w:val="32"/>
          <w:szCs w:val="32"/>
        </w:rPr>
        <w:t>经测算，</w:t>
      </w:r>
      <w:r>
        <w:rPr>
          <w:rFonts w:hint="eastAsia" w:ascii="仿宋_GB2312" w:hAnsi="楷体" w:eastAsia="仿宋_GB2312" w:cs="仿宋_GB2312"/>
          <w:bCs/>
          <w:color w:val="333333"/>
          <w:sz w:val="32"/>
          <w:szCs w:val="32"/>
        </w:rPr>
        <w:t>苗木采用一年生A苗进行种植，2-3年丰产后预计平均产量将达到4000斤/亩，按照5元/斤计算，产值可达240万元。社会效益：</w:t>
      </w:r>
      <w:r>
        <w:rPr>
          <w:rFonts w:hint="eastAsia" w:ascii="仿宋_GB2312" w:hAnsi="楷体" w:eastAsia="仿宋_GB2312"/>
          <w:bCs/>
          <w:color w:val="000000"/>
          <w:sz w:val="32"/>
          <w:szCs w:val="32"/>
        </w:rPr>
        <w:t>该项目的实施是一项利民心，顺民意的好项目，项目建成后，可带动全村农户科学种植的积极性和主动性，提高广大农民群众科学文化素质和科学管理技能，从而提高农业经济效率，增加白布村集体经济收入，从而带动全村农户共同致富。</w:t>
      </w:r>
      <w:r>
        <w:rPr>
          <w:rFonts w:hint="eastAsia" w:ascii="仿宋_GB2312" w:hAnsi="楷体" w:eastAsia="仿宋_GB2312" w:cs="仿宋_GB2312"/>
          <w:bCs/>
          <w:color w:val="333333"/>
          <w:sz w:val="32"/>
          <w:szCs w:val="32"/>
        </w:rPr>
        <w:t>项目建成后，不仅能够提高村民经济收入，同时</w:t>
      </w:r>
      <w:r>
        <w:rPr>
          <w:rFonts w:hint="eastAsia" w:ascii="仿宋_GB2312" w:hAnsi="楷体" w:eastAsia="仿宋_GB2312" w:cs="宋体"/>
          <w:color w:val="000000"/>
          <w:sz w:val="32"/>
          <w:szCs w:val="32"/>
        </w:rPr>
        <w:t>建设成为农林结合分布干旱河谷生态治理示范基地、四川农业大学科研基地、农业科技人员创新基地，为我县乡村振兴战略的实施提供新的平台</w:t>
      </w:r>
      <w:r>
        <w:rPr>
          <w:rFonts w:hint="eastAsia" w:ascii="仿宋_GB2312" w:hAnsi="楷体" w:eastAsia="仿宋_GB2312" w:cs="仿宋_GB2312"/>
          <w:bCs/>
          <w:color w:val="333333"/>
          <w:sz w:val="32"/>
          <w:szCs w:val="32"/>
        </w:rPr>
        <w:t>。生态效益：</w:t>
      </w:r>
      <w:r>
        <w:rPr>
          <w:rFonts w:hint="eastAsia" w:ascii="仿宋_GB2312" w:hAnsi="楷体" w:eastAsia="仿宋_GB2312"/>
          <w:bCs/>
          <w:color w:val="000000"/>
          <w:sz w:val="32"/>
          <w:szCs w:val="32"/>
        </w:rPr>
        <w:t>项目实施后，蓄水保肥能力提高，从而减少水土流失。达到合理利用土地，用养结合，走可持续发展的道路。</w:t>
      </w:r>
    </w:p>
    <w:p>
      <w:pPr>
        <w:spacing w:line="578" w:lineRule="exact"/>
        <w:ind w:firstLine="632"/>
        <w:rPr>
          <w:rFonts w:ascii="仿宋_GB2312" w:hAnsi="楷体" w:eastAsia="仿宋_GB2312"/>
          <w:b/>
          <w:color w:val="000000"/>
          <w:sz w:val="32"/>
          <w:szCs w:val="32"/>
        </w:rPr>
      </w:pPr>
      <w:r>
        <w:rPr>
          <w:rFonts w:hint="eastAsia" w:ascii="仿宋_GB2312" w:hAnsi="楷体" w:eastAsia="仿宋_GB2312"/>
          <w:bCs/>
          <w:color w:val="000000"/>
          <w:sz w:val="32"/>
          <w:szCs w:val="32"/>
        </w:rPr>
        <w:t>项目建成后，有利于促进岷江上游生态环境的保护，增加森林覆盖面积，保持水土涵养，不仅可改善当地的生产条件，而且可为岷江下游的经济持续稳定发展做出贡献。</w:t>
      </w:r>
    </w:p>
    <w:p>
      <w:pPr>
        <w:tabs>
          <w:tab w:val="left" w:pos="312"/>
        </w:tabs>
        <w:spacing w:line="580" w:lineRule="exact"/>
        <w:ind w:firstLine="640" w:firstLineChars="200"/>
        <w:rPr>
          <w:rFonts w:hint="eastAsia" w:ascii="仿宋_GB2312" w:hAnsi="楷体" w:eastAsia="仿宋_GB2312"/>
          <w:color w:val="000000"/>
          <w:sz w:val="32"/>
          <w:szCs w:val="32"/>
        </w:rPr>
      </w:pPr>
      <w:r>
        <w:rPr>
          <w:rFonts w:hint="eastAsia" w:ascii="仿宋_GB2312" w:hAnsi="楷体" w:eastAsia="仿宋_GB2312"/>
          <w:color w:val="000000"/>
          <w:sz w:val="32"/>
          <w:szCs w:val="32"/>
        </w:rPr>
        <w:t>3、基层组织活动和公共服务运行经费项目绩效目标完成情况综述。项目全年预算数44万元，执行数为44万元，完成预算的100%。通过项目实施，保障了村级道路及村内环境卫生的打扫清理，提升村两委会的办公条件</w:t>
      </w:r>
      <w:r>
        <w:rPr>
          <w:rFonts w:hint="eastAsia" w:ascii="仿宋_GB2312" w:hAnsi="楷体" w:eastAsia="仿宋_GB2312"/>
          <w:color w:val="000000"/>
          <w:sz w:val="32"/>
          <w:szCs w:val="32"/>
          <w:lang w:val="zh-CN"/>
        </w:rPr>
        <w:t>，满足了人民群众不断增长的生活需求，提高人民生活质量，</w:t>
      </w:r>
      <w:r>
        <w:rPr>
          <w:rFonts w:hint="eastAsia" w:ascii="仿宋_GB2312" w:hAnsi="楷体" w:eastAsia="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tabs>
          <w:tab w:val="left" w:pos="312"/>
        </w:tabs>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4.回龙乡养老服务业发展发展专项补助资金项目绩效完成情况综述。</w:t>
      </w:r>
      <w:r>
        <w:rPr>
          <w:rFonts w:hint="eastAsia" w:ascii="仿宋_GB2312" w:eastAsia="仿宋_GB2312"/>
          <w:color w:val="000000"/>
          <w:sz w:val="32"/>
          <w:szCs w:val="32"/>
        </w:rPr>
        <w:t>项目全年预算数1.8万元，执行数为1.8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tabs>
          <w:tab w:val="left" w:pos="312"/>
        </w:tabs>
        <w:spacing w:line="580" w:lineRule="exact"/>
        <w:ind w:firstLine="640" w:firstLineChars="200"/>
        <w:rPr>
          <w:rFonts w:ascii="仿宋_GB2312" w:hAnsi="楷体" w:eastAsia="仿宋_GB2312" w:cs="仿宋_GB2312"/>
          <w:sz w:val="32"/>
          <w:szCs w:val="32"/>
        </w:rPr>
      </w:pPr>
      <w:r>
        <w:rPr>
          <w:rFonts w:hint="eastAsia" w:ascii="仿宋_GB2312" w:hAnsi="仿宋_GB2312" w:eastAsia="仿宋_GB2312" w:cs="仿宋_GB2312"/>
          <w:sz w:val="32"/>
          <w:szCs w:val="32"/>
        </w:rPr>
        <w:t>5.回龙乡</w:t>
      </w:r>
      <w:r>
        <w:rPr>
          <w:rFonts w:hint="eastAsia" w:ascii="仿宋_GB2312" w:eastAsia="仿宋_GB2312"/>
          <w:color w:val="000000" w:themeColor="text1"/>
          <w:sz w:val="32"/>
          <w:szCs w:val="32"/>
          <w14:textFill>
            <w14:solidFill>
              <w14:schemeClr w14:val="tx1"/>
            </w14:solidFill>
          </w14:textFill>
        </w:rPr>
        <w:t>其他民族事务文化活动资金</w:t>
      </w:r>
      <w:r>
        <w:rPr>
          <w:rFonts w:hint="eastAsia" w:ascii="仿宋_GB2312" w:hAnsi="仿宋_GB2312" w:eastAsia="仿宋_GB2312" w:cs="仿宋_GB2312"/>
          <w:sz w:val="32"/>
          <w:szCs w:val="32"/>
        </w:rPr>
        <w:t>项目绩效完成情况综述。</w:t>
      </w:r>
      <w:r>
        <w:rPr>
          <w:rFonts w:hint="eastAsia" w:ascii="仿宋_GB2312" w:eastAsia="仿宋_GB2312"/>
          <w:color w:val="000000"/>
          <w:sz w:val="32"/>
          <w:szCs w:val="32"/>
        </w:rPr>
        <w:t>项目全年预算数0.5万元，执行数为0.5万元，完成预算的100%。通过项目实施，满足了人民的日常生活，丰富人民精神文化，有效提高人民生活质量，有促进社会稳定及和谐，下一步改进措施：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进一步统一思想、加强领导，完善制度、强化责任，改进措施、提高水平，把工作做得更好。</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环境卫生整治</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回龙乡人民支付</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color w:val="000000"/>
                <w:sz w:val="24"/>
              </w:rPr>
              <w:t>4个行政村范围内的环境卫生人工费，两河口至回龙乡花桥国道公路沿线环境卫生打扫</w:t>
            </w:r>
            <w:r>
              <w:rPr>
                <w:rFonts w:ascii="宋体" w:hAnsi="宋体" w:cs="宋体"/>
                <w:color w:val="000000"/>
                <w:sz w:val="24"/>
              </w:rPr>
              <w:t xml:space="preserve">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回龙乡4个村内环境卫生人工费及机具租赁费，国道沿线环境卫生整治人工费</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4个行政村范围内的环境卫生人工费，两河口至回龙乡花桥国道公路沿线环境卫生打扫</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4个行政村范围内的环境卫生人工费，两河口至回龙乡花桥国道公路沿线环境卫生打扫</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推动我镇环境卫生整治工作，优化生态环境建设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为全乡人居环境改善奠定了基础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rPr>
          <w:rFonts w:ascii="Calibri" w:hAnsi="Calibri"/>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白布村岷江干旱河谷治理</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茂县回龙乡人民政府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111.1965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111.1965</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项目种植特色水果，预计收入240万元。并带动回龙乡白布村集体经济发展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实现特色水果种植，促进了白布村集体经济发展</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楷体" w:eastAsia="仿宋_GB2312" w:cs="仿宋_GB2312"/>
                <w:bCs/>
                <w:color w:val="333333"/>
                <w:sz w:val="24"/>
              </w:rPr>
              <w:t>苗木采用一年生A苗进行种植，2-3年丰产后预计平均产量将达到4000斤/亩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111.1956万元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完成A苗种植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111．1956万元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促进白布村集体经济建设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带动全村农户经济林木种植积极性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为达到</w:t>
            </w:r>
            <w:r>
              <w:rPr>
                <w:rFonts w:hint="eastAsia" w:ascii="仿宋_GB2312" w:hAnsi="仿宋_GB2312" w:eastAsia="仿宋_GB2312" w:cs="仿宋_GB2312"/>
                <w:color w:val="000000"/>
                <w:sz w:val="24"/>
                <w:lang w:eastAsia="zh-CN"/>
              </w:rPr>
              <w:t>乡村振兴</w:t>
            </w:r>
            <w:r>
              <w:rPr>
                <w:rFonts w:hint="eastAsia" w:ascii="仿宋_GB2312" w:hAnsi="仿宋_GB2312" w:eastAsia="仿宋_GB2312" w:cs="仿宋_GB2312"/>
                <w:color w:val="000000"/>
                <w:sz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2018年基层组织活动和公共服务运行经费</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茂县回龙乡人民政府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实现了4个行政村的日常办公及村内道路的环境卫生及管水管电的日常开支</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为达到</w:t>
            </w:r>
            <w:r>
              <w:rPr>
                <w:rFonts w:hint="eastAsia" w:ascii="仿宋_GB2312" w:hAnsi="仿宋_GB2312" w:eastAsia="仿宋_GB2312" w:cs="仿宋_GB2312"/>
                <w:color w:val="000000"/>
                <w:sz w:val="24"/>
                <w:lang w:eastAsia="zh-CN"/>
              </w:rPr>
              <w:t>乡村振兴</w:t>
            </w:r>
            <w:r>
              <w:rPr>
                <w:rFonts w:hint="eastAsia" w:ascii="仿宋_GB2312" w:hAnsi="仿宋_GB2312" w:eastAsia="仿宋_GB2312" w:cs="仿宋_GB2312"/>
                <w:color w:val="000000"/>
                <w:sz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firstLine="0" w:firstLineChars="0"/>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2018年养老服务业发展发展专项补助资金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茂县回龙乡人民政府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为全乡老年人环境改善奠定了基础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hint="eastAsia"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firstLine="0" w:firstLineChars="0"/>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贫困人口慰问金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茂县回龙乡人民政府</w:t>
            </w:r>
          </w:p>
        </w:tc>
      </w:tr>
      <w:tr>
        <w:tblPrEx>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春节慰问乡贫困人口</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发放慰问金</w:t>
            </w:r>
            <w:r>
              <w:rPr>
                <w:rFonts w:hint="eastAsia" w:ascii="仿宋_GB2312" w:hAnsi="仿宋_GB2312" w:eastAsia="仿宋_GB2312" w:cs="仿宋_GB2312"/>
                <w:color w:val="000000"/>
                <w:sz w:val="24"/>
                <w:lang w:val="en-US" w:eastAsia="zh-CN"/>
              </w:rPr>
              <w:t>0.5万元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慰问贫困户数</w:t>
            </w:r>
            <w:r>
              <w:rPr>
                <w:rFonts w:hint="eastAsia" w:ascii="仿宋_GB2312" w:hAnsi="仿宋_GB2312" w:eastAsia="仿宋_GB2312" w:cs="仿宋_GB2312"/>
                <w:color w:val="000000"/>
                <w:sz w:val="24"/>
                <w:lang w:val="en-US" w:eastAsia="zh-CN"/>
              </w:rPr>
              <w:t>25户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提高困难群众春节生活质量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仿宋_GB2312" w:eastAsia="仿宋_GB2312" w:cs="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困难</w:t>
            </w:r>
            <w:r>
              <w:rPr>
                <w:rFonts w:hint="eastAsia" w:ascii="仿宋_GB2312" w:hAnsi="仿宋_GB2312" w:eastAsia="仿宋_GB2312" w:cs="仿宋_GB2312"/>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ind w:firstLine="642" w:firstLineChars="200"/>
        <w:outlineLvl w:val="1"/>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本部门按要求对2018年部门整体支出绩效评价情况开展自评，《回龙乡部门2018年部门整体支出绩效评价报告》见附件。</w:t>
      </w: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8年回龙乡机关运行经费支出38.1万元，比</w:t>
      </w:r>
      <w:r>
        <w:rPr>
          <w:rFonts w:ascii="仿宋_GB2312" w:eastAsia="仿宋_GB2312"/>
          <w:color w:val="000000"/>
          <w:sz w:val="32"/>
          <w:szCs w:val="32"/>
        </w:rPr>
        <w:t>201</w:t>
      </w:r>
      <w:r>
        <w:rPr>
          <w:rFonts w:hint="eastAsia" w:ascii="仿宋_GB2312" w:eastAsia="仿宋_GB2312"/>
          <w:color w:val="000000"/>
          <w:sz w:val="32"/>
          <w:szCs w:val="32"/>
        </w:rPr>
        <w:t>7年减少15.45万元，下降28.85</w:t>
      </w:r>
      <w:r>
        <w:rPr>
          <w:rFonts w:ascii="仿宋_GB2312" w:eastAsia="仿宋_GB2312"/>
          <w:color w:val="000000"/>
          <w:sz w:val="32"/>
          <w:szCs w:val="32"/>
        </w:rPr>
        <w:t>%</w:t>
      </w:r>
      <w:r>
        <w:rPr>
          <w:rFonts w:hint="eastAsia" w:ascii="仿宋_GB2312" w:eastAsia="仿宋_GB2312"/>
          <w:color w:val="000000"/>
          <w:sz w:val="32"/>
          <w:szCs w:val="32"/>
        </w:rPr>
        <w:t>。主要原因是会议费及办公费用减少。</w:t>
      </w:r>
    </w:p>
    <w:p>
      <w:pPr>
        <w:spacing w:line="600" w:lineRule="exact"/>
        <w:ind w:firstLine="642" w:firstLineChars="200"/>
        <w:outlineLvl w:val="1"/>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8年，回龙乡政府采购支出总额0万元，其中：政府采购货物支出0万元、政府采购工程支出0万元、政府采购服务支出0万元。</w:t>
      </w:r>
    </w:p>
    <w:p>
      <w:pPr>
        <w:spacing w:line="600" w:lineRule="exact"/>
        <w:ind w:firstLine="642" w:firstLineChars="200"/>
        <w:outlineLvl w:val="1"/>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日，回龙乡共有车辆5辆，其中：领导干部用车0辆、一般公务用车4辆、一般执法执勤用车0辆、特种专业技术用车0辆、其他用车1辆，</w:t>
      </w:r>
      <w:r>
        <w:rPr>
          <w:rFonts w:hint="eastAsia" w:ascii="仿宋_GB2312" w:eastAsia="仿宋_GB2312"/>
          <w:color w:val="000000" w:themeColor="text1"/>
          <w:sz w:val="32"/>
          <w:szCs w:val="32"/>
          <w14:textFill>
            <w14:solidFill>
              <w14:schemeClr w14:val="tx1"/>
            </w14:solidFill>
          </w14:textFill>
        </w:rPr>
        <w:t>其他用车主要是用于下村</w:t>
      </w:r>
      <w:r>
        <w:rPr>
          <w:rFonts w:hint="eastAsia" w:ascii="仿宋_GB2312" w:eastAsia="仿宋_GB2312"/>
          <w:color w:val="000000" w:themeColor="text1"/>
          <w:sz w:val="32"/>
          <w:szCs w:val="32"/>
          <w:lang w:eastAsia="zh-CN"/>
          <w14:textFill>
            <w14:solidFill>
              <w14:schemeClr w14:val="tx1"/>
            </w14:solidFill>
          </w14:textFill>
        </w:rPr>
        <w:t>开展工作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4"/>
          <w:rFonts w:ascii="黑体" w:hAnsi="黑体" w:eastAsia="黑体"/>
          <w:b w:val="0"/>
        </w:rPr>
      </w:pPr>
      <w:bookmarkStart w:id="55" w:name="_Toc15396613"/>
      <w:bookmarkStart w:id="56" w:name="_Toc15377225"/>
      <w:r>
        <w:rPr>
          <w:rFonts w:hint="eastAsia" w:ascii="黑体" w:hAnsi="黑体" w:eastAsia="黑体"/>
          <w:b w:val="0"/>
          <w:bCs/>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9.一般公共服务（201）人大事务（01）人大会议（04）: 指单位人大召开人民代表大会等专门会议的支出。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color w:val="000000"/>
          <w:kern w:val="0"/>
          <w:sz w:val="32"/>
          <w:szCs w:val="32"/>
        </w:rPr>
        <w:t>10.一般公共服务（201）政府办公厅（室）及相关机构事务（03）行政运行（01）: 指</w:t>
      </w:r>
      <w:r>
        <w:rPr>
          <w:rFonts w:hint="eastAsia" w:ascii="仿宋_GB2312" w:hAnsi="Calibri" w:eastAsia="仿宋_GB2312" w:cs="仿宋"/>
          <w:kern w:val="0"/>
          <w:sz w:val="32"/>
          <w:szCs w:val="32"/>
        </w:rPr>
        <w:t>单位（包括实行公务员管理的事业单位）的基本支出。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11.一般公共服务（201）财政事务（06）事业运行（50）: 指</w:t>
      </w:r>
      <w:r>
        <w:rPr>
          <w:rFonts w:hint="eastAsia" w:ascii="仿宋_GB2312" w:hAnsi="Calibri" w:eastAsia="仿宋_GB2312" w:cs="仿宋"/>
          <w:color w:val="000000"/>
          <w:kern w:val="0"/>
          <w:sz w:val="32"/>
          <w:szCs w:val="32"/>
        </w:rPr>
        <w:t>单位机关及参公管理事业单位用于保障机构正常运行、开展日常工作的基本支出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12.一般公共服务（201）民族事务（23）其他民族事务支出（99）: 指单位除上述项目以外其他用于民族事务方面的支出。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13.一般公共服务（201）党委办公厅（室）及相关机构事务（31）行政运行（01）: 指单位</w:t>
      </w:r>
      <w:r>
        <w:rPr>
          <w:rFonts w:hint="eastAsia" w:ascii="仿宋_GB2312" w:hAnsi="Calibri" w:eastAsia="仿宋_GB2312" w:cs="仿宋"/>
          <w:color w:val="000000"/>
          <w:kern w:val="0"/>
          <w:sz w:val="32"/>
          <w:szCs w:val="32"/>
        </w:rPr>
        <w:t>用于保障机构正常运行、开展日常工作的基本支出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14.国防支出（203）其他国防支出（99）其他国防支出（01）: 指单位其他用于国防方面的支出。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kern w:val="0"/>
          <w:sz w:val="32"/>
          <w:szCs w:val="32"/>
        </w:rPr>
        <w:t>15.公共安全支出（204）公安（02）一般行政管理事务（02）:指行政单位（包括实行公务员管理的事业单位）未单独设置顶级科目的其他项目支出。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16.教育（205）普通教育（02）学前教育（01）:指部门举办的学前教育支出。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17.教育（205）普通教育（02）小学教育（02）: 指部门举办的小学教育支出，部门对社会中介组织等举办的小学的资助，如各类捐赠、补贴等。</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color w:val="000000"/>
          <w:kern w:val="0"/>
          <w:sz w:val="32"/>
          <w:szCs w:val="32"/>
        </w:rPr>
        <w:t>18.教育（205）教育费附加安排的支出（09）其他教育费附加安排的支出（99）: 指</w:t>
      </w:r>
      <w:r>
        <w:rPr>
          <w:rFonts w:hint="eastAsia" w:ascii="仿宋_GB2312" w:hAnsi="Calibri" w:eastAsia="仿宋_GB2312" w:cs="仿宋"/>
          <w:kern w:val="0"/>
          <w:sz w:val="32"/>
          <w:szCs w:val="32"/>
        </w:rPr>
        <w:t>部门除上述项目以外的教育费附加支出</w:t>
      </w:r>
      <w:r>
        <w:rPr>
          <w:rFonts w:hint="eastAsia" w:ascii="仿宋_GB2312" w:hAnsi="Calibri" w:eastAsia="仿宋_GB2312" w:cs="仿宋"/>
          <w:color w:val="000000"/>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19.社会保障和就业（208）行政事业单位离退休（05）机关事业单位基本养老保险缴费支出（05）: 指</w:t>
      </w:r>
      <w:r>
        <w:rPr>
          <w:rFonts w:hint="eastAsia" w:ascii="仿宋_GB2312" w:hAnsi="Calibri" w:eastAsia="仿宋_GB2312" w:cs="仿宋"/>
          <w:color w:val="000000"/>
          <w:kern w:val="0"/>
          <w:sz w:val="32"/>
          <w:szCs w:val="32"/>
        </w:rPr>
        <w:t>单位实施养老保险制度由单位缴纳的养老保险费的支出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20.社会保障和就业（208）行政事业单位离退休（05）机关事业单位职业年金缴费支出（06）: 指</w:t>
      </w:r>
      <w:r>
        <w:rPr>
          <w:rFonts w:hint="eastAsia" w:ascii="仿宋_GB2312" w:hAnsi="Calibri" w:eastAsia="仿宋_GB2312" w:cs="仿宋"/>
          <w:color w:val="000000"/>
          <w:kern w:val="0"/>
          <w:sz w:val="32"/>
          <w:szCs w:val="32"/>
        </w:rPr>
        <w:t>单位实施养老保险制度由单位缴纳的职业年金的支出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21.社会保障和就业（208）社会福利（10）老年福利（02）: 指对老年人提供福利服务方面的支出。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22.社会保障和就业（208）社会福利（10）其他社会福利支出（99）: 指除上述项目以外其他用于社会福利方面的支出。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23.社会保障和就业（208）自然灾害生活救助（15）其他自然灾害生活救助支出（99）:指反映除上述项目以外其他用于自然灾害生活救助方面的支出。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24.医疗卫生与计划生育（210）基层医疗卫生机构（03）乡镇卫生院（02）:指用于乡镇卫生院支出。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25.医疗卫生与计划生育（210）行政事业单位医疗（11）行政单位医疗（01）:指</w:t>
      </w:r>
      <w:r>
        <w:rPr>
          <w:rFonts w:hint="eastAsia" w:ascii="仿宋_GB2312" w:hAnsi="Calibri" w:eastAsia="仿宋_GB2312" w:cs="仿宋"/>
          <w:color w:val="000000"/>
          <w:kern w:val="0"/>
          <w:sz w:val="32"/>
          <w:szCs w:val="32"/>
        </w:rPr>
        <w:t>行政单位用于缴纳单位基本医疗保险支出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26.医疗卫生与计划生育（210）行政事业单位医疗（11）事业单位医疗（02）:指</w:t>
      </w:r>
      <w:r>
        <w:rPr>
          <w:rFonts w:hint="eastAsia" w:ascii="仿宋_GB2312" w:hAnsi="Calibri" w:eastAsia="仿宋_GB2312" w:cs="仿宋"/>
          <w:color w:val="000000"/>
          <w:kern w:val="0"/>
          <w:sz w:val="32"/>
          <w:szCs w:val="32"/>
        </w:rPr>
        <w:t>事业单位用于缴纳单位基本医疗保险支出</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27.农林水支出（213）农业（01）事业运行（04）: 指用于农业事业单位基本支出，事业单位设施、系统运行与资产维护等方面的支出。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28.农林水支出（213）农业（01）农业资源保护修复与利用（35）: 指用于农业耕地保护、修复与建设，草原草场生态保护、改良、利用及建设，渔业水产及水生生物资源保护与利用等方面的支出。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29.农林水支出（213）农业（01）其他农业支出（99）: 指除上述项目以外其他用于农业方面的支出。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30.农林水支出（213）林业（02）林业事业机构（04）: 指用于林业事业单位的基本支出。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31.农林水支出（213）水利（03）农村人畜饮水（35）: 指用于农村</w:t>
      </w:r>
      <w:r>
        <w:rPr>
          <w:rFonts w:hint="eastAsia" w:ascii="仿宋_GB2312" w:hAnsi="Calibri" w:eastAsia="仿宋_GB2312" w:cs="仿宋"/>
          <w:color w:val="000000"/>
          <w:kern w:val="0"/>
          <w:sz w:val="32"/>
          <w:szCs w:val="32"/>
          <w:lang w:eastAsia="zh-CN"/>
        </w:rPr>
        <w:t>人畜饮水</w:t>
      </w:r>
      <w:r>
        <w:rPr>
          <w:rFonts w:hint="eastAsia" w:ascii="仿宋_GB2312" w:hAnsi="Calibri" w:eastAsia="仿宋_GB2312" w:cs="仿宋"/>
          <w:color w:val="000000"/>
          <w:kern w:val="0"/>
          <w:sz w:val="32"/>
          <w:szCs w:val="32"/>
        </w:rPr>
        <w:t>工程建设等方面支出。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32.农林水支出（213）扶贫（05）农村基础设施建设（04）: 指用于农村贫困地区乡村道路、住房、基本农田、水利设施、</w:t>
      </w:r>
      <w:r>
        <w:rPr>
          <w:rFonts w:hint="eastAsia" w:ascii="仿宋_GB2312" w:hAnsi="Calibri" w:eastAsia="仿宋_GB2312" w:cs="仿宋"/>
          <w:kern w:val="0"/>
          <w:sz w:val="32"/>
          <w:szCs w:val="32"/>
          <w:lang w:eastAsia="zh-CN"/>
        </w:rPr>
        <w:t>人畜饮水</w:t>
      </w:r>
      <w:r>
        <w:rPr>
          <w:rFonts w:hint="eastAsia" w:ascii="仿宋_GB2312" w:hAnsi="Calibri" w:eastAsia="仿宋_GB2312" w:cs="仿宋"/>
          <w:kern w:val="0"/>
          <w:sz w:val="32"/>
          <w:szCs w:val="32"/>
        </w:rPr>
        <w:t>、生态环境保护等生产生活条件改善方面的支出。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33.农林水支出（213）扶贫（05）其他扶贫支出（99）: 指农业综合开发部门的其他支出。</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34.农林水支出（213）农村综合改革（07）对村委会和村党支部的补助（05）: 指对村民委员会和对村党支部的补助支出，以及支持建立县级基本财力保障机制安排的村级组织运转奖补资金。</w:t>
      </w:r>
    </w:p>
    <w:p>
      <w:pPr>
        <w:spacing w:line="576" w:lineRule="exact"/>
        <w:ind w:firstLine="640" w:firstLineChars="200"/>
        <w:rPr>
          <w:rFonts w:ascii="仿宋_GB2312" w:hAnsi="Calibri" w:eastAsia="仿宋_GB2312" w:cs="仿宋"/>
          <w:kern w:val="0"/>
          <w:sz w:val="32"/>
          <w:szCs w:val="32"/>
        </w:rPr>
      </w:pPr>
      <w:r>
        <w:rPr>
          <w:rFonts w:hint="eastAsia" w:ascii="仿宋_GB2312" w:hAnsi="Calibri" w:eastAsia="仿宋_GB2312" w:cs="仿宋"/>
          <w:kern w:val="0"/>
          <w:sz w:val="32"/>
          <w:szCs w:val="32"/>
        </w:rPr>
        <w:t>35.农林水支出（213）其他农林水支出（99）其他农林水支出（99）: 指除上述项目以外其他用于农林水方面的支出。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36.交通运输支出（214）车辆购置税支出（06）车辆购置税用于农村公路建设支出（02）: 指车辆购置税收入用于安排农村公路建设支出。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kern w:val="0"/>
          <w:sz w:val="32"/>
          <w:szCs w:val="32"/>
        </w:rPr>
        <w:t>37.住房保障支出（221）住房改革支出（02）住房公积金（01）: 指</w:t>
      </w:r>
      <w:r>
        <w:rPr>
          <w:rFonts w:hint="eastAsia" w:ascii="仿宋_GB2312" w:hAnsi="Calibri" w:eastAsia="仿宋_GB2312" w:cs="仿宋"/>
          <w:color w:val="000000"/>
          <w:kern w:val="0"/>
          <w:sz w:val="32"/>
          <w:szCs w:val="32"/>
        </w:rPr>
        <w:t>反映行政事业单位按规定为职工缴纳的住房公积金</w:t>
      </w:r>
      <w:r>
        <w:rPr>
          <w:rFonts w:hint="eastAsia" w:ascii="仿宋_GB2312" w:hAnsi="Calibri" w:eastAsia="仿宋_GB2312" w:cs="仿宋"/>
          <w:kern w:val="0"/>
          <w:sz w:val="32"/>
          <w:szCs w:val="32"/>
        </w:rPr>
        <w:t>。</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38</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基本支出：指为保障机构正常运转、完成日常工作任务而发生的人员支出和公用支出。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39</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项目支出：指在基本支出之外为完成特定行政任务和事业发展目标所发生的支出。</w:t>
      </w:r>
    </w:p>
    <w:p>
      <w:pPr>
        <w:spacing w:line="576"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40</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经营支出：指事业单位在专业业务活动及其辅助活动之外开展非独立核算经营活动发生的支出。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rPr>
        <w:t>41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hAnsi="Calibri" w:eastAsia="仿宋_GB2312" w:cs="仿宋"/>
          <w:color w:val="000000"/>
          <w:kern w:val="0"/>
          <w:sz w:val="32"/>
          <w:szCs w:val="32"/>
        </w:rPr>
        <w:t>42</w:t>
      </w:r>
      <w:r>
        <w:rPr>
          <w:rFonts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w:t>
      </w:r>
      <w:r>
        <w:rPr>
          <w:rFonts w:hint="eastAsia" w:ascii="仿宋_GB2312" w:eastAsia="仿宋_GB2312"/>
          <w:sz w:val="32"/>
          <w:szCs w:val="32"/>
        </w:rPr>
        <w:t>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46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47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0"/>
        </w:num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方正小标宋简体" w:hAnsi="方正小标宋简体" w:eastAsia="方正小标宋简体" w:cs="方正小标宋简体"/>
          <w:b w:val="0"/>
          <w:bCs/>
          <w:color w:val="000000"/>
          <w:sz w:val="44"/>
          <w:szCs w:val="44"/>
          <w:lang w:eastAsia="zh-CN"/>
        </w:rPr>
        <w:t>第四部分</w:t>
      </w:r>
      <w:r>
        <w:rPr>
          <w:rFonts w:hint="eastAsia" w:ascii="方正小标宋简体" w:hAnsi="方正小标宋简体" w:eastAsia="方正小标宋简体" w:cs="方正小标宋简体"/>
          <w:b w:val="0"/>
          <w:bCs/>
          <w:color w:val="000000"/>
          <w:sz w:val="44"/>
          <w:szCs w:val="44"/>
          <w:lang w:val="en-US" w:eastAsia="zh-CN"/>
        </w:rPr>
        <w:t xml:space="preserve"> </w:t>
      </w:r>
      <w:r>
        <w:rPr>
          <w:rStyle w:val="24"/>
          <w:rFonts w:hint="eastAsia" w:ascii="方正小标宋简体" w:hAnsi="方正小标宋简体" w:eastAsia="方正小标宋简体" w:cs="方正小标宋简体"/>
          <w:b w:val="0"/>
        </w:rPr>
        <w:t>附件</w:t>
      </w:r>
      <w:bookmarkEnd w:id="58"/>
    </w:p>
    <w:p>
      <w:pPr>
        <w:spacing w:line="600" w:lineRule="exact"/>
        <w:jc w:val="center"/>
        <w:outlineLvl w:val="0"/>
        <w:rPr>
          <w:rStyle w:val="24"/>
        </w:rPr>
      </w:pPr>
    </w:p>
    <w:p>
      <w:pPr>
        <w:pStyle w:val="3"/>
        <w:rPr>
          <w:rStyle w:val="24"/>
          <w:rFonts w:ascii="仿宋" w:hAnsi="仿宋" w:eastAsia="仿宋"/>
          <w:b w:val="0"/>
          <w:bCs w:val="0"/>
          <w:sz w:val="32"/>
          <w:szCs w:val="32"/>
        </w:rPr>
      </w:pPr>
      <w:bookmarkStart w:id="59" w:name="_Toc15396615"/>
      <w:r>
        <w:rPr>
          <w:rStyle w:val="24"/>
          <w:rFonts w:hint="eastAsia" w:ascii="仿宋" w:hAnsi="仿宋" w:eastAsia="仿宋"/>
          <w:b w:val="0"/>
          <w:bCs w:val="0"/>
          <w:sz w:val="32"/>
          <w:szCs w:val="32"/>
        </w:rPr>
        <w:t>附件1</w:t>
      </w:r>
      <w:bookmarkEnd w:id="59"/>
    </w:p>
    <w:p>
      <w:pPr>
        <w:spacing w:line="600" w:lineRule="exact"/>
        <w:jc w:val="center"/>
        <w:outlineLvl w:val="0"/>
        <w:rPr>
          <w:rFonts w:hint="eastAsia" w:ascii="方正小标宋简体" w:hAnsi="方正小标宋简体" w:eastAsia="方正小标宋简体" w:cs="方正小标宋简体"/>
          <w:sz w:val="44"/>
          <w:szCs w:val="44"/>
        </w:rPr>
      </w:pPr>
      <w:bookmarkStart w:id="60" w:name="_Toc15396616"/>
      <w:r>
        <w:rPr>
          <w:rFonts w:hint="eastAsia" w:ascii="方正小标宋简体" w:hAnsi="方正小标宋简体" w:eastAsia="方正小标宋简体" w:cs="方正小标宋简体"/>
          <w:sz w:val="44"/>
          <w:szCs w:val="44"/>
        </w:rPr>
        <w:t>回龙乡部门2018年部门整体支出绩效评价报告</w:t>
      </w:r>
      <w:bookmarkEnd w:id="60"/>
    </w:p>
    <w:p>
      <w:pPr>
        <w:pStyle w:val="3"/>
        <w:spacing w:line="576" w:lineRule="exact"/>
        <w:ind w:firstLine="640" w:firstLineChars="200"/>
        <w:rPr>
          <w:rFonts w:ascii="黑体" w:hAnsi="黑体" w:eastAsia="黑体" w:cs="黑体"/>
          <w:b w:val="0"/>
          <w:bCs w:val="0"/>
        </w:rPr>
      </w:pPr>
      <w:r>
        <w:rPr>
          <w:rFonts w:hint="eastAsia" w:ascii="黑体" w:hAnsi="黑体" w:eastAsia="黑体" w:cs="黑体"/>
          <w:b w:val="0"/>
          <w:bCs w:val="0"/>
        </w:rPr>
        <w:t>一、部门（单位）概况</w:t>
      </w:r>
    </w:p>
    <w:p>
      <w:pPr>
        <w:numPr>
          <w:ilvl w:val="0"/>
          <w:numId w:val="6"/>
        </w:num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机构组成</w:t>
      </w:r>
    </w:p>
    <w:p>
      <w:pPr>
        <w:spacing w:line="576"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回龙乡内设行政办公室2个、财政所1个、事业机构6个，分别是：党政办公室、综合发展办公室、财政所，经济发展中心、社会事业服务中心、就业社会保障服务中心、综合文化服务中心、农技站、兽防站。</w:t>
      </w:r>
    </w:p>
    <w:p>
      <w:pPr>
        <w:numPr>
          <w:ilvl w:val="0"/>
          <w:numId w:val="6"/>
        </w:num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机构职能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numPr>
          <w:ilvl w:val="0"/>
          <w:numId w:val="6"/>
        </w:num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人员概况</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回龙乡总编制30名,其中:行政编制17名,其中行政工勤编制2名，事业编制13名。现有在职人员23人，（其中公务员10人，机关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1人，事业人员12人）；退休人员5人（行政退休5人）；遗属5人。</w:t>
      </w:r>
    </w:p>
    <w:p>
      <w:pPr>
        <w:pStyle w:val="3"/>
        <w:spacing w:line="576" w:lineRule="exact"/>
        <w:ind w:firstLine="640" w:firstLineChars="200"/>
        <w:jc w:val="both"/>
        <w:rPr>
          <w:rFonts w:ascii="仿宋" w:hAnsi="仿宋" w:eastAsia="仿宋"/>
          <w:b w:val="0"/>
          <w:bCs w:val="0"/>
          <w:color w:val="000000"/>
        </w:rPr>
      </w:pPr>
      <w:r>
        <w:rPr>
          <w:rFonts w:ascii="黑体" w:hAnsi="黑体" w:eastAsia="黑体" w:cs="黑体"/>
          <w:b w:val="0"/>
          <w:bCs w:val="0"/>
        </w:rPr>
        <w:t>二、部门财政资金收支情况</w:t>
      </w:r>
    </w:p>
    <w:p>
      <w:pPr>
        <w:spacing w:line="576" w:lineRule="exact"/>
        <w:ind w:firstLine="640" w:firstLineChars="200"/>
        <w:jc w:val="both"/>
        <w:rPr>
          <w:rFonts w:ascii="楷体" w:hAnsi="楷体" w:eastAsia="楷体" w:cs="楷体"/>
          <w:b w:val="0"/>
          <w:bCs w:val="0"/>
          <w:sz w:val="32"/>
          <w:szCs w:val="32"/>
        </w:rPr>
      </w:pPr>
      <w:r>
        <w:rPr>
          <w:rFonts w:hint="eastAsia" w:ascii="楷体" w:hAnsi="楷体" w:eastAsia="楷体" w:cs="楷体"/>
          <w:b w:val="0"/>
          <w:bCs w:val="0"/>
          <w:sz w:val="32"/>
          <w:szCs w:val="32"/>
        </w:rPr>
        <w:t>（一）部门财政资金收入情况</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2018年本部门财政拨款收入决算总额为1412.64万元，其中：当年财政拨款收入 1412.64万元,均为一般公共预算财政拨款。</w:t>
      </w:r>
    </w:p>
    <w:p>
      <w:pPr>
        <w:numPr>
          <w:ilvl w:val="0"/>
          <w:numId w:val="7"/>
        </w:numPr>
        <w:spacing w:line="576" w:lineRule="exact"/>
        <w:ind w:firstLine="640" w:firstLineChars="200"/>
        <w:jc w:val="both"/>
        <w:rPr>
          <w:rFonts w:ascii="楷体" w:hAnsi="楷体" w:eastAsia="楷体" w:cs="楷体"/>
          <w:b w:val="0"/>
          <w:bCs w:val="0"/>
          <w:sz w:val="32"/>
          <w:szCs w:val="32"/>
        </w:rPr>
      </w:pPr>
      <w:r>
        <w:rPr>
          <w:rFonts w:hint="eastAsia" w:ascii="楷体" w:hAnsi="楷体" w:eastAsia="楷体" w:cs="楷体"/>
          <w:b w:val="0"/>
          <w:bCs w:val="0"/>
          <w:sz w:val="32"/>
          <w:szCs w:val="32"/>
        </w:rPr>
        <w:t>部门财政资金支出情况</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sz w:val="32"/>
          <w:szCs w:val="32"/>
        </w:rPr>
        <w:t>1373.32</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一般公共服务支出（201）190.78万元，国防支出（203）1.21万元，公共安全支出（204）2.27万元，教育支出（205）221.24万元，社会保障和就业支出（208）173.06万元，农林水支出（213）209.61万元，医疗卫生支出（210）482.49万元，住房保障支出（221）89.96万元，其他支出2.7万元。</w:t>
      </w:r>
    </w:p>
    <w:p>
      <w:pPr>
        <w:pStyle w:val="3"/>
        <w:spacing w:line="576" w:lineRule="exact"/>
        <w:ind w:firstLine="640" w:firstLineChars="200"/>
        <w:jc w:val="both"/>
        <w:rPr>
          <w:rFonts w:ascii="黑体" w:hAnsi="黑体" w:eastAsia="黑体" w:cs="黑体"/>
          <w:b w:val="0"/>
          <w:bCs w:val="0"/>
        </w:rPr>
      </w:pPr>
      <w:r>
        <w:rPr>
          <w:rFonts w:ascii="黑体" w:hAnsi="黑体" w:eastAsia="黑体" w:cs="黑体"/>
          <w:b w:val="0"/>
          <w:bCs w:val="0"/>
        </w:rPr>
        <w:t>三、部门整体预算绩效管理情况</w:t>
      </w:r>
    </w:p>
    <w:p>
      <w:pPr>
        <w:pStyle w:val="3"/>
        <w:spacing w:line="576" w:lineRule="exact"/>
        <w:ind w:firstLine="642" w:firstLineChars="200"/>
        <w:jc w:val="both"/>
        <w:rPr>
          <w:rFonts w:ascii="楷体" w:hAnsi="楷体" w:eastAsia="楷体" w:cs="楷体"/>
        </w:rPr>
      </w:pPr>
      <w:r>
        <w:rPr>
          <w:rFonts w:hint="eastAsia" w:ascii="楷体" w:hAnsi="楷体" w:eastAsia="楷体" w:cs="楷体"/>
        </w:rPr>
        <w:t>（一</w:t>
      </w:r>
      <w:r>
        <w:rPr>
          <w:rFonts w:hint="eastAsia" w:ascii="楷体" w:hAnsi="楷体" w:eastAsia="楷体" w:cs="楷体"/>
          <w:b w:val="0"/>
          <w:bCs w:val="0"/>
        </w:rPr>
        <w:t>）部门预算管理</w:t>
      </w:r>
    </w:p>
    <w:p>
      <w:pPr>
        <w:widowControl/>
        <w:adjustRightInd w:val="0"/>
        <w:snapToGrid w:val="0"/>
        <w:spacing w:line="576" w:lineRule="exact"/>
        <w:ind w:firstLine="640" w:firstLineChars="200"/>
        <w:jc w:val="both"/>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我乡严格按照县级部门预算编制通知和有关要求，按时完成基础库、项目库报送工作，按时完成201</w:t>
      </w:r>
      <w:r>
        <w:rPr>
          <w:rFonts w:hint="eastAsia"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年预算编制工作，并按时提交部门预算草案。按规定编制政府采购预算，预算编制全面、科学。201</w:t>
      </w:r>
      <w:r>
        <w:rPr>
          <w:rFonts w:hint="eastAsia"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 </w:t>
      </w:r>
    </w:p>
    <w:p>
      <w:pPr>
        <w:widowControl/>
        <w:shd w:val="clear" w:color="auto" w:fill="FFFFFF"/>
        <w:spacing w:line="576" w:lineRule="exact"/>
        <w:ind w:firstLine="640" w:firstLineChars="200"/>
        <w:jc w:val="both"/>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预算编制：我乡对2018年部门支出进行预算，支出合计</w:t>
      </w:r>
      <w:r>
        <w:rPr>
          <w:rFonts w:hint="eastAsia" w:ascii="仿宋_GB2312" w:hAnsi="仿宋_GB2312" w:eastAsia="仿宋_GB2312" w:cs="仿宋_GB2312"/>
          <w:sz w:val="32"/>
          <w:szCs w:val="32"/>
          <w:shd w:val="clear" w:color="auto" w:fill="FFFFFF"/>
        </w:rPr>
        <w:t>482</w:t>
      </w:r>
      <w:r>
        <w:rPr>
          <w:rFonts w:hint="eastAsia" w:ascii="仿宋_GB2312" w:hAnsi="仿宋_GB2312" w:eastAsia="仿宋_GB2312" w:cs="仿宋_GB2312"/>
          <w:sz w:val="32"/>
          <w:szCs w:val="32"/>
          <w:shd w:val="clear" w:color="auto" w:fill="FFFFFF"/>
          <w:lang w:val="en-US" w:eastAsia="zh-CN"/>
        </w:rPr>
        <w:t>.</w:t>
      </w:r>
      <w:r>
        <w:rPr>
          <w:rFonts w:hint="eastAsia" w:ascii="仿宋_GB2312" w:hAnsi="仿宋_GB2312" w:eastAsia="仿宋_GB2312" w:cs="仿宋_GB2312"/>
          <w:sz w:val="32"/>
          <w:szCs w:val="32"/>
          <w:shd w:val="clear" w:color="auto" w:fill="FFFFFF"/>
        </w:rPr>
        <w:t>5万</w:t>
      </w:r>
      <w:r>
        <w:rPr>
          <w:rFonts w:hint="eastAsia" w:ascii="仿宋_GB2312" w:hAnsi="仿宋_GB2312" w:eastAsia="仿宋_GB2312" w:cs="仿宋_GB2312"/>
          <w:color w:val="000000"/>
          <w:kern w:val="0"/>
          <w:sz w:val="32"/>
          <w:szCs w:val="32"/>
          <w:shd w:val="clear" w:color="auto" w:fill="FFFFFF"/>
        </w:rPr>
        <w:t>元。其中：</w:t>
      </w:r>
    </w:p>
    <w:p>
      <w:pPr>
        <w:widowControl/>
        <w:shd w:val="clear" w:color="auto" w:fill="FFFFFF"/>
        <w:spacing w:line="576" w:lineRule="exact"/>
        <w:ind w:firstLine="640" w:firstLineChars="200"/>
        <w:jc w:val="both"/>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1.基本支出335.6万元</w:t>
      </w:r>
    </w:p>
    <w:p>
      <w:pPr>
        <w:widowControl/>
        <w:shd w:val="clear" w:color="auto" w:fill="FFFFFF"/>
        <w:spacing w:line="576" w:lineRule="exact"/>
        <w:ind w:firstLine="640" w:firstLineChars="200"/>
        <w:jc w:val="both"/>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rPr>
        <w:t>（1）工资福利性支出：260.87万元</w:t>
      </w:r>
      <w:r>
        <w:rPr>
          <w:rFonts w:hint="eastAsia" w:ascii="仿宋_GB2312" w:hAnsi="仿宋_GB2312" w:eastAsia="仿宋_GB2312" w:cs="仿宋_GB2312"/>
          <w:color w:val="000000"/>
          <w:kern w:val="0"/>
          <w:sz w:val="32"/>
          <w:szCs w:val="32"/>
          <w:shd w:val="clear" w:color="auto" w:fill="FFFFFF"/>
          <w:lang w:eastAsia="zh-CN"/>
        </w:rPr>
        <w:t>。</w:t>
      </w:r>
    </w:p>
    <w:p>
      <w:pPr>
        <w:widowControl/>
        <w:shd w:val="clear" w:color="auto" w:fill="FFFFFF"/>
        <w:spacing w:line="576" w:lineRule="exact"/>
        <w:ind w:firstLine="640" w:firstLineChars="200"/>
        <w:jc w:val="both"/>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（2）商品和服务支出85.54万元，其中：公务接待费0</w:t>
      </w:r>
      <w:r>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t>万元；公务用车运行维护费4万元</w:t>
      </w:r>
      <w:r>
        <w:rPr>
          <w:rFonts w:hint="eastAsia" w:ascii="仿宋_GB2312" w:hAnsi="仿宋_GB2312" w:eastAsia="仿宋_GB2312" w:cs="仿宋_GB2312"/>
          <w:color w:val="000000"/>
          <w:kern w:val="0"/>
          <w:sz w:val="32"/>
          <w:szCs w:val="32"/>
          <w:shd w:val="clear" w:color="auto" w:fill="FFFFFF"/>
        </w:rPr>
        <w:t>。</w:t>
      </w:r>
    </w:p>
    <w:p>
      <w:pPr>
        <w:widowControl/>
        <w:shd w:val="clear" w:color="auto" w:fill="FFFFFF"/>
        <w:spacing w:line="576" w:lineRule="exact"/>
        <w:ind w:firstLine="640" w:firstLineChars="200"/>
        <w:jc w:val="both"/>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（3）对个人和家庭的补助支出：102.67万元。</w:t>
      </w:r>
    </w:p>
    <w:p>
      <w:pPr>
        <w:widowControl/>
        <w:shd w:val="clear" w:color="auto" w:fill="FFFFFF"/>
        <w:spacing w:line="576" w:lineRule="exact"/>
        <w:ind w:firstLine="640" w:firstLineChars="200"/>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2.项目支出8万元</w:t>
      </w:r>
    </w:p>
    <w:p>
      <w:pPr>
        <w:widowControl/>
        <w:shd w:val="clear" w:color="auto" w:fill="FFFFFF"/>
        <w:spacing w:line="576" w:lineRule="exact"/>
        <w:ind w:firstLine="640" w:firstLineChars="200"/>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（1）商品和服务支出8万元，其中基层组织活动和公共服务运行经费项目支出4万元，村办公费4万元。</w:t>
      </w:r>
    </w:p>
    <w:p>
      <w:pPr>
        <w:widowControl/>
        <w:shd w:val="clear" w:color="auto" w:fill="FFFFFF"/>
        <w:spacing w:line="576" w:lineRule="exact"/>
        <w:ind w:firstLine="640" w:firstLineChars="200"/>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（2）对个人和家庭的补助6.99万元，主要用于村干部生活补助。</w:t>
      </w:r>
    </w:p>
    <w:p>
      <w:pPr>
        <w:pStyle w:val="3"/>
        <w:spacing w:line="576" w:lineRule="exact"/>
        <w:ind w:firstLine="640" w:firstLineChars="200"/>
        <w:jc w:val="both"/>
        <w:rPr>
          <w:rFonts w:ascii="仿宋" w:hAnsi="仿宋" w:eastAsia="仿宋" w:cs="仿宋_GB2312"/>
          <w:b w:val="0"/>
          <w:bCs w:val="0"/>
        </w:rPr>
      </w:pPr>
      <w:r>
        <w:rPr>
          <w:rFonts w:hint="eastAsia" w:ascii="楷体" w:hAnsi="楷体" w:eastAsia="楷体" w:cs="楷体"/>
          <w:b w:val="0"/>
          <w:bCs w:val="0"/>
        </w:rPr>
        <w:t>（二）专项预算管理</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2018年，本部门无专项预算。</w:t>
      </w:r>
    </w:p>
    <w:p>
      <w:pPr>
        <w:pStyle w:val="3"/>
        <w:spacing w:line="576" w:lineRule="exact"/>
        <w:ind w:firstLine="640" w:firstLineChars="200"/>
        <w:jc w:val="both"/>
        <w:rPr>
          <w:rFonts w:ascii="仿宋" w:hAnsi="仿宋" w:eastAsia="仿宋" w:cs="仿宋_GB2312"/>
          <w:b w:val="0"/>
          <w:bCs w:val="0"/>
        </w:rPr>
      </w:pPr>
      <w:r>
        <w:rPr>
          <w:rFonts w:hint="eastAsia" w:ascii="楷体" w:hAnsi="楷体" w:eastAsia="楷体" w:cs="楷体"/>
          <w:b w:val="0"/>
          <w:bCs w:val="0"/>
        </w:rPr>
        <w:t>（三）结果应用情况</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我乡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乡整体绩效管理水平不断提升。</w:t>
      </w:r>
    </w:p>
    <w:p>
      <w:pPr>
        <w:pStyle w:val="3"/>
        <w:spacing w:line="576" w:lineRule="exact"/>
        <w:ind w:firstLine="640" w:firstLineChars="200"/>
        <w:jc w:val="both"/>
        <w:rPr>
          <w:rFonts w:ascii="黑体" w:hAnsi="黑体" w:eastAsia="黑体" w:cs="黑体"/>
          <w:b w:val="0"/>
          <w:bCs w:val="0"/>
        </w:rPr>
      </w:pPr>
      <w:r>
        <w:rPr>
          <w:rFonts w:ascii="黑体" w:hAnsi="黑体" w:eastAsia="黑体" w:cs="黑体"/>
          <w:b w:val="0"/>
          <w:bCs w:val="0"/>
        </w:rPr>
        <w:t>四、评价结论及建议</w:t>
      </w:r>
    </w:p>
    <w:p>
      <w:pPr>
        <w:pStyle w:val="3"/>
        <w:spacing w:line="576" w:lineRule="exact"/>
        <w:ind w:firstLine="642" w:firstLineChars="200"/>
        <w:jc w:val="both"/>
        <w:rPr>
          <w:rStyle w:val="25"/>
          <w:rFonts w:ascii="黑体" w:hAnsi="黑体" w:eastAsia="黑体"/>
          <w:b w:val="0"/>
          <w:bCs w:val="0"/>
        </w:rPr>
      </w:pPr>
      <w:r>
        <w:rPr>
          <w:rFonts w:hint="eastAsia" w:ascii="楷体" w:hAnsi="楷体" w:eastAsia="楷体" w:cs="楷体"/>
        </w:rPr>
        <w:t>（一）评价结论</w:t>
      </w:r>
    </w:p>
    <w:p>
      <w:pPr>
        <w:widowControl/>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2018年我单位部门整体支出绩效评价自查自评结果良好，全年基本支出保证了部门的正常运行和日常工作的正常开展，项目支出保障了重点工作的开展，达到预期绩效目标。</w:t>
      </w:r>
    </w:p>
    <w:p>
      <w:pPr>
        <w:widowControl/>
        <w:spacing w:line="576" w:lineRule="exact"/>
        <w:ind w:firstLine="640" w:firstLineChars="200"/>
        <w:jc w:val="both"/>
      </w:pPr>
      <w:r>
        <w:rPr>
          <w:rFonts w:hint="eastAsia" w:ascii="仿宋_GB2312" w:hAnsi="仿宋_GB2312" w:eastAsia="仿宋_GB2312" w:cs="仿宋_GB2312"/>
          <w:color w:val="000000"/>
          <w:kern w:val="0"/>
          <w:sz w:val="32"/>
          <w:szCs w:val="32"/>
        </w:rPr>
        <w:t>按照《茂县财政局关于开展2019年财政支出绩效评价工作的通知》（茂财发[2019]38号）201</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年回龙乡人民政府整体支出绩效评价指标体系自评得分85.38分。</w:t>
      </w:r>
    </w:p>
    <w:p>
      <w:pPr>
        <w:pStyle w:val="3"/>
        <w:spacing w:line="576" w:lineRule="exact"/>
        <w:ind w:firstLine="642" w:firstLineChars="200"/>
        <w:jc w:val="both"/>
        <w:rPr>
          <w:rStyle w:val="25"/>
          <w:rFonts w:ascii="黑体" w:hAnsi="黑体" w:eastAsia="黑体"/>
          <w:b w:val="0"/>
          <w:bCs w:val="0"/>
        </w:rPr>
      </w:pPr>
      <w:r>
        <w:rPr>
          <w:rFonts w:hint="eastAsia" w:ascii="楷体" w:hAnsi="楷体" w:eastAsia="楷体" w:cs="楷体"/>
        </w:rPr>
        <w:t>（二）存在问题</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1.需更进一步规范财务报账资料。</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2.属于公务卡结算目录内的费用,应加大使用公务卡结算比例。</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3.需严格报账审批，切实履行各自职能职责，保障会计资料的真实性、完整性。</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4.财务核算和档案管理需进一步规范。</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5.财务人员工作量大、业务水平要求更高，需要进一步提高会计业务水平。</w:t>
      </w:r>
    </w:p>
    <w:p>
      <w:pPr>
        <w:pStyle w:val="3"/>
        <w:spacing w:line="576" w:lineRule="exact"/>
        <w:ind w:firstLine="642" w:firstLineChars="200"/>
        <w:jc w:val="both"/>
        <w:rPr>
          <w:rFonts w:ascii="仿宋" w:hAnsi="仿宋" w:eastAsia="仿宋" w:cs="仿宋_GB2312"/>
        </w:rPr>
      </w:pPr>
      <w:r>
        <w:rPr>
          <w:rFonts w:hint="eastAsia" w:ascii="楷体" w:hAnsi="楷体" w:eastAsia="楷体" w:cs="楷体"/>
        </w:rPr>
        <w:t>（三）改进建议</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1.进一步加强单位预算编制、支出执行、决算编制等工作的管理，特别是应加快专项资金的预算执行进度。</w:t>
      </w:r>
    </w:p>
    <w:p>
      <w:p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2.在会计核算过程中，严格按照单位内控制度、财务管理制度，加强票据审核，报销凭证应为真实、合法、有效的票据；严禁超范围、超标准、进行报销。</w:t>
      </w:r>
    </w:p>
    <w:p>
      <w:pPr>
        <w:spacing w:line="580" w:lineRule="exact"/>
        <w:ind w:firstLine="640" w:firstLineChars="200"/>
        <w:rPr>
          <w:rFonts w:ascii="仿宋" w:hAnsi="仿宋" w:eastAsia="仿宋" w:cs="仿宋_GB2312"/>
          <w:sz w:val="32"/>
          <w:szCs w:val="32"/>
        </w:rPr>
      </w:pPr>
      <w:r>
        <w:rPr>
          <w:rFonts w:ascii="仿宋_GB2312" w:hAnsi="仿宋_GB2312" w:eastAsia="仿宋_GB2312" w:cs="仿宋_GB2312"/>
          <w:sz w:val="32"/>
          <w:szCs w:val="32"/>
        </w:rPr>
        <w:br w:type="page"/>
      </w:r>
    </w:p>
    <w:p>
      <w:pPr>
        <w:pStyle w:val="3"/>
        <w:rPr>
          <w:rStyle w:val="24"/>
          <w:rFonts w:ascii="仿宋" w:hAnsi="仿宋" w:eastAsia="仿宋"/>
          <w:b w:val="0"/>
          <w:bCs w:val="0"/>
          <w:sz w:val="32"/>
          <w:szCs w:val="32"/>
        </w:rPr>
      </w:pPr>
      <w:bookmarkStart w:id="61" w:name="_Toc15396617"/>
      <w:r>
        <w:rPr>
          <w:rStyle w:val="24"/>
          <w:rFonts w:hint="eastAsia" w:ascii="仿宋" w:hAnsi="仿宋" w:eastAsia="仿宋"/>
          <w:b w:val="0"/>
          <w:bCs w:val="0"/>
          <w:sz w:val="32"/>
          <w:szCs w:val="32"/>
        </w:rPr>
        <w:t>附件2</w:t>
      </w:r>
      <w:bookmarkEnd w:id="61"/>
    </w:p>
    <w:tbl>
      <w:tblPr>
        <w:tblStyle w:val="12"/>
        <w:tblW w:w="10859" w:type="dxa"/>
        <w:tblInd w:w="-1344" w:type="dxa"/>
        <w:tblLayout w:type="fixed"/>
        <w:tblCellMar>
          <w:top w:w="0" w:type="dxa"/>
          <w:left w:w="0" w:type="dxa"/>
          <w:bottom w:w="0" w:type="dxa"/>
          <w:right w:w="0" w:type="dxa"/>
        </w:tblCellMar>
      </w:tblPr>
      <w:tblGrid>
        <w:gridCol w:w="628"/>
        <w:gridCol w:w="936"/>
        <w:gridCol w:w="1295"/>
        <w:gridCol w:w="2500"/>
        <w:gridCol w:w="1256"/>
        <w:gridCol w:w="1295"/>
        <w:gridCol w:w="2949"/>
      </w:tblGrid>
      <w:tr>
        <w:tblPrEx>
          <w:tblCellMar>
            <w:top w:w="0" w:type="dxa"/>
            <w:left w:w="0" w:type="dxa"/>
            <w:bottom w:w="0" w:type="dxa"/>
            <w:right w:w="0" w:type="dxa"/>
          </w:tblCellMar>
        </w:tblPrEx>
        <w:trPr>
          <w:trHeight w:val="600" w:hRule="atLeast"/>
        </w:trPr>
        <w:tc>
          <w:tcPr>
            <w:tcW w:w="10859" w:type="dxa"/>
            <w:gridSpan w:val="7"/>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8"/>
                <w:szCs w:val="28"/>
              </w:rPr>
            </w:pPr>
            <w:bookmarkStart w:id="62" w:name="_Toc15396618"/>
            <w:r>
              <w:rPr>
                <w:rFonts w:hint="eastAsia" w:ascii="宋体" w:hAnsi="宋体" w:cs="宋体"/>
                <w:b/>
                <w:color w:val="000000"/>
                <w:kern w:val="0"/>
                <w:sz w:val="28"/>
                <w:szCs w:val="28"/>
              </w:rPr>
              <w:t>201</w:t>
            </w:r>
            <w:r>
              <w:rPr>
                <w:rFonts w:hint="eastAsia" w:ascii="宋体" w:hAnsi="宋体" w:cs="宋体"/>
                <w:b/>
                <w:color w:val="000000"/>
                <w:kern w:val="0"/>
                <w:sz w:val="28"/>
                <w:szCs w:val="28"/>
                <w:lang w:val="en-US" w:eastAsia="zh-CN"/>
              </w:rPr>
              <w:t>8</w:t>
            </w:r>
            <w:r>
              <w:rPr>
                <w:rFonts w:hint="eastAsia" w:ascii="宋体" w:hAnsi="宋体" w:cs="宋体"/>
                <w:b/>
                <w:color w:val="000000"/>
                <w:kern w:val="0"/>
                <w:sz w:val="28"/>
                <w:szCs w:val="28"/>
              </w:rPr>
              <w:t>年茂县回龙乡人民政府整体支出绩效评价指标体系</w:t>
            </w:r>
          </w:p>
        </w:tc>
      </w:tr>
      <w:tr>
        <w:tblPrEx>
          <w:tblCellMar>
            <w:top w:w="0" w:type="dxa"/>
            <w:left w:w="0" w:type="dxa"/>
            <w:bottom w:w="0" w:type="dxa"/>
            <w:right w:w="0" w:type="dxa"/>
          </w:tblCellMar>
        </w:tblPrEx>
        <w:trPr>
          <w:trHeight w:val="420" w:hRule="atLeast"/>
        </w:trPr>
        <w:tc>
          <w:tcPr>
            <w:tcW w:w="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blPrEx>
          <w:tblCellMar>
            <w:top w:w="0" w:type="dxa"/>
            <w:left w:w="0" w:type="dxa"/>
            <w:bottom w:w="0" w:type="dxa"/>
            <w:right w:w="0" w:type="dxa"/>
          </w:tblCellMar>
        </w:tblPrEx>
        <w:trPr>
          <w:trHeight w:val="480" w:hRule="atLeast"/>
        </w:trPr>
        <w:tc>
          <w:tcPr>
            <w:tcW w:w="628"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预算编制（10分）</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报送时效（2分）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基础信息更新（2分）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部门是否按照县级部门预算编制通知和有关要求，按时完成基础库、项目库报送工作</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超过规定5个工作日扣0.5分，10个工作日扣1分，以此类推，直至扣完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编制质量（3分）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预算编制准确（2分）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（预算资金总来源-中期评估调整取消资金-预算结余注销资金）÷预算资金总来源*指标分值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其中：预算资金总来源是指县级年初预算与执行中追加预算（不含当年专款）总和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部门预算审查（1分）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根据县人大财经委对预算草案审查结果进行考核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0.02</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对财经委审查后提出并确需修改的问题，每个问题扣0.02分，直至扣完</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绩效目标（5分）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部门整体绩效目标编制完整、合理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部门整体绩效目标能完整、合理反映部门年度职责履行情况的得分，否则不得分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重点项目绩效目标（3分）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项目绩效目标编制明确、量化</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预算执行（20分）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执行进度（10分）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财力专项预算分配时限（4分）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按规定及时分配财力专项预算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按《预算法》规定时限完成分配的考核得分，否则不得分</w:t>
            </w:r>
          </w:p>
        </w:tc>
      </w:tr>
      <w:tr>
        <w:tblPrEx>
          <w:tblCellMar>
            <w:top w:w="0" w:type="dxa"/>
            <w:left w:w="0" w:type="dxa"/>
            <w:bottom w:w="0" w:type="dxa"/>
            <w:right w:w="0" w:type="dxa"/>
          </w:tblCellMar>
        </w:tblPrEx>
        <w:trPr>
          <w:trHeight w:val="42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部门预算执行进度（6分）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部门按要求严格预算执行管理</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部门预算实际列支数÷部门预算总额*指标分值</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预算调整（4分）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执行中期评估（4分）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部门中期评估调整取消资金÷(中期评估调整取消资金+预算结余注销资金）*指标分值</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当中期评估调整取消资金与结余注销资金之和为零时，得满分</w:t>
            </w:r>
          </w:p>
        </w:tc>
      </w:tr>
      <w:tr>
        <w:tblPrEx>
          <w:tblCellMar>
            <w:top w:w="0" w:type="dxa"/>
            <w:left w:w="0" w:type="dxa"/>
            <w:bottom w:w="0" w:type="dxa"/>
            <w:right w:w="0" w:type="dxa"/>
          </w:tblCellMar>
        </w:tblPrEx>
        <w:trPr>
          <w:trHeight w:val="480"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行政成本（6分）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三公经费（6分）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严格执行“三公经费”预算</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部门“三公”经费决算数一项超预算扣1分，两项超预算扣2分，以此类推，直至扣完</w:t>
            </w:r>
          </w:p>
        </w:tc>
      </w:tr>
      <w:tr>
        <w:tblPrEx>
          <w:tblCellMar>
            <w:top w:w="0" w:type="dxa"/>
            <w:left w:w="0" w:type="dxa"/>
            <w:bottom w:w="0" w:type="dxa"/>
            <w:right w:w="0" w:type="dxa"/>
          </w:tblCellMar>
        </w:tblPrEx>
        <w:trPr>
          <w:trHeight w:val="285" w:hRule="atLeast"/>
        </w:trPr>
        <w:tc>
          <w:tcPr>
            <w:tcW w:w="62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综合管理（40分）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政府采购实施计划编制（2）</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实施计划与政府采购预算的一致性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（1-调整或细化资金/政府采购预算资金）*分值</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政府采购实施计划的执行（2）</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执行的实施计划与备案的实施计划的一致性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（1-实施计划备案后的调整或细化资金/实施计划备案后的资金）*分值</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资产管理（6分）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资产管理信息系统建设情况（2分）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考核部门和单位将国有资产纳入资产信息系统管理情况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20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行政事业单位资产清查开展情况（2分）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考核行政事业单位按要求及时、准确、全面开展资产清查工作情况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行政事业单位资产报表上报情况（2分）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考核行政事业单位上报国有资产报表数据的真实性、准确性、全面性</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内控制度管理（4分）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内部控制度健全完整（4分）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考核部门内部控制制度的设置和执行情况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信息公开（10分）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预算公开（4分）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按县财政通知要求公开预算，未按要求公开的，发现一处扣0.5分，直至扣完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决算公开（4分）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未按要求公开的，发现一处问题0.5分，直至扣完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绩效信息公开（2分）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按要求公开部门整体支出绩效自评报告及其他按要求应公开的绩效信息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未按要求公开的，发现一处问题0.5分，直至扣完</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绩效评价（10分）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评价项目覆盖率（2分）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评价覆盖率=实施绩效评价项目数量/部门管理专项预算项目数量×100%</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评价层次（2分）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部门（单位）是否对单位内部股室开展整体绩效评价</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对单位内部实施评价的得分，否则不得分</w:t>
            </w:r>
          </w:p>
        </w:tc>
      </w:tr>
      <w:tr>
        <w:tblPrEx>
          <w:tblCellMar>
            <w:top w:w="0" w:type="dxa"/>
            <w:left w:w="0" w:type="dxa"/>
            <w:bottom w:w="0" w:type="dxa"/>
            <w:right w:w="0" w:type="dxa"/>
          </w:tblCellMar>
        </w:tblPrEx>
        <w:trPr>
          <w:trHeight w:val="4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评价结果报告（2分）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部门是否按要求向财政部门报告自评报告等相关绩效信息</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未按要求报送的，发现一处扣0.5分，直至扣完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整改完成率（4分）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部门是否按要求针对绩效评价发现问题制定整改措施，并整改落实到位</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完成率=应制定整改措施的项目数量/部门实际制定整改措施项目数量×100%</w:t>
            </w:r>
          </w:p>
        </w:tc>
      </w:tr>
      <w:tr>
        <w:tblPrEx>
          <w:tblCellMar>
            <w:top w:w="0" w:type="dxa"/>
            <w:left w:w="0" w:type="dxa"/>
            <w:bottom w:w="0" w:type="dxa"/>
            <w:right w:w="0" w:type="dxa"/>
          </w:tblCellMar>
        </w:tblPrEx>
        <w:trPr>
          <w:trHeight w:val="72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依法接受财政监督（6分）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是否按要求开展自查自纠（2分）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根据相关自查自纠报告、报表报送时效和质量进行考核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285"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重点检查发现违规违纪问题（2分）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根据检查组提供的工作底稿、检查报告等资料进行考核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专项检查发现的违纪违规问题，每个问题扣0.5分，直至扣完</w:t>
            </w:r>
          </w:p>
        </w:tc>
      </w:tr>
      <w:tr>
        <w:tblPrEx>
          <w:tblCellMar>
            <w:top w:w="0" w:type="dxa"/>
            <w:left w:w="0" w:type="dxa"/>
            <w:bottom w:w="0" w:type="dxa"/>
            <w:right w:w="0" w:type="dxa"/>
          </w:tblCellMar>
        </w:tblPrEx>
        <w:trPr>
          <w:trHeight w:val="480" w:hRule="atLeast"/>
        </w:trPr>
        <w:tc>
          <w:tcPr>
            <w:tcW w:w="62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存在问题整改是否到位（2分）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根据相关整改报告、凭证依据等相关证明材料进行考核</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未在规定时间内完成整改，并提供相关证明材料的，每个问题0.5分，直至扣完</w:t>
            </w:r>
          </w:p>
        </w:tc>
      </w:tr>
      <w:tr>
        <w:tblPrEx>
          <w:tblCellMar>
            <w:top w:w="0" w:type="dxa"/>
            <w:left w:w="0" w:type="dxa"/>
            <w:bottom w:w="0" w:type="dxa"/>
            <w:right w:w="0" w:type="dxa"/>
          </w:tblCellMar>
        </w:tblPrEx>
        <w:trPr>
          <w:trHeight w:val="285" w:hRule="atLeast"/>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整体效益（30分）</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部门整体绩效（30分）</w:t>
            </w:r>
          </w:p>
        </w:tc>
        <w:tc>
          <w:tcPr>
            <w:tcW w:w="1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重点项目绩效评价结果（10分）</w:t>
            </w:r>
          </w:p>
        </w:tc>
        <w:tc>
          <w:tcPr>
            <w:tcW w:w="2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部门实施重大项目的经济、社会效益</w:t>
            </w:r>
          </w:p>
        </w:tc>
        <w:tc>
          <w:tcPr>
            <w:tcW w:w="12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20"/>
                <w:szCs w:val="20"/>
              </w:rPr>
            </w:pPr>
          </w:p>
        </w:tc>
        <w:tc>
          <w:tcPr>
            <w:tcW w:w="2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根据县财政组织实施项目绩效评价结果换算</w:t>
            </w:r>
          </w:p>
        </w:tc>
      </w:tr>
      <w:tr>
        <w:tblPrEx>
          <w:tblCellMar>
            <w:top w:w="0" w:type="dxa"/>
            <w:left w:w="0" w:type="dxa"/>
            <w:bottom w:w="0" w:type="dxa"/>
            <w:right w:w="0" w:type="dxa"/>
          </w:tblCellMar>
        </w:tblPrEx>
        <w:trPr>
          <w:trHeight w:val="312"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部门职能完成情况特性指标（20分）</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0.5</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部门和评价组根据部门实际设置</w:t>
            </w:r>
          </w:p>
        </w:tc>
      </w:tr>
      <w:tr>
        <w:tblPrEx>
          <w:tblCellMar>
            <w:top w:w="0" w:type="dxa"/>
            <w:left w:w="0" w:type="dxa"/>
            <w:bottom w:w="0" w:type="dxa"/>
            <w:right w:w="0" w:type="dxa"/>
          </w:tblCellMar>
        </w:tblPrEx>
        <w:trPr>
          <w:trHeight w:val="495" w:hRule="atLeast"/>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420" w:hRule="atLeast"/>
        </w:trPr>
        <w:tc>
          <w:tcPr>
            <w:tcW w:w="10859" w:type="dxa"/>
            <w:gridSpan w:val="7"/>
            <w:tcBorders>
              <w:top w:val="single" w:color="000000" w:sz="4" w:space="0"/>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widowControl/>
        <w:jc w:val="left"/>
        <w:rPr>
          <w:rFonts w:ascii="仿宋_GB2312" w:hAnsi="仿宋_GB2312" w:eastAsia="仿宋_GB2312" w:cs="仿宋_GB2312"/>
          <w:sz w:val="32"/>
          <w:szCs w:val="32"/>
        </w:rPr>
      </w:pPr>
    </w:p>
    <w:p>
      <w:pPr>
        <w:spacing w:line="580" w:lineRule="exact"/>
        <w:ind w:firstLine="1320" w:firstLineChars="300"/>
        <w:rPr>
          <w:rFonts w:ascii="黑体" w:hAnsi="黑体" w:eastAsia="黑体"/>
          <w:color w:val="000000"/>
          <w:sz w:val="44"/>
          <w:szCs w:val="44"/>
        </w:rPr>
      </w:pPr>
    </w:p>
    <w:p>
      <w:pPr>
        <w:spacing w:line="580" w:lineRule="exact"/>
        <w:ind w:firstLine="1320" w:firstLineChars="300"/>
        <w:rPr>
          <w:rFonts w:ascii="黑体" w:hAnsi="黑体" w:eastAsia="黑体"/>
          <w:color w:val="000000"/>
          <w:sz w:val="44"/>
          <w:szCs w:val="44"/>
        </w:rPr>
      </w:pPr>
    </w:p>
    <w:p>
      <w:pPr>
        <w:spacing w:line="580" w:lineRule="exact"/>
        <w:ind w:firstLine="1320" w:firstLineChars="300"/>
        <w:rPr>
          <w:rFonts w:ascii="黑体" w:hAnsi="黑体" w:eastAsia="黑体"/>
          <w:color w:val="000000"/>
          <w:sz w:val="44"/>
          <w:szCs w:val="44"/>
        </w:rPr>
      </w:pPr>
    </w:p>
    <w:p>
      <w:pPr>
        <w:spacing w:line="580" w:lineRule="exact"/>
        <w:ind w:firstLine="1320" w:firstLineChars="300"/>
        <w:rPr>
          <w:rFonts w:ascii="黑体" w:hAnsi="黑体" w:eastAsia="黑体"/>
          <w:color w:val="000000"/>
          <w:sz w:val="44"/>
          <w:szCs w:val="44"/>
        </w:rPr>
      </w:pPr>
    </w:p>
    <w:p>
      <w:pPr>
        <w:spacing w:line="580" w:lineRule="exact"/>
        <w:ind w:firstLine="1320" w:firstLineChars="300"/>
        <w:rPr>
          <w:rFonts w:ascii="黑体" w:hAnsi="黑体" w:eastAsia="黑体"/>
          <w:color w:val="000000"/>
          <w:sz w:val="44"/>
          <w:szCs w:val="44"/>
        </w:rPr>
      </w:pPr>
    </w:p>
    <w:p>
      <w:pPr>
        <w:spacing w:line="580" w:lineRule="exact"/>
        <w:jc w:val="center"/>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62"/>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4"/>
    </w:p>
    <w:p>
      <w:pPr>
        <w:pStyle w:val="3"/>
        <w:rPr>
          <w:rStyle w:val="25"/>
          <w:rFonts w:ascii="仿宋" w:hAnsi="仿宋" w:eastAsia="仿宋"/>
          <w:b w:val="0"/>
          <w:bCs w:val="0"/>
        </w:rPr>
      </w:pPr>
      <w:bookmarkStart w:id="75"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5"/>
    </w:p>
    <w:p>
      <w:pPr>
        <w:rPr>
          <w:rFonts w:eastAsia="仿宋"/>
          <w:b/>
          <w:bCs/>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3F00" w:csb1="01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FB5C9670"/>
    <w:multiLevelType w:val="singleLevel"/>
    <w:tmpl w:val="FB5C9670"/>
    <w:lvl w:ilvl="0" w:tentative="0">
      <w:start w:val="2"/>
      <w:numFmt w:val="chineseCounting"/>
      <w:suff w:val="nothing"/>
      <w:lvlText w:val="（%1）"/>
      <w:lvlJc w:val="left"/>
      <w:rPr>
        <w:rFonts w:hint="eastAsia"/>
      </w:rPr>
    </w:lvl>
  </w:abstractNum>
  <w:abstractNum w:abstractNumId="2">
    <w:nsid w:val="05EE1DBB"/>
    <w:multiLevelType w:val="singleLevel"/>
    <w:tmpl w:val="05EE1DBB"/>
    <w:lvl w:ilvl="0" w:tentative="0">
      <w:start w:val="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09FE386"/>
    <w:multiLevelType w:val="singleLevel"/>
    <w:tmpl w:val="409FE386"/>
    <w:lvl w:ilvl="0" w:tentative="0">
      <w:start w:val="1"/>
      <w:numFmt w:val="chineseCounting"/>
      <w:suff w:val="nothing"/>
      <w:lvlText w:val="（%1）"/>
      <w:lvlJc w:val="left"/>
      <w:rPr>
        <w:rFonts w:hint="eastAsia"/>
      </w:rPr>
    </w:lvl>
  </w:abstractNum>
  <w:abstractNum w:abstractNumId="5">
    <w:nsid w:val="46969C9D"/>
    <w:multiLevelType w:val="singleLevel"/>
    <w:tmpl w:val="46969C9D"/>
    <w:lvl w:ilvl="0" w:tentative="0">
      <w:start w:val="1"/>
      <w:numFmt w:val="chineseCounting"/>
      <w:suff w:val="nothing"/>
      <w:lvlText w:val="%1、"/>
      <w:lvlJc w:val="left"/>
      <w:rPr>
        <w:rFonts w:hint="eastAsia"/>
      </w:rPr>
    </w:lvl>
  </w:abstractNum>
  <w:abstractNum w:abstractNumId="6">
    <w:nsid w:val="5C5E7743"/>
    <w:multiLevelType w:val="singleLevel"/>
    <w:tmpl w:val="5C5E7743"/>
    <w:lvl w:ilvl="0" w:tentative="0">
      <w:start w:val="2"/>
      <w:numFmt w:val="chineseCounting"/>
      <w:suff w:val="space"/>
      <w:lvlText w:val="第%1部分"/>
      <w:lvlJc w:val="left"/>
      <w:rPr>
        <w:rFonts w:hint="eastAsia"/>
      </w:r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0F35A0"/>
    <w:rsid w:val="00114E9B"/>
    <w:rsid w:val="00121F7F"/>
    <w:rsid w:val="00126398"/>
    <w:rsid w:val="0014729F"/>
    <w:rsid w:val="00157BAB"/>
    <w:rsid w:val="001654D1"/>
    <w:rsid w:val="0018106D"/>
    <w:rsid w:val="001877A7"/>
    <w:rsid w:val="00191536"/>
    <w:rsid w:val="00196687"/>
    <w:rsid w:val="001A2680"/>
    <w:rsid w:val="001C0962"/>
    <w:rsid w:val="001D3780"/>
    <w:rsid w:val="001D7531"/>
    <w:rsid w:val="001E67A0"/>
    <w:rsid w:val="001E737D"/>
    <w:rsid w:val="001F0592"/>
    <w:rsid w:val="001F7506"/>
    <w:rsid w:val="002006CD"/>
    <w:rsid w:val="00202B36"/>
    <w:rsid w:val="00204B7A"/>
    <w:rsid w:val="0021101A"/>
    <w:rsid w:val="00216463"/>
    <w:rsid w:val="00220536"/>
    <w:rsid w:val="00221AA0"/>
    <w:rsid w:val="00235629"/>
    <w:rsid w:val="00260C38"/>
    <w:rsid w:val="002616C0"/>
    <w:rsid w:val="002662AA"/>
    <w:rsid w:val="00274661"/>
    <w:rsid w:val="00275960"/>
    <w:rsid w:val="00280496"/>
    <w:rsid w:val="002843A5"/>
    <w:rsid w:val="00295495"/>
    <w:rsid w:val="002A1891"/>
    <w:rsid w:val="002B2613"/>
    <w:rsid w:val="002F1818"/>
    <w:rsid w:val="002F567B"/>
    <w:rsid w:val="00307965"/>
    <w:rsid w:val="00307B84"/>
    <w:rsid w:val="003216A9"/>
    <w:rsid w:val="00330503"/>
    <w:rsid w:val="00367D47"/>
    <w:rsid w:val="00367D71"/>
    <w:rsid w:val="0037013F"/>
    <w:rsid w:val="00375188"/>
    <w:rsid w:val="00380C92"/>
    <w:rsid w:val="003A484F"/>
    <w:rsid w:val="003B0BE0"/>
    <w:rsid w:val="003B0C1B"/>
    <w:rsid w:val="003B688C"/>
    <w:rsid w:val="003C0291"/>
    <w:rsid w:val="003C39AE"/>
    <w:rsid w:val="003C7B60"/>
    <w:rsid w:val="003D1FB2"/>
    <w:rsid w:val="003D66DA"/>
    <w:rsid w:val="003E1310"/>
    <w:rsid w:val="003E2FDA"/>
    <w:rsid w:val="003E6F55"/>
    <w:rsid w:val="003F06C4"/>
    <w:rsid w:val="003F0723"/>
    <w:rsid w:val="00406254"/>
    <w:rsid w:val="00421B23"/>
    <w:rsid w:val="004223DE"/>
    <w:rsid w:val="00434489"/>
    <w:rsid w:val="00437085"/>
    <w:rsid w:val="00443880"/>
    <w:rsid w:val="004464F4"/>
    <w:rsid w:val="00463934"/>
    <w:rsid w:val="00471401"/>
    <w:rsid w:val="00473F31"/>
    <w:rsid w:val="0048263A"/>
    <w:rsid w:val="00487E5D"/>
    <w:rsid w:val="004A711F"/>
    <w:rsid w:val="004A76FA"/>
    <w:rsid w:val="004B199D"/>
    <w:rsid w:val="004B4690"/>
    <w:rsid w:val="004E0A2D"/>
    <w:rsid w:val="004E206B"/>
    <w:rsid w:val="004E6DF7"/>
    <w:rsid w:val="004F0FBD"/>
    <w:rsid w:val="00505A47"/>
    <w:rsid w:val="00512FDA"/>
    <w:rsid w:val="00520DA0"/>
    <w:rsid w:val="00522F07"/>
    <w:rsid w:val="005664BB"/>
    <w:rsid w:val="0057481D"/>
    <w:rsid w:val="00583930"/>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75D9"/>
    <w:rsid w:val="0066343B"/>
    <w:rsid w:val="00664777"/>
    <w:rsid w:val="006748A4"/>
    <w:rsid w:val="00683E73"/>
    <w:rsid w:val="0069005B"/>
    <w:rsid w:val="006A3141"/>
    <w:rsid w:val="006A5E34"/>
    <w:rsid w:val="006B2422"/>
    <w:rsid w:val="006B2B9A"/>
    <w:rsid w:val="006B7673"/>
    <w:rsid w:val="006C1937"/>
    <w:rsid w:val="006F020C"/>
    <w:rsid w:val="00705E78"/>
    <w:rsid w:val="007127B7"/>
    <w:rsid w:val="007416B6"/>
    <w:rsid w:val="00746F48"/>
    <w:rsid w:val="0075404D"/>
    <w:rsid w:val="007551C2"/>
    <w:rsid w:val="0076182A"/>
    <w:rsid w:val="00767B7E"/>
    <w:rsid w:val="00774CE5"/>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160D5"/>
    <w:rsid w:val="008253BB"/>
    <w:rsid w:val="0083706E"/>
    <w:rsid w:val="008423A5"/>
    <w:rsid w:val="00850625"/>
    <w:rsid w:val="008508DD"/>
    <w:rsid w:val="00853718"/>
    <w:rsid w:val="00855221"/>
    <w:rsid w:val="00860645"/>
    <w:rsid w:val="00871F71"/>
    <w:rsid w:val="00885AF4"/>
    <w:rsid w:val="008939CD"/>
    <w:rsid w:val="008B768C"/>
    <w:rsid w:val="008C4DB1"/>
    <w:rsid w:val="008C4EAF"/>
    <w:rsid w:val="008C5176"/>
    <w:rsid w:val="008C7FD0"/>
    <w:rsid w:val="008D01D5"/>
    <w:rsid w:val="008E1DE7"/>
    <w:rsid w:val="008E6705"/>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5CF5"/>
    <w:rsid w:val="009B7573"/>
    <w:rsid w:val="009C22F4"/>
    <w:rsid w:val="009C2E98"/>
    <w:rsid w:val="009D3447"/>
    <w:rsid w:val="009D4711"/>
    <w:rsid w:val="009F1185"/>
    <w:rsid w:val="009F18CD"/>
    <w:rsid w:val="009F2A13"/>
    <w:rsid w:val="009F61EC"/>
    <w:rsid w:val="00A013CC"/>
    <w:rsid w:val="00A04EB0"/>
    <w:rsid w:val="00A13CC1"/>
    <w:rsid w:val="00A16847"/>
    <w:rsid w:val="00A237D8"/>
    <w:rsid w:val="00A268C4"/>
    <w:rsid w:val="00A307CD"/>
    <w:rsid w:val="00A3735E"/>
    <w:rsid w:val="00A40A00"/>
    <w:rsid w:val="00A4142F"/>
    <w:rsid w:val="00A56DF2"/>
    <w:rsid w:val="00A624D7"/>
    <w:rsid w:val="00A66208"/>
    <w:rsid w:val="00A67AB5"/>
    <w:rsid w:val="00A91760"/>
    <w:rsid w:val="00A93B00"/>
    <w:rsid w:val="00A93C21"/>
    <w:rsid w:val="00AB38E7"/>
    <w:rsid w:val="00AC3C6A"/>
    <w:rsid w:val="00AD5620"/>
    <w:rsid w:val="00AD7C1B"/>
    <w:rsid w:val="00AE16BA"/>
    <w:rsid w:val="00AE1EBE"/>
    <w:rsid w:val="00B03C9D"/>
    <w:rsid w:val="00B05EC4"/>
    <w:rsid w:val="00B060AE"/>
    <w:rsid w:val="00B10517"/>
    <w:rsid w:val="00B14E76"/>
    <w:rsid w:val="00B161B8"/>
    <w:rsid w:val="00B2048C"/>
    <w:rsid w:val="00B310B9"/>
    <w:rsid w:val="00B35F3F"/>
    <w:rsid w:val="00B36CBB"/>
    <w:rsid w:val="00B425E0"/>
    <w:rsid w:val="00B440AA"/>
    <w:rsid w:val="00B44B70"/>
    <w:rsid w:val="00B53C56"/>
    <w:rsid w:val="00B6272B"/>
    <w:rsid w:val="00B71755"/>
    <w:rsid w:val="00B7622D"/>
    <w:rsid w:val="00B77EA6"/>
    <w:rsid w:val="00B81598"/>
    <w:rsid w:val="00B841F1"/>
    <w:rsid w:val="00B944D6"/>
    <w:rsid w:val="00BB4DF0"/>
    <w:rsid w:val="00BC289F"/>
    <w:rsid w:val="00BC5361"/>
    <w:rsid w:val="00BC5460"/>
    <w:rsid w:val="00BC6B50"/>
    <w:rsid w:val="00BD0E25"/>
    <w:rsid w:val="00BD4DBF"/>
    <w:rsid w:val="00BE4630"/>
    <w:rsid w:val="00BF5BD6"/>
    <w:rsid w:val="00C03E31"/>
    <w:rsid w:val="00C10301"/>
    <w:rsid w:val="00C33E72"/>
    <w:rsid w:val="00C354B2"/>
    <w:rsid w:val="00C35554"/>
    <w:rsid w:val="00C42709"/>
    <w:rsid w:val="00C463CB"/>
    <w:rsid w:val="00C533CC"/>
    <w:rsid w:val="00C55D9B"/>
    <w:rsid w:val="00C5751C"/>
    <w:rsid w:val="00C61BFC"/>
    <w:rsid w:val="00C62B85"/>
    <w:rsid w:val="00C65438"/>
    <w:rsid w:val="00C91CBB"/>
    <w:rsid w:val="00CC09B6"/>
    <w:rsid w:val="00CC666F"/>
    <w:rsid w:val="00CD1E3F"/>
    <w:rsid w:val="00CE0EF7"/>
    <w:rsid w:val="00CE44F6"/>
    <w:rsid w:val="00CE49DA"/>
    <w:rsid w:val="00CE7B61"/>
    <w:rsid w:val="00D00095"/>
    <w:rsid w:val="00D152CD"/>
    <w:rsid w:val="00D20620"/>
    <w:rsid w:val="00D26091"/>
    <w:rsid w:val="00D27E58"/>
    <w:rsid w:val="00D34E7C"/>
    <w:rsid w:val="00D35489"/>
    <w:rsid w:val="00D46ECC"/>
    <w:rsid w:val="00D51276"/>
    <w:rsid w:val="00D7035F"/>
    <w:rsid w:val="00D94EFD"/>
    <w:rsid w:val="00DA65AC"/>
    <w:rsid w:val="00DB1913"/>
    <w:rsid w:val="00DC410D"/>
    <w:rsid w:val="00DC68CA"/>
    <w:rsid w:val="00DC7CBA"/>
    <w:rsid w:val="00DD73B7"/>
    <w:rsid w:val="00DF28BC"/>
    <w:rsid w:val="00DF34B9"/>
    <w:rsid w:val="00E01053"/>
    <w:rsid w:val="00E011FA"/>
    <w:rsid w:val="00E07ACF"/>
    <w:rsid w:val="00E10AA9"/>
    <w:rsid w:val="00E1117C"/>
    <w:rsid w:val="00E12885"/>
    <w:rsid w:val="00E331A1"/>
    <w:rsid w:val="00E33202"/>
    <w:rsid w:val="00E336A9"/>
    <w:rsid w:val="00E33B14"/>
    <w:rsid w:val="00E3480F"/>
    <w:rsid w:val="00E47475"/>
    <w:rsid w:val="00E50624"/>
    <w:rsid w:val="00E568DF"/>
    <w:rsid w:val="00E64269"/>
    <w:rsid w:val="00E82267"/>
    <w:rsid w:val="00EA010F"/>
    <w:rsid w:val="00ED1B63"/>
    <w:rsid w:val="00ED3C1F"/>
    <w:rsid w:val="00ED4085"/>
    <w:rsid w:val="00ED420E"/>
    <w:rsid w:val="00EE1050"/>
    <w:rsid w:val="00EE2F57"/>
    <w:rsid w:val="00EF4C34"/>
    <w:rsid w:val="00EF77C6"/>
    <w:rsid w:val="00F05438"/>
    <w:rsid w:val="00F1361C"/>
    <w:rsid w:val="00F160C7"/>
    <w:rsid w:val="00F25CAE"/>
    <w:rsid w:val="00F36D8F"/>
    <w:rsid w:val="00F417B1"/>
    <w:rsid w:val="00F602DF"/>
    <w:rsid w:val="00F649D3"/>
    <w:rsid w:val="00F81FD9"/>
    <w:rsid w:val="00F841AA"/>
    <w:rsid w:val="00F96384"/>
    <w:rsid w:val="00FA23E8"/>
    <w:rsid w:val="00FB181B"/>
    <w:rsid w:val="00FD3CC1"/>
    <w:rsid w:val="00FF1E02"/>
    <w:rsid w:val="00FF30B4"/>
    <w:rsid w:val="074365CE"/>
    <w:rsid w:val="0EF64140"/>
    <w:rsid w:val="10C055FF"/>
    <w:rsid w:val="12772A0D"/>
    <w:rsid w:val="16BB723D"/>
    <w:rsid w:val="240371BF"/>
    <w:rsid w:val="260E28CE"/>
    <w:rsid w:val="29D23E1C"/>
    <w:rsid w:val="29FD04D3"/>
    <w:rsid w:val="319F7F4E"/>
    <w:rsid w:val="34FF6A21"/>
    <w:rsid w:val="4BF705BF"/>
    <w:rsid w:val="585D7668"/>
    <w:rsid w:val="5D4A7ECC"/>
    <w:rsid w:val="67A6199B"/>
    <w:rsid w:val="6B775D0C"/>
    <w:rsid w:val="74881C48"/>
    <w:rsid w:val="79E5163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ENOVO\Desktop\&#20915;&#31639;&#20844;&#24320;&#30011;&#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Sheet1!$B$1</c:f>
              <c:strCache>
                <c:ptCount val="1"/>
                <c:pt idx="0">
                  <c:v>财政拨款收支情况</c:v>
                </c:pt>
              </c:strCache>
            </c:strRef>
          </c:tx>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2017年财政拨款收支总数</c:v>
                </c:pt>
                <c:pt idx="1">
                  <c:v>2018年财政拨款收支总数</c:v>
                </c:pt>
              </c:strCache>
            </c:strRef>
          </c:cat>
          <c:val>
            <c:numRef>
              <c:f>Sheet1!$B$2:$B$3</c:f>
              <c:numCache>
                <c:formatCode>General</c:formatCode>
                <c:ptCount val="2"/>
                <c:pt idx="0">
                  <c:v>1525.68</c:v>
                </c:pt>
                <c:pt idx="1">
                  <c:v>1364.13</c:v>
                </c:pt>
              </c:numCache>
            </c:numRef>
          </c:val>
        </c:ser>
        <c:dLbls>
          <c:showLegendKey val="0"/>
          <c:showVal val="1"/>
          <c:showCatName val="0"/>
          <c:showSerName val="0"/>
          <c:showPercent val="0"/>
          <c:showBubbleSize val="0"/>
        </c:dLbls>
        <c:gapWidth val="219"/>
        <c:overlap val="-27"/>
        <c:axId val="296646144"/>
        <c:axId val="296648064"/>
      </c:barChart>
      <c:catAx>
        <c:axId val="2966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6648064"/>
        <c:crosses val="autoZero"/>
        <c:auto val="1"/>
        <c:lblAlgn val="ctr"/>
        <c:lblOffset val="100"/>
        <c:noMultiLvlLbl val="0"/>
      </c:catAx>
      <c:valAx>
        <c:axId val="2966480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6646144"/>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355353674540683"/>
          <c:y val="0.213105234809818"/>
          <c:w val="0.283737314085739"/>
          <c:h val="0.443628373814837"/>
        </c:manualLayout>
      </c:layout>
      <c:pieChart>
        <c:varyColors val="1"/>
        <c:ser>
          <c:idx val="0"/>
          <c:order val="0"/>
          <c:tx>
            <c:strRef>
              <c:f>Sheet1!$B$101</c:f>
              <c:strCache>
                <c:ptCount val="1"/>
                <c:pt idx="0">
                  <c:v>本年收入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dPt>
          <c:dLbls>
            <c:dLbl>
              <c:idx val="3"/>
              <c:layout>
                <c:manualLayout>
                  <c:x val="0.0189166666666667"/>
                  <c:y val="-0.02534561030034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486771653543307"/>
                  <c:y val="0.0061904639770191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Sheet1!$A$102:$A$108</c:f>
              <c:strCache>
                <c:ptCount val="7"/>
                <c:pt idx="0">
                  <c:v>一、一般公共预算财政拨款收入</c:v>
                </c:pt>
                <c:pt idx="1">
                  <c:v>其中：政府性基金预算财政拨款</c:v>
                </c:pt>
                <c:pt idx="2">
                  <c:v>二、上级补助收入</c:v>
                </c:pt>
                <c:pt idx="3">
                  <c:v>三、事业收入</c:v>
                </c:pt>
                <c:pt idx="4">
                  <c:v>四、经营收入</c:v>
                </c:pt>
                <c:pt idx="5">
                  <c:v>五、附属单位上缴收入</c:v>
                </c:pt>
                <c:pt idx="6">
                  <c:v>六、其他收入</c:v>
                </c:pt>
              </c:strCache>
            </c:strRef>
          </c:cat>
          <c:val>
            <c:numRef>
              <c:f>Sheet1!$B$102:$B$108</c:f>
              <c:numCache>
                <c:formatCode>General</c:formatCode>
                <c:ptCount val="7"/>
                <c:pt idx="0">
                  <c:v>1347.62</c:v>
                </c:pt>
                <c:pt idx="1">
                  <c:v>2.7</c:v>
                </c:pt>
                <c:pt idx="3">
                  <c:v>62.2</c:v>
                </c:pt>
                <c:pt idx="6">
                  <c:v>0.12</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pieChart>
        <c:varyColors val="1"/>
        <c:ser>
          <c:idx val="0"/>
          <c:order val="0"/>
          <c:tx>
            <c:strRef>
              <c:f>Sheet1!$B$68</c:f>
              <c:strCache>
                <c:ptCount val="1"/>
                <c:pt idx="0">
                  <c:v>本年支出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Sheet1!$A$69:$A$70</c:f>
              <c:strCache>
                <c:ptCount val="2"/>
                <c:pt idx="0">
                  <c:v>基本支出</c:v>
                </c:pt>
                <c:pt idx="1">
                  <c:v>项目支出</c:v>
                </c:pt>
              </c:strCache>
            </c:strRef>
          </c:cat>
          <c:val>
            <c:numRef>
              <c:f>Sheet1!$B$69:$B$70</c:f>
              <c:numCache>
                <c:formatCode>General</c:formatCode>
                <c:ptCount val="2"/>
                <c:pt idx="0">
                  <c:v>1204.1</c:v>
                </c:pt>
                <c:pt idx="1">
                  <c:v>169.23</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Sheet1!$B$1</c:f>
              <c:strCache>
                <c:ptCount val="1"/>
                <c:pt idx="0">
                  <c:v>财政拨款收支情况</c:v>
                </c:pt>
              </c:strCache>
            </c:strRef>
          </c:tx>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2017年财政拨款收支总数</c:v>
                </c:pt>
                <c:pt idx="1">
                  <c:v>2018年财政拨款收支总数</c:v>
                </c:pt>
              </c:strCache>
            </c:strRef>
          </c:cat>
          <c:val>
            <c:numRef>
              <c:f>Sheet1!$B$2:$B$3</c:f>
              <c:numCache>
                <c:formatCode>General</c:formatCode>
                <c:ptCount val="2"/>
                <c:pt idx="0">
                  <c:v>1525.68</c:v>
                </c:pt>
                <c:pt idx="1">
                  <c:v>1364.13</c:v>
                </c:pt>
              </c:numCache>
            </c:numRef>
          </c:val>
        </c:ser>
        <c:dLbls>
          <c:showLegendKey val="0"/>
          <c:showVal val="1"/>
          <c:showCatName val="0"/>
          <c:showSerName val="0"/>
          <c:showPercent val="0"/>
          <c:showBubbleSize val="0"/>
        </c:dLbls>
        <c:gapWidth val="219"/>
        <c:overlap val="-27"/>
        <c:axId val="297151872"/>
        <c:axId val="297161856"/>
      </c:barChart>
      <c:catAx>
        <c:axId val="29715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7161856"/>
        <c:crosses val="autoZero"/>
        <c:auto val="1"/>
        <c:lblAlgn val="ctr"/>
        <c:lblOffset val="100"/>
        <c:noMultiLvlLbl val="0"/>
      </c:catAx>
      <c:valAx>
        <c:axId val="2971618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7151872"/>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70833680895347"/>
          <c:y val="0.347223399601914"/>
          <c:w val="0.791668277319901"/>
          <c:h val="0.447918185486469"/>
        </c:manualLayout>
      </c:layout>
      <c:barChart>
        <c:barDir val="col"/>
        <c:grouping val="clustered"/>
        <c:varyColors val="0"/>
        <c:ser>
          <c:idx val="0"/>
          <c:order val="0"/>
          <c:tx>
            <c:strRef>
              <c:f>Sheet1!$C$29</c:f>
              <c:strCache>
                <c:ptCount val="1"/>
                <c:pt idx="0">
                  <c:v>一般公共预算财政拨款支出</c:v>
                </c:pt>
              </c:strCache>
            </c:strRef>
          </c:tx>
          <c:spPr>
            <a:solidFill>
              <a:srgbClr val="5B9BD5"/>
            </a:solidFill>
            <a:ln w="25400">
              <a:noFill/>
            </a:ln>
          </c:spPr>
          <c:invertIfNegative val="0"/>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Sheet1!$B$30:$B$31</c:f>
              <c:strCache>
                <c:ptCount val="2"/>
                <c:pt idx="0">
                  <c:v>2017年</c:v>
                </c:pt>
                <c:pt idx="1">
                  <c:v>2018年</c:v>
                </c:pt>
              </c:strCache>
            </c:strRef>
          </c:cat>
          <c:val>
            <c:numRef>
              <c:f>Sheet1!$C$30:$C$31</c:f>
              <c:numCache>
                <c:formatCode>General</c:formatCode>
                <c:ptCount val="2"/>
                <c:pt idx="0">
                  <c:v>1572.46</c:v>
                </c:pt>
                <c:pt idx="1">
                  <c:v>1326.45</c:v>
                </c:pt>
              </c:numCache>
            </c:numRef>
          </c:val>
        </c:ser>
        <c:dLbls>
          <c:showLegendKey val="0"/>
          <c:showVal val="1"/>
          <c:showCatName val="0"/>
          <c:showSerName val="0"/>
          <c:showPercent val="0"/>
          <c:showBubbleSize val="0"/>
        </c:dLbls>
        <c:gapWidth val="219"/>
        <c:overlap val="-27"/>
        <c:axId val="297194240"/>
        <c:axId val="297195776"/>
      </c:barChart>
      <c:catAx>
        <c:axId val="29719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7195776"/>
        <c:crosses val="autoZero"/>
        <c:auto val="1"/>
        <c:lblAlgn val="ctr"/>
        <c:lblOffset val="100"/>
        <c:noMultiLvlLbl val="0"/>
      </c:catAx>
      <c:valAx>
        <c:axId val="2971957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6350" cap="flat" cmpd="sng" algn="ctr">
            <a:noFill/>
            <a:prstDash val="solid"/>
            <a:round/>
          </a:ln>
        </c:spPr>
        <c:txPr>
          <a:bodyPr rot="0" spcFirstLastPara="0" vertOverflow="ellipsis" vert="horz" wrap="square"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crossAx val="297194240"/>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pieChart>
        <c:varyColors val="1"/>
        <c:ser>
          <c:idx val="0"/>
          <c:order val="0"/>
          <c:tx>
            <c:strRef>
              <c:f>Sheet1!$B$142</c:f>
              <c:strCache>
                <c:ptCount val="1"/>
                <c:pt idx="0">
                  <c:v>一般公共预算财政拨款支出决算情况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190.7</a:t>
                    </a:r>
                    <a:r>
                      <a:rPr lang="en-US" altLang="zh-CN"/>
                      <a:t>9</a:t>
                    </a:r>
                    <a:endParaRPr lang="en-US" altLang="en-US"/>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221.2</a:t>
                    </a:r>
                    <a:r>
                      <a:rPr lang="en-US" altLang="zh-CN"/>
                      <a:t>3</a:t>
                    </a:r>
                    <a:endParaRPr lang="en-US" altLang="en-US"/>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173.0</a:t>
                    </a:r>
                    <a:r>
                      <a:rPr lang="en-US" altLang="zh-CN"/>
                      <a:t>7</a:t>
                    </a:r>
                    <a:endParaRPr lang="en-US" altLang="en-US"/>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438.31</a:t>
                    </a:r>
                    <a:endParaRPr lang="en-US" altLang="en-US"/>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209.6</a:t>
                    </a:r>
                    <a:r>
                      <a:rPr lang="en-US" altLang="zh-CN"/>
                      <a:t>2</a:t>
                    </a:r>
                    <a:endParaRPr lang="en-US" altLang="en-US"/>
                  </a:p>
                </c:rich>
              </c:tx>
              <c:numFmt formatCode="General" sourceLinked="1"/>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8"/>
              <c:delete val="1"/>
            </c:dLbl>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Sheet1!$A$143:$A$151</c:f>
              <c:strCache>
                <c:ptCount val="9"/>
                <c:pt idx="0">
                  <c:v>一般公共服务支出</c:v>
                </c:pt>
                <c:pt idx="1">
                  <c:v>教育支出</c:v>
                </c:pt>
                <c:pt idx="2">
                  <c:v>社会保障和就业支出</c:v>
                </c:pt>
                <c:pt idx="3">
                  <c:v>国防支出</c:v>
                </c:pt>
                <c:pt idx="4">
                  <c:v>医疗卫生支出</c:v>
                </c:pt>
                <c:pt idx="5">
                  <c:v>农林水支出</c:v>
                </c:pt>
                <c:pt idx="6">
                  <c:v>住房保障支出</c:v>
                </c:pt>
                <c:pt idx="7">
                  <c:v>公共安全支出</c:v>
                </c:pt>
                <c:pt idx="8">
                  <c:v>其他支出</c:v>
                </c:pt>
              </c:strCache>
            </c:strRef>
          </c:cat>
          <c:val>
            <c:numRef>
              <c:f>Sheet1!$B$143:$B$151</c:f>
              <c:numCache>
                <c:formatCode>General</c:formatCode>
                <c:ptCount val="9"/>
                <c:pt idx="0">
                  <c:v>190.78</c:v>
                </c:pt>
                <c:pt idx="1">
                  <c:v>221.24</c:v>
                </c:pt>
                <c:pt idx="2">
                  <c:v>173.06</c:v>
                </c:pt>
                <c:pt idx="3">
                  <c:v>1.21</c:v>
                </c:pt>
                <c:pt idx="4">
                  <c:v>482.489999999999</c:v>
                </c:pt>
                <c:pt idx="5">
                  <c:v>209.61</c:v>
                </c:pt>
                <c:pt idx="6">
                  <c:v>89.96</c:v>
                </c:pt>
                <c:pt idx="7">
                  <c:v>2.27</c:v>
                </c:pt>
                <c:pt idx="8">
                  <c:v>2.7</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egendEntry>
        <c:idx val="8"/>
        <c:delete val="1"/>
      </c:legendEntry>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4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title>
    <c:autoTitleDeleted val="0"/>
    <c:plotArea>
      <c:layout/>
      <c:pieChart>
        <c:varyColors val="1"/>
        <c:ser>
          <c:idx val="0"/>
          <c:order val="0"/>
          <c:tx>
            <c:strRef>
              <c:f>Sheet1!$B$180</c:f>
              <c:strCache>
                <c:ptCount val="1"/>
                <c:pt idx="0">
                  <c:v>三公经费支出决算数</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w="254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3175" cap="flat" cmpd="sng" algn="ctr">
                      <a:solidFill>
                        <a:srgbClr val="969696"/>
                      </a:solidFill>
                      <a:prstDash val="solid"/>
                      <a:round/>
                    </a:ln>
                  </c:spPr>
                </c15:leaderLines>
              </c:ext>
            </c:extLst>
          </c:dLbls>
          <c:cat>
            <c:strRef>
              <c:f>Sheet1!$A$181:$A$183</c:f>
              <c:strCache>
                <c:ptCount val="3"/>
                <c:pt idx="0">
                  <c:v>公务用车运行维护费</c:v>
                </c:pt>
                <c:pt idx="1">
                  <c:v>公务接待费</c:v>
                </c:pt>
                <c:pt idx="2">
                  <c:v>因公出国（境）费</c:v>
                </c:pt>
              </c:strCache>
            </c:strRef>
          </c:cat>
          <c:val>
            <c:numRef>
              <c:f>Sheet1!$B$181:$B$183</c:f>
              <c:numCache>
                <c:formatCode>General</c:formatCode>
                <c:ptCount val="3"/>
                <c:pt idx="0">
                  <c:v>4</c:v>
                </c:pt>
              </c:numCache>
            </c:numRef>
          </c:val>
        </c:ser>
        <c:dLbls>
          <c:showLegendKey val="0"/>
          <c:showVal val="1"/>
          <c:showCatName val="0"/>
          <c:showSerName val="0"/>
          <c:showPercent val="0"/>
          <c:showBubbleSize val="0"/>
          <c:showLeaderLines val="1"/>
        </c:dLbls>
        <c:firstSliceAng val="0"/>
      </c:pieChart>
      <c:spPr>
        <a:noFill/>
        <a:ln w="25400">
          <a:noFill/>
        </a:ln>
      </c:spPr>
    </c:plotArea>
    <c:legend>
      <c:legendPos val="b"/>
      <c:layout/>
      <c:overlay val="0"/>
      <c:spPr>
        <a:noFill/>
        <a:ln w="25400">
          <a:noFill/>
        </a:ln>
      </c:spPr>
      <c:txPr>
        <a:bodyPr rot="0" spcFirstLastPara="0" vertOverflow="ellipsis" vert="horz" wrap="square" anchor="ctr" anchorCtr="1"/>
        <a:lstStyle/>
        <a:p>
          <a:pPr>
            <a:defRPr lang="zh-CN" sz="825" b="0" i="0" u="none" strike="noStrike" kern="1200" baseline="0">
              <a:solidFill>
                <a:srgbClr val="333333"/>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prstDash val="solid"/>
      <a:round/>
    </a:ln>
    <a:effectLst/>
  </c:spPr>
  <c:txPr>
    <a:bodyPr/>
    <a:lstStyle/>
    <a:p>
      <a:pPr>
        <a:defRPr lang="zh-CN" sz="10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2992</Words>
  <Characters>17057</Characters>
  <Lines>142</Lines>
  <Paragraphs>40</Paragraphs>
  <TotalTime>24</TotalTime>
  <ScaleCrop>false</ScaleCrop>
  <LinksUpToDate>false</LinksUpToDate>
  <CharactersWithSpaces>20009</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2019-08-01T16:48:00Z</cp:lastPrinted>
  <dcterms:modified xsi:type="dcterms:W3CDTF">2026-04-21T16:06:33Z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C49B5E835680EC7553BFAF6498179541</vt:lpwstr>
  </property>
</Properties>
</file>