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eastAsia="宋体"/>
          <w:b/>
          <w:sz w:val="72"/>
          <w:szCs w:val="72"/>
          <w:highlight w:val="yellow"/>
        </w:rPr>
      </w:pPr>
      <w:bookmarkStart w:id="0" w:name="_Toc15396597"/>
      <w:bookmarkStart w:id="1" w:name="_Toc15377425"/>
      <w:bookmarkStart w:id="2" w:name="_Toc15378441"/>
      <w:bookmarkStart w:id="3" w:name="_Toc15377193"/>
      <w:bookmarkStart w:id="4" w:name="_Toc15306267"/>
      <w:bookmarkStart w:id="5" w:name="_Toc15396475"/>
      <w:bookmarkStart w:id="82" w:name="_GoBack"/>
      <w:bookmarkEnd w:id="82"/>
    </w:p>
    <w:p>
      <w:pPr>
        <w:pStyle w:val="8"/>
        <w:ind w:firstLine="0"/>
        <w:rPr>
          <w:highlight w:val="yellow"/>
        </w:rPr>
      </w:pPr>
    </w:p>
    <w:bookmarkEnd w:id="0"/>
    <w:bookmarkEnd w:id="1"/>
    <w:bookmarkEnd w:id="2"/>
    <w:bookmarkEnd w:id="3"/>
    <w:bookmarkEnd w:id="4"/>
    <w:bookmarkEnd w:id="5"/>
    <w:p>
      <w:pPr>
        <w:pStyle w:val="10"/>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2024年度四川省阿坝州茂县洼底镇（事业）单位决算</w:t>
      </w: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tabs>
          <w:tab w:val="left" w:pos="3600"/>
        </w:tabs>
        <w:jc w:val="center"/>
        <w:rPr>
          <w:rFonts w:hint="default" w:eastAsia="宋体"/>
          <w:b/>
          <w:bCs/>
          <w:highlight w:val="none"/>
          <w:lang w:val="en-US" w:eastAsia="zh-CN"/>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autoSpaceDE w:val="0"/>
        <w:autoSpaceDN w:val="0"/>
        <w:adjustRightInd w:val="0"/>
        <w:ind w:left="420" w:leftChars="200"/>
        <w:jc w:val="left"/>
        <w:rPr>
          <w:rFonts w:ascii="宋体"/>
          <w:sz w:val="32"/>
          <w:szCs w:val="32"/>
          <w:highlight w:val="none"/>
        </w:rPr>
      </w:pPr>
    </w:p>
    <w:p>
      <w:pPr>
        <w:widowControl/>
        <w:jc w:val="center"/>
        <w:rPr>
          <w:rFonts w:hint="eastAsia" w:ascii="黑体" w:eastAsia="黑体"/>
          <w:color w:val="000000"/>
          <w:sz w:val="48"/>
          <w:szCs w:val="48"/>
          <w:highlight w:val="none"/>
        </w:rPr>
      </w:pPr>
      <w:r>
        <w:rPr>
          <w:rFonts w:ascii="方正小标宋简体" w:eastAsia="方正小标宋简体"/>
          <w:color w:val="000000"/>
          <w:sz w:val="36"/>
          <w:szCs w:val="36"/>
          <w:highlight w:val="none"/>
        </w:rPr>
        <w:br w:type="page"/>
      </w:r>
      <w:bookmarkStart w:id="6" w:name="_Toc15377196"/>
      <w:r>
        <w:rPr>
          <w:rFonts w:hint="eastAsia" w:ascii="黑体" w:eastAsia="黑体"/>
          <w:color w:val="000000"/>
          <w:sz w:val="48"/>
          <w:szCs w:val="48"/>
          <w:highlight w:val="none"/>
        </w:rPr>
        <w:t>目录</w:t>
      </w:r>
    </w:p>
    <w:p>
      <w:pPr>
        <w:pStyle w:val="2"/>
        <w:rPr>
          <w:rFonts w:hint="eastAsia" w:ascii="黑体" w:eastAsia="黑体"/>
          <w:color w:val="000000"/>
          <w:sz w:val="48"/>
          <w:szCs w:val="48"/>
          <w:highlight w:val="none"/>
        </w:rPr>
      </w:pPr>
    </w:p>
    <w:p>
      <w:pPr>
        <w:pStyle w:val="15"/>
        <w:suppressAutoHyphens/>
        <w:bidi w:val="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eastAsia="zh-CN"/>
        </w:rPr>
        <w:t>公开时间：2025年9月25日</w:t>
      </w:r>
    </w:p>
    <w:p>
      <w:pPr>
        <w:pStyle w:val="15"/>
        <w:tabs>
          <w:tab w:val="right" w:leader="dot" w:pos="8306"/>
          <w:tab w:val="clear" w:pos="8296"/>
        </w:tabs>
      </w:pPr>
      <w:bookmarkStart w:id="7" w:name="_Toc111208495"/>
      <w:r>
        <w:rPr>
          <w:caps w:val="0"/>
          <w:smallCaps/>
          <w:sz w:val="20"/>
          <w:szCs w:val="20"/>
          <w:highlight w:val="none"/>
        </w:rPr>
        <w:fldChar w:fldCharType="begin"/>
      </w:r>
      <w:r>
        <w:rPr>
          <w:caps w:val="0"/>
          <w:smallCaps/>
          <w:sz w:val="20"/>
          <w:szCs w:val="20"/>
          <w:highlight w:val="none"/>
        </w:rPr>
        <w:instrText xml:space="preserve"> TOC \o "1-2" \h \z \u </w:instrText>
      </w:r>
      <w:r>
        <w:rPr>
          <w:caps w:val="0"/>
          <w:smallCaps/>
          <w:sz w:val="20"/>
          <w:szCs w:val="20"/>
          <w:highlight w:val="none"/>
        </w:rPr>
        <w:fldChar w:fldCharType="separate"/>
      </w:r>
      <w:r>
        <w:rPr>
          <w:caps w:val="0"/>
          <w:smallCaps/>
          <w:szCs w:val="20"/>
          <w:highlight w:val="none"/>
        </w:rPr>
        <w:fldChar w:fldCharType="begin"/>
      </w:r>
      <w:r>
        <w:rPr>
          <w:caps w:val="0"/>
          <w:smallCaps/>
          <w:szCs w:val="20"/>
          <w:highlight w:val="none"/>
        </w:rPr>
        <w:instrText xml:space="preserve"> HYPERLINK \l _Toc21550 </w:instrText>
      </w:r>
      <w:r>
        <w:rPr>
          <w:caps w:val="0"/>
          <w:smallCaps/>
          <w:szCs w:val="20"/>
          <w:highlight w:val="none"/>
        </w:rPr>
        <w:fldChar w:fldCharType="separate"/>
      </w:r>
      <w:r>
        <w:rPr>
          <w:rFonts w:hint="eastAsia" w:ascii="黑体" w:eastAsia="黑体" w:cs="黑体"/>
          <w:highlight w:val="none"/>
        </w:rPr>
        <w:t xml:space="preserve">第一部分 </w:t>
      </w:r>
      <w:r>
        <w:rPr>
          <w:rFonts w:hint="eastAsia" w:ascii="黑体" w:eastAsia="黑体" w:cs="黑体"/>
          <w:bCs w:val="0"/>
          <w:highlight w:val="none"/>
        </w:rPr>
        <w:t>部门概况</w:t>
      </w:r>
      <w:r>
        <w:tab/>
      </w:r>
      <w:r>
        <w:fldChar w:fldCharType="begin"/>
      </w:r>
      <w:r>
        <w:instrText xml:space="preserve"> PAGEREF _Toc21550 \h </w:instrText>
      </w:r>
      <w:r>
        <w:fldChar w:fldCharType="separate"/>
      </w:r>
      <w:r>
        <w:t>3</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_Toc11489 </w:instrText>
      </w:r>
      <w:r>
        <w:rPr>
          <w:caps w:val="0"/>
          <w:smallCaps/>
          <w:szCs w:val="20"/>
          <w:highlight w:val="none"/>
        </w:rPr>
        <w:fldChar w:fldCharType="separate"/>
      </w:r>
      <w:r>
        <w:rPr>
          <w:rFonts w:hint="eastAsia" w:ascii="黑体" w:eastAsia="黑体" w:cs="Times New Roman"/>
          <w:bCs w:val="0"/>
          <w:highlight w:val="none"/>
        </w:rPr>
        <w:t>一、部门职责</w:t>
      </w:r>
      <w:r>
        <w:tab/>
      </w:r>
      <w:r>
        <w:fldChar w:fldCharType="begin"/>
      </w:r>
      <w:r>
        <w:instrText xml:space="preserve"> PAGEREF _Toc11489 \h </w:instrText>
      </w:r>
      <w:r>
        <w:fldChar w:fldCharType="separate"/>
      </w:r>
      <w:r>
        <w:t>3</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_Toc28081 </w:instrText>
      </w:r>
      <w:r>
        <w:rPr>
          <w:caps w:val="0"/>
          <w:smallCaps/>
          <w:szCs w:val="20"/>
          <w:highlight w:val="none"/>
        </w:rPr>
        <w:fldChar w:fldCharType="separate"/>
      </w:r>
      <w:r>
        <w:rPr>
          <w:rFonts w:hint="eastAsia" w:ascii="黑体" w:eastAsia="黑体" w:cs="Times New Roman"/>
          <w:bCs w:val="0"/>
          <w:highlight w:val="none"/>
        </w:rPr>
        <w:t>二、机构设置</w:t>
      </w:r>
      <w:r>
        <w:tab/>
      </w:r>
      <w:r>
        <w:fldChar w:fldCharType="begin"/>
      </w:r>
      <w:r>
        <w:instrText xml:space="preserve"> PAGEREF _Toc28081 \h </w:instrText>
      </w:r>
      <w:r>
        <w:fldChar w:fldCharType="separate"/>
      </w:r>
      <w:r>
        <w:t>4</w:t>
      </w:r>
      <w:r>
        <w:fldChar w:fldCharType="end"/>
      </w:r>
      <w:r>
        <w:rPr>
          <w:caps w:val="0"/>
          <w:smallCaps/>
          <w:szCs w:val="20"/>
          <w:highlight w:val="none"/>
        </w:rPr>
        <w:fldChar w:fldCharType="end"/>
      </w:r>
    </w:p>
    <w:p>
      <w:pPr>
        <w:pStyle w:val="15"/>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_Toc11896 </w:instrText>
      </w:r>
      <w:r>
        <w:rPr>
          <w:caps w:val="0"/>
          <w:smallCaps/>
          <w:szCs w:val="20"/>
          <w:highlight w:val="none"/>
        </w:rPr>
        <w:fldChar w:fldCharType="separate"/>
      </w:r>
      <w:r>
        <w:rPr>
          <w:rFonts w:hint="eastAsia" w:ascii="黑体" w:eastAsia="黑体" w:cs="黑体"/>
          <w:highlight w:val="none"/>
        </w:rPr>
        <w:t>第二部分</w:t>
      </w:r>
      <w:r>
        <w:rPr>
          <w:rFonts w:ascii="黑体" w:eastAsia="黑体" w:cs="黑体"/>
          <w:highlight w:val="none"/>
        </w:rPr>
        <w:t xml:space="preserve"> </w:t>
      </w:r>
      <w:r>
        <w:rPr>
          <w:rFonts w:hint="eastAsia" w:ascii="黑体" w:eastAsia="黑体" w:cs="黑体"/>
          <w:highlight w:val="none"/>
          <w:lang w:eastAsia="zh-CN"/>
        </w:rPr>
        <w:t>2024</w:t>
      </w:r>
      <w:r>
        <w:rPr>
          <w:rFonts w:ascii="黑体" w:eastAsia="黑体" w:cs="黑体"/>
          <w:highlight w:val="none"/>
        </w:rPr>
        <w:t>年度</w:t>
      </w:r>
      <w:r>
        <w:rPr>
          <w:rFonts w:hint="eastAsia" w:ascii="黑体" w:eastAsia="黑体" w:cs="黑体"/>
          <w:highlight w:val="none"/>
          <w:lang w:eastAsia="zh-CN"/>
        </w:rPr>
        <w:t>单位</w:t>
      </w:r>
      <w:r>
        <w:rPr>
          <w:rFonts w:ascii="黑体" w:eastAsia="黑体" w:cs="黑体"/>
          <w:highlight w:val="none"/>
        </w:rPr>
        <w:t>决算情况说明</w:t>
      </w:r>
      <w:r>
        <w:tab/>
      </w:r>
      <w:r>
        <w:fldChar w:fldCharType="begin"/>
      </w:r>
      <w:r>
        <w:instrText xml:space="preserve"> PAGEREF _Toc11896 \h </w:instrText>
      </w:r>
      <w:r>
        <w:fldChar w:fldCharType="separate"/>
      </w:r>
      <w:r>
        <w:t>5</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_Toc30380 </w:instrText>
      </w:r>
      <w:r>
        <w:rPr>
          <w:caps w:val="0"/>
          <w:smallCaps/>
          <w:szCs w:val="20"/>
          <w:highlight w:val="none"/>
        </w:rPr>
        <w:fldChar w:fldCharType="separate"/>
      </w:r>
      <w:r>
        <w:rPr>
          <w:rFonts w:hint="eastAsia" w:ascii="黑体" w:eastAsia="黑体" w:cs="Times New Roman"/>
          <w:bCs w:val="0"/>
          <w:highlight w:val="none"/>
        </w:rPr>
        <w:t>一、收入支出决算总体情况说明</w:t>
      </w:r>
      <w:r>
        <w:tab/>
      </w:r>
      <w:r>
        <w:fldChar w:fldCharType="begin"/>
      </w:r>
      <w:r>
        <w:instrText xml:space="preserve"> PAGEREF _Toc30380 \h </w:instrText>
      </w:r>
      <w:r>
        <w:fldChar w:fldCharType="separate"/>
      </w:r>
      <w:r>
        <w:t>5</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_Toc483 </w:instrText>
      </w:r>
      <w:r>
        <w:rPr>
          <w:caps w:val="0"/>
          <w:smallCaps/>
          <w:szCs w:val="20"/>
          <w:highlight w:val="none"/>
        </w:rPr>
        <w:fldChar w:fldCharType="separate"/>
      </w:r>
      <w:r>
        <w:rPr>
          <w:rFonts w:hint="eastAsia" w:ascii="黑体" w:eastAsia="黑体" w:cs="Times New Roman"/>
          <w:bCs w:val="0"/>
          <w:highlight w:val="none"/>
        </w:rPr>
        <w:t>二、收入决算情况说明</w:t>
      </w:r>
      <w:r>
        <w:tab/>
      </w:r>
      <w:r>
        <w:fldChar w:fldCharType="begin"/>
      </w:r>
      <w:r>
        <w:instrText xml:space="preserve"> PAGEREF _Toc483 \h </w:instrText>
      </w:r>
      <w:r>
        <w:fldChar w:fldCharType="separate"/>
      </w:r>
      <w:r>
        <w:t>5</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_Toc27257 </w:instrText>
      </w:r>
      <w:r>
        <w:rPr>
          <w:caps w:val="0"/>
          <w:smallCaps/>
          <w:szCs w:val="20"/>
          <w:highlight w:val="none"/>
        </w:rPr>
        <w:fldChar w:fldCharType="separate"/>
      </w:r>
      <w:r>
        <w:rPr>
          <w:rFonts w:hint="eastAsia" w:ascii="黑体" w:eastAsia="黑体" w:cs="Times New Roman"/>
          <w:bCs w:val="0"/>
          <w:highlight w:val="none"/>
        </w:rPr>
        <w:t>三、支出决算情况说明</w:t>
      </w:r>
      <w:r>
        <w:tab/>
      </w:r>
      <w:r>
        <w:fldChar w:fldCharType="begin"/>
      </w:r>
      <w:r>
        <w:instrText xml:space="preserve"> PAGEREF _Toc27257 \h </w:instrText>
      </w:r>
      <w:r>
        <w:fldChar w:fldCharType="separate"/>
      </w:r>
      <w:r>
        <w:t>6</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_Toc12534 </w:instrText>
      </w:r>
      <w:r>
        <w:rPr>
          <w:caps w:val="0"/>
          <w:smallCaps/>
          <w:szCs w:val="20"/>
          <w:highlight w:val="none"/>
        </w:rPr>
        <w:fldChar w:fldCharType="separate"/>
      </w:r>
      <w:r>
        <w:rPr>
          <w:rFonts w:hint="eastAsia" w:ascii="黑体" w:eastAsia="黑体" w:cs="Times New Roman"/>
          <w:bCs w:val="0"/>
          <w:highlight w:val="none"/>
        </w:rPr>
        <w:t>四、财政拨款收入支出决算总体情况说明</w:t>
      </w:r>
      <w:r>
        <w:tab/>
      </w:r>
      <w:r>
        <w:fldChar w:fldCharType="begin"/>
      </w:r>
      <w:r>
        <w:instrText xml:space="preserve"> PAGEREF _Toc12534 \h </w:instrText>
      </w:r>
      <w:r>
        <w:fldChar w:fldCharType="separate"/>
      </w:r>
      <w:r>
        <w:t>6</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_Toc16370 </w:instrText>
      </w:r>
      <w:r>
        <w:rPr>
          <w:caps w:val="0"/>
          <w:smallCaps/>
          <w:szCs w:val="20"/>
          <w:highlight w:val="none"/>
        </w:rPr>
        <w:fldChar w:fldCharType="separate"/>
      </w:r>
      <w:r>
        <w:rPr>
          <w:rFonts w:hint="eastAsia" w:ascii="黑体" w:eastAsia="黑体" w:cs="Times New Roman"/>
          <w:bCs w:val="0"/>
          <w:highlight w:val="none"/>
        </w:rPr>
        <w:t>五、一般公共预算财政拨款支出决算情况说明</w:t>
      </w:r>
      <w:r>
        <w:tab/>
      </w:r>
      <w:r>
        <w:fldChar w:fldCharType="begin"/>
      </w:r>
      <w:r>
        <w:instrText xml:space="preserve"> PAGEREF _Toc16370 \h </w:instrText>
      </w:r>
      <w:r>
        <w:fldChar w:fldCharType="separate"/>
      </w:r>
      <w:r>
        <w:t>7</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_Toc533 </w:instrText>
      </w:r>
      <w:r>
        <w:rPr>
          <w:caps w:val="0"/>
          <w:smallCaps/>
          <w:szCs w:val="20"/>
          <w:highlight w:val="none"/>
        </w:rPr>
        <w:fldChar w:fldCharType="separate"/>
      </w:r>
      <w:r>
        <w:rPr>
          <w:rFonts w:hint="eastAsia" w:ascii="黑体" w:eastAsia="黑体" w:cs="Times New Roman"/>
          <w:bCs w:val="0"/>
          <w:highlight w:val="none"/>
        </w:rPr>
        <w:t>六、一般公共预算财政拨款基本支出决算情况说明</w:t>
      </w:r>
      <w:r>
        <w:tab/>
      </w:r>
      <w:r>
        <w:fldChar w:fldCharType="begin"/>
      </w:r>
      <w:r>
        <w:instrText xml:space="preserve"> PAGEREF _Toc533 \h </w:instrText>
      </w:r>
      <w:r>
        <w:fldChar w:fldCharType="separate"/>
      </w:r>
      <w:r>
        <w:t>9</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_Toc27414 </w:instrText>
      </w:r>
      <w:r>
        <w:rPr>
          <w:caps w:val="0"/>
          <w:smallCaps/>
          <w:szCs w:val="20"/>
          <w:highlight w:val="none"/>
        </w:rPr>
        <w:fldChar w:fldCharType="separate"/>
      </w:r>
      <w:r>
        <w:rPr>
          <w:rFonts w:hint="eastAsia" w:ascii="黑体" w:eastAsia="黑体" w:cs="Times New Roman"/>
          <w:bCs w:val="0"/>
          <w:highlight w:val="none"/>
        </w:rPr>
        <w:t>七、“三公”经费财政拨款支出决算情况说明</w:t>
      </w:r>
      <w:r>
        <w:tab/>
      </w:r>
      <w:r>
        <w:fldChar w:fldCharType="begin"/>
      </w:r>
      <w:r>
        <w:instrText xml:space="preserve"> PAGEREF _Toc27414 \h </w:instrText>
      </w:r>
      <w:r>
        <w:fldChar w:fldCharType="separate"/>
      </w:r>
      <w:r>
        <w:t>10</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_Toc27590 </w:instrText>
      </w:r>
      <w:r>
        <w:rPr>
          <w:caps w:val="0"/>
          <w:smallCaps/>
          <w:szCs w:val="20"/>
          <w:highlight w:val="none"/>
        </w:rPr>
        <w:fldChar w:fldCharType="separate"/>
      </w:r>
      <w:r>
        <w:rPr>
          <w:rFonts w:hint="eastAsia" w:ascii="黑体" w:eastAsia="黑体" w:cs="Times New Roman"/>
          <w:bCs w:val="0"/>
          <w:highlight w:val="none"/>
        </w:rPr>
        <w:t>八、政府性基金预算支出决算情况说明</w:t>
      </w:r>
      <w:r>
        <w:tab/>
      </w:r>
      <w:r>
        <w:fldChar w:fldCharType="begin"/>
      </w:r>
      <w:r>
        <w:instrText xml:space="preserve"> PAGEREF _Toc27590 \h </w:instrText>
      </w:r>
      <w:r>
        <w:fldChar w:fldCharType="separate"/>
      </w:r>
      <w:r>
        <w:t>11</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_Toc6349 </w:instrText>
      </w:r>
      <w:r>
        <w:rPr>
          <w:caps w:val="0"/>
          <w:smallCaps/>
          <w:szCs w:val="20"/>
          <w:highlight w:val="none"/>
        </w:rPr>
        <w:fldChar w:fldCharType="separate"/>
      </w:r>
      <w:r>
        <w:rPr>
          <w:rFonts w:hint="eastAsia" w:ascii="黑体" w:eastAsia="黑体" w:cs="Times New Roman"/>
          <w:bCs w:val="0"/>
          <w:highlight w:val="none"/>
        </w:rPr>
        <w:t>九、国有资本经营预算支出决算情况说明</w:t>
      </w:r>
      <w:r>
        <w:tab/>
      </w:r>
      <w:r>
        <w:fldChar w:fldCharType="begin"/>
      </w:r>
      <w:r>
        <w:instrText xml:space="preserve"> PAGEREF _Toc6349 \h </w:instrText>
      </w:r>
      <w:r>
        <w:fldChar w:fldCharType="separate"/>
      </w:r>
      <w:r>
        <w:t>11</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_Toc7650 </w:instrText>
      </w:r>
      <w:r>
        <w:rPr>
          <w:caps w:val="0"/>
          <w:smallCaps/>
          <w:szCs w:val="20"/>
          <w:highlight w:val="none"/>
        </w:rPr>
        <w:fldChar w:fldCharType="separate"/>
      </w:r>
      <w:r>
        <w:rPr>
          <w:rFonts w:hint="eastAsia" w:ascii="黑体" w:eastAsia="黑体" w:cs="Times New Roman"/>
          <w:bCs w:val="0"/>
          <w:highlight w:val="none"/>
        </w:rPr>
        <w:t>十、其他重要事项的情况说明</w:t>
      </w:r>
      <w:r>
        <w:tab/>
      </w:r>
      <w:r>
        <w:fldChar w:fldCharType="begin"/>
      </w:r>
      <w:r>
        <w:instrText xml:space="preserve"> PAGEREF _Toc7650 \h </w:instrText>
      </w:r>
      <w:r>
        <w:fldChar w:fldCharType="separate"/>
      </w:r>
      <w:r>
        <w:t>11</w:t>
      </w:r>
      <w:r>
        <w:fldChar w:fldCharType="end"/>
      </w:r>
      <w:r>
        <w:rPr>
          <w:caps w:val="0"/>
          <w:smallCaps/>
          <w:szCs w:val="20"/>
          <w:highlight w:val="none"/>
        </w:rPr>
        <w:fldChar w:fldCharType="end"/>
      </w:r>
    </w:p>
    <w:p>
      <w:pPr>
        <w:pStyle w:val="15"/>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_Toc24024 </w:instrText>
      </w:r>
      <w:r>
        <w:rPr>
          <w:caps w:val="0"/>
          <w:smallCaps/>
          <w:szCs w:val="20"/>
          <w:highlight w:val="none"/>
        </w:rPr>
        <w:fldChar w:fldCharType="separate"/>
      </w:r>
      <w:r>
        <w:rPr>
          <w:rFonts w:hint="eastAsia" w:ascii="黑体" w:hAnsi="黑体" w:eastAsia="黑体" w:cs="黑体"/>
          <w:szCs w:val="44"/>
        </w:rPr>
        <w:t xml:space="preserve">第三部分 </w:t>
      </w:r>
      <w:r>
        <w:rPr>
          <w:rFonts w:hint="eastAsia" w:ascii="黑体" w:hAnsi="黑体" w:eastAsia="黑体"/>
          <w:szCs w:val="44"/>
          <w:highlight w:val="none"/>
        </w:rPr>
        <w:t>名</w:t>
      </w:r>
      <w:r>
        <w:rPr>
          <w:rFonts w:hint="eastAsia" w:ascii="黑体" w:hAnsi="黑体" w:eastAsia="黑体"/>
          <w:highlight w:val="none"/>
        </w:rPr>
        <w:t>词解释</w:t>
      </w:r>
      <w:r>
        <w:tab/>
      </w:r>
      <w:r>
        <w:fldChar w:fldCharType="begin"/>
      </w:r>
      <w:r>
        <w:instrText xml:space="preserve"> PAGEREF _Toc24024 \h </w:instrText>
      </w:r>
      <w:r>
        <w:fldChar w:fldCharType="separate"/>
      </w:r>
      <w:r>
        <w:t>13</w:t>
      </w:r>
      <w:r>
        <w:fldChar w:fldCharType="end"/>
      </w:r>
      <w:r>
        <w:rPr>
          <w:caps w:val="0"/>
          <w:smallCaps/>
          <w:szCs w:val="20"/>
          <w:highlight w:val="none"/>
        </w:rPr>
        <w:fldChar w:fldCharType="end"/>
      </w:r>
    </w:p>
    <w:p>
      <w:pPr>
        <w:pStyle w:val="15"/>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_Toc5449 </w:instrText>
      </w:r>
      <w:r>
        <w:rPr>
          <w:caps w:val="0"/>
          <w:smallCaps/>
          <w:szCs w:val="20"/>
          <w:highlight w:val="none"/>
        </w:rPr>
        <w:fldChar w:fldCharType="separate"/>
      </w:r>
      <w:r>
        <w:rPr>
          <w:rFonts w:hint="eastAsia" w:ascii="黑体" w:eastAsia="黑体" w:cs="黑体"/>
          <w:bCs w:val="0"/>
          <w:highlight w:val="none"/>
        </w:rPr>
        <w:t>第五部分 附表</w:t>
      </w:r>
      <w:r>
        <w:tab/>
      </w:r>
      <w:r>
        <w:fldChar w:fldCharType="begin"/>
      </w:r>
      <w:r>
        <w:instrText xml:space="preserve"> PAGEREF _Toc5449 \h </w:instrText>
      </w:r>
      <w:r>
        <w:fldChar w:fldCharType="separate"/>
      </w:r>
      <w:r>
        <w:t>17</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_Toc6701 </w:instrText>
      </w:r>
      <w:r>
        <w:rPr>
          <w:caps w:val="0"/>
          <w:smallCaps/>
          <w:szCs w:val="20"/>
          <w:highlight w:val="none"/>
        </w:rPr>
        <w:fldChar w:fldCharType="separate"/>
      </w:r>
      <w:r>
        <w:rPr>
          <w:rFonts w:hint="eastAsia" w:ascii="黑体" w:eastAsia="黑体" w:cs="Times New Roman"/>
          <w:bCs w:val="0"/>
          <w:highlight w:val="none"/>
        </w:rPr>
        <w:t>一、收入支出决算总表</w:t>
      </w:r>
      <w:r>
        <w:tab/>
      </w:r>
      <w:r>
        <w:fldChar w:fldCharType="begin"/>
      </w:r>
      <w:r>
        <w:instrText xml:space="preserve"> PAGEREF _Toc6701 \h </w:instrText>
      </w:r>
      <w:r>
        <w:fldChar w:fldCharType="separate"/>
      </w:r>
      <w:r>
        <w:t>17</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_Toc5703 </w:instrText>
      </w:r>
      <w:r>
        <w:rPr>
          <w:caps w:val="0"/>
          <w:smallCaps/>
          <w:szCs w:val="20"/>
          <w:highlight w:val="none"/>
        </w:rPr>
        <w:fldChar w:fldCharType="separate"/>
      </w:r>
      <w:r>
        <w:rPr>
          <w:rFonts w:hint="eastAsia" w:ascii="黑体" w:eastAsia="黑体" w:cs="Times New Roman"/>
          <w:bCs w:val="0"/>
          <w:highlight w:val="none"/>
        </w:rPr>
        <w:t>二、收入决算表</w:t>
      </w:r>
      <w:r>
        <w:tab/>
      </w:r>
      <w:r>
        <w:fldChar w:fldCharType="begin"/>
      </w:r>
      <w:r>
        <w:instrText xml:space="preserve"> PAGEREF _Toc5703 \h </w:instrText>
      </w:r>
      <w:r>
        <w:fldChar w:fldCharType="separate"/>
      </w:r>
      <w:r>
        <w:t>17</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_Toc7252 </w:instrText>
      </w:r>
      <w:r>
        <w:rPr>
          <w:caps w:val="0"/>
          <w:smallCaps/>
          <w:szCs w:val="20"/>
          <w:highlight w:val="none"/>
        </w:rPr>
        <w:fldChar w:fldCharType="separate"/>
      </w:r>
      <w:r>
        <w:rPr>
          <w:rFonts w:hint="eastAsia" w:ascii="黑体" w:eastAsia="黑体" w:cs="Times New Roman"/>
          <w:bCs w:val="0"/>
          <w:highlight w:val="none"/>
        </w:rPr>
        <w:t>三、支出决算表</w:t>
      </w:r>
      <w:r>
        <w:tab/>
      </w:r>
      <w:r>
        <w:fldChar w:fldCharType="begin"/>
      </w:r>
      <w:r>
        <w:instrText xml:space="preserve"> PAGEREF _Toc7252 \h </w:instrText>
      </w:r>
      <w:r>
        <w:fldChar w:fldCharType="separate"/>
      </w:r>
      <w:r>
        <w:t>17</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_Toc2827 </w:instrText>
      </w:r>
      <w:r>
        <w:rPr>
          <w:caps w:val="0"/>
          <w:smallCaps/>
          <w:szCs w:val="20"/>
          <w:highlight w:val="none"/>
        </w:rPr>
        <w:fldChar w:fldCharType="separate"/>
      </w:r>
      <w:r>
        <w:rPr>
          <w:rFonts w:hint="eastAsia" w:ascii="黑体" w:eastAsia="黑体" w:cs="Times New Roman"/>
          <w:bCs w:val="0"/>
          <w:highlight w:val="none"/>
        </w:rPr>
        <w:t>四、财政拨款收入支出决算总表</w:t>
      </w:r>
      <w:r>
        <w:tab/>
      </w:r>
      <w:r>
        <w:fldChar w:fldCharType="begin"/>
      </w:r>
      <w:r>
        <w:instrText xml:space="preserve"> PAGEREF _Toc2827 \h </w:instrText>
      </w:r>
      <w:r>
        <w:fldChar w:fldCharType="separate"/>
      </w:r>
      <w:r>
        <w:t>17</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_Toc11388 </w:instrText>
      </w:r>
      <w:r>
        <w:rPr>
          <w:caps w:val="0"/>
          <w:smallCaps/>
          <w:szCs w:val="20"/>
          <w:highlight w:val="none"/>
        </w:rPr>
        <w:fldChar w:fldCharType="separate"/>
      </w:r>
      <w:r>
        <w:rPr>
          <w:rFonts w:hint="eastAsia" w:ascii="黑体" w:eastAsia="黑体" w:cs="Times New Roman"/>
          <w:bCs w:val="0"/>
          <w:highlight w:val="none"/>
        </w:rPr>
        <w:t>五、财政拨款支出决算明细表</w:t>
      </w:r>
      <w:r>
        <w:tab/>
      </w:r>
      <w:r>
        <w:fldChar w:fldCharType="begin"/>
      </w:r>
      <w:r>
        <w:instrText xml:space="preserve"> PAGEREF _Toc11388 \h </w:instrText>
      </w:r>
      <w:r>
        <w:fldChar w:fldCharType="separate"/>
      </w:r>
      <w:r>
        <w:t>17</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_Toc28378 </w:instrText>
      </w:r>
      <w:r>
        <w:rPr>
          <w:caps w:val="0"/>
          <w:smallCaps/>
          <w:szCs w:val="20"/>
          <w:highlight w:val="none"/>
        </w:rPr>
        <w:fldChar w:fldCharType="separate"/>
      </w:r>
      <w:r>
        <w:rPr>
          <w:rFonts w:hint="eastAsia" w:ascii="黑体" w:eastAsia="黑体" w:cs="Times New Roman"/>
          <w:bCs w:val="0"/>
          <w:highlight w:val="none"/>
        </w:rPr>
        <w:t>六、一般公共预算财政拨款支出决算表</w:t>
      </w:r>
      <w:r>
        <w:tab/>
      </w:r>
      <w:r>
        <w:fldChar w:fldCharType="begin"/>
      </w:r>
      <w:r>
        <w:instrText xml:space="preserve"> PAGEREF _Toc28378 \h </w:instrText>
      </w:r>
      <w:r>
        <w:fldChar w:fldCharType="separate"/>
      </w:r>
      <w:r>
        <w:t>17</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_Toc9565 </w:instrText>
      </w:r>
      <w:r>
        <w:rPr>
          <w:caps w:val="0"/>
          <w:smallCaps/>
          <w:szCs w:val="20"/>
          <w:highlight w:val="none"/>
        </w:rPr>
        <w:fldChar w:fldCharType="separate"/>
      </w:r>
      <w:r>
        <w:rPr>
          <w:rFonts w:hint="eastAsia" w:ascii="黑体" w:eastAsia="黑体" w:cs="Times New Roman"/>
          <w:bCs w:val="0"/>
          <w:highlight w:val="none"/>
        </w:rPr>
        <w:t>七、一般公共预算财政拨款支出决算明细表</w:t>
      </w:r>
      <w:r>
        <w:tab/>
      </w:r>
      <w:r>
        <w:fldChar w:fldCharType="begin"/>
      </w:r>
      <w:r>
        <w:instrText xml:space="preserve"> PAGEREF _Toc9565 \h </w:instrText>
      </w:r>
      <w:r>
        <w:fldChar w:fldCharType="separate"/>
      </w:r>
      <w:r>
        <w:t>17</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_Toc29675 </w:instrText>
      </w:r>
      <w:r>
        <w:rPr>
          <w:caps w:val="0"/>
          <w:smallCaps/>
          <w:szCs w:val="20"/>
          <w:highlight w:val="none"/>
        </w:rPr>
        <w:fldChar w:fldCharType="separate"/>
      </w:r>
      <w:r>
        <w:rPr>
          <w:rFonts w:hint="eastAsia" w:ascii="黑体" w:eastAsia="黑体" w:cs="Times New Roman"/>
          <w:bCs w:val="0"/>
          <w:highlight w:val="none"/>
        </w:rPr>
        <w:t>八、一般公共预算财政拨款基本支出决算表</w:t>
      </w:r>
      <w:r>
        <w:tab/>
      </w:r>
      <w:r>
        <w:fldChar w:fldCharType="begin"/>
      </w:r>
      <w:r>
        <w:instrText xml:space="preserve"> PAGEREF _Toc29675 \h </w:instrText>
      </w:r>
      <w:r>
        <w:fldChar w:fldCharType="separate"/>
      </w:r>
      <w:r>
        <w:t>17</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_Toc12590 </w:instrText>
      </w:r>
      <w:r>
        <w:rPr>
          <w:caps w:val="0"/>
          <w:smallCaps/>
          <w:szCs w:val="20"/>
          <w:highlight w:val="none"/>
        </w:rPr>
        <w:fldChar w:fldCharType="separate"/>
      </w:r>
      <w:r>
        <w:rPr>
          <w:rFonts w:hint="eastAsia" w:ascii="黑体" w:eastAsia="黑体" w:cs="Times New Roman"/>
          <w:bCs w:val="0"/>
          <w:highlight w:val="none"/>
        </w:rPr>
        <w:t>九、一般公共预算财政拨款项目支出决算表</w:t>
      </w:r>
      <w:r>
        <w:tab/>
      </w:r>
      <w:r>
        <w:fldChar w:fldCharType="begin"/>
      </w:r>
      <w:r>
        <w:instrText xml:space="preserve"> PAGEREF _Toc12590 \h </w:instrText>
      </w:r>
      <w:r>
        <w:fldChar w:fldCharType="separate"/>
      </w:r>
      <w:r>
        <w:t>17</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_Toc16652 </w:instrText>
      </w:r>
      <w:r>
        <w:rPr>
          <w:caps w:val="0"/>
          <w:smallCaps/>
          <w:szCs w:val="20"/>
          <w:highlight w:val="none"/>
        </w:rPr>
        <w:fldChar w:fldCharType="separate"/>
      </w:r>
      <w:r>
        <w:rPr>
          <w:rFonts w:hint="eastAsia" w:ascii="黑体" w:eastAsia="黑体" w:cs="Times New Roman"/>
          <w:bCs w:val="0"/>
          <w:highlight w:val="none"/>
        </w:rPr>
        <w:t>十、政府性基金预算财政拨款收入支出决算表</w:t>
      </w:r>
      <w:r>
        <w:tab/>
      </w:r>
      <w:r>
        <w:fldChar w:fldCharType="begin"/>
      </w:r>
      <w:r>
        <w:instrText xml:space="preserve"> PAGEREF _Toc16652 \h </w:instrText>
      </w:r>
      <w:r>
        <w:fldChar w:fldCharType="separate"/>
      </w:r>
      <w:r>
        <w:t>17</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_Toc13104 </w:instrText>
      </w:r>
      <w:r>
        <w:rPr>
          <w:caps w:val="0"/>
          <w:smallCaps/>
          <w:szCs w:val="20"/>
          <w:highlight w:val="none"/>
        </w:rPr>
        <w:fldChar w:fldCharType="separate"/>
      </w:r>
      <w:r>
        <w:rPr>
          <w:rFonts w:hint="eastAsia" w:ascii="黑体" w:eastAsia="黑体" w:cs="Times New Roman"/>
          <w:bCs w:val="0"/>
          <w:highlight w:val="none"/>
        </w:rPr>
        <w:t>十一、国有资本经营预算财政拨款收入支出决算表</w:t>
      </w:r>
      <w:r>
        <w:tab/>
      </w:r>
      <w:r>
        <w:fldChar w:fldCharType="begin"/>
      </w:r>
      <w:r>
        <w:instrText xml:space="preserve"> PAGEREF _Toc13104 \h </w:instrText>
      </w:r>
      <w:r>
        <w:fldChar w:fldCharType="separate"/>
      </w:r>
      <w:r>
        <w:t>17</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_Toc19837 </w:instrText>
      </w:r>
      <w:r>
        <w:rPr>
          <w:caps w:val="0"/>
          <w:smallCaps/>
          <w:szCs w:val="20"/>
          <w:highlight w:val="none"/>
        </w:rPr>
        <w:fldChar w:fldCharType="separate"/>
      </w:r>
      <w:r>
        <w:rPr>
          <w:rFonts w:hint="eastAsia" w:ascii="黑体" w:eastAsia="黑体" w:cs="Times New Roman"/>
          <w:bCs w:val="0"/>
          <w:highlight w:val="none"/>
        </w:rPr>
        <w:t>十二、国有资本经营预算财政拨款支出决算表</w:t>
      </w:r>
      <w:r>
        <w:tab/>
      </w:r>
      <w:r>
        <w:fldChar w:fldCharType="begin"/>
      </w:r>
      <w:r>
        <w:instrText xml:space="preserve"> PAGEREF _Toc19837 \h </w:instrText>
      </w:r>
      <w:r>
        <w:fldChar w:fldCharType="separate"/>
      </w:r>
      <w:r>
        <w:t>17</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_Toc27290 </w:instrText>
      </w:r>
      <w:r>
        <w:rPr>
          <w:caps w:val="0"/>
          <w:smallCaps/>
          <w:szCs w:val="20"/>
          <w:highlight w:val="none"/>
        </w:rPr>
        <w:fldChar w:fldCharType="separate"/>
      </w:r>
      <w:r>
        <w:rPr>
          <w:rFonts w:hint="eastAsia" w:ascii="黑体" w:eastAsia="黑体" w:cs="Times New Roman"/>
          <w:bCs w:val="0"/>
          <w:highlight w:val="none"/>
        </w:rPr>
        <w:t>十三、财政拨款“三公”经费支出决算表</w:t>
      </w:r>
      <w:r>
        <w:tab/>
      </w:r>
      <w:r>
        <w:fldChar w:fldCharType="begin"/>
      </w:r>
      <w:r>
        <w:instrText xml:space="preserve"> PAGEREF _Toc27290 \h </w:instrText>
      </w:r>
      <w:r>
        <w:fldChar w:fldCharType="separate"/>
      </w:r>
      <w:r>
        <w:t>17</w:t>
      </w:r>
      <w:r>
        <w:fldChar w:fldCharType="end"/>
      </w:r>
      <w:r>
        <w:rPr>
          <w:caps w:val="0"/>
          <w:smallCaps/>
          <w:szCs w:val="20"/>
          <w:highlight w:val="none"/>
        </w:rPr>
        <w:fldChar w:fldCharType="end"/>
      </w:r>
    </w:p>
    <w:p>
      <w:pPr>
        <w:pStyle w:val="8"/>
        <w:rPr>
          <w:highlight w:val="yellow"/>
        </w:rPr>
      </w:pPr>
      <w:r>
        <w:rPr>
          <w:caps w:val="0"/>
          <w:smallCaps/>
          <w:szCs w:val="20"/>
          <w:highlight w:val="none"/>
        </w:rPr>
        <w:fldChar w:fldCharType="end"/>
      </w:r>
    </w:p>
    <w:p>
      <w:pPr>
        <w:rPr>
          <w:rFonts w:hint="eastAsia" w:ascii="黑体" w:eastAsia="黑体" w:cs="黑体"/>
          <w:highlight w:val="yellow"/>
        </w:rPr>
      </w:pPr>
      <w:r>
        <w:rPr>
          <w:rFonts w:hint="eastAsia" w:ascii="黑体" w:eastAsia="黑体" w:cs="黑体"/>
          <w:highlight w:val="yellow"/>
        </w:rPr>
        <w:br w:type="page"/>
      </w:r>
    </w:p>
    <w:bookmarkEnd w:id="6"/>
    <w:bookmarkEnd w:id="7"/>
    <w:p>
      <w:pPr>
        <w:pStyle w:val="5"/>
        <w:jc w:val="center"/>
        <w:rPr>
          <w:rFonts w:ascii="黑体" w:eastAsia="黑体" w:cs="黑体"/>
          <w:b w:val="0"/>
          <w:bCs w:val="0"/>
          <w:highlight w:val="none"/>
        </w:rPr>
      </w:pPr>
      <w:bookmarkStart w:id="8" w:name="_Toc21550"/>
      <w:bookmarkStart w:id="9" w:name="_Toc15377204"/>
      <w:r>
        <w:rPr>
          <w:rFonts w:hint="eastAsia" w:ascii="黑体" w:eastAsia="黑体" w:cs="黑体"/>
          <w:highlight w:val="none"/>
        </w:rPr>
        <w:t xml:space="preserve">第一部分 </w:t>
      </w:r>
      <w:r>
        <w:rPr>
          <w:rStyle w:val="23"/>
          <w:rFonts w:hint="eastAsia" w:ascii="黑体" w:eastAsia="黑体" w:cs="黑体"/>
          <w:b/>
          <w:bCs w:val="0"/>
          <w:highlight w:val="none"/>
        </w:rPr>
        <w:t>部门概况</w:t>
      </w:r>
      <w:bookmarkEnd w:id="8"/>
    </w:p>
    <w:p>
      <w:pPr>
        <w:pStyle w:val="6"/>
        <w:keepNext/>
        <w:keepLines/>
        <w:pageBreakBefore w:val="0"/>
        <w:widowControl w:val="0"/>
        <w:kinsoku/>
        <w:wordWrap/>
        <w:overflowPunct/>
        <w:topLinePunct w:val="0"/>
        <w:autoSpaceDE/>
        <w:autoSpaceDN/>
        <w:bidi w:val="0"/>
        <w:adjustRightInd/>
        <w:snapToGrid/>
        <w:spacing w:line="340" w:lineRule="exact"/>
        <w:ind w:firstLine="642" w:firstLineChars="200"/>
        <w:textAlignment w:val="auto"/>
        <w:rPr>
          <w:rFonts w:ascii="黑体" w:eastAsia="黑体" w:cs="Times New Roman"/>
          <w:bCs w:val="0"/>
          <w:color w:val="000000"/>
          <w:highlight w:val="none"/>
        </w:rPr>
      </w:pPr>
      <w:bookmarkStart w:id="10" w:name="_Toc111208496"/>
      <w:bookmarkStart w:id="11" w:name="_Toc15377197"/>
      <w:bookmarkStart w:id="12" w:name="_Toc11489"/>
      <w:r>
        <w:rPr>
          <w:rFonts w:hint="eastAsia" w:ascii="黑体" w:eastAsia="黑体" w:cs="Times New Roman"/>
          <w:bCs w:val="0"/>
          <w:color w:val="000000"/>
          <w:highlight w:val="none"/>
        </w:rPr>
        <w:t>一、</w:t>
      </w:r>
      <w:bookmarkEnd w:id="10"/>
      <w:bookmarkEnd w:id="11"/>
      <w:bookmarkStart w:id="13" w:name="_Toc15378445"/>
      <w:bookmarkStart w:id="14" w:name="_Toc15377198"/>
      <w:r>
        <w:rPr>
          <w:rFonts w:hint="eastAsia" w:ascii="黑体" w:eastAsia="黑体" w:cs="Times New Roman"/>
          <w:bCs w:val="0"/>
          <w:color w:val="000000"/>
          <w:highlight w:val="none"/>
        </w:rPr>
        <w:t>部门职责</w:t>
      </w:r>
      <w:bookmarkEnd w:id="12"/>
    </w:p>
    <w:bookmarkEnd w:id="13"/>
    <w:bookmarkEnd w:id="14"/>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bookmarkStart w:id="15" w:name="_Toc111208497"/>
      <w:bookmarkStart w:id="16" w:name="_Toc15377200"/>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贯彻执行党和国家的路线方针政策和上级党委、政府各项决策部署，以及本级党员代表大会（党员大会）、人民代表大会的决议决定。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领导镇政权机关、群团组织和其他各类组织，加强指导和规范，支持和保证这些机关和组织依照国家法律法规以及各自章程履行职责。</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加强党的建设。坚持全面从严治党，落实管党治党主体责任，全面加强党的政治建设、思想建设、组织建设、作风建设、纪律建设、制度建设等工作。不断强化自身建设和村党组织建设，以及其他隶属镇党委的党组织建设，抓好发展党员工作，加强党员队伍建设。维护和执行党的纪律</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监督党员干部和其他工作人员严格遵守国家法律法规。</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按照干部管理权限，负责对干部的教育、培训、选拔、考核和监督工作。协助管理上级有关部门驻镇单位的干部。</w:t>
      </w:r>
      <w:bookmarkEnd w:id="15"/>
      <w:bookmarkEnd w:id="16"/>
      <w:r>
        <w:rPr>
          <w:rFonts w:hint="eastAsia" w:ascii="仿宋_GB2312" w:hAnsi="仿宋_GB2312" w:eastAsia="仿宋_GB2312" w:cs="仿宋_GB2312"/>
          <w:sz w:val="32"/>
          <w:szCs w:val="32"/>
          <w:highlight w:val="none"/>
        </w:rPr>
        <w:t>做好人才服务和引进工作。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统筹区域发展。落实关于辖区发展的重大决策，制定辖区经济和社会发展规划、公共服务设施布局；负责乡村振兴工作，做好民生保障、扶贫开发、民族宗教等工作，推动辖区经济社会健康、有序、可持续发展</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强化基层治理。负责本辖区社会治理，加强社会主义民主法治建设和精神文明建设，加快推进基层社会治理体系和治理能力现代化；指导村委会建设，健全自治平台，组织群众和单位参与村委会建设和管理。负责统筹协调辖区内依法授权或委托授权的行政执法工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优化公共服务。推进服务型政府建设，组织实施并优化教育、卫生健康、文化、民政、社会保障、退役军人事务等各项公共服务。</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负责辖区范围内的应急管理、社会稳定、安全生产、生态环境保护、社会信用体系建设和审批服务便民化等</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工作。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负责辖区农村经营管理体系建设工作。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完成县委、</w:t>
      </w:r>
      <w:r>
        <w:rPr>
          <w:rFonts w:hint="eastAsia" w:ascii="仿宋_GB2312" w:hAnsi="仿宋_GB2312" w:eastAsia="仿宋_GB2312" w:cs="仿宋_GB2312"/>
          <w:sz w:val="32"/>
          <w:szCs w:val="32"/>
          <w:highlight w:val="none"/>
          <w:lang w:eastAsia="zh-CN"/>
        </w:rPr>
        <w:t>县政府</w:t>
      </w:r>
      <w:r>
        <w:rPr>
          <w:rFonts w:hint="eastAsia" w:ascii="仿宋_GB2312" w:hAnsi="仿宋_GB2312" w:eastAsia="仿宋_GB2312" w:cs="仿宋_GB2312"/>
          <w:sz w:val="32"/>
          <w:szCs w:val="32"/>
          <w:highlight w:val="none"/>
        </w:rPr>
        <w:t>交办的其他任务。</w:t>
      </w:r>
    </w:p>
    <w:p>
      <w:pPr>
        <w:pStyle w:val="6"/>
        <w:keepNext/>
        <w:keepLines/>
        <w:pageBreakBefore w:val="0"/>
        <w:widowControl w:val="0"/>
        <w:kinsoku/>
        <w:wordWrap/>
        <w:overflowPunct/>
        <w:topLinePunct w:val="0"/>
        <w:autoSpaceDE/>
        <w:autoSpaceDN/>
        <w:bidi w:val="0"/>
        <w:adjustRightInd/>
        <w:snapToGrid/>
        <w:spacing w:after="0" w:afterAutospacing="0" w:line="340" w:lineRule="exact"/>
        <w:ind w:firstLine="321" w:firstLineChars="100"/>
        <w:textAlignment w:val="auto"/>
        <w:rPr>
          <w:rFonts w:hint="eastAsia" w:ascii="黑体" w:eastAsia="黑体" w:cs="Times New Roman"/>
          <w:bCs w:val="0"/>
          <w:color w:val="000000"/>
          <w:highlight w:val="none"/>
        </w:rPr>
      </w:pPr>
      <w:bookmarkStart w:id="17" w:name="_Toc28081"/>
      <w:r>
        <w:rPr>
          <w:rFonts w:hint="eastAsia" w:ascii="黑体" w:eastAsia="黑体" w:cs="Times New Roman"/>
          <w:bCs w:val="0"/>
          <w:color w:val="000000"/>
          <w:highlight w:val="none"/>
        </w:rPr>
        <w:t>二、机构设置</w:t>
      </w:r>
      <w:bookmarkEnd w:id="17"/>
    </w:p>
    <w:p>
      <w:pPr>
        <w:keepNext w:val="0"/>
        <w:keepLines w:val="0"/>
        <w:pageBreakBefore w:val="0"/>
        <w:widowControl w:val="0"/>
        <w:kinsoku/>
        <w:wordWrap/>
        <w:overflowPunct/>
        <w:topLinePunct w:val="0"/>
        <w:autoSpaceDE/>
        <w:autoSpaceDN/>
        <w:bidi w:val="0"/>
        <w:spacing w:beforeAutospacing="0" w:line="576" w:lineRule="exact"/>
        <w:ind w:firstLine="642" w:firstLineChars="200"/>
        <w:textAlignment w:val="auto"/>
        <w:rPr>
          <w:rFonts w:hint="eastAsia" w:ascii="仿宋_GB2312" w:hAnsi="仿宋_GB2312" w:eastAsia="仿宋_GB2312" w:cs="仿宋_GB2312"/>
          <w:b/>
          <w:bCs/>
          <w:sz w:val="32"/>
          <w:szCs w:val="32"/>
          <w:highlight w:val="none"/>
          <w:lang w:val="zh-CN"/>
        </w:rPr>
      </w:pPr>
      <w:r>
        <w:rPr>
          <w:rFonts w:hint="eastAsia" w:ascii="仿宋_GB2312" w:hAnsi="仿宋_GB2312" w:eastAsia="仿宋_GB2312" w:cs="仿宋_GB2312"/>
          <w:b/>
          <w:bCs/>
          <w:sz w:val="32"/>
          <w:szCs w:val="32"/>
          <w:highlight w:val="none"/>
          <w:lang w:val="zh-CN"/>
        </w:rPr>
        <w:t>（一）机构组成</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茂县洼底镇人民政府属一级预算单位，其中行政单位</w:t>
      </w:r>
      <w:r>
        <w:rPr>
          <w:rFonts w:hint="eastAsia" w:ascii="仿宋_GB2312" w:hAnsi="仿宋_GB2312" w:eastAsia="仿宋_GB2312" w:cs="仿宋_GB2312"/>
          <w:sz w:val="32"/>
          <w:szCs w:val="32"/>
          <w:lang w:val="en-US" w:eastAsia="zh-CN"/>
        </w:rPr>
        <w:t>1个，参照公务员法管理的事业单位0个，其他事业单位1个。</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纳入茂县洼底镇人民政府2024年度部门决算编制范围的二级预算单位包括：</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lang w:val="en-US" w:eastAsia="zh-CN"/>
        </w:rPr>
        <w:t>1.茂县洼底镇便民服务中心</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pPr>
        <w:keepNext w:val="0"/>
        <w:keepLines w:val="0"/>
        <w:pageBreakBefore w:val="0"/>
        <w:widowControl w:val="0"/>
        <w:kinsoku/>
        <w:wordWrap/>
        <w:overflowPunct/>
        <w:topLinePunct w:val="0"/>
        <w:autoSpaceDE/>
        <w:autoSpaceDN/>
        <w:bidi w:val="0"/>
        <w:spacing w:line="576" w:lineRule="exact"/>
        <w:ind w:firstLine="883" w:firstLineChars="200"/>
        <w:textAlignment w:val="auto"/>
        <w:rPr>
          <w:rFonts w:ascii="仿宋_GB2312" w:eastAsia="仿宋_GB2312"/>
          <w:b/>
          <w:bCs/>
          <w:color w:val="000000"/>
          <w:kern w:val="44"/>
          <w:sz w:val="44"/>
          <w:szCs w:val="44"/>
          <w:highlight w:val="yellow"/>
        </w:rPr>
      </w:pPr>
    </w:p>
    <w:p>
      <w:pPr>
        <w:pStyle w:val="5"/>
        <w:spacing w:after="0" w:afterAutospacing="0"/>
        <w:jc w:val="both"/>
        <w:rPr>
          <w:rFonts w:ascii="黑体" w:eastAsia="黑体" w:cs="黑体"/>
          <w:highlight w:val="none"/>
        </w:rPr>
      </w:pPr>
      <w:bookmarkStart w:id="18" w:name="_Toc11896"/>
      <w:bookmarkStart w:id="19" w:name="_Toc111208498"/>
      <w:r>
        <w:rPr>
          <w:rFonts w:hint="eastAsia" w:ascii="黑体" w:eastAsia="黑体" w:cs="黑体"/>
          <w:highlight w:val="none"/>
        </w:rPr>
        <w:t>第二部分</w:t>
      </w:r>
      <w:r>
        <w:rPr>
          <w:rFonts w:ascii="黑体" w:eastAsia="黑体" w:cs="黑体"/>
          <w:highlight w:val="none"/>
        </w:rPr>
        <w:t xml:space="preserve"> </w:t>
      </w:r>
      <w:r>
        <w:rPr>
          <w:rFonts w:hint="eastAsia" w:ascii="黑体" w:eastAsia="黑体" w:cs="黑体"/>
          <w:highlight w:val="none"/>
          <w:lang w:eastAsia="zh-CN"/>
        </w:rPr>
        <w:t>2024</w:t>
      </w:r>
      <w:r>
        <w:rPr>
          <w:rFonts w:ascii="黑体" w:eastAsia="黑体" w:cs="黑体"/>
          <w:highlight w:val="none"/>
          <w:u w:color="auto"/>
        </w:rPr>
        <w:t>年度</w:t>
      </w:r>
      <w:r>
        <w:rPr>
          <w:rFonts w:hint="eastAsia" w:ascii="黑体" w:eastAsia="黑体" w:cs="黑体"/>
          <w:highlight w:val="none"/>
          <w:u w:color="auto"/>
          <w:lang w:eastAsia="zh-CN"/>
        </w:rPr>
        <w:t>单位</w:t>
      </w:r>
      <w:r>
        <w:rPr>
          <w:rFonts w:ascii="黑体" w:eastAsia="黑体" w:cs="黑体"/>
          <w:highlight w:val="none"/>
          <w:u w:color="auto"/>
        </w:rPr>
        <w:t>决算情况说明</w:t>
      </w:r>
      <w:bookmarkEnd w:id="9"/>
      <w:bookmarkEnd w:id="18"/>
      <w:bookmarkEnd w:id="19"/>
    </w:p>
    <w:p>
      <w:pPr>
        <w:pStyle w:val="6"/>
        <w:keepNext/>
        <w:keepLines/>
        <w:pageBreakBefore w:val="0"/>
        <w:widowControl w:val="0"/>
        <w:kinsoku/>
        <w:wordWrap/>
        <w:overflowPunct/>
        <w:topLinePunct w:val="0"/>
        <w:autoSpaceDE/>
        <w:autoSpaceDN/>
        <w:bidi w:val="0"/>
        <w:adjustRightInd/>
        <w:snapToGrid/>
        <w:spacing w:before="0" w:beforeAutospacing="0" w:after="0" w:afterAutospacing="0" w:line="400" w:lineRule="exact"/>
        <w:ind w:firstLine="642" w:firstLineChars="200"/>
        <w:jc w:val="both"/>
        <w:textAlignment w:val="auto"/>
        <w:rPr>
          <w:rFonts w:ascii="黑体" w:eastAsia="黑体" w:cs="Times New Roman"/>
          <w:bCs w:val="0"/>
          <w:color w:val="000000"/>
          <w:highlight w:val="none"/>
        </w:rPr>
      </w:pPr>
      <w:bookmarkStart w:id="20" w:name="_Toc15377205"/>
      <w:bookmarkStart w:id="21" w:name="_Toc111208499"/>
      <w:bookmarkStart w:id="22" w:name="_Toc30380"/>
      <w:r>
        <w:rPr>
          <w:rFonts w:hint="eastAsia" w:ascii="黑体" w:eastAsia="黑体" w:cs="Times New Roman"/>
          <w:bCs w:val="0"/>
          <w:color w:val="000000"/>
          <w:highlight w:val="none"/>
        </w:rPr>
        <w:t>一、收入支出决算总体情况说</w:t>
      </w:r>
      <w:bookmarkEnd w:id="20"/>
      <w:r>
        <w:rPr>
          <w:rFonts w:hint="eastAsia" w:ascii="黑体" w:eastAsia="黑体" w:cs="Times New Roman"/>
          <w:bCs w:val="0"/>
          <w:color w:val="000000"/>
          <w:highlight w:val="none"/>
        </w:rPr>
        <w:t>明</w:t>
      </w:r>
      <w:bookmarkEnd w:id="21"/>
      <w:bookmarkEnd w:id="22"/>
    </w:p>
    <w:p>
      <w:pPr>
        <w:spacing w:beforeAutospacing="0" w:line="600" w:lineRule="exact"/>
        <w:ind w:firstLine="640" w:firstLineChars="200"/>
        <w:rPr>
          <w:rFonts w:hint="eastAsia" w:ascii="仿宋_GB2312" w:hAnsi="仿宋_GB2312" w:eastAsia="仿宋_GB2312" w:cs="仿宋_GB2312"/>
          <w:color w:val="000000"/>
          <w:sz w:val="28"/>
          <w:szCs w:val="28"/>
          <w:highlight w:val="yellow"/>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szCs w:val="32"/>
          <w:highlight w:val="none"/>
        </w:rPr>
        <w:t>年度收、支总计</w:t>
      </w:r>
      <w:r>
        <w:rPr>
          <w:rFonts w:hint="eastAsia" w:ascii="仿宋_GB2312" w:hAnsi="仿宋_GB2312" w:eastAsia="仿宋_GB2312" w:cs="仿宋_GB2312"/>
          <w:color w:val="000000"/>
          <w:sz w:val="32"/>
          <w:szCs w:val="32"/>
          <w:highlight w:val="none"/>
          <w:lang w:eastAsia="zh-CN"/>
        </w:rPr>
        <w:t>265.25</w:t>
      </w:r>
      <w:r>
        <w:rPr>
          <w:rFonts w:hint="eastAsia" w:ascii="仿宋_GB2312" w:hAnsi="仿宋_GB2312" w:eastAsia="仿宋_GB2312" w:cs="仿宋_GB2312"/>
          <w:color w:val="000000"/>
          <w:sz w:val="32"/>
          <w:szCs w:val="32"/>
          <w:highlight w:val="none"/>
        </w:rPr>
        <w:t>万元。与</w:t>
      </w:r>
      <w:r>
        <w:rPr>
          <w:rFonts w:hint="eastAsia" w:ascii="仿宋_GB2312" w:hAnsi="仿宋_GB2312" w:eastAsia="仿宋_GB2312" w:cs="仿宋_GB2312"/>
          <w:color w:val="000000"/>
          <w:sz w:val="32"/>
          <w:szCs w:val="32"/>
          <w:highlight w:val="none"/>
          <w:lang w:eastAsia="zh-CN"/>
        </w:rPr>
        <w:t>2023</w:t>
      </w:r>
      <w:r>
        <w:rPr>
          <w:rFonts w:hint="eastAsia" w:ascii="仿宋_GB2312" w:hAnsi="仿宋_GB2312" w:eastAsia="仿宋_GB2312" w:cs="仿宋_GB2312"/>
          <w:color w:val="000000"/>
          <w:sz w:val="32"/>
          <w:szCs w:val="32"/>
          <w:highlight w:val="none"/>
        </w:rPr>
        <w:t>年相比，收、支总计各</w:t>
      </w:r>
      <w:r>
        <w:rPr>
          <w:rFonts w:hint="eastAsia" w:ascii="仿宋_GB2312" w:hAnsi="仿宋_GB2312" w:eastAsia="仿宋_GB2312" w:cs="仿宋_GB2312"/>
          <w:color w:val="000000"/>
          <w:sz w:val="32"/>
          <w:szCs w:val="32"/>
          <w:highlight w:val="none"/>
          <w:lang w:eastAsia="zh-CN"/>
        </w:rPr>
        <w:t>增加</w:t>
      </w:r>
      <w:r>
        <w:rPr>
          <w:rFonts w:hint="eastAsia" w:ascii="仿宋_GB2312" w:hAnsi="仿宋_GB2312" w:eastAsia="仿宋_GB2312" w:cs="仿宋_GB2312"/>
          <w:color w:val="000000"/>
          <w:sz w:val="32"/>
          <w:szCs w:val="32"/>
          <w:highlight w:val="none"/>
          <w:lang w:val="en-US" w:eastAsia="zh-CN"/>
        </w:rPr>
        <w:t>21.19</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增加</w:t>
      </w:r>
      <w:r>
        <w:rPr>
          <w:rFonts w:hint="eastAsia" w:ascii="仿宋_GB2312" w:hAnsi="仿宋_GB2312" w:eastAsia="仿宋_GB2312" w:cs="仿宋_GB2312"/>
          <w:color w:val="000000"/>
          <w:sz w:val="32"/>
          <w:szCs w:val="32"/>
          <w:highlight w:val="none"/>
          <w:lang w:val="en-US" w:eastAsia="zh-CN"/>
        </w:rPr>
        <w:t>8.68</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highlight w:val="none"/>
          <w:u w:color="auto"/>
        </w:rPr>
        <w:t>主要变动原因是</w:t>
      </w:r>
      <w:r>
        <w:rPr>
          <w:rFonts w:hint="eastAsia" w:ascii="仿宋_GB2312" w:hAnsi="仿宋_GB2312" w:eastAsia="仿宋_GB2312" w:cs="仿宋_GB2312"/>
          <w:color w:val="000000"/>
          <w:sz w:val="32"/>
          <w:highlight w:val="none"/>
          <w:u w:color="auto"/>
          <w:lang w:eastAsia="zh-CN"/>
        </w:rPr>
        <w:t>：人员增加。</w:t>
      </w:r>
    </w:p>
    <w:p>
      <w:pPr>
        <w:pStyle w:val="8"/>
        <w:rPr>
          <w:highlight w:val="yellow"/>
        </w:rPr>
      </w:pPr>
      <w:r>
        <w:rPr>
          <w:rFonts w:hint="eastAsia" w:eastAsia="仿宋"/>
          <w:highlight w:val="none"/>
          <w:lang w:eastAsia="zh-CN"/>
        </w:rPr>
        <w:drawing>
          <wp:inline distT="0" distB="0" distL="114300" distR="114300">
            <wp:extent cx="5256530" cy="2988310"/>
            <wp:effectExtent l="5080" t="4445" r="15240" b="1714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6"/>
        <w:keepNext/>
        <w:keepLines/>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ascii="黑体" w:eastAsia="黑体" w:cs="Times New Roman"/>
          <w:bCs w:val="0"/>
          <w:color w:val="000000"/>
          <w:highlight w:val="none"/>
        </w:rPr>
      </w:pPr>
      <w:bookmarkStart w:id="23" w:name="_Toc111208500"/>
      <w:bookmarkStart w:id="24" w:name="_Toc483"/>
      <w:bookmarkStart w:id="25" w:name="_Toc15377206"/>
      <w:r>
        <w:rPr>
          <w:rFonts w:hint="eastAsia" w:ascii="黑体" w:eastAsia="黑体" w:cs="Times New Roman"/>
          <w:bCs w:val="0"/>
          <w:color w:val="000000"/>
          <w:highlight w:val="none"/>
        </w:rPr>
        <w:t>二、收入决算情况说明</w:t>
      </w:r>
      <w:bookmarkEnd w:id="23"/>
      <w:bookmarkEnd w:id="24"/>
      <w:bookmarkEnd w:id="25"/>
    </w:p>
    <w:p>
      <w:pPr>
        <w:spacing w:beforeAutospacing="0" w:line="60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highlight w:val="none"/>
          <w:u w:color="auto"/>
        </w:rPr>
        <w:t>年收入合计</w:t>
      </w:r>
      <w:r>
        <w:rPr>
          <w:rFonts w:hint="eastAsia" w:ascii="仿宋_GB2312" w:hAnsi="仿宋_GB2312" w:eastAsia="仿宋_GB2312" w:cs="仿宋_GB2312"/>
          <w:color w:val="000000"/>
          <w:sz w:val="32"/>
          <w:highlight w:val="none"/>
          <w:u w:color="auto"/>
          <w:lang w:eastAsia="zh-CN"/>
        </w:rPr>
        <w:t>265.25</w:t>
      </w:r>
      <w:r>
        <w:rPr>
          <w:rFonts w:hint="eastAsia" w:ascii="仿宋_GB2312" w:hAnsi="仿宋_GB2312" w:eastAsia="仿宋_GB2312" w:cs="仿宋_GB2312"/>
          <w:color w:val="000000"/>
          <w:sz w:val="32"/>
          <w:highlight w:val="none"/>
          <w:u w:color="auto"/>
        </w:rPr>
        <w:t>万元，其中：一般公共预算财政拨款收入</w:t>
      </w:r>
      <w:r>
        <w:rPr>
          <w:rFonts w:hint="eastAsia" w:ascii="仿宋_GB2312" w:hAnsi="仿宋_GB2312" w:eastAsia="仿宋_GB2312" w:cs="仿宋_GB2312"/>
          <w:color w:val="000000"/>
          <w:sz w:val="32"/>
          <w:highlight w:val="none"/>
          <w:u w:color="auto"/>
          <w:lang w:eastAsia="zh-CN"/>
        </w:rPr>
        <w:t>265.25</w:t>
      </w:r>
      <w:r>
        <w:rPr>
          <w:rFonts w:hint="eastAsia" w:ascii="仿宋_GB2312" w:hAnsi="仿宋_GB2312" w:eastAsia="仿宋_GB2312" w:cs="仿宋_GB2312"/>
          <w:color w:val="000000"/>
          <w:sz w:val="32"/>
          <w:highlight w:val="none"/>
          <w:u w:color="auto"/>
        </w:rPr>
        <w:t>万元，占100%。</w:t>
      </w:r>
    </w:p>
    <w:p>
      <w:pPr>
        <w:pStyle w:val="16"/>
        <w:jc w:val="both"/>
        <w:rPr>
          <w:highlight w:val="none"/>
        </w:rPr>
      </w:pPr>
      <w:r>
        <w:rPr>
          <w:rFonts w:hint="eastAsia" w:ascii="仿宋_GB2312" w:eastAsia="仿宋_GB2312"/>
          <w:color w:val="FF0000"/>
          <w:sz w:val="32"/>
          <w:szCs w:val="32"/>
          <w:highlight w:val="none"/>
        </w:rPr>
        <w:drawing>
          <wp:inline distT="0" distB="0" distL="114300" distR="114300">
            <wp:extent cx="5332730" cy="3400425"/>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6"/>
        <w:keepNext/>
        <w:keepLines/>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ascii="黑体" w:eastAsia="黑体" w:cs="Times New Roman"/>
          <w:bCs w:val="0"/>
          <w:color w:val="000000"/>
          <w:highlight w:val="none"/>
        </w:rPr>
      </w:pPr>
      <w:bookmarkStart w:id="26" w:name="_Toc27257"/>
      <w:bookmarkStart w:id="27" w:name="_Toc111208501"/>
      <w:bookmarkStart w:id="28" w:name="_Toc15377207"/>
      <w:r>
        <w:rPr>
          <w:rFonts w:hint="eastAsia" w:ascii="黑体" w:eastAsia="黑体" w:cs="Times New Roman"/>
          <w:bCs w:val="0"/>
          <w:color w:val="000000"/>
          <w:highlight w:val="none"/>
        </w:rPr>
        <w:t>三、支出决算情况说明</w:t>
      </w:r>
      <w:bookmarkEnd w:id="26"/>
      <w:bookmarkEnd w:id="27"/>
      <w:bookmarkEnd w:id="28"/>
    </w:p>
    <w:p>
      <w:pPr>
        <w:pStyle w:val="8"/>
        <w:spacing w:beforeAutospacing="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szCs w:val="32"/>
          <w:highlight w:val="none"/>
        </w:rPr>
        <w:t>年支出合计</w:t>
      </w:r>
      <w:r>
        <w:rPr>
          <w:rFonts w:hint="eastAsia" w:ascii="仿宋_GB2312" w:hAnsi="仿宋_GB2312" w:eastAsia="仿宋_GB2312" w:cs="仿宋_GB2312"/>
          <w:color w:val="000000"/>
          <w:sz w:val="32"/>
          <w:szCs w:val="32"/>
          <w:highlight w:val="none"/>
          <w:lang w:eastAsia="zh-CN"/>
        </w:rPr>
        <w:t>265.25</w:t>
      </w:r>
      <w:r>
        <w:rPr>
          <w:rFonts w:hint="eastAsia" w:ascii="仿宋_GB2312" w:hAnsi="仿宋_GB2312" w:eastAsia="仿宋_GB2312" w:cs="仿宋_GB2312"/>
          <w:color w:val="000000"/>
          <w:sz w:val="32"/>
          <w:szCs w:val="32"/>
          <w:highlight w:val="none"/>
        </w:rPr>
        <w:t>万元，其中：基本支出</w:t>
      </w:r>
      <w:r>
        <w:rPr>
          <w:rFonts w:hint="eastAsia" w:ascii="仿宋_GB2312" w:hAnsi="仿宋_GB2312" w:eastAsia="仿宋_GB2312" w:cs="仿宋_GB2312"/>
          <w:color w:val="000000"/>
          <w:sz w:val="32"/>
          <w:szCs w:val="32"/>
          <w:highlight w:val="none"/>
          <w:lang w:eastAsia="zh-CN"/>
        </w:rPr>
        <w:t>265.25</w:t>
      </w:r>
      <w:r>
        <w:rPr>
          <w:rFonts w:hint="eastAsia" w:ascii="仿宋_GB2312" w:hAnsi="仿宋_GB2312" w:eastAsia="仿宋_GB2312" w:cs="仿宋_GB2312"/>
          <w:color w:val="000000"/>
          <w:sz w:val="32"/>
          <w:szCs w:val="32"/>
          <w:highlight w:val="none"/>
        </w:rPr>
        <w:t>万元，占</w:t>
      </w:r>
      <w:r>
        <w:rPr>
          <w:rFonts w:hint="eastAsia" w:ascii="仿宋_GB2312" w:hAnsi="仿宋_GB2312" w:eastAsia="仿宋_GB2312" w:cs="仿宋_GB2312"/>
          <w:color w:val="000000"/>
          <w:sz w:val="32"/>
          <w:szCs w:val="32"/>
          <w:highlight w:val="none"/>
          <w:lang w:val="en-US" w:eastAsia="zh-CN"/>
        </w:rPr>
        <w:t>100</w:t>
      </w:r>
      <w:r>
        <w:rPr>
          <w:rFonts w:hint="eastAsia" w:ascii="仿宋_GB2312" w:hAnsi="仿宋_GB2312" w:eastAsia="仿宋_GB2312" w:cs="仿宋_GB2312"/>
          <w:color w:val="000000"/>
          <w:sz w:val="32"/>
          <w:szCs w:val="32"/>
          <w:highlight w:val="none"/>
        </w:rPr>
        <w:t>%。</w:t>
      </w:r>
    </w:p>
    <w:p>
      <w:pPr>
        <w:jc w:val="both"/>
        <w:rPr>
          <w:rFonts w:ascii="仿宋_GB2312" w:eastAsia="仿宋_GB2312"/>
          <w:color w:val="FF0000"/>
          <w:sz w:val="32"/>
          <w:szCs w:val="32"/>
          <w:highlight w:val="none"/>
        </w:rPr>
      </w:pPr>
      <w:r>
        <w:rPr>
          <w:rFonts w:hint="eastAsia" w:ascii="仿宋" w:hAnsi="仿宋" w:eastAsia="仿宋"/>
          <w:sz w:val="32"/>
          <w:szCs w:val="32"/>
          <w:highlight w:val="none"/>
          <w:shd w:val="pct10" w:color="auto" w:fill="FFFFFF"/>
          <w:lang w:eastAsia="zh-CN"/>
        </w:rPr>
        <w:drawing>
          <wp:inline distT="0" distB="0" distL="114300" distR="114300">
            <wp:extent cx="5256530" cy="2988310"/>
            <wp:effectExtent l="5080" t="4445" r="15240" b="1714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8"/>
        <w:rPr>
          <w:highlight w:val="none"/>
        </w:rPr>
      </w:pPr>
    </w:p>
    <w:p>
      <w:pPr>
        <w:pStyle w:val="6"/>
        <w:keepNext/>
        <w:keepLines/>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ascii="黑体" w:eastAsia="黑体" w:cs="Times New Roman"/>
          <w:bCs w:val="0"/>
          <w:color w:val="000000"/>
          <w:highlight w:val="none"/>
        </w:rPr>
      </w:pPr>
      <w:bookmarkStart w:id="29" w:name="_Toc15377208"/>
      <w:bookmarkStart w:id="30" w:name="_Toc12534"/>
      <w:bookmarkStart w:id="31" w:name="_Toc111208502"/>
      <w:r>
        <w:rPr>
          <w:rFonts w:hint="eastAsia" w:ascii="黑体" w:eastAsia="黑体" w:cs="Times New Roman"/>
          <w:bCs w:val="0"/>
          <w:color w:val="000000"/>
          <w:highlight w:val="none"/>
        </w:rPr>
        <w:t>四、财政拨款收入支出决算总体情况说明</w:t>
      </w:r>
      <w:bookmarkEnd w:id="29"/>
      <w:bookmarkEnd w:id="30"/>
      <w:bookmarkEnd w:id="31"/>
    </w:p>
    <w:p>
      <w:pPr>
        <w:spacing w:beforeAutospacing="0" w:line="600" w:lineRule="exact"/>
        <w:ind w:firstLine="640" w:firstLineChars="200"/>
        <w:rPr>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szCs w:val="32"/>
          <w:highlight w:val="none"/>
        </w:rPr>
        <w:t>年度收、支总计</w:t>
      </w:r>
      <w:r>
        <w:rPr>
          <w:rFonts w:hint="eastAsia" w:ascii="仿宋_GB2312" w:hAnsi="仿宋_GB2312" w:eastAsia="仿宋_GB2312" w:cs="仿宋_GB2312"/>
          <w:color w:val="000000"/>
          <w:sz w:val="32"/>
          <w:szCs w:val="32"/>
          <w:highlight w:val="none"/>
          <w:lang w:eastAsia="zh-CN"/>
        </w:rPr>
        <w:t>265.25</w:t>
      </w:r>
      <w:r>
        <w:rPr>
          <w:rFonts w:hint="eastAsia" w:ascii="仿宋_GB2312" w:hAnsi="仿宋_GB2312" w:eastAsia="仿宋_GB2312" w:cs="仿宋_GB2312"/>
          <w:color w:val="000000"/>
          <w:sz w:val="32"/>
          <w:szCs w:val="32"/>
          <w:highlight w:val="none"/>
        </w:rPr>
        <w:t>万元。与</w:t>
      </w:r>
      <w:r>
        <w:rPr>
          <w:rFonts w:hint="eastAsia" w:ascii="仿宋_GB2312" w:hAnsi="仿宋_GB2312" w:eastAsia="仿宋_GB2312" w:cs="仿宋_GB2312"/>
          <w:color w:val="000000"/>
          <w:sz w:val="32"/>
          <w:szCs w:val="32"/>
          <w:highlight w:val="none"/>
          <w:lang w:eastAsia="zh-CN"/>
        </w:rPr>
        <w:t>2023</w:t>
      </w:r>
      <w:r>
        <w:rPr>
          <w:rFonts w:hint="eastAsia" w:ascii="仿宋_GB2312" w:hAnsi="仿宋_GB2312" w:eastAsia="仿宋_GB2312" w:cs="仿宋_GB2312"/>
          <w:color w:val="000000"/>
          <w:sz w:val="32"/>
          <w:szCs w:val="32"/>
          <w:highlight w:val="none"/>
        </w:rPr>
        <w:t>年相比，收、支总计各</w:t>
      </w:r>
      <w:r>
        <w:rPr>
          <w:rFonts w:hint="eastAsia" w:ascii="仿宋_GB2312" w:hAnsi="仿宋_GB2312" w:eastAsia="仿宋_GB2312" w:cs="仿宋_GB2312"/>
          <w:color w:val="000000"/>
          <w:sz w:val="32"/>
          <w:szCs w:val="32"/>
          <w:highlight w:val="none"/>
          <w:lang w:eastAsia="zh-CN"/>
        </w:rPr>
        <w:t>增加</w:t>
      </w:r>
      <w:r>
        <w:rPr>
          <w:rFonts w:hint="eastAsia" w:ascii="仿宋_GB2312" w:hAnsi="仿宋_GB2312" w:eastAsia="仿宋_GB2312" w:cs="仿宋_GB2312"/>
          <w:color w:val="000000"/>
          <w:sz w:val="32"/>
          <w:szCs w:val="32"/>
          <w:highlight w:val="none"/>
          <w:lang w:val="en-US" w:eastAsia="zh-CN"/>
        </w:rPr>
        <w:t>21.19</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增加</w:t>
      </w:r>
      <w:r>
        <w:rPr>
          <w:rFonts w:hint="eastAsia" w:ascii="仿宋_GB2312" w:hAnsi="仿宋_GB2312" w:eastAsia="仿宋_GB2312" w:cs="仿宋_GB2312"/>
          <w:color w:val="000000"/>
          <w:sz w:val="32"/>
          <w:szCs w:val="32"/>
          <w:highlight w:val="none"/>
          <w:lang w:val="en-US" w:eastAsia="zh-CN"/>
        </w:rPr>
        <w:t>8.68</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highlight w:val="none"/>
          <w:u w:color="auto"/>
        </w:rPr>
        <w:t>主要变动原因是</w:t>
      </w:r>
      <w:r>
        <w:rPr>
          <w:rFonts w:hint="eastAsia" w:ascii="仿宋_GB2312" w:hAnsi="仿宋_GB2312" w:eastAsia="仿宋_GB2312" w:cs="仿宋_GB2312"/>
          <w:color w:val="000000"/>
          <w:sz w:val="32"/>
          <w:highlight w:val="none"/>
          <w:u w:color="auto"/>
          <w:lang w:eastAsia="zh-CN"/>
        </w:rPr>
        <w:t>：人员增加。</w:t>
      </w:r>
    </w:p>
    <w:p>
      <w:pPr>
        <w:pStyle w:val="8"/>
        <w:jc w:val="left"/>
        <w:rPr>
          <w:highlight w:val="none"/>
        </w:rPr>
      </w:pPr>
      <w:r>
        <w:rPr>
          <w:rFonts w:hint="eastAsia" w:eastAsia="仿宋"/>
          <w:highlight w:val="none"/>
          <w:lang w:eastAsia="zh-CN"/>
        </w:rPr>
        <w:drawing>
          <wp:inline distT="0" distB="0" distL="114300" distR="114300">
            <wp:extent cx="5256530" cy="2988310"/>
            <wp:effectExtent l="5080" t="4445" r="1524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8"/>
        <w:jc w:val="center"/>
        <w:rPr>
          <w:highlight w:val="none"/>
        </w:rPr>
      </w:pPr>
    </w:p>
    <w:p>
      <w:pPr>
        <w:pStyle w:val="6"/>
        <w:keepNext/>
        <w:keepLines/>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ascii="黑体" w:eastAsia="黑体" w:cs="Times New Roman"/>
          <w:bCs w:val="0"/>
          <w:color w:val="000000"/>
          <w:highlight w:val="none"/>
        </w:rPr>
      </w:pPr>
      <w:bookmarkStart w:id="32" w:name="_Toc15377209"/>
      <w:bookmarkStart w:id="33" w:name="_Toc111208503"/>
      <w:bookmarkStart w:id="34" w:name="_Toc16370"/>
      <w:r>
        <w:rPr>
          <w:rFonts w:hint="eastAsia" w:ascii="黑体" w:eastAsia="黑体" w:cs="Times New Roman"/>
          <w:bCs w:val="0"/>
          <w:color w:val="000000"/>
          <w:highlight w:val="none"/>
        </w:rPr>
        <w:t>五、一般公共预算财政拨款支出决算情况说</w:t>
      </w:r>
      <w:bookmarkEnd w:id="32"/>
      <w:r>
        <w:rPr>
          <w:rFonts w:hint="eastAsia" w:ascii="黑体" w:eastAsia="黑体" w:cs="Times New Roman"/>
          <w:bCs w:val="0"/>
          <w:color w:val="000000"/>
          <w:highlight w:val="none"/>
        </w:rPr>
        <w:t>明</w:t>
      </w:r>
      <w:bookmarkEnd w:id="33"/>
      <w:bookmarkEnd w:id="34"/>
    </w:p>
    <w:p>
      <w:pPr>
        <w:spacing w:beforeAutospacing="0" w:line="600" w:lineRule="exact"/>
        <w:ind w:firstLine="642" w:firstLineChars="200"/>
        <w:outlineLvl w:val="2"/>
        <w:rPr>
          <w:rFonts w:hint="eastAsia" w:ascii="仿宋_GB2312" w:hAnsi="仿宋_GB2312" w:eastAsia="仿宋_GB2312" w:cs="仿宋_GB2312"/>
          <w:b/>
          <w:color w:val="000000"/>
          <w:sz w:val="32"/>
          <w:szCs w:val="32"/>
          <w:highlight w:val="none"/>
        </w:rPr>
      </w:pPr>
      <w:bookmarkStart w:id="35" w:name="_Toc15377210"/>
      <w:r>
        <w:rPr>
          <w:rFonts w:hint="eastAsia" w:ascii="仿宋_GB2312" w:hAnsi="仿宋_GB2312" w:eastAsia="仿宋_GB2312" w:cs="仿宋_GB2312"/>
          <w:b/>
          <w:color w:val="000000"/>
          <w:sz w:val="32"/>
          <w:szCs w:val="32"/>
          <w:highlight w:val="none"/>
        </w:rPr>
        <w:t>（一）一般公共预算财政拨款支出决算总体情况</w:t>
      </w:r>
      <w:bookmarkEnd w:id="35"/>
    </w:p>
    <w:p>
      <w:pPr>
        <w:spacing w:line="600" w:lineRule="exact"/>
        <w:ind w:firstLine="640" w:firstLineChars="200"/>
        <w:rPr>
          <w:rFonts w:hint="eastAsia" w:ascii="仿宋_GB2312" w:hAnsi="仿宋_GB2312" w:eastAsia="仿宋_GB2312" w:cs="仿宋_GB2312"/>
          <w:b/>
          <w:color w:val="000000"/>
          <w:sz w:val="32"/>
          <w:szCs w:val="32"/>
          <w:highlight w:val="none"/>
        </w:rPr>
      </w:pPr>
      <w:bookmarkStart w:id="36" w:name="_Toc15377211"/>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szCs w:val="32"/>
          <w:highlight w:val="none"/>
        </w:rPr>
        <w:t>年度收、支总计</w:t>
      </w:r>
      <w:r>
        <w:rPr>
          <w:rFonts w:hint="eastAsia" w:ascii="仿宋_GB2312" w:hAnsi="仿宋_GB2312" w:eastAsia="仿宋_GB2312" w:cs="仿宋_GB2312"/>
          <w:color w:val="000000"/>
          <w:sz w:val="32"/>
          <w:szCs w:val="32"/>
          <w:highlight w:val="none"/>
          <w:lang w:eastAsia="zh-CN"/>
        </w:rPr>
        <w:t>265.25</w:t>
      </w:r>
      <w:r>
        <w:rPr>
          <w:rFonts w:hint="eastAsia" w:ascii="仿宋_GB2312" w:hAnsi="仿宋_GB2312" w:eastAsia="仿宋_GB2312" w:cs="仿宋_GB2312"/>
          <w:color w:val="000000"/>
          <w:sz w:val="32"/>
          <w:szCs w:val="32"/>
          <w:highlight w:val="none"/>
        </w:rPr>
        <w:t>万元。与</w:t>
      </w:r>
      <w:r>
        <w:rPr>
          <w:rFonts w:hint="eastAsia" w:ascii="仿宋_GB2312" w:hAnsi="仿宋_GB2312" w:eastAsia="仿宋_GB2312" w:cs="仿宋_GB2312"/>
          <w:color w:val="000000"/>
          <w:sz w:val="32"/>
          <w:szCs w:val="32"/>
          <w:highlight w:val="none"/>
          <w:lang w:eastAsia="zh-CN"/>
        </w:rPr>
        <w:t>2023</w:t>
      </w:r>
      <w:r>
        <w:rPr>
          <w:rFonts w:hint="eastAsia" w:ascii="仿宋_GB2312" w:hAnsi="仿宋_GB2312" w:eastAsia="仿宋_GB2312" w:cs="仿宋_GB2312"/>
          <w:color w:val="000000"/>
          <w:sz w:val="32"/>
          <w:szCs w:val="32"/>
          <w:highlight w:val="none"/>
        </w:rPr>
        <w:t>年相比，收、支总计各</w:t>
      </w:r>
      <w:r>
        <w:rPr>
          <w:rFonts w:hint="eastAsia" w:ascii="仿宋_GB2312" w:hAnsi="仿宋_GB2312" w:eastAsia="仿宋_GB2312" w:cs="仿宋_GB2312"/>
          <w:color w:val="000000"/>
          <w:sz w:val="32"/>
          <w:szCs w:val="32"/>
          <w:highlight w:val="none"/>
          <w:lang w:eastAsia="zh-CN"/>
        </w:rPr>
        <w:t>增加</w:t>
      </w:r>
      <w:r>
        <w:rPr>
          <w:rFonts w:hint="eastAsia" w:ascii="仿宋_GB2312" w:hAnsi="仿宋_GB2312" w:eastAsia="仿宋_GB2312" w:cs="仿宋_GB2312"/>
          <w:color w:val="000000"/>
          <w:sz w:val="32"/>
          <w:szCs w:val="32"/>
          <w:highlight w:val="none"/>
          <w:lang w:val="en-US" w:eastAsia="zh-CN"/>
        </w:rPr>
        <w:t>21.19</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增加</w:t>
      </w:r>
      <w:r>
        <w:rPr>
          <w:rFonts w:hint="eastAsia" w:ascii="仿宋_GB2312" w:hAnsi="仿宋_GB2312" w:eastAsia="仿宋_GB2312" w:cs="仿宋_GB2312"/>
          <w:color w:val="000000"/>
          <w:sz w:val="32"/>
          <w:szCs w:val="32"/>
          <w:highlight w:val="none"/>
          <w:lang w:val="en-US" w:eastAsia="zh-CN"/>
        </w:rPr>
        <w:t>8.68</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highlight w:val="none"/>
          <w:u w:color="auto"/>
        </w:rPr>
        <w:t>主要变动原因是</w:t>
      </w:r>
      <w:r>
        <w:rPr>
          <w:rFonts w:hint="eastAsia" w:ascii="仿宋_GB2312" w:hAnsi="仿宋_GB2312" w:eastAsia="仿宋_GB2312" w:cs="仿宋_GB2312"/>
          <w:color w:val="000000"/>
          <w:sz w:val="32"/>
          <w:highlight w:val="none"/>
          <w:u w:color="auto"/>
          <w:lang w:eastAsia="zh-CN"/>
        </w:rPr>
        <w:t>：人员增加。</w:t>
      </w:r>
    </w:p>
    <w:p>
      <w:pPr>
        <w:pStyle w:val="8"/>
        <w:ind w:firstLine="0"/>
        <w:rPr>
          <w:rFonts w:ascii="仿宋_GB2312" w:eastAsia="仿宋_GB2312"/>
          <w:b/>
          <w:color w:val="000000"/>
          <w:sz w:val="32"/>
          <w:szCs w:val="32"/>
          <w:highlight w:val="none"/>
        </w:rPr>
      </w:pPr>
      <w:r>
        <w:rPr>
          <w:rFonts w:hint="eastAsia" w:eastAsia="仿宋"/>
          <w:highlight w:val="none"/>
          <w:lang w:eastAsia="zh-CN"/>
        </w:rPr>
        <w:drawing>
          <wp:inline distT="0" distB="0" distL="114300" distR="114300">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8"/>
        <w:ind w:firstLine="0"/>
        <w:rPr>
          <w:rFonts w:ascii="仿宋_GB2312" w:eastAsia="仿宋_GB2312"/>
          <w:b/>
          <w:color w:val="000000"/>
          <w:sz w:val="32"/>
          <w:szCs w:val="32"/>
          <w:highlight w:val="none"/>
        </w:rPr>
      </w:pPr>
    </w:p>
    <w:p>
      <w:pPr>
        <w:spacing w:line="600" w:lineRule="exact"/>
        <w:ind w:firstLine="642" w:firstLineChars="200"/>
        <w:outlineLvl w:val="2"/>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（二）一般公共预算财政拨款支出决算结构情况</w:t>
      </w:r>
      <w:bookmarkEnd w:id="36"/>
    </w:p>
    <w:p>
      <w:pPr>
        <w:spacing w:line="60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highlight w:val="none"/>
          <w:u w:color="auto"/>
        </w:rPr>
        <w:t>年一般公共预算财政拨款支出</w:t>
      </w:r>
      <w:r>
        <w:rPr>
          <w:rFonts w:hint="eastAsia" w:ascii="仿宋_GB2312" w:hAnsi="仿宋_GB2312" w:eastAsia="仿宋_GB2312" w:cs="仿宋_GB2312"/>
          <w:color w:val="000000"/>
          <w:sz w:val="32"/>
          <w:highlight w:val="none"/>
          <w:u w:color="auto"/>
          <w:lang w:eastAsia="zh-CN"/>
        </w:rPr>
        <w:t>265.25</w:t>
      </w:r>
      <w:r>
        <w:rPr>
          <w:rFonts w:hint="eastAsia" w:ascii="仿宋_GB2312" w:hAnsi="仿宋_GB2312" w:eastAsia="仿宋_GB2312" w:cs="仿宋_GB2312"/>
          <w:color w:val="000000"/>
          <w:sz w:val="32"/>
          <w:szCs w:val="32"/>
          <w:highlight w:val="none"/>
        </w:rPr>
        <w:t>万元，主要用于以下方面:社会保障和就业支出</w:t>
      </w:r>
      <w:r>
        <w:rPr>
          <w:rFonts w:hint="eastAsia" w:ascii="仿宋_GB2312" w:hAnsi="仿宋_GB2312" w:eastAsia="仿宋_GB2312" w:cs="仿宋_GB2312"/>
          <w:color w:val="000000"/>
          <w:sz w:val="32"/>
          <w:highlight w:val="none"/>
          <w:u w:color="auto"/>
          <w:lang w:val="en-US" w:eastAsia="zh-CN"/>
        </w:rPr>
        <w:t>35.91</w:t>
      </w:r>
      <w:r>
        <w:rPr>
          <w:rFonts w:hint="eastAsia" w:ascii="仿宋_GB2312" w:hAnsi="仿宋_GB2312" w:eastAsia="仿宋_GB2312" w:cs="仿宋_GB2312"/>
          <w:color w:val="000000"/>
          <w:sz w:val="32"/>
          <w:highlight w:val="none"/>
          <w:u w:color="auto"/>
        </w:rPr>
        <w:t>万元，占</w:t>
      </w:r>
      <w:r>
        <w:rPr>
          <w:rFonts w:hint="eastAsia" w:ascii="仿宋_GB2312" w:hAnsi="仿宋_GB2312" w:eastAsia="仿宋_GB2312" w:cs="仿宋_GB2312"/>
          <w:color w:val="000000"/>
          <w:sz w:val="32"/>
          <w:highlight w:val="none"/>
          <w:u w:color="auto"/>
          <w:lang w:val="en-US" w:eastAsia="zh-CN"/>
        </w:rPr>
        <w:t>13.54</w:t>
      </w:r>
      <w:r>
        <w:rPr>
          <w:rFonts w:hint="eastAsia" w:ascii="仿宋_GB2312" w:hAnsi="仿宋_GB2312" w:eastAsia="仿宋_GB2312" w:cs="仿宋_GB2312"/>
          <w:color w:val="000000"/>
          <w:sz w:val="32"/>
          <w:highlight w:val="none"/>
          <w:u w:color="auto"/>
        </w:rPr>
        <w:t>%；卫生健康支出</w:t>
      </w:r>
      <w:r>
        <w:rPr>
          <w:rFonts w:hint="eastAsia" w:ascii="仿宋_GB2312" w:hAnsi="仿宋_GB2312" w:eastAsia="仿宋_GB2312" w:cs="仿宋_GB2312"/>
          <w:color w:val="000000"/>
          <w:sz w:val="32"/>
          <w:highlight w:val="none"/>
          <w:u w:color="auto"/>
          <w:lang w:val="en-US" w:eastAsia="zh-CN"/>
        </w:rPr>
        <w:t>14.46万元，占5.45%；</w:t>
      </w:r>
      <w:r>
        <w:rPr>
          <w:rFonts w:hint="eastAsia" w:ascii="仿宋_GB2312" w:hAnsi="仿宋_GB2312" w:eastAsia="仿宋_GB2312" w:cs="仿宋_GB2312"/>
          <w:color w:val="000000"/>
          <w:sz w:val="32"/>
          <w:highlight w:val="none"/>
          <w:u w:color="auto"/>
        </w:rPr>
        <w:t>农林水支出</w:t>
      </w:r>
      <w:r>
        <w:rPr>
          <w:rFonts w:hint="eastAsia" w:ascii="仿宋_GB2312" w:hAnsi="仿宋_GB2312" w:eastAsia="仿宋_GB2312" w:cs="仿宋_GB2312"/>
          <w:color w:val="000000"/>
          <w:sz w:val="32"/>
          <w:highlight w:val="none"/>
          <w:u w:color="auto"/>
          <w:lang w:val="en-US" w:eastAsia="zh-CN"/>
        </w:rPr>
        <w:t>194.09</w:t>
      </w:r>
      <w:r>
        <w:rPr>
          <w:rFonts w:hint="eastAsia" w:ascii="仿宋_GB2312" w:hAnsi="仿宋_GB2312" w:eastAsia="仿宋_GB2312" w:cs="仿宋_GB2312"/>
          <w:color w:val="000000"/>
          <w:sz w:val="32"/>
          <w:highlight w:val="none"/>
          <w:u w:color="auto"/>
        </w:rPr>
        <w:t>万元，占</w:t>
      </w:r>
      <w:r>
        <w:rPr>
          <w:rFonts w:hint="eastAsia" w:ascii="仿宋_GB2312" w:hAnsi="仿宋_GB2312" w:eastAsia="仿宋_GB2312" w:cs="仿宋_GB2312"/>
          <w:color w:val="000000"/>
          <w:sz w:val="32"/>
          <w:highlight w:val="none"/>
          <w:u w:color="auto"/>
          <w:lang w:val="en-US" w:eastAsia="zh-CN"/>
        </w:rPr>
        <w:t>73.17</w:t>
      </w:r>
      <w:r>
        <w:rPr>
          <w:rFonts w:hint="eastAsia" w:ascii="仿宋_GB2312" w:hAnsi="仿宋_GB2312" w:eastAsia="仿宋_GB2312" w:cs="仿宋_GB2312"/>
          <w:color w:val="000000"/>
          <w:sz w:val="32"/>
          <w:highlight w:val="none"/>
          <w:u w:color="auto"/>
        </w:rPr>
        <w:t>%；住房保障支出</w:t>
      </w:r>
      <w:r>
        <w:rPr>
          <w:rFonts w:hint="eastAsia" w:ascii="仿宋_GB2312" w:hAnsi="仿宋_GB2312" w:eastAsia="仿宋_GB2312" w:cs="仿宋_GB2312"/>
          <w:color w:val="000000"/>
          <w:sz w:val="32"/>
          <w:highlight w:val="none"/>
          <w:u w:color="auto"/>
          <w:lang w:val="en-US" w:eastAsia="zh-CN"/>
        </w:rPr>
        <w:t>20.79</w:t>
      </w:r>
      <w:r>
        <w:rPr>
          <w:rFonts w:hint="eastAsia" w:ascii="仿宋_GB2312" w:hAnsi="仿宋_GB2312" w:eastAsia="仿宋_GB2312" w:cs="仿宋_GB2312"/>
          <w:color w:val="000000"/>
          <w:sz w:val="32"/>
          <w:highlight w:val="none"/>
          <w:u w:color="auto"/>
        </w:rPr>
        <w:t>万元，占</w:t>
      </w:r>
      <w:r>
        <w:rPr>
          <w:rFonts w:hint="eastAsia" w:ascii="仿宋_GB2312" w:hAnsi="仿宋_GB2312" w:eastAsia="仿宋_GB2312" w:cs="仿宋_GB2312"/>
          <w:color w:val="000000"/>
          <w:sz w:val="32"/>
          <w:highlight w:val="none"/>
          <w:u w:color="auto"/>
          <w:lang w:val="en-US" w:eastAsia="zh-CN"/>
        </w:rPr>
        <w:t>7.84</w:t>
      </w:r>
      <w:r>
        <w:rPr>
          <w:rFonts w:hint="eastAsia" w:ascii="仿宋_GB2312" w:hAnsi="仿宋_GB2312" w:eastAsia="仿宋_GB2312" w:cs="仿宋_GB2312"/>
          <w:color w:val="000000"/>
          <w:sz w:val="32"/>
          <w:highlight w:val="none"/>
          <w:u w:color="auto"/>
        </w:rPr>
        <w:t>%</w:t>
      </w:r>
      <w:r>
        <w:rPr>
          <w:rFonts w:hint="eastAsia" w:ascii="仿宋_GB2312" w:hAnsi="仿宋_GB2312" w:eastAsia="仿宋_GB2312" w:cs="仿宋_GB2312"/>
          <w:color w:val="000000"/>
          <w:sz w:val="32"/>
          <w:highlight w:val="none"/>
          <w:u w:color="auto"/>
          <w:lang w:eastAsia="zh-CN"/>
        </w:rPr>
        <w:t>。</w:t>
      </w:r>
      <w:bookmarkStart w:id="37" w:name="_Toc15377212"/>
    </w:p>
    <w:p>
      <w:pPr>
        <w:pStyle w:val="8"/>
        <w:rPr>
          <w:highlight w:val="none"/>
        </w:rPr>
      </w:pPr>
      <w:r>
        <w:rPr>
          <w:rFonts w:hint="eastAsia" w:ascii="仿宋" w:hAnsi="仿宋" w:eastAsia="仿宋"/>
          <w:sz w:val="32"/>
          <w:szCs w:val="32"/>
          <w:highlight w:val="none"/>
          <w:lang w:eastAsia="zh-CN"/>
        </w:rPr>
        <w:drawing>
          <wp:inline distT="0" distB="0" distL="114300" distR="114300">
            <wp:extent cx="5256530" cy="2988310"/>
            <wp:effectExtent l="5080" t="4445" r="15240" b="17145"/>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2" w:firstLineChars="200"/>
        <w:outlineLvl w:val="2"/>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（三）一般公共预算财政拨款支出决算具体情况</w:t>
      </w:r>
      <w:bookmarkEnd w:id="37"/>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color w:val="000000"/>
          <w:sz w:val="32"/>
          <w:szCs w:val="32"/>
          <w:highlight w:val="none"/>
        </w:rPr>
      </w:pPr>
      <w:bookmarkStart w:id="38" w:name="_Toc15377213"/>
      <w:bookmarkStart w:id="39" w:name="_Toc15377444"/>
      <w:bookmarkStart w:id="40" w:name="_Toc15378460"/>
      <w:r>
        <w:rPr>
          <w:rFonts w:hint="eastAsia" w:ascii="仿宋_GB2312" w:hAnsi="仿宋_GB2312" w:eastAsia="仿宋_GB2312" w:cs="仿宋_GB2312"/>
          <w:color w:val="000000"/>
          <w:sz w:val="32"/>
          <w:szCs w:val="32"/>
          <w:highlight w:val="none"/>
          <w:lang w:eastAsia="zh-CN"/>
        </w:rPr>
        <w:t>202</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highlight w:val="none"/>
          <w:u w:color="auto"/>
        </w:rPr>
        <w:t>年一般公共预算支出决算数为</w:t>
      </w:r>
      <w:r>
        <w:rPr>
          <w:rFonts w:hint="eastAsia" w:ascii="仿宋_GB2312" w:hAnsi="仿宋_GB2312" w:eastAsia="仿宋_GB2312" w:cs="仿宋_GB2312"/>
          <w:color w:val="000000"/>
          <w:sz w:val="32"/>
          <w:highlight w:val="none"/>
          <w:u w:color="auto"/>
          <w:lang w:val="en-US" w:eastAsia="zh-CN"/>
        </w:rPr>
        <w:t>265.25</w:t>
      </w:r>
      <w:r>
        <w:rPr>
          <w:rFonts w:hint="eastAsia" w:ascii="仿宋_GB2312" w:hAnsi="仿宋_GB2312" w:eastAsia="仿宋_GB2312" w:cs="仿宋_GB2312"/>
          <w:color w:val="000000"/>
          <w:sz w:val="32"/>
          <w:szCs w:val="32"/>
          <w:highlight w:val="none"/>
        </w:rPr>
        <w:t>万</w:t>
      </w:r>
      <w:r>
        <w:rPr>
          <w:rFonts w:hint="eastAsia" w:ascii="仿宋_GB2312" w:hAnsi="仿宋_GB2312" w:eastAsia="仿宋_GB2312" w:cs="仿宋_GB2312"/>
          <w:color w:val="000000"/>
          <w:sz w:val="32"/>
          <w:szCs w:val="32"/>
          <w:highlight w:val="none"/>
          <w:lang w:eastAsia="zh-CN"/>
        </w:rPr>
        <w:t>元</w:t>
      </w:r>
      <w:r>
        <w:rPr>
          <w:rFonts w:hint="eastAsia" w:ascii="仿宋_GB2312" w:hAnsi="仿宋_GB2312" w:eastAsia="仿宋_GB2312" w:cs="仿宋_GB2312"/>
          <w:color w:val="000000"/>
          <w:sz w:val="32"/>
          <w:szCs w:val="32"/>
          <w:highlight w:val="none"/>
        </w:rPr>
        <w:t>，完成预算100%。其中：</w:t>
      </w:r>
      <w:bookmarkEnd w:id="38"/>
      <w:bookmarkEnd w:id="39"/>
      <w:bookmarkEnd w:id="40"/>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2"/>
          <w:sz w:val="32"/>
          <w:szCs w:val="32"/>
          <w:lang w:val="en-US" w:eastAsia="zh-CN" w:bidi="ar-SA"/>
        </w:rPr>
        <w:t>1.</w:t>
      </w:r>
      <w:r>
        <w:rPr>
          <w:rFonts w:hint="eastAsia" w:ascii="仿宋_GB2312" w:hAnsi="仿宋_GB2312" w:eastAsia="仿宋_GB2312" w:cs="仿宋_GB2312"/>
          <w:color w:val="000000"/>
          <w:sz w:val="32"/>
          <w:szCs w:val="32"/>
          <w:highlight w:val="none"/>
        </w:rPr>
        <w:t>社会保障和就业支出（208）行政事业单位养老支出（05）机关事业单位基本养老保险缴费支出（05）支出决算</w:t>
      </w:r>
      <w:r>
        <w:rPr>
          <w:rFonts w:hint="eastAsia" w:ascii="仿宋_GB2312" w:hAnsi="仿宋_GB2312" w:eastAsia="仿宋_GB2312" w:cs="仿宋_GB2312"/>
          <w:color w:val="000000"/>
          <w:sz w:val="32"/>
          <w:szCs w:val="32"/>
          <w:highlight w:val="none"/>
          <w:lang w:val="en-US" w:eastAsia="zh-CN"/>
        </w:rPr>
        <w:t>23.94</w:t>
      </w:r>
      <w:r>
        <w:rPr>
          <w:rFonts w:hint="eastAsia" w:ascii="仿宋_GB2312" w:hAnsi="仿宋_GB2312" w:eastAsia="仿宋_GB2312" w:cs="仿宋_GB2312"/>
          <w:color w:val="000000"/>
          <w:sz w:val="32"/>
          <w:szCs w:val="32"/>
          <w:highlight w:val="none"/>
        </w:rPr>
        <w:t>万元，完成预算100%。</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社会保障和就业支出（208）行政事业单位养老支出（05）机关事业单位职业年金缴费支出（06）支出决算</w:t>
      </w:r>
      <w:r>
        <w:rPr>
          <w:rFonts w:hint="eastAsia" w:ascii="仿宋_GB2312" w:hAnsi="仿宋_GB2312" w:eastAsia="仿宋_GB2312" w:cs="仿宋_GB2312"/>
          <w:color w:val="000000"/>
          <w:sz w:val="32"/>
          <w:szCs w:val="32"/>
          <w:highlight w:val="none"/>
          <w:lang w:val="en-US" w:eastAsia="zh-CN"/>
        </w:rPr>
        <w:t>11.97</w:t>
      </w:r>
      <w:r>
        <w:rPr>
          <w:rFonts w:hint="eastAsia" w:ascii="仿宋_GB2312" w:hAnsi="仿宋_GB2312" w:eastAsia="仿宋_GB2312" w:cs="仿宋_GB2312"/>
          <w:color w:val="000000"/>
          <w:sz w:val="32"/>
          <w:szCs w:val="32"/>
          <w:highlight w:val="none"/>
        </w:rPr>
        <w:t>万元，完成预算100%。</w:t>
      </w:r>
    </w:p>
    <w:p>
      <w:pPr>
        <w:pStyle w:val="2"/>
        <w:keepNext w:val="0"/>
        <w:keepLines w:val="0"/>
        <w:pageBreakBefore w:val="0"/>
        <w:widowControl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3.卫生健康支出（210）行政事业单位医疗（11）事业单位医疗（102）支出14.46万元，完成预算100%。</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4.农林水支出（213）农业农村（01）事业运行（04）支出决算194.09万元，完成预算100%。、</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5.住房保障支出（221）住房改革支出（02）住房公积金（01）支出决算20.79万元，完成预算100%。</w:t>
      </w:r>
    </w:p>
    <w:p>
      <w:pPr>
        <w:pStyle w:val="6"/>
        <w:keepNext/>
        <w:keepLines/>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ascii="黑体" w:eastAsia="黑体" w:cs="Times New Roman"/>
          <w:b w:val="0"/>
          <w:color w:val="000000"/>
          <w:highlight w:val="none"/>
        </w:rPr>
      </w:pPr>
      <w:bookmarkStart w:id="41" w:name="_Toc15377214"/>
      <w:bookmarkStart w:id="42" w:name="_Toc111208504"/>
      <w:bookmarkStart w:id="43" w:name="_Toc533"/>
      <w:r>
        <w:rPr>
          <w:rFonts w:hint="eastAsia" w:ascii="黑体" w:eastAsia="黑体" w:cs="Times New Roman"/>
          <w:bCs w:val="0"/>
          <w:color w:val="000000"/>
          <w:highlight w:val="none"/>
        </w:rPr>
        <w:t>六、一般公共预算财政拨款基本支出决算情况说</w:t>
      </w:r>
      <w:bookmarkEnd w:id="41"/>
      <w:r>
        <w:rPr>
          <w:rFonts w:hint="eastAsia" w:ascii="黑体" w:eastAsia="黑体" w:cs="Times New Roman"/>
          <w:bCs w:val="0"/>
          <w:color w:val="000000"/>
          <w:highlight w:val="none"/>
        </w:rPr>
        <w:t>明</w:t>
      </w:r>
      <w:bookmarkEnd w:id="42"/>
      <w:bookmarkEnd w:id="43"/>
    </w:p>
    <w:p>
      <w:pPr>
        <w:spacing w:beforeAutospacing="0"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2024</w:t>
      </w:r>
      <w:r>
        <w:rPr>
          <w:rFonts w:hint="eastAsia" w:ascii="仿宋_GB2312" w:hAnsi="仿宋_GB2312" w:eastAsia="仿宋_GB2312" w:cs="仿宋_GB2312"/>
          <w:color w:val="auto"/>
          <w:sz w:val="32"/>
          <w:highlight w:val="none"/>
          <w:u w:color="auto"/>
        </w:rPr>
        <w:t>年一般公共预算财政拨款基本支出</w:t>
      </w:r>
      <w:r>
        <w:rPr>
          <w:rFonts w:hint="eastAsia" w:ascii="仿宋_GB2312" w:hAnsi="仿宋_GB2312" w:eastAsia="仿宋_GB2312" w:cs="仿宋_GB2312"/>
          <w:color w:val="auto"/>
          <w:sz w:val="32"/>
          <w:highlight w:val="none"/>
          <w:u w:color="auto"/>
          <w:lang w:val="en-US" w:eastAsia="zh-CN"/>
        </w:rPr>
        <w:t>265.25</w:t>
      </w:r>
      <w:r>
        <w:rPr>
          <w:rFonts w:hint="eastAsia" w:ascii="仿宋_GB2312" w:hAnsi="仿宋_GB2312" w:eastAsia="仿宋_GB2312" w:cs="仿宋_GB2312"/>
          <w:color w:val="auto"/>
          <w:sz w:val="32"/>
          <w:szCs w:val="32"/>
          <w:highlight w:val="none"/>
        </w:rPr>
        <w:t>万元，其中：</w:t>
      </w:r>
    </w:p>
    <w:p>
      <w:pPr>
        <w:spacing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highlight w:val="none"/>
          <w:u w:color="auto"/>
          <w:lang w:eastAsia="zh-CN"/>
        </w:rPr>
        <w:t>235.88</w:t>
      </w:r>
      <w:r>
        <w:rPr>
          <w:rFonts w:hint="eastAsia" w:ascii="仿宋_GB2312" w:hAnsi="仿宋_GB2312" w:eastAsia="仿宋_GB2312" w:cs="仿宋_GB2312"/>
          <w:color w:val="auto"/>
          <w:sz w:val="32"/>
          <w:szCs w:val="32"/>
          <w:highlight w:val="none"/>
        </w:rPr>
        <w:t>万元，主要包括：</w:t>
      </w:r>
      <w:r>
        <w:rPr>
          <w:rFonts w:hint="eastAsia" w:ascii="仿宋_GB2312" w:hAnsi="仿宋_GB2312" w:eastAsia="仿宋_GB2312" w:cs="仿宋_GB2312"/>
          <w:color w:val="auto"/>
          <w:sz w:val="32"/>
          <w:highlight w:val="none"/>
          <w:u w:color="auto"/>
        </w:rPr>
        <w:t>基本工资</w:t>
      </w:r>
      <w:r>
        <w:rPr>
          <w:rFonts w:hint="eastAsia" w:ascii="仿宋_GB2312" w:hAnsi="仿宋_GB2312" w:eastAsia="仿宋_GB2312" w:cs="仿宋_GB2312"/>
          <w:color w:val="auto"/>
          <w:sz w:val="32"/>
          <w:highlight w:val="none"/>
          <w:u w:color="auto"/>
          <w:lang w:val="en-US" w:eastAsia="zh-CN"/>
        </w:rPr>
        <w:t>52.21</w:t>
      </w:r>
      <w:r>
        <w:rPr>
          <w:rFonts w:hint="eastAsia" w:ascii="仿宋_GB2312" w:hAnsi="仿宋_GB2312" w:eastAsia="仿宋_GB2312" w:cs="仿宋_GB2312"/>
          <w:color w:val="auto"/>
          <w:sz w:val="32"/>
          <w:highlight w:val="none"/>
          <w:u w:color="auto"/>
        </w:rPr>
        <w:t>万元、津贴补贴</w:t>
      </w:r>
      <w:r>
        <w:rPr>
          <w:rFonts w:hint="eastAsia" w:ascii="仿宋_GB2312" w:hAnsi="仿宋_GB2312" w:eastAsia="仿宋_GB2312" w:cs="仿宋_GB2312"/>
          <w:color w:val="auto"/>
          <w:sz w:val="32"/>
          <w:highlight w:val="none"/>
          <w:u w:color="auto"/>
          <w:lang w:val="en-US" w:eastAsia="zh-CN"/>
        </w:rPr>
        <w:t>22.13</w:t>
      </w:r>
      <w:r>
        <w:rPr>
          <w:rFonts w:hint="eastAsia" w:ascii="仿宋_GB2312" w:hAnsi="仿宋_GB2312" w:eastAsia="仿宋_GB2312" w:cs="仿宋_GB2312"/>
          <w:color w:val="auto"/>
          <w:sz w:val="32"/>
          <w:highlight w:val="none"/>
          <w:u w:color="auto"/>
        </w:rPr>
        <w:t>万元</w:t>
      </w:r>
      <w:r>
        <w:rPr>
          <w:rFonts w:hint="eastAsia" w:ascii="仿宋_GB2312" w:hAnsi="仿宋_GB2312" w:eastAsia="仿宋_GB2312" w:cs="仿宋_GB2312"/>
          <w:color w:val="auto"/>
          <w:sz w:val="32"/>
          <w:highlight w:val="none"/>
          <w:u w:color="auto"/>
          <w:lang w:eastAsia="zh-CN"/>
        </w:rPr>
        <w:t>、</w:t>
      </w:r>
      <w:r>
        <w:rPr>
          <w:rFonts w:hint="eastAsia" w:ascii="仿宋_GB2312" w:hAnsi="仿宋_GB2312" w:eastAsia="仿宋_GB2312" w:cs="仿宋_GB2312"/>
          <w:color w:val="000000"/>
          <w:sz w:val="32"/>
          <w:highlight w:val="none"/>
          <w:u w:color="auto"/>
          <w:lang w:eastAsia="zh-CN"/>
        </w:rPr>
        <w:t>绩效工资</w:t>
      </w:r>
      <w:r>
        <w:rPr>
          <w:rFonts w:hint="eastAsia" w:ascii="仿宋_GB2312" w:hAnsi="仿宋_GB2312" w:eastAsia="仿宋_GB2312" w:cs="仿宋_GB2312"/>
          <w:color w:val="000000"/>
          <w:sz w:val="32"/>
          <w:highlight w:val="none"/>
          <w:u w:color="auto"/>
          <w:lang w:val="en-US" w:eastAsia="zh-CN"/>
        </w:rPr>
        <w:t>105.21万元</w:t>
      </w:r>
      <w:r>
        <w:rPr>
          <w:rFonts w:hint="eastAsia" w:ascii="仿宋_GB2312" w:hAnsi="仿宋_GB2312" w:eastAsia="仿宋_GB2312" w:cs="仿宋_GB2312"/>
          <w:color w:val="000000"/>
          <w:sz w:val="32"/>
          <w:highlight w:val="none"/>
          <w:u w:color="auto"/>
        </w:rPr>
        <w:t>、机关事业单位基本养老保险缴费</w:t>
      </w:r>
      <w:r>
        <w:rPr>
          <w:rFonts w:hint="eastAsia" w:ascii="仿宋_GB2312" w:hAnsi="仿宋_GB2312" w:eastAsia="仿宋_GB2312" w:cs="仿宋_GB2312"/>
          <w:color w:val="000000"/>
          <w:sz w:val="32"/>
          <w:highlight w:val="none"/>
          <w:u w:color="auto"/>
          <w:lang w:val="en-US" w:eastAsia="zh-CN"/>
        </w:rPr>
        <w:t>23.94</w:t>
      </w:r>
      <w:r>
        <w:rPr>
          <w:rFonts w:hint="eastAsia" w:ascii="仿宋_GB2312" w:hAnsi="仿宋_GB2312" w:eastAsia="仿宋_GB2312" w:cs="仿宋_GB2312"/>
          <w:color w:val="000000"/>
          <w:sz w:val="32"/>
          <w:highlight w:val="none"/>
          <w:u w:color="auto"/>
        </w:rPr>
        <w:t>万元、职业年金缴费</w:t>
      </w:r>
      <w:r>
        <w:rPr>
          <w:rFonts w:hint="eastAsia" w:ascii="仿宋_GB2312" w:hAnsi="仿宋_GB2312" w:eastAsia="仿宋_GB2312" w:cs="仿宋_GB2312"/>
          <w:color w:val="000000"/>
          <w:sz w:val="32"/>
          <w:highlight w:val="none"/>
          <w:u w:color="auto"/>
          <w:lang w:val="en-US" w:eastAsia="zh-CN"/>
        </w:rPr>
        <w:t>11.97</w:t>
      </w:r>
      <w:r>
        <w:rPr>
          <w:rFonts w:hint="eastAsia" w:ascii="仿宋_GB2312" w:hAnsi="仿宋_GB2312" w:eastAsia="仿宋_GB2312" w:cs="仿宋_GB2312"/>
          <w:color w:val="000000"/>
          <w:sz w:val="32"/>
          <w:highlight w:val="none"/>
          <w:u w:color="auto"/>
        </w:rPr>
        <w:t>万元、职工基本医疗保险缴费</w:t>
      </w:r>
      <w:r>
        <w:rPr>
          <w:rFonts w:hint="eastAsia" w:ascii="仿宋_GB2312" w:hAnsi="仿宋_GB2312" w:eastAsia="仿宋_GB2312" w:cs="仿宋_GB2312"/>
          <w:color w:val="000000"/>
          <w:sz w:val="32"/>
          <w:highlight w:val="none"/>
          <w:u w:color="auto"/>
          <w:lang w:val="en-US" w:eastAsia="zh-CN"/>
        </w:rPr>
        <w:t>14.46</w:t>
      </w:r>
      <w:r>
        <w:rPr>
          <w:rFonts w:hint="eastAsia" w:ascii="仿宋_GB2312" w:hAnsi="仿宋_GB2312" w:eastAsia="仿宋_GB2312" w:cs="仿宋_GB2312"/>
          <w:color w:val="000000"/>
          <w:sz w:val="32"/>
          <w:highlight w:val="none"/>
          <w:u w:color="auto"/>
        </w:rPr>
        <w:t>万元、其他社会保障缴费</w:t>
      </w:r>
      <w:r>
        <w:rPr>
          <w:rFonts w:hint="eastAsia" w:ascii="仿宋_GB2312" w:hAnsi="仿宋_GB2312" w:eastAsia="仿宋_GB2312" w:cs="仿宋_GB2312"/>
          <w:color w:val="000000"/>
          <w:sz w:val="32"/>
          <w:highlight w:val="none"/>
          <w:u w:color="auto"/>
          <w:lang w:val="en-US" w:eastAsia="zh-CN"/>
        </w:rPr>
        <w:t>1.19</w:t>
      </w:r>
      <w:r>
        <w:rPr>
          <w:rFonts w:hint="eastAsia" w:ascii="仿宋_GB2312" w:hAnsi="仿宋_GB2312" w:eastAsia="仿宋_GB2312" w:cs="仿宋_GB2312"/>
          <w:color w:val="000000"/>
          <w:sz w:val="32"/>
          <w:highlight w:val="none"/>
          <w:u w:color="auto"/>
        </w:rPr>
        <w:t>万元、住房公积金</w:t>
      </w:r>
      <w:r>
        <w:rPr>
          <w:rFonts w:hint="eastAsia" w:ascii="仿宋_GB2312" w:hAnsi="仿宋_GB2312" w:eastAsia="仿宋_GB2312" w:cs="仿宋_GB2312"/>
          <w:color w:val="000000"/>
          <w:sz w:val="32"/>
          <w:highlight w:val="none"/>
          <w:u w:color="auto"/>
          <w:lang w:val="en-US" w:eastAsia="zh-CN"/>
        </w:rPr>
        <w:t>20.79</w:t>
      </w:r>
      <w:r>
        <w:rPr>
          <w:rFonts w:hint="eastAsia" w:ascii="仿宋_GB2312" w:hAnsi="仿宋_GB2312" w:eastAsia="仿宋_GB2312" w:cs="仿宋_GB2312"/>
          <w:color w:val="000000"/>
          <w:sz w:val="32"/>
          <w:highlight w:val="none"/>
          <w:u w:color="auto"/>
        </w:rPr>
        <w:t>万元、</w:t>
      </w:r>
      <w:r>
        <w:rPr>
          <w:rFonts w:hint="eastAsia" w:ascii="仿宋_GB2312" w:hAnsi="仿宋_GB2312" w:eastAsia="仿宋_GB2312" w:cs="仿宋_GB2312"/>
          <w:color w:val="000000"/>
          <w:sz w:val="32"/>
          <w:highlight w:val="none"/>
          <w:u w:color="auto"/>
          <w:lang w:eastAsia="zh-CN"/>
        </w:rPr>
        <w:t>医疗费</w:t>
      </w:r>
      <w:r>
        <w:rPr>
          <w:rFonts w:hint="eastAsia" w:ascii="仿宋_GB2312" w:hAnsi="仿宋_GB2312" w:eastAsia="仿宋_GB2312" w:cs="仿宋_GB2312"/>
          <w:color w:val="000000"/>
          <w:sz w:val="32"/>
          <w:highlight w:val="none"/>
          <w:u w:color="auto"/>
          <w:lang w:val="en-US" w:eastAsia="zh-CN"/>
        </w:rPr>
        <w:t>2.23万元、</w:t>
      </w:r>
      <w:r>
        <w:rPr>
          <w:rFonts w:hint="eastAsia" w:ascii="仿宋_GB2312" w:hAnsi="仿宋_GB2312" w:eastAsia="仿宋_GB2312" w:cs="仿宋_GB2312"/>
          <w:color w:val="000000"/>
          <w:sz w:val="32"/>
          <w:highlight w:val="none"/>
          <w:u w:color="auto"/>
        </w:rPr>
        <w:t>生活补助1.44万元、奖励金0.0</w:t>
      </w:r>
      <w:r>
        <w:rPr>
          <w:rFonts w:hint="eastAsia" w:ascii="仿宋_GB2312" w:hAnsi="仿宋_GB2312" w:eastAsia="仿宋_GB2312" w:cs="仿宋_GB2312"/>
          <w:color w:val="000000"/>
          <w:sz w:val="32"/>
          <w:highlight w:val="none"/>
          <w:u w:color="auto"/>
          <w:lang w:val="en-US" w:eastAsia="zh-CN"/>
        </w:rPr>
        <w:t>1</w:t>
      </w:r>
      <w:r>
        <w:rPr>
          <w:rFonts w:hint="eastAsia" w:ascii="仿宋_GB2312" w:hAnsi="仿宋_GB2312" w:eastAsia="仿宋_GB2312" w:cs="仿宋_GB2312"/>
          <w:color w:val="000000"/>
          <w:sz w:val="32"/>
          <w:highlight w:val="none"/>
          <w:u w:color="auto"/>
        </w:rPr>
        <w:t>万元</w:t>
      </w:r>
      <w:r>
        <w:rPr>
          <w:rFonts w:hint="eastAsia" w:ascii="仿宋_GB2312" w:hAnsi="仿宋_GB2312" w:eastAsia="仿宋_GB2312" w:cs="仿宋_GB2312"/>
          <w:color w:val="000000"/>
          <w:sz w:val="32"/>
          <w:highlight w:val="none"/>
          <w:u w:color="auto"/>
          <w:lang w:eastAsia="zh-CN"/>
        </w:rPr>
        <w:t>、</w:t>
      </w:r>
      <w:r>
        <w:rPr>
          <w:rFonts w:hint="eastAsia" w:ascii="仿宋_GB2312" w:hAnsi="仿宋_GB2312" w:eastAsia="仿宋_GB2312" w:cs="仿宋_GB2312"/>
          <w:color w:val="000000"/>
          <w:sz w:val="32"/>
          <w:highlight w:val="none"/>
          <w:u w:color="auto"/>
        </w:rPr>
        <w:t>医疗费补助</w:t>
      </w:r>
      <w:r>
        <w:rPr>
          <w:rFonts w:hint="eastAsia" w:ascii="仿宋_GB2312" w:hAnsi="仿宋_GB2312" w:eastAsia="仿宋_GB2312" w:cs="仿宋_GB2312"/>
          <w:color w:val="000000"/>
          <w:sz w:val="32"/>
          <w:highlight w:val="none"/>
          <w:u w:color="auto"/>
          <w:lang w:val="en-US" w:eastAsia="zh-CN"/>
        </w:rPr>
        <w:t>0.03万元</w:t>
      </w:r>
      <w:r>
        <w:rPr>
          <w:rFonts w:hint="eastAsia" w:ascii="仿宋_GB2312" w:hAnsi="仿宋_GB2312" w:eastAsia="仿宋_GB2312" w:cs="仿宋_GB2312"/>
          <w:color w:val="000000"/>
          <w:sz w:val="32"/>
          <w:highlight w:val="none"/>
          <w:u w:color="auto"/>
        </w:rPr>
        <w:t>。</w:t>
      </w:r>
    </w:p>
    <w:p>
      <w:pPr>
        <w:spacing w:line="600" w:lineRule="exact"/>
        <w:ind w:firstLine="64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公用经费</w:t>
      </w:r>
      <w:r>
        <w:rPr>
          <w:rFonts w:hint="eastAsia" w:ascii="仿宋_GB2312" w:hAnsi="仿宋_GB2312" w:eastAsia="仿宋_GB2312" w:cs="仿宋_GB2312"/>
          <w:color w:val="000000"/>
          <w:sz w:val="32"/>
          <w:highlight w:val="none"/>
          <w:u w:color="auto"/>
          <w:lang w:val="en-US" w:eastAsia="zh-CN"/>
        </w:rPr>
        <w:t>9.67</w:t>
      </w:r>
      <w:r>
        <w:rPr>
          <w:rFonts w:hint="eastAsia" w:ascii="仿宋_GB2312" w:hAnsi="仿宋_GB2312" w:eastAsia="仿宋_GB2312" w:cs="仿宋_GB2312"/>
          <w:color w:val="000000"/>
          <w:sz w:val="32"/>
          <w:szCs w:val="32"/>
          <w:highlight w:val="none"/>
        </w:rPr>
        <w:t>万元，主要包括：</w:t>
      </w:r>
      <w:r>
        <w:rPr>
          <w:rFonts w:hint="eastAsia" w:ascii="仿宋_GB2312" w:hAnsi="仿宋_GB2312" w:eastAsia="仿宋_GB2312" w:cs="仿宋_GB2312"/>
          <w:color w:val="000000"/>
          <w:sz w:val="32"/>
          <w:szCs w:val="32"/>
          <w:highlight w:val="none"/>
          <w:lang w:val="en-US" w:eastAsia="zh-CN"/>
        </w:rPr>
        <w:t>办公费1.69万元</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highlight w:val="none"/>
          <w:u w:color="auto"/>
        </w:rPr>
        <w:t>电费</w:t>
      </w:r>
      <w:r>
        <w:rPr>
          <w:rFonts w:hint="eastAsia" w:ascii="仿宋_GB2312" w:hAnsi="仿宋_GB2312" w:eastAsia="仿宋_GB2312" w:cs="仿宋_GB2312"/>
          <w:color w:val="000000"/>
          <w:sz w:val="32"/>
          <w:highlight w:val="none"/>
          <w:u w:color="auto"/>
          <w:lang w:val="en-US" w:eastAsia="zh-CN"/>
        </w:rPr>
        <w:t>1.63</w:t>
      </w:r>
      <w:r>
        <w:rPr>
          <w:rFonts w:hint="eastAsia" w:ascii="仿宋_GB2312" w:hAnsi="仿宋_GB2312" w:eastAsia="仿宋_GB2312" w:cs="仿宋_GB2312"/>
          <w:color w:val="000000"/>
          <w:sz w:val="32"/>
          <w:highlight w:val="none"/>
          <w:u w:color="auto"/>
        </w:rPr>
        <w:t>万元、</w:t>
      </w:r>
      <w:r>
        <w:rPr>
          <w:rFonts w:hint="eastAsia" w:ascii="仿宋_GB2312" w:hAnsi="仿宋_GB2312" w:eastAsia="仿宋_GB2312" w:cs="仿宋_GB2312"/>
          <w:color w:val="000000"/>
          <w:sz w:val="32"/>
          <w:highlight w:val="none"/>
          <w:u w:color="auto"/>
          <w:lang w:eastAsia="zh-CN"/>
        </w:rPr>
        <w:t>邮电费</w:t>
      </w:r>
      <w:r>
        <w:rPr>
          <w:rFonts w:hint="eastAsia" w:ascii="仿宋_GB2312" w:hAnsi="仿宋_GB2312" w:eastAsia="仿宋_GB2312" w:cs="仿宋_GB2312"/>
          <w:color w:val="000000"/>
          <w:sz w:val="32"/>
          <w:highlight w:val="none"/>
          <w:u w:color="auto"/>
          <w:lang w:val="en-US" w:eastAsia="zh-CN"/>
        </w:rPr>
        <w:t>2.38</w:t>
      </w:r>
      <w:r>
        <w:rPr>
          <w:rFonts w:hint="eastAsia" w:ascii="仿宋_GB2312" w:hAnsi="仿宋_GB2312" w:eastAsia="仿宋_GB2312" w:cs="仿宋_GB2312"/>
          <w:color w:val="000000"/>
          <w:sz w:val="32"/>
          <w:highlight w:val="none"/>
          <w:u w:color="auto"/>
        </w:rPr>
        <w:t>万元</w:t>
      </w:r>
      <w:r>
        <w:rPr>
          <w:rFonts w:hint="eastAsia" w:ascii="仿宋_GB2312" w:hAnsi="仿宋_GB2312" w:eastAsia="仿宋_GB2312" w:cs="仿宋_GB2312"/>
          <w:color w:val="000000"/>
          <w:sz w:val="32"/>
          <w:highlight w:val="none"/>
          <w:u w:color="auto"/>
          <w:lang w:eastAsia="zh-CN"/>
        </w:rPr>
        <w:t>、差旅费</w:t>
      </w:r>
      <w:r>
        <w:rPr>
          <w:rFonts w:hint="eastAsia" w:ascii="仿宋_GB2312" w:hAnsi="仿宋_GB2312" w:eastAsia="仿宋_GB2312" w:cs="仿宋_GB2312"/>
          <w:color w:val="000000"/>
          <w:sz w:val="32"/>
          <w:highlight w:val="none"/>
          <w:u w:color="auto"/>
          <w:lang w:val="en-US" w:eastAsia="zh-CN"/>
        </w:rPr>
        <w:t>3.70万元</w:t>
      </w:r>
      <w:r>
        <w:rPr>
          <w:rFonts w:hint="eastAsia" w:ascii="仿宋_GB2312" w:hAnsi="仿宋_GB2312" w:eastAsia="仿宋_GB2312" w:cs="仿宋_GB2312"/>
          <w:color w:val="000000"/>
          <w:sz w:val="32"/>
          <w:highlight w:val="none"/>
          <w:u w:color="auto"/>
          <w:lang w:eastAsia="zh-CN"/>
        </w:rPr>
        <w:t>。</w:t>
      </w:r>
    </w:p>
    <w:p>
      <w:pPr>
        <w:pStyle w:val="6"/>
        <w:keepNext/>
        <w:keepLines/>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ascii="黑体" w:eastAsia="黑体" w:cs="Times New Roman"/>
          <w:bCs w:val="0"/>
          <w:color w:val="000000"/>
          <w:highlight w:val="none"/>
        </w:rPr>
      </w:pPr>
      <w:bookmarkStart w:id="44" w:name="_Toc111208505"/>
      <w:bookmarkStart w:id="45" w:name="_Toc27414"/>
      <w:bookmarkStart w:id="46" w:name="_Toc15377215"/>
      <w:r>
        <w:rPr>
          <w:rFonts w:hint="eastAsia" w:ascii="黑体" w:eastAsia="黑体" w:cs="Times New Roman"/>
          <w:bCs w:val="0"/>
          <w:color w:val="000000"/>
          <w:highlight w:val="none"/>
        </w:rPr>
        <w:t>七、“三公”经费财政拨款支出决算情况说明</w:t>
      </w:r>
      <w:bookmarkEnd w:id="44"/>
      <w:bookmarkEnd w:id="45"/>
      <w:bookmarkEnd w:id="46"/>
    </w:p>
    <w:p>
      <w:pPr>
        <w:spacing w:beforeAutospacing="0" w:line="600" w:lineRule="exact"/>
        <w:ind w:firstLine="642" w:firstLineChars="200"/>
        <w:outlineLvl w:val="2"/>
        <w:rPr>
          <w:rFonts w:hint="eastAsia" w:ascii="仿宋_GB2312" w:hAnsi="仿宋_GB2312" w:eastAsia="仿宋_GB2312" w:cs="仿宋_GB2312"/>
          <w:b/>
          <w:color w:val="000000"/>
          <w:sz w:val="32"/>
          <w:szCs w:val="32"/>
          <w:highlight w:val="none"/>
        </w:rPr>
      </w:pPr>
      <w:bookmarkStart w:id="47" w:name="_Toc15377216"/>
      <w:r>
        <w:rPr>
          <w:rFonts w:hint="eastAsia" w:ascii="仿宋_GB2312" w:hAnsi="仿宋_GB2312" w:eastAsia="仿宋_GB2312" w:cs="仿宋_GB2312"/>
          <w:b/>
          <w:color w:val="000000"/>
          <w:sz w:val="32"/>
          <w:szCs w:val="32"/>
          <w:highlight w:val="none"/>
        </w:rPr>
        <w:t>（一）“三公”经费财政拨款支出决算总体情况说明</w:t>
      </w:r>
      <w:bookmarkEnd w:id="47"/>
    </w:p>
    <w:p>
      <w:pPr>
        <w:spacing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highlight w:val="none"/>
          <w:u w:color="auto"/>
        </w:rPr>
        <w:t>年“三公”经费财政拨款支出决算为</w:t>
      </w:r>
      <w:r>
        <w:rPr>
          <w:rFonts w:hint="eastAsia" w:ascii="仿宋_GB2312" w:hAnsi="仿宋_GB2312" w:eastAsia="仿宋_GB2312" w:cs="仿宋_GB2312"/>
          <w:color w:val="000000"/>
          <w:sz w:val="32"/>
          <w:highlight w:val="none"/>
          <w:u w:color="auto"/>
          <w:lang w:val="en-US" w:eastAsia="zh-CN"/>
        </w:rPr>
        <w:t>0</w:t>
      </w:r>
      <w:r>
        <w:rPr>
          <w:rFonts w:hint="eastAsia" w:ascii="仿宋_GB2312" w:hAnsi="仿宋_GB2312" w:eastAsia="仿宋_GB2312" w:cs="仿宋_GB2312"/>
          <w:color w:val="000000"/>
          <w:sz w:val="32"/>
          <w:szCs w:val="32"/>
          <w:highlight w:val="none"/>
        </w:rPr>
        <w:t>万元，完成预算</w:t>
      </w:r>
      <w:r>
        <w:rPr>
          <w:rFonts w:hint="eastAsia" w:ascii="仿宋_GB2312" w:hAnsi="仿宋_GB2312" w:eastAsia="仿宋_GB2312" w:cs="仿宋_GB2312"/>
          <w:color w:val="000000"/>
          <w:sz w:val="32"/>
          <w:highlight w:val="none"/>
          <w:u w:color="auto"/>
        </w:rPr>
        <w:t>10</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w:t>
      </w:r>
      <w:bookmarkStart w:id="48" w:name="_Toc15377217"/>
    </w:p>
    <w:p>
      <w:pPr>
        <w:spacing w:line="600" w:lineRule="exact"/>
        <w:ind w:firstLine="642" w:firstLineChars="200"/>
        <w:outlineLvl w:val="2"/>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（二）“三公”经费财政拨款支出决算具体情况说明</w:t>
      </w:r>
      <w:bookmarkEnd w:id="48"/>
    </w:p>
    <w:p>
      <w:pPr>
        <w:spacing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highlight w:val="none"/>
          <w:u w:color="auto"/>
        </w:rPr>
        <w:t>年“三公”经费财政拨款支出</w:t>
      </w:r>
      <w:r>
        <w:rPr>
          <w:rFonts w:hint="eastAsia" w:ascii="仿宋_GB2312" w:hAnsi="仿宋_GB2312" w:eastAsia="仿宋_GB2312" w:cs="仿宋_GB2312"/>
          <w:color w:val="000000"/>
          <w:sz w:val="32"/>
          <w:highlight w:val="none"/>
          <w:u w:color="auto"/>
          <w:lang w:val="en-US" w:eastAsia="zh-CN"/>
        </w:rPr>
        <w:t>0</w:t>
      </w:r>
      <w:r>
        <w:rPr>
          <w:rFonts w:hint="eastAsia" w:ascii="仿宋_GB2312" w:hAnsi="仿宋_GB2312" w:eastAsia="仿宋_GB2312" w:cs="仿宋_GB2312"/>
          <w:color w:val="000000"/>
          <w:sz w:val="32"/>
          <w:szCs w:val="32"/>
          <w:highlight w:val="none"/>
        </w:rPr>
        <w:t>万元，因公出国（境）费支出决算</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万元；公务用车购置及运行维护费支出决算</w:t>
      </w:r>
      <w:r>
        <w:rPr>
          <w:rFonts w:hint="eastAsia" w:ascii="仿宋_GB2312" w:hAnsi="仿宋_GB2312" w:eastAsia="仿宋_GB2312" w:cs="仿宋_GB2312"/>
          <w:color w:val="000000"/>
          <w:sz w:val="32"/>
          <w:highlight w:val="none"/>
          <w:u w:color="auto"/>
          <w:lang w:val="en-US" w:eastAsia="zh-CN"/>
        </w:rPr>
        <w:t>0</w:t>
      </w:r>
      <w:r>
        <w:rPr>
          <w:rFonts w:hint="eastAsia" w:ascii="仿宋_GB2312" w:hAnsi="仿宋_GB2312" w:eastAsia="仿宋_GB2312" w:cs="仿宋_GB2312"/>
          <w:color w:val="000000"/>
          <w:sz w:val="32"/>
          <w:szCs w:val="32"/>
          <w:highlight w:val="none"/>
        </w:rPr>
        <w:t>万元，占</w:t>
      </w:r>
      <w:r>
        <w:rPr>
          <w:rFonts w:hint="eastAsia" w:ascii="仿宋_GB2312" w:hAnsi="仿宋_GB2312" w:eastAsia="仿宋_GB2312" w:cs="仿宋_GB2312"/>
          <w:color w:val="000000"/>
          <w:sz w:val="32"/>
          <w:highlight w:val="none"/>
          <w:u w:color="auto"/>
        </w:rPr>
        <w:t>10</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%；公务接待费支出决算</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万元。具体情况如下：</w:t>
      </w:r>
    </w:p>
    <w:p>
      <w:pPr>
        <w:pStyle w:val="8"/>
        <w:rPr>
          <w:rFonts w:ascii="仿宋_GB2312" w:eastAsia="仿宋_GB2312"/>
          <w:color w:val="000000"/>
          <w:sz w:val="32"/>
          <w:szCs w:val="32"/>
          <w:highlight w:val="none"/>
        </w:rPr>
      </w:pPr>
      <w:r>
        <w:rPr>
          <w:highlight w:val="none"/>
        </w:rPr>
        <w:drawing>
          <wp:inline distT="0" distB="0" distL="0" distR="0">
            <wp:extent cx="4333240" cy="2886075"/>
            <wp:effectExtent l="4445" t="4445" r="5715" b="508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1.因公出国（境）经费支出</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万元。全年安排因公出国（境）团组</w:t>
      </w:r>
      <w:r>
        <w:rPr>
          <w:rFonts w:hint="eastAsia" w:ascii="仿宋_GB2312" w:hAnsi="仿宋_GB2312" w:eastAsia="仿宋_GB2312" w:cs="仿宋_GB2312"/>
          <w:color w:val="000000"/>
          <w:sz w:val="32"/>
          <w:highlight w:val="none"/>
          <w:u w:color="auto"/>
        </w:rPr>
        <w:t>0</w:t>
      </w:r>
      <w:r>
        <w:rPr>
          <w:rFonts w:hint="eastAsia" w:ascii="仿宋_GB2312" w:hAnsi="仿宋_GB2312" w:eastAsia="仿宋_GB2312" w:cs="仿宋_GB2312"/>
          <w:color w:val="000000"/>
          <w:sz w:val="32"/>
          <w:szCs w:val="32"/>
          <w:highlight w:val="none"/>
        </w:rPr>
        <w:t>次，出国（境）</w:t>
      </w:r>
      <w:r>
        <w:rPr>
          <w:rFonts w:hint="eastAsia" w:ascii="仿宋_GB2312" w:hAnsi="仿宋_GB2312" w:eastAsia="仿宋_GB2312" w:cs="仿宋_GB2312"/>
          <w:color w:val="000000"/>
          <w:sz w:val="32"/>
          <w:highlight w:val="none"/>
          <w:u w:color="auto"/>
        </w:rPr>
        <w:t>0</w:t>
      </w:r>
      <w:r>
        <w:rPr>
          <w:rFonts w:hint="eastAsia" w:ascii="仿宋_GB2312" w:hAnsi="仿宋_GB2312" w:eastAsia="仿宋_GB2312" w:cs="仿宋_GB2312"/>
          <w:color w:val="000000"/>
          <w:sz w:val="32"/>
          <w:szCs w:val="32"/>
          <w:highlight w:val="none"/>
        </w:rPr>
        <w:t>人。因公出国（境）支出决算比</w:t>
      </w:r>
      <w:r>
        <w:rPr>
          <w:rFonts w:hint="eastAsia" w:ascii="仿宋_GB2312" w:hAnsi="仿宋_GB2312" w:eastAsia="仿宋_GB2312" w:cs="仿宋_GB2312"/>
          <w:color w:val="000000"/>
          <w:sz w:val="32"/>
          <w:highlight w:val="none"/>
          <w:u w:color="auto"/>
          <w:lang w:eastAsia="zh-CN"/>
        </w:rPr>
        <w:t>2023</w:t>
      </w:r>
      <w:r>
        <w:rPr>
          <w:rFonts w:hint="eastAsia" w:ascii="仿宋_GB2312" w:hAnsi="仿宋_GB2312" w:eastAsia="仿宋_GB2312" w:cs="仿宋_GB2312"/>
          <w:color w:val="000000"/>
          <w:sz w:val="32"/>
          <w:highlight w:val="none"/>
          <w:u w:color="auto"/>
        </w:rPr>
        <w:t>年增加</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highlight w:val="none"/>
          <w:u w:color="auto"/>
        </w:rPr>
        <w:t xml:space="preserve"> </w:t>
      </w:r>
    </w:p>
    <w:p>
      <w:pPr>
        <w:spacing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2.公务用车购置及运行维护费支出</w:t>
      </w:r>
      <w:r>
        <w:rPr>
          <w:rFonts w:hint="eastAsia" w:ascii="仿宋_GB2312" w:hAnsi="仿宋_GB2312" w:eastAsia="仿宋_GB2312" w:cs="仿宋_GB2312"/>
          <w:color w:val="000000"/>
          <w:sz w:val="32"/>
          <w:highlight w:val="none"/>
          <w:u w:color="auto"/>
          <w:lang w:val="en-US" w:eastAsia="zh-CN"/>
        </w:rPr>
        <w:t>0</w:t>
      </w:r>
      <w:r>
        <w:rPr>
          <w:rFonts w:hint="eastAsia" w:ascii="仿宋_GB2312" w:hAnsi="仿宋_GB2312" w:eastAsia="仿宋_GB2312" w:cs="仿宋_GB2312"/>
          <w:color w:val="000000"/>
          <w:sz w:val="32"/>
          <w:szCs w:val="32"/>
          <w:highlight w:val="none"/>
        </w:rPr>
        <w:t>万元,完成预算</w:t>
      </w:r>
      <w:r>
        <w:rPr>
          <w:rFonts w:hint="eastAsia" w:ascii="仿宋_GB2312" w:hAnsi="仿宋_GB2312" w:eastAsia="仿宋_GB2312" w:cs="仿宋_GB2312"/>
          <w:color w:val="000000"/>
          <w:sz w:val="32"/>
          <w:highlight w:val="none"/>
          <w:u w:color="auto"/>
        </w:rPr>
        <w:t>10</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%。公务用车购置及运行维护费支出决算比</w:t>
      </w:r>
      <w:r>
        <w:rPr>
          <w:rFonts w:hint="eastAsia" w:ascii="仿宋_GB2312" w:hAnsi="仿宋_GB2312" w:eastAsia="仿宋_GB2312" w:cs="仿宋_GB2312"/>
          <w:color w:val="000000"/>
          <w:sz w:val="32"/>
          <w:highlight w:val="none"/>
          <w:u w:color="auto"/>
          <w:lang w:eastAsia="zh-CN"/>
        </w:rPr>
        <w:t>2023</w:t>
      </w:r>
      <w:r>
        <w:rPr>
          <w:rFonts w:hint="eastAsia" w:ascii="仿宋_GB2312" w:hAnsi="仿宋_GB2312" w:eastAsia="仿宋_GB2312" w:cs="仿宋_GB2312"/>
          <w:color w:val="000000"/>
          <w:sz w:val="32"/>
          <w:highlight w:val="none"/>
          <w:u w:color="auto"/>
        </w:rPr>
        <w:t>年增加</w:t>
      </w:r>
      <w:r>
        <w:rPr>
          <w:rFonts w:hint="eastAsia" w:ascii="仿宋_GB2312" w:hAnsi="仿宋_GB2312" w:eastAsia="仿宋_GB2312" w:cs="仿宋_GB2312"/>
          <w:color w:val="000000"/>
          <w:sz w:val="32"/>
          <w:highlight w:val="none"/>
          <w:u w:color="auto"/>
          <w:lang w:val="en-US" w:eastAsia="zh-CN"/>
        </w:rPr>
        <w:t>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highlight w:val="none"/>
          <w:u w:color="auto"/>
        </w:rPr>
        <w:t>增加</w:t>
      </w:r>
      <w:r>
        <w:rPr>
          <w:rFonts w:hint="eastAsia" w:ascii="仿宋_GB2312" w:hAnsi="仿宋_GB2312" w:eastAsia="仿宋_GB2312" w:cs="仿宋_GB2312"/>
          <w:color w:val="000000"/>
          <w:sz w:val="32"/>
          <w:highlight w:val="none"/>
          <w:u w:color="auto"/>
          <w:lang w:val="en-US" w:eastAsia="zh-CN"/>
        </w:rPr>
        <w:t>0</w:t>
      </w:r>
      <w:r>
        <w:rPr>
          <w:rFonts w:hint="eastAsia" w:ascii="仿宋_GB2312" w:hAnsi="仿宋_GB2312" w:eastAsia="仿宋_GB2312" w:cs="仿宋_GB2312"/>
          <w:color w:val="000000"/>
          <w:sz w:val="32"/>
          <w:szCs w:val="32"/>
          <w:highlight w:val="none"/>
        </w:rPr>
        <w:t>%。</w:t>
      </w:r>
    </w:p>
    <w:p>
      <w:pPr>
        <w:spacing w:line="60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其中：公务用车购置支出</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highlight w:val="none"/>
          <w:u w:color="auto"/>
        </w:rPr>
        <w:t>万元。全年按规定更新购置公务用车0辆，其中：轿车0辆、金额</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highlight w:val="none"/>
          <w:u w:color="auto"/>
        </w:rPr>
        <w:t>万元，越野车0辆、金额</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highlight w:val="none"/>
          <w:u w:color="auto"/>
        </w:rPr>
        <w:t>万元，载客汽车0辆、金额</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highlight w:val="none"/>
          <w:u w:color="auto"/>
        </w:rPr>
        <w:t>万元。截至</w:t>
      </w:r>
      <w:r>
        <w:rPr>
          <w:rFonts w:hint="eastAsia" w:ascii="仿宋_GB2312" w:hAnsi="仿宋_GB2312" w:eastAsia="仿宋_GB2312" w:cs="仿宋_GB2312"/>
          <w:color w:val="000000"/>
          <w:sz w:val="32"/>
          <w:szCs w:val="32"/>
          <w:highlight w:val="none"/>
          <w:lang w:val="en-US" w:eastAsia="zh-CN"/>
        </w:rPr>
        <w:t>2024年</w:t>
      </w:r>
      <w:r>
        <w:rPr>
          <w:rFonts w:hint="eastAsia" w:ascii="仿宋_GB2312" w:hAnsi="仿宋_GB2312" w:eastAsia="仿宋_GB2312" w:cs="仿宋_GB2312"/>
          <w:color w:val="000000"/>
          <w:sz w:val="32"/>
          <w:szCs w:val="32"/>
          <w:highlight w:val="none"/>
        </w:rPr>
        <w:t>，单位共有公务用车2辆，其中：轿车</w:t>
      </w:r>
      <w:r>
        <w:rPr>
          <w:rFonts w:hint="eastAsia" w:ascii="仿宋_GB2312" w:hAnsi="仿宋_GB2312" w:eastAsia="仿宋_GB2312" w:cs="仿宋_GB2312"/>
          <w:color w:val="000000"/>
          <w:sz w:val="32"/>
          <w:highlight w:val="none"/>
          <w:u w:color="auto"/>
        </w:rPr>
        <w:t>0辆、越野车2辆、载客汽车0辆。</w:t>
      </w:r>
    </w:p>
    <w:p>
      <w:pPr>
        <w:spacing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公务用车运行维护费支出</w:t>
      </w:r>
      <w:r>
        <w:rPr>
          <w:rFonts w:hint="eastAsia" w:ascii="仿宋_GB2312" w:hAnsi="仿宋_GB2312" w:eastAsia="仿宋_GB2312" w:cs="仿宋_GB2312"/>
          <w:color w:val="000000"/>
          <w:sz w:val="32"/>
          <w:highlight w:val="none"/>
          <w:u w:color="auto"/>
          <w:lang w:val="en-US" w:eastAsia="zh-CN"/>
        </w:rPr>
        <w:t>0</w:t>
      </w:r>
      <w:r>
        <w:rPr>
          <w:rFonts w:hint="eastAsia" w:ascii="仿宋_GB2312" w:hAnsi="仿宋_GB2312" w:eastAsia="仿宋_GB2312" w:cs="仿宋_GB2312"/>
          <w:color w:val="000000"/>
          <w:sz w:val="32"/>
          <w:szCs w:val="32"/>
          <w:highlight w:val="none"/>
        </w:rPr>
        <w:t>万元。</w:t>
      </w:r>
    </w:p>
    <w:p>
      <w:pPr>
        <w:pStyle w:val="8"/>
        <w:numPr>
          <w:ilvl w:val="0"/>
          <w:numId w:val="0"/>
        </w:numPr>
        <w:ind w:left="0" w:leftChars="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2"/>
          <w:sz w:val="32"/>
          <w:szCs w:val="32"/>
          <w:lang w:val="en-US" w:eastAsia="zh-CN" w:bidi="ar-SA"/>
        </w:rPr>
        <w:t>3.</w:t>
      </w:r>
      <w:r>
        <w:rPr>
          <w:rFonts w:hint="eastAsia" w:ascii="仿宋_GB2312" w:hAnsi="仿宋_GB2312" w:eastAsia="仿宋_GB2312" w:cs="仿宋_GB2312"/>
          <w:color w:val="000000"/>
          <w:sz w:val="32"/>
          <w:szCs w:val="32"/>
          <w:highlight w:val="none"/>
        </w:rPr>
        <w:t>公务接待费</w:t>
      </w:r>
      <w:bookmarkStart w:id="49" w:name="_Toc15377218"/>
    </w:p>
    <w:p>
      <w:pPr>
        <w:spacing w:line="600" w:lineRule="exact"/>
        <w:ind w:firstLine="64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2024年公务接待费支出0万元。</w:t>
      </w:r>
    </w:p>
    <w:p>
      <w:pPr>
        <w:pStyle w:val="6"/>
        <w:pageBreakBefore w:val="0"/>
        <w:widowControl w:val="0"/>
        <w:kinsoku/>
        <w:wordWrap/>
        <w:overflowPunct/>
        <w:topLinePunct w:val="0"/>
        <w:autoSpaceDE/>
        <w:autoSpaceDN/>
        <w:bidi w:val="0"/>
        <w:adjustRightInd/>
        <w:snapToGrid/>
        <w:spacing w:line="300" w:lineRule="exact"/>
        <w:ind w:firstLine="642" w:firstLineChars="200"/>
        <w:textAlignment w:val="auto"/>
        <w:rPr>
          <w:rFonts w:ascii="黑体" w:eastAsia="黑体" w:cs="Times New Roman"/>
          <w:bCs w:val="0"/>
          <w:color w:val="000000"/>
          <w:highlight w:val="none"/>
        </w:rPr>
      </w:pPr>
      <w:bookmarkStart w:id="50" w:name="_Toc111208506"/>
      <w:bookmarkStart w:id="51" w:name="_Toc27590"/>
      <w:r>
        <w:rPr>
          <w:rFonts w:hint="eastAsia" w:ascii="黑体" w:eastAsia="黑体" w:cs="Times New Roman"/>
          <w:bCs w:val="0"/>
          <w:color w:val="000000"/>
          <w:highlight w:val="none"/>
        </w:rPr>
        <w:t>八、政府性基金预算支出决算情况说明</w:t>
      </w:r>
      <w:bookmarkEnd w:id="49"/>
      <w:bookmarkEnd w:id="50"/>
      <w:bookmarkEnd w:id="51"/>
    </w:p>
    <w:p>
      <w:pPr>
        <w:keepNext w:val="0"/>
        <w:keepLines w:val="0"/>
        <w:pageBreakBefore w:val="0"/>
        <w:widowControl w:val="0"/>
        <w:kinsoku/>
        <w:wordWrap/>
        <w:overflowPunct/>
        <w:topLinePunct w:val="0"/>
        <w:autoSpaceDE/>
        <w:autoSpaceDN/>
        <w:bidi w:val="0"/>
        <w:adjustRightInd/>
        <w:snapToGrid/>
        <w:spacing w:line="400" w:lineRule="exact"/>
        <w:ind w:firstLine="641"/>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highlight w:val="none"/>
          <w:u w:color="auto"/>
        </w:rPr>
        <w:t>年政府性基金预算拨款支出</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w:t>
      </w:r>
      <w:bookmarkStart w:id="52" w:name="_Toc15377219"/>
    </w:p>
    <w:p>
      <w:pPr>
        <w:pStyle w:val="6"/>
        <w:pageBreakBefore w:val="0"/>
        <w:widowControl w:val="0"/>
        <w:kinsoku/>
        <w:wordWrap/>
        <w:overflowPunct/>
        <w:topLinePunct w:val="0"/>
        <w:autoSpaceDE/>
        <w:autoSpaceDN/>
        <w:bidi w:val="0"/>
        <w:adjustRightInd/>
        <w:snapToGrid/>
        <w:spacing w:line="300" w:lineRule="exact"/>
        <w:ind w:firstLine="642" w:firstLineChars="200"/>
        <w:textAlignment w:val="auto"/>
        <w:rPr>
          <w:rFonts w:ascii="黑体" w:eastAsia="黑体" w:cs="Times New Roman"/>
          <w:bCs w:val="0"/>
          <w:color w:val="000000"/>
          <w:highlight w:val="none"/>
        </w:rPr>
      </w:pPr>
      <w:bookmarkStart w:id="53" w:name="_Toc111208507"/>
      <w:bookmarkStart w:id="54" w:name="_Toc6349"/>
      <w:r>
        <w:rPr>
          <w:rFonts w:hint="eastAsia" w:ascii="黑体" w:eastAsia="黑体" w:cs="Times New Roman"/>
          <w:bCs w:val="0"/>
          <w:color w:val="000000"/>
          <w:highlight w:val="none"/>
        </w:rPr>
        <w:t>九、国有资本经营预算支出决算情况说明</w:t>
      </w:r>
      <w:bookmarkEnd w:id="52"/>
      <w:bookmarkEnd w:id="53"/>
      <w:bookmarkEnd w:id="54"/>
    </w:p>
    <w:p>
      <w:pPr>
        <w:keepNext w:val="0"/>
        <w:keepLines w:val="0"/>
        <w:pageBreakBefore w:val="0"/>
        <w:widowControl w:val="0"/>
        <w:kinsoku/>
        <w:wordWrap/>
        <w:overflowPunct/>
        <w:topLinePunct w:val="0"/>
        <w:autoSpaceDE/>
        <w:autoSpaceDN/>
        <w:bidi w:val="0"/>
        <w:adjustRightInd/>
        <w:snapToGrid/>
        <w:spacing w:line="400" w:lineRule="exact"/>
        <w:ind w:firstLine="641"/>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highlight w:val="none"/>
          <w:u w:color="auto"/>
        </w:rPr>
        <w:t>年国有资本经营预算拨款支出</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w:t>
      </w:r>
    </w:p>
    <w:p>
      <w:pPr>
        <w:pStyle w:val="6"/>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ascii="黑体" w:eastAsia="黑体" w:cs="Times New Roman"/>
          <w:bCs w:val="0"/>
          <w:color w:val="000000"/>
          <w:highlight w:val="none"/>
        </w:rPr>
      </w:pPr>
      <w:bookmarkStart w:id="55" w:name="_Toc15377221"/>
      <w:bookmarkStart w:id="56" w:name="_Toc111208508"/>
      <w:bookmarkStart w:id="57" w:name="_Toc7650"/>
      <w:r>
        <w:rPr>
          <w:rFonts w:hint="eastAsia" w:ascii="黑体" w:eastAsia="黑体" w:cs="Times New Roman"/>
          <w:bCs w:val="0"/>
          <w:color w:val="000000"/>
          <w:highlight w:val="none"/>
        </w:rPr>
        <w:t>十、其他重要事项的情况说明</w:t>
      </w:r>
      <w:bookmarkEnd w:id="55"/>
      <w:bookmarkEnd w:id="56"/>
      <w:bookmarkEnd w:id="57"/>
    </w:p>
    <w:p>
      <w:pPr>
        <w:spacing w:beforeAutospacing="0" w:line="600" w:lineRule="exact"/>
        <w:ind w:firstLine="642" w:firstLineChars="200"/>
        <w:outlineLvl w:val="2"/>
        <w:rPr>
          <w:rFonts w:ascii="仿宋" w:eastAsia="仿宋"/>
          <w:b/>
          <w:color w:val="000000"/>
          <w:sz w:val="32"/>
          <w:szCs w:val="32"/>
          <w:highlight w:val="none"/>
        </w:rPr>
      </w:pPr>
      <w:bookmarkStart w:id="58" w:name="_Toc15377222"/>
      <w:r>
        <w:rPr>
          <w:rFonts w:hint="eastAsia" w:ascii="仿宋" w:eastAsia="仿宋"/>
          <w:b/>
          <w:color w:val="000000"/>
          <w:sz w:val="32"/>
          <w:szCs w:val="32"/>
          <w:highlight w:val="none"/>
        </w:rPr>
        <w:t>（一）机关运行经费支出情况</w:t>
      </w:r>
      <w:bookmarkEnd w:id="58"/>
    </w:p>
    <w:p>
      <w:pPr>
        <w:spacing w:line="600" w:lineRule="exact"/>
        <w:ind w:firstLine="64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2024</w:t>
      </w:r>
      <w:r>
        <w:rPr>
          <w:rFonts w:hint="eastAsia" w:ascii="仿宋_GB2312" w:hAnsi="仿宋_GB2312" w:eastAsia="仿宋_GB2312" w:cs="仿宋_GB2312"/>
          <w:color w:val="000000" w:themeColor="text1"/>
          <w:sz w:val="32"/>
          <w:highlight w:val="none"/>
          <w:u w:color="auto"/>
          <w14:textFill>
            <w14:solidFill>
              <w14:schemeClr w14:val="tx1"/>
            </w14:solidFill>
          </w14:textFill>
        </w:rPr>
        <w:t>年，机关运行经费支出</w:t>
      </w:r>
      <w:r>
        <w:rPr>
          <w:rFonts w:hint="eastAsia" w:ascii="仿宋_GB2312" w:hAnsi="仿宋_GB2312" w:eastAsia="仿宋_GB2312" w:cs="仿宋_GB2312"/>
          <w:color w:val="000000" w:themeColor="text1"/>
          <w:sz w:val="32"/>
          <w:highlight w:val="none"/>
          <w:u w:color="auto"/>
          <w:lang w:val="en-US" w:eastAsia="zh-CN"/>
          <w14:textFill>
            <w14:solidFill>
              <w14:schemeClr w14:val="tx1"/>
            </w14:solidFill>
          </w14:textFill>
        </w:rPr>
        <w:t>9.67</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spacing w:line="600" w:lineRule="exact"/>
        <w:ind w:firstLine="642" w:firstLineChars="200"/>
        <w:outlineLvl w:val="2"/>
        <w:rPr>
          <w:rFonts w:ascii="仿宋" w:eastAsia="仿宋"/>
          <w:b/>
          <w:color w:val="000000"/>
          <w:sz w:val="32"/>
          <w:szCs w:val="32"/>
          <w:highlight w:val="none"/>
        </w:rPr>
      </w:pPr>
      <w:bookmarkStart w:id="59" w:name="_Toc15377223"/>
      <w:r>
        <w:rPr>
          <w:rFonts w:hint="eastAsia" w:ascii="仿宋" w:eastAsia="仿宋"/>
          <w:b/>
          <w:color w:val="000000"/>
          <w:sz w:val="32"/>
          <w:szCs w:val="32"/>
          <w:highlight w:val="none"/>
        </w:rPr>
        <w:t>（二）政府采购支出情况</w:t>
      </w:r>
      <w:bookmarkEnd w:id="59"/>
    </w:p>
    <w:p>
      <w:pPr>
        <w:spacing w:line="600" w:lineRule="exact"/>
        <w:ind w:firstLine="64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highlight w:val="none"/>
          <w:u w:color="auto"/>
        </w:rPr>
        <w:t>年，政府采购支出总额</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万元，其中：政府采购货物支出</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万元、政府采购工程支出</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万元、政府采购服务支出</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万元。授予中小企业合同金额</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万元，其中：授予小微企业合同金额</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，占比</w:t>
      </w:r>
      <w:r>
        <w:rPr>
          <w:rFonts w:hint="eastAsia" w:ascii="仿宋_GB2312" w:hAnsi="仿宋_GB2312" w:eastAsia="仿宋_GB2312" w:cs="仿宋_GB2312"/>
          <w:color w:val="000000"/>
          <w:sz w:val="32"/>
          <w:szCs w:val="32"/>
          <w:highlight w:val="none"/>
          <w:lang w:val="en-US" w:eastAsia="zh-CN"/>
        </w:rPr>
        <w:t>0.00%</w:t>
      </w:r>
    </w:p>
    <w:p>
      <w:pPr>
        <w:spacing w:line="600" w:lineRule="exact"/>
        <w:ind w:firstLine="642" w:firstLineChars="200"/>
        <w:outlineLvl w:val="2"/>
        <w:rPr>
          <w:rFonts w:hint="eastAsia" w:ascii="仿宋_GB2312" w:hAnsi="仿宋_GB2312" w:eastAsia="仿宋_GB2312" w:cs="仿宋_GB2312"/>
          <w:b/>
          <w:color w:val="000000"/>
          <w:sz w:val="32"/>
          <w:szCs w:val="32"/>
          <w:highlight w:val="none"/>
        </w:rPr>
      </w:pPr>
      <w:bookmarkStart w:id="60" w:name="_Toc15377224"/>
      <w:r>
        <w:rPr>
          <w:rFonts w:hint="eastAsia" w:ascii="仿宋_GB2312" w:hAnsi="仿宋_GB2312" w:eastAsia="仿宋_GB2312" w:cs="仿宋_GB2312"/>
          <w:b/>
          <w:color w:val="000000"/>
          <w:sz w:val="32"/>
          <w:szCs w:val="32"/>
          <w:highlight w:val="none"/>
        </w:rPr>
        <w:t>（三）国有资产占有使用情况</w:t>
      </w:r>
      <w:bookmarkEnd w:id="60"/>
    </w:p>
    <w:p>
      <w:pPr>
        <w:spacing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截至</w:t>
      </w:r>
      <w:r>
        <w:rPr>
          <w:rFonts w:hint="eastAsia" w:ascii="仿宋_GB2312" w:hAnsi="仿宋_GB2312" w:eastAsia="仿宋_GB2312" w:cs="仿宋_GB2312"/>
          <w:color w:val="000000"/>
          <w:sz w:val="32"/>
          <w:highlight w:val="none"/>
          <w:u w:color="auto"/>
          <w:lang w:eastAsia="zh-CN"/>
        </w:rPr>
        <w:t>2024</w:t>
      </w:r>
      <w:r>
        <w:rPr>
          <w:rFonts w:hint="eastAsia" w:ascii="仿宋_GB2312" w:hAnsi="仿宋_GB2312" w:eastAsia="仿宋_GB2312" w:cs="仿宋_GB2312"/>
          <w:color w:val="000000"/>
          <w:sz w:val="32"/>
          <w:highlight w:val="none"/>
          <w:u w:color="auto"/>
        </w:rPr>
        <w:t>年</w:t>
      </w:r>
      <w:r>
        <w:rPr>
          <w:rFonts w:hint="eastAsia" w:ascii="仿宋_GB2312" w:hAnsi="仿宋_GB2312" w:eastAsia="仿宋_GB2312" w:cs="仿宋_GB2312"/>
          <w:color w:val="000000"/>
          <w:sz w:val="32"/>
          <w:szCs w:val="32"/>
          <w:highlight w:val="none"/>
        </w:rPr>
        <w:t>12月31日，共有车辆</w:t>
      </w:r>
      <w:r>
        <w:rPr>
          <w:rFonts w:hint="eastAsia" w:ascii="仿宋_GB2312" w:hAnsi="仿宋_GB2312" w:eastAsia="仿宋_GB2312" w:cs="仿宋_GB2312"/>
          <w:color w:val="000000"/>
          <w:sz w:val="32"/>
          <w:highlight w:val="none"/>
          <w:u w:color="auto"/>
        </w:rPr>
        <w:t>4辆，其中：主要领导干部用车0</w:t>
      </w:r>
      <w:r>
        <w:rPr>
          <w:rFonts w:hint="eastAsia" w:ascii="仿宋_GB2312" w:hAnsi="仿宋_GB2312" w:eastAsia="仿宋_GB2312" w:cs="仿宋_GB2312"/>
          <w:color w:val="000000"/>
          <w:sz w:val="32"/>
          <w:szCs w:val="32"/>
          <w:highlight w:val="none"/>
        </w:rPr>
        <w:t>辆、机要通信用车</w:t>
      </w:r>
      <w:r>
        <w:rPr>
          <w:rFonts w:hint="eastAsia" w:ascii="仿宋_GB2312" w:hAnsi="仿宋_GB2312" w:eastAsia="仿宋_GB2312" w:cs="仿宋_GB2312"/>
          <w:color w:val="000000"/>
          <w:sz w:val="32"/>
          <w:highlight w:val="none"/>
          <w:u w:color="auto"/>
        </w:rPr>
        <w:t>0</w:t>
      </w:r>
      <w:r>
        <w:rPr>
          <w:rFonts w:hint="eastAsia" w:ascii="仿宋_GB2312" w:hAnsi="仿宋_GB2312" w:eastAsia="仿宋_GB2312" w:cs="仿宋_GB2312"/>
          <w:color w:val="000000"/>
          <w:sz w:val="32"/>
          <w:szCs w:val="32"/>
          <w:highlight w:val="none"/>
        </w:rPr>
        <w:t>辆、应急保障用车</w:t>
      </w:r>
      <w:r>
        <w:rPr>
          <w:rFonts w:hint="eastAsia" w:ascii="仿宋_GB2312" w:hAnsi="仿宋_GB2312" w:eastAsia="仿宋_GB2312" w:cs="仿宋_GB2312"/>
          <w:color w:val="000000"/>
          <w:sz w:val="32"/>
          <w:highlight w:val="none"/>
          <w:u w:color="auto"/>
        </w:rPr>
        <w:t>4</w:t>
      </w:r>
      <w:r>
        <w:rPr>
          <w:rFonts w:hint="eastAsia" w:ascii="仿宋_GB2312" w:hAnsi="仿宋_GB2312" w:eastAsia="仿宋_GB2312" w:cs="仿宋_GB2312"/>
          <w:color w:val="000000"/>
          <w:sz w:val="32"/>
          <w:szCs w:val="32"/>
          <w:highlight w:val="none"/>
        </w:rPr>
        <w:t>辆、其他用车</w:t>
      </w:r>
      <w:r>
        <w:rPr>
          <w:rFonts w:hint="eastAsia" w:ascii="仿宋_GB2312" w:hAnsi="仿宋_GB2312" w:eastAsia="仿宋_GB2312" w:cs="仿宋_GB2312"/>
          <w:color w:val="000000"/>
          <w:sz w:val="32"/>
          <w:highlight w:val="none"/>
          <w:u w:color="auto"/>
        </w:rPr>
        <w:t>0</w:t>
      </w:r>
      <w:r>
        <w:rPr>
          <w:rFonts w:hint="eastAsia" w:ascii="仿宋_GB2312" w:hAnsi="仿宋_GB2312" w:eastAsia="仿宋_GB2312" w:cs="仿宋_GB2312"/>
          <w:color w:val="000000"/>
          <w:sz w:val="32"/>
          <w:szCs w:val="32"/>
          <w:highlight w:val="none"/>
        </w:rPr>
        <w:t>辆。单价50万元以上通用设备</w:t>
      </w:r>
      <w:r>
        <w:rPr>
          <w:rFonts w:hint="eastAsia" w:ascii="仿宋_GB2312" w:hAnsi="仿宋_GB2312" w:eastAsia="仿宋_GB2312" w:cs="仿宋_GB2312"/>
          <w:color w:val="000000"/>
          <w:sz w:val="32"/>
          <w:highlight w:val="none"/>
          <w:u w:color="auto"/>
        </w:rPr>
        <w:t>0</w:t>
      </w:r>
      <w:r>
        <w:rPr>
          <w:rFonts w:hint="eastAsia" w:ascii="仿宋_GB2312" w:hAnsi="仿宋_GB2312" w:eastAsia="仿宋_GB2312" w:cs="仿宋_GB2312"/>
          <w:color w:val="000000"/>
          <w:sz w:val="32"/>
          <w:szCs w:val="32"/>
          <w:highlight w:val="none"/>
        </w:rPr>
        <w:t>台（套），单价100万元以上专用设备台</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（套）。</w:t>
      </w:r>
    </w:p>
    <w:p>
      <w:pPr>
        <w:spacing w:line="600" w:lineRule="exact"/>
        <w:ind w:firstLine="642" w:firstLineChars="200"/>
        <w:outlineLvl w:val="2"/>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（四）预算绩效管理情况</w:t>
      </w:r>
    </w:p>
    <w:p>
      <w:pPr>
        <w:ind w:firstLine="640" w:firstLineChars="200"/>
        <w:rPr>
          <w:rFonts w:hint="eastAsia" w:ascii="仿宋_GB2312" w:hAnsi="仿宋_GB2312" w:eastAsia="仿宋_GB2312" w:cs="仿宋_GB2312"/>
          <w:highlight w:val="none"/>
        </w:rPr>
      </w:pPr>
      <w:r>
        <w:rPr>
          <w:rFonts w:hint="eastAsia" w:ascii="仿宋_GB2312" w:hAnsi="仿宋_GB2312" w:eastAsia="仿宋_GB2312" w:cs="仿宋_GB2312"/>
          <w:sz w:val="32"/>
          <w:szCs w:val="32"/>
          <w:highlight w:val="none"/>
        </w:rPr>
        <w:t>根据预算绩效管理要求，本</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eastAsia="zh-CN"/>
        </w:rPr>
        <w:t>2024</w:t>
      </w:r>
      <w:r>
        <w:rPr>
          <w:rFonts w:hint="eastAsia" w:ascii="仿宋_GB2312" w:hAnsi="仿宋_GB2312" w:eastAsia="仿宋_GB2312" w:cs="仿宋_GB2312"/>
          <w:sz w:val="32"/>
          <w:szCs w:val="32"/>
          <w:highlight w:val="none"/>
        </w:rPr>
        <w:t>年度预算编制阶段，</w:t>
      </w:r>
      <w:r>
        <w:rPr>
          <w:rFonts w:hint="eastAsia" w:ascii="仿宋_GB2312" w:hAnsi="仿宋_GB2312" w:eastAsia="仿宋_GB2312" w:cs="仿宋_GB2312"/>
          <w:sz w:val="32"/>
          <w:szCs w:val="32"/>
          <w:highlight w:val="none"/>
          <w:lang w:val="en-US" w:eastAsia="zh-CN"/>
        </w:rPr>
        <w:t>无</w:t>
      </w:r>
      <w:r>
        <w:rPr>
          <w:rFonts w:hint="eastAsia" w:ascii="仿宋_GB2312" w:hAnsi="仿宋_GB2312" w:eastAsia="仿宋_GB2312" w:cs="仿宋_GB2312"/>
          <w:sz w:val="32"/>
          <w:szCs w:val="32"/>
          <w:highlight w:val="none"/>
        </w:rPr>
        <w:t>绩效自评</w:t>
      </w:r>
      <w:r>
        <w:rPr>
          <w:rFonts w:hint="eastAsia" w:ascii="仿宋_GB2312" w:hAnsi="仿宋_GB2312" w:eastAsia="仿宋_GB2312" w:cs="仿宋_GB2312"/>
          <w:sz w:val="32"/>
          <w:szCs w:val="32"/>
          <w:highlight w:val="none"/>
          <w:lang w:val="en-US" w:eastAsia="zh-CN"/>
        </w:rPr>
        <w:t>项目</w:t>
      </w:r>
      <w:r>
        <w:rPr>
          <w:rFonts w:hint="eastAsia" w:ascii="仿宋_GB2312" w:hAnsi="仿宋_GB2312" w:eastAsia="仿宋_GB2312" w:cs="仿宋_GB2312"/>
          <w:sz w:val="32"/>
          <w:szCs w:val="32"/>
          <w:highlight w:val="none"/>
        </w:rPr>
        <w:t>。</w:t>
      </w:r>
    </w:p>
    <w:p>
      <w:pPr>
        <w:widowControl/>
        <w:jc w:val="left"/>
        <w:rPr>
          <w:rFonts w:ascii="仿宋_GB2312" w:eastAsia="仿宋_GB2312"/>
          <w:b/>
          <w:color w:val="000000"/>
          <w:sz w:val="32"/>
          <w:szCs w:val="32"/>
          <w:highlight w:val="none"/>
        </w:rPr>
      </w:pPr>
      <w:r>
        <w:rPr>
          <w:rFonts w:ascii="仿宋_GB2312" w:eastAsia="仿宋_GB2312"/>
          <w:b/>
          <w:color w:val="000000"/>
          <w:sz w:val="32"/>
          <w:szCs w:val="32"/>
          <w:highlight w:val="none"/>
        </w:rPr>
        <w:br w:type="page"/>
      </w:r>
    </w:p>
    <w:p>
      <w:pPr>
        <w:numPr>
          <w:ilvl w:val="0"/>
          <w:numId w:val="1"/>
        </w:numPr>
        <w:spacing w:line="600" w:lineRule="exact"/>
        <w:ind w:firstLine="660" w:firstLineChars="150"/>
        <w:jc w:val="center"/>
        <w:outlineLvl w:val="0"/>
        <w:rPr>
          <w:rStyle w:val="30"/>
          <w:rFonts w:ascii="黑体" w:hAnsi="黑体" w:eastAsia="黑体"/>
          <w:b w:val="0"/>
          <w:highlight w:val="none"/>
        </w:rPr>
      </w:pPr>
      <w:bookmarkStart w:id="61" w:name="_Toc24024"/>
      <w:bookmarkStart w:id="62" w:name="_Toc15396613"/>
      <w:bookmarkStart w:id="63" w:name="_Toc15377225"/>
      <w:bookmarkStart w:id="64" w:name="_Toc111208510"/>
      <w:r>
        <w:rPr>
          <w:rFonts w:hint="eastAsia" w:ascii="黑体" w:hAnsi="黑体" w:eastAsia="黑体"/>
          <w:sz w:val="44"/>
          <w:szCs w:val="44"/>
          <w:highlight w:val="none"/>
        </w:rPr>
        <w:t>名</w:t>
      </w:r>
      <w:r>
        <w:rPr>
          <w:rStyle w:val="30"/>
          <w:rFonts w:hint="eastAsia" w:ascii="黑体" w:hAnsi="黑体" w:eastAsia="黑体"/>
          <w:b w:val="0"/>
          <w:highlight w:val="none"/>
        </w:rPr>
        <w:t>词解释</w:t>
      </w:r>
      <w:bookmarkEnd w:id="61"/>
      <w:bookmarkEnd w:id="62"/>
      <w:bookmarkEnd w:id="63"/>
    </w:p>
    <w:p>
      <w:pPr>
        <w:spacing w:line="600" w:lineRule="exact"/>
        <w:jc w:val="left"/>
        <w:rPr>
          <w:rFonts w:ascii="宋体"/>
          <w:b/>
          <w:sz w:val="44"/>
          <w:szCs w:val="44"/>
          <w:highlight w:val="none"/>
        </w:rPr>
      </w:pPr>
    </w:p>
    <w:p>
      <w:pPr>
        <w:pStyle w:val="24"/>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1.</w:t>
      </w:r>
      <w:r>
        <w:rPr>
          <w:rFonts w:hint="eastAsia" w:ascii="仿宋_GB2312" w:eastAsia="仿宋_GB2312"/>
          <w:sz w:val="32"/>
          <w:szCs w:val="32"/>
          <w:highlight w:val="none"/>
        </w:rPr>
        <w:t>财政拨款收入：指单位从同级财政部门取得的财政预算资金。</w:t>
      </w:r>
    </w:p>
    <w:p>
      <w:pPr>
        <w:pStyle w:val="24"/>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2.</w:t>
      </w:r>
      <w:r>
        <w:rPr>
          <w:rFonts w:hint="eastAsia" w:ascii="仿宋_GB2312" w:eastAsia="仿宋_GB2312"/>
          <w:sz w:val="32"/>
          <w:szCs w:val="32"/>
          <w:highlight w:val="none"/>
        </w:rPr>
        <w:t>事业收入：指事业单位开展专业业务活动及辅助活动取得的收入。</w:t>
      </w:r>
    </w:p>
    <w:p>
      <w:pPr>
        <w:pStyle w:val="24"/>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3.</w:t>
      </w:r>
      <w:r>
        <w:rPr>
          <w:rFonts w:hint="eastAsia" w:ascii="仿宋_GB2312" w:eastAsia="仿宋_GB2312"/>
          <w:sz w:val="32"/>
          <w:szCs w:val="32"/>
          <w:highlight w:val="none"/>
        </w:rPr>
        <w:t>经营收入：指事业单位在专业业务活动及其辅助活动之外开展非独立核算经营活动取得的收入。</w:t>
      </w:r>
    </w:p>
    <w:p>
      <w:pPr>
        <w:pStyle w:val="24"/>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4.</w:t>
      </w:r>
      <w:r>
        <w:rPr>
          <w:rFonts w:hint="eastAsia" w:ascii="仿宋_GB2312" w:eastAsia="仿宋_GB2312"/>
          <w:sz w:val="32"/>
          <w:szCs w:val="32"/>
          <w:highlight w:val="none"/>
        </w:rPr>
        <w:t>其他收入：指单位取得的除上述收入以外的各项收入。</w:t>
      </w:r>
      <w:r>
        <w:rPr>
          <w:rFonts w:ascii="仿宋_GB2312" w:eastAsia="仿宋_GB2312"/>
          <w:sz w:val="32"/>
          <w:szCs w:val="32"/>
          <w:highlight w:val="none"/>
        </w:rPr>
        <w:t xml:space="preserve"> </w:t>
      </w:r>
    </w:p>
    <w:p>
      <w:pPr>
        <w:pStyle w:val="24"/>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5.</w:t>
      </w:r>
      <w:r>
        <w:rPr>
          <w:rFonts w:hint="eastAsia" w:ascii="仿宋_GB2312" w:eastAsia="仿宋_GB2312"/>
          <w:sz w:val="32"/>
          <w:szCs w:val="32"/>
          <w:highlight w:val="none"/>
        </w:rPr>
        <w:t>使用非财政拨款结余：指事业单位使用以前年度积累的非财政拨款结余弥补当年收支差额的金额。</w:t>
      </w:r>
      <w:r>
        <w:rPr>
          <w:rFonts w:ascii="仿宋_GB2312" w:eastAsia="仿宋_GB2312"/>
          <w:sz w:val="32"/>
          <w:szCs w:val="32"/>
          <w:highlight w:val="none"/>
        </w:rPr>
        <w:t xml:space="preserve"> </w:t>
      </w:r>
    </w:p>
    <w:p>
      <w:pPr>
        <w:pStyle w:val="24"/>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6.</w:t>
      </w:r>
      <w:r>
        <w:rPr>
          <w:rFonts w:hint="eastAsia" w:ascii="仿宋_GB2312" w:eastAsia="仿宋_GB2312"/>
          <w:sz w:val="32"/>
          <w:szCs w:val="32"/>
          <w:highlight w:val="none"/>
        </w:rPr>
        <w:t>年初结转和结余：指以前年度尚未完成、结转到本年按有关规定继续使用的资金。</w:t>
      </w:r>
      <w:r>
        <w:rPr>
          <w:rFonts w:ascii="仿宋_GB2312" w:eastAsia="仿宋_GB2312"/>
          <w:sz w:val="32"/>
          <w:szCs w:val="32"/>
          <w:highlight w:val="none"/>
        </w:rPr>
        <w:t xml:space="preserve"> </w:t>
      </w:r>
    </w:p>
    <w:p>
      <w:pPr>
        <w:pStyle w:val="24"/>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7.</w:t>
      </w:r>
      <w:r>
        <w:rPr>
          <w:rFonts w:hint="eastAsia" w:ascii="仿宋_GB2312" w:eastAsia="仿宋_GB2312"/>
          <w:sz w:val="32"/>
          <w:szCs w:val="32"/>
          <w:highlight w:val="none"/>
        </w:rPr>
        <w:t>结余分配：指事业单位按照会计制度规定缴纳的所得税、提取的专用结余以及转入非财政拨款结余的金额等。</w:t>
      </w:r>
    </w:p>
    <w:p>
      <w:pPr>
        <w:pStyle w:val="24"/>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8</w:t>
      </w:r>
      <w:r>
        <w:rPr>
          <w:rFonts w:hint="eastAsia" w:ascii="仿宋_GB2312" w:eastAsia="仿宋_GB2312"/>
          <w:sz w:val="32"/>
          <w:szCs w:val="32"/>
          <w:highlight w:val="none"/>
        </w:rPr>
        <w:t>、年末结转和结余：指单位按有关规定结转到下年或以后年度继续使用的资金。</w:t>
      </w:r>
    </w:p>
    <w:p>
      <w:pPr>
        <w:spacing w:line="576" w:lineRule="atLeast"/>
        <w:ind w:firstLine="640" w:firstLineChars="200"/>
        <w:rPr>
          <w:rStyle w:val="20"/>
          <w:rFonts w:ascii="仿宋_GB2312" w:hAnsi="仿宋_GB2312" w:eastAsia="仿宋_GB2312"/>
          <w:b w:val="0"/>
          <w:color w:val="0000FF"/>
          <w:sz w:val="32"/>
          <w:szCs w:val="32"/>
          <w:highlight w:val="none"/>
        </w:rPr>
      </w:pPr>
      <w:r>
        <w:rPr>
          <w:rStyle w:val="20"/>
          <w:rFonts w:ascii="仿宋_GB2312" w:hAnsi="仿宋_GB2312" w:eastAsia="仿宋_GB2312" w:cs="仿宋_GB2312"/>
          <w:b w:val="0"/>
          <w:color w:val="000000"/>
          <w:sz w:val="32"/>
          <w:szCs w:val="32"/>
          <w:highlight w:val="none"/>
        </w:rPr>
        <w:t>9.</w:t>
      </w:r>
      <w:r>
        <w:rPr>
          <w:rStyle w:val="20"/>
          <w:rFonts w:hint="eastAsia" w:ascii="仿宋_GB2312" w:hAnsi="仿宋_GB2312" w:eastAsia="仿宋_GB2312" w:cs="仿宋_GB2312"/>
          <w:b w:val="0"/>
          <w:color w:val="000000"/>
          <w:sz w:val="32"/>
          <w:szCs w:val="32"/>
          <w:highlight w:val="none"/>
        </w:rPr>
        <w:t>一般公共服务（类）人大事务（款）人大会议（项）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w:t>
      </w:r>
      <w:r>
        <w:rPr>
          <w:rFonts w:hint="eastAsia" w:ascii="仿宋_GB2312" w:eastAsia="仿宋_GB2312" w:cs="仿宋_GB2312"/>
          <w:color w:val="000000"/>
          <w:sz w:val="32"/>
          <w:szCs w:val="32"/>
          <w:highlight w:val="none"/>
        </w:rPr>
        <w:t>单位人大召开人民代表大会等专门会议的支出</w:t>
      </w:r>
      <w:r>
        <w:rPr>
          <w:rStyle w:val="20"/>
          <w:rFonts w:hint="eastAsia" w:ascii="仿宋_GB2312" w:hAnsi="仿宋_GB2312" w:eastAsia="仿宋_GB2312" w:cs="仿宋_GB2312"/>
          <w:b w:val="0"/>
          <w:color w:val="0000FF"/>
          <w:sz w:val="32"/>
          <w:szCs w:val="32"/>
          <w:highlight w:val="none"/>
        </w:rPr>
        <w:t>。</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ascii="仿宋_GB2312" w:hAnsi="仿宋_GB2312" w:eastAsia="仿宋_GB2312" w:cs="仿宋_GB2312"/>
          <w:b w:val="0"/>
          <w:color w:val="000000"/>
          <w:sz w:val="32"/>
          <w:szCs w:val="32"/>
          <w:highlight w:val="none"/>
        </w:rPr>
        <w:t>10.</w:t>
      </w:r>
      <w:r>
        <w:rPr>
          <w:rStyle w:val="20"/>
          <w:rFonts w:hint="eastAsia" w:ascii="仿宋_GB2312" w:hAnsi="仿宋_GB2312" w:eastAsia="仿宋_GB2312" w:cs="仿宋_GB2312"/>
          <w:b w:val="0"/>
          <w:color w:val="000000"/>
          <w:sz w:val="32"/>
          <w:szCs w:val="32"/>
          <w:highlight w:val="none"/>
        </w:rPr>
        <w:t>一般公共服务（类）政府办公厅（室）及相关机构事务（款）行政运行（项）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指单位（包括实行公务员管理的事业单位）的基本支出。</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ascii="仿宋_GB2312" w:hAnsi="仿宋_GB2312" w:eastAsia="仿宋_GB2312" w:cs="仿宋_GB2312"/>
          <w:b w:val="0"/>
          <w:color w:val="000000"/>
          <w:sz w:val="32"/>
          <w:szCs w:val="32"/>
          <w:highlight w:val="none"/>
        </w:rPr>
        <w:t>11.</w:t>
      </w:r>
      <w:r>
        <w:rPr>
          <w:rStyle w:val="20"/>
          <w:rFonts w:hint="eastAsia" w:ascii="仿宋_GB2312" w:hAnsi="仿宋_GB2312" w:eastAsia="仿宋_GB2312" w:cs="仿宋_GB2312"/>
          <w:b w:val="0"/>
          <w:color w:val="000000"/>
          <w:sz w:val="32"/>
          <w:szCs w:val="32"/>
          <w:highlight w:val="none"/>
        </w:rPr>
        <w:t>一般公共服务（类）财政事务（款）事业运行（项）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w:t>
      </w:r>
      <w:r>
        <w:rPr>
          <w:rFonts w:hint="eastAsia" w:ascii="仿宋_GB2312" w:hAnsi="仿宋_GB2312" w:eastAsia="仿宋_GB2312" w:cs="仿宋_GB2312"/>
          <w:color w:val="000000"/>
          <w:kern w:val="0"/>
          <w:sz w:val="32"/>
          <w:szCs w:val="32"/>
          <w:highlight w:val="none"/>
        </w:rPr>
        <w:t>单位机关及参公管理事业单位用于保障机构正常运行、开展日常工作的基本支出</w:t>
      </w:r>
      <w:r>
        <w:rPr>
          <w:rStyle w:val="20"/>
          <w:rFonts w:hint="eastAsia" w:ascii="仿宋_GB2312" w:hAnsi="仿宋_GB2312" w:eastAsia="仿宋_GB2312" w:cs="仿宋_GB2312"/>
          <w:b w:val="0"/>
          <w:color w:val="000000"/>
          <w:sz w:val="32"/>
          <w:szCs w:val="32"/>
          <w:highlight w:val="none"/>
        </w:rPr>
        <w:t>。</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ascii="仿宋_GB2312" w:hAnsi="仿宋_GB2312" w:eastAsia="仿宋_GB2312" w:cs="仿宋_GB2312"/>
          <w:b w:val="0"/>
          <w:color w:val="000000"/>
          <w:sz w:val="32"/>
          <w:szCs w:val="32"/>
          <w:highlight w:val="none"/>
        </w:rPr>
        <w:t>12.</w:t>
      </w:r>
      <w:r>
        <w:rPr>
          <w:rStyle w:val="20"/>
          <w:rFonts w:hint="eastAsia" w:ascii="仿宋_GB2312" w:hAnsi="仿宋_GB2312" w:eastAsia="仿宋_GB2312" w:cs="仿宋_GB2312"/>
          <w:b w:val="0"/>
          <w:color w:val="000000"/>
          <w:sz w:val="32"/>
          <w:szCs w:val="32"/>
          <w:highlight w:val="none"/>
        </w:rPr>
        <w:t>一般公共服务（类）民族事务（款）其他民族事务支出（项）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指单位除上述项目以外其他用于民族事务方面的支出。</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ascii="仿宋_GB2312" w:hAnsi="仿宋_GB2312" w:eastAsia="仿宋_GB2312" w:cs="仿宋_GB2312"/>
          <w:b w:val="0"/>
          <w:color w:val="000000"/>
          <w:sz w:val="32"/>
          <w:szCs w:val="32"/>
          <w:highlight w:val="none"/>
        </w:rPr>
        <w:t>13.</w:t>
      </w:r>
      <w:r>
        <w:rPr>
          <w:rStyle w:val="20"/>
          <w:rFonts w:hint="eastAsia" w:ascii="仿宋_GB2312" w:hAnsi="仿宋_GB2312" w:eastAsia="仿宋_GB2312" w:cs="仿宋_GB2312"/>
          <w:b w:val="0"/>
          <w:color w:val="000000"/>
          <w:sz w:val="32"/>
          <w:szCs w:val="32"/>
          <w:highlight w:val="none"/>
        </w:rPr>
        <w:t>一般公共服务（类）党委办公厅（室）及相关机构事务（款）行政运行（项）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指单位</w:t>
      </w:r>
      <w:r>
        <w:rPr>
          <w:rFonts w:hint="eastAsia" w:ascii="仿宋_GB2312" w:hAnsi="仿宋_GB2312" w:eastAsia="仿宋_GB2312" w:cs="仿宋_GB2312"/>
          <w:color w:val="000000"/>
          <w:kern w:val="0"/>
          <w:sz w:val="32"/>
          <w:szCs w:val="32"/>
          <w:highlight w:val="none"/>
        </w:rPr>
        <w:t>用于保障机构正常运行、开展日常工作的基本支出</w:t>
      </w:r>
      <w:r>
        <w:rPr>
          <w:rStyle w:val="20"/>
          <w:rFonts w:hint="eastAsia" w:ascii="仿宋_GB2312" w:hAnsi="仿宋_GB2312" w:eastAsia="仿宋_GB2312" w:cs="仿宋_GB2312"/>
          <w:b w:val="0"/>
          <w:color w:val="000000"/>
          <w:sz w:val="32"/>
          <w:szCs w:val="32"/>
          <w:highlight w:val="none"/>
        </w:rPr>
        <w:t>。</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ascii="仿宋_GB2312" w:hAnsi="仿宋_GB2312" w:eastAsia="仿宋_GB2312" w:cs="仿宋_GB2312"/>
          <w:b w:val="0"/>
          <w:color w:val="000000"/>
          <w:sz w:val="32"/>
          <w:szCs w:val="32"/>
          <w:highlight w:val="none"/>
        </w:rPr>
        <w:t>14.</w:t>
      </w:r>
      <w:r>
        <w:rPr>
          <w:rStyle w:val="20"/>
          <w:rFonts w:hint="eastAsia" w:ascii="仿宋_GB2312" w:hAnsi="仿宋_GB2312" w:eastAsia="仿宋_GB2312" w:cs="仿宋_GB2312"/>
          <w:b w:val="0"/>
          <w:color w:val="000000"/>
          <w:sz w:val="32"/>
          <w:szCs w:val="32"/>
          <w:highlight w:val="none"/>
        </w:rPr>
        <w:t>国防支出（类）其他国防支出（款）其他国防支出（项）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指单位其他用于国防方面的支出。</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ascii="仿宋_GB2312" w:hAnsi="仿宋_GB2312" w:eastAsia="仿宋_GB2312" w:cs="仿宋_GB2312"/>
          <w:b w:val="0"/>
          <w:color w:val="000000"/>
          <w:sz w:val="32"/>
          <w:szCs w:val="32"/>
          <w:highlight w:val="none"/>
        </w:rPr>
        <w:t>1</w:t>
      </w:r>
      <w:r>
        <w:rPr>
          <w:rStyle w:val="20"/>
          <w:rFonts w:hint="eastAsia" w:ascii="仿宋_GB2312" w:hAnsi="仿宋_GB2312" w:eastAsia="仿宋_GB2312" w:cs="仿宋_GB2312"/>
          <w:b w:val="0"/>
          <w:color w:val="000000"/>
          <w:sz w:val="32"/>
          <w:szCs w:val="32"/>
          <w:highlight w:val="none"/>
        </w:rPr>
        <w:t>5</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社会保障和就业（类）行政事业单位离退休（款）机关事业单位基本养老保险缴费支出（项）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w:t>
      </w:r>
      <w:r>
        <w:rPr>
          <w:rFonts w:hint="eastAsia" w:ascii="仿宋_GB2312" w:hAnsi="仿宋_GB2312" w:eastAsia="仿宋_GB2312" w:cs="仿宋_GB2312"/>
          <w:color w:val="000000"/>
          <w:kern w:val="0"/>
          <w:sz w:val="32"/>
          <w:szCs w:val="32"/>
          <w:highlight w:val="none"/>
        </w:rPr>
        <w:t>单位实施养老保险制度由单位缴纳的养老保险费的支出</w:t>
      </w:r>
      <w:r>
        <w:rPr>
          <w:rStyle w:val="20"/>
          <w:rFonts w:hint="eastAsia" w:ascii="仿宋_GB2312" w:hAnsi="仿宋_GB2312" w:eastAsia="仿宋_GB2312" w:cs="仿宋_GB2312"/>
          <w:b w:val="0"/>
          <w:color w:val="000000"/>
          <w:sz w:val="32"/>
          <w:szCs w:val="32"/>
          <w:highlight w:val="none"/>
        </w:rPr>
        <w:t>。</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16</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社会保障和就业（类）行政事业单位离退休（款）机关事业单位职业年金缴费支出（项）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w:t>
      </w:r>
      <w:r>
        <w:rPr>
          <w:rFonts w:hint="eastAsia" w:ascii="仿宋_GB2312" w:hAnsi="仿宋_GB2312" w:eastAsia="仿宋_GB2312" w:cs="仿宋_GB2312"/>
          <w:color w:val="000000"/>
          <w:kern w:val="0"/>
          <w:sz w:val="32"/>
          <w:szCs w:val="32"/>
          <w:highlight w:val="none"/>
        </w:rPr>
        <w:t>单位实施养老保险制度由单位缴纳的职业年金的支出</w:t>
      </w:r>
      <w:r>
        <w:rPr>
          <w:rStyle w:val="20"/>
          <w:rFonts w:hint="eastAsia" w:ascii="仿宋_GB2312" w:hAnsi="仿宋_GB2312" w:eastAsia="仿宋_GB2312" w:cs="仿宋_GB2312"/>
          <w:b w:val="0"/>
          <w:color w:val="000000"/>
          <w:sz w:val="32"/>
          <w:szCs w:val="32"/>
          <w:highlight w:val="none"/>
        </w:rPr>
        <w:t>。</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17</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社会保障和就业（类）社会福利（款）老年福利（项）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指对老年人提供福利服务方面的支出。</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18</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社会保障和就业（类）社会福利（款）其他社会福利支出（项）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指除上述项目以外其他用于社会福利方面的支出。</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19</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医疗卫生与计划生育（类）基层医疗卫生机构（款）镇镇卫生院（项）</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指用于镇镇卫生院支出。</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20</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医疗卫生与计划生育（类）行政事业单位医疗（款）行政单位医疗（项）</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指</w:t>
      </w:r>
      <w:r>
        <w:rPr>
          <w:rFonts w:hint="eastAsia" w:ascii="仿宋_GB2312" w:hAnsi="仿宋_GB2312" w:eastAsia="仿宋_GB2312" w:cs="仿宋_GB2312"/>
          <w:color w:val="000000"/>
          <w:kern w:val="0"/>
          <w:sz w:val="32"/>
          <w:szCs w:val="32"/>
          <w:highlight w:val="none"/>
        </w:rPr>
        <w:t>行政单位用于缴纳单位基本医疗保险支出</w:t>
      </w:r>
      <w:r>
        <w:rPr>
          <w:rStyle w:val="20"/>
          <w:rFonts w:hint="eastAsia" w:ascii="仿宋_GB2312" w:hAnsi="仿宋_GB2312" w:eastAsia="仿宋_GB2312" w:cs="仿宋_GB2312"/>
          <w:b w:val="0"/>
          <w:color w:val="000000"/>
          <w:sz w:val="32"/>
          <w:szCs w:val="32"/>
          <w:highlight w:val="none"/>
        </w:rPr>
        <w:t>。</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21</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医疗卫生与计划生育（类）行政事业单位医疗（款）事业单位医疗（项）</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指</w:t>
      </w:r>
      <w:r>
        <w:rPr>
          <w:rFonts w:hint="eastAsia" w:ascii="仿宋_GB2312" w:hAnsi="仿宋_GB2312" w:eastAsia="仿宋_GB2312" w:cs="仿宋_GB2312"/>
          <w:color w:val="000000"/>
          <w:kern w:val="0"/>
          <w:sz w:val="32"/>
          <w:szCs w:val="32"/>
          <w:highlight w:val="none"/>
        </w:rPr>
        <w:t>事业单位用于缴纳单位基本医疗保险支出</w:t>
      </w:r>
      <w:r>
        <w:rPr>
          <w:rStyle w:val="20"/>
          <w:rFonts w:hint="eastAsia" w:ascii="仿宋_GB2312" w:hAnsi="仿宋_GB2312" w:eastAsia="仿宋_GB2312" w:cs="仿宋_GB2312"/>
          <w:b w:val="0"/>
          <w:color w:val="000000"/>
          <w:sz w:val="32"/>
          <w:szCs w:val="32"/>
          <w:highlight w:val="none"/>
        </w:rPr>
        <w:t>。</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22</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农林水支出（类）农业（款）事业运行（项）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指用于农业事业单位基本支出，事业单位设施、系统运行与资产维护等方面的支出。</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23</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农林水支出（类）农业（款）农业资源保护修复与利用（项）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指用于农业耕地保护、修复与建设，草原草场生态保护、改良、利用及建设，渔业水产及水生生物资源保护与利用等方面的支出。</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24</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农林水支出（类）农业（款）其他农业支出（项）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指除上述项目以外其他用于农业方面的支出。</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25</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农林水支出（类）扶贫（款）农村基础设施建设（项）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指用于农村贫困地区镇村道路、住房、基本农田、水利设施、</w:t>
      </w:r>
      <w:r>
        <w:rPr>
          <w:rStyle w:val="20"/>
          <w:rFonts w:hint="default" w:ascii="仿宋_GB2312" w:hAnsi="仿宋_GB2312" w:eastAsia="仿宋_GB2312" w:cs="仿宋_GB2312"/>
          <w:b w:val="0"/>
          <w:color w:val="000000"/>
          <w:sz w:val="32"/>
          <w:szCs w:val="32"/>
          <w:highlight w:val="none"/>
        </w:rPr>
        <w:t>人畜饮水</w:t>
      </w:r>
      <w:r>
        <w:rPr>
          <w:rStyle w:val="20"/>
          <w:rFonts w:hint="eastAsia" w:ascii="仿宋_GB2312" w:hAnsi="仿宋_GB2312" w:eastAsia="仿宋_GB2312" w:cs="仿宋_GB2312"/>
          <w:b w:val="0"/>
          <w:color w:val="000000"/>
          <w:sz w:val="32"/>
          <w:szCs w:val="32"/>
          <w:highlight w:val="none"/>
        </w:rPr>
        <w:t>、生态环境保护等生产生活条件改善方面的支出。</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26</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农林水支出（类）扶贫（款）其他扶贫支出（项）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指农业综合开发部门的其他支出。</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27</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农林水支出（类）农村综合改革（款）对村委会和村党支部的补助（项）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指对村民委员会和对村党支部的补助支出，以及支持建立县级基本财力保障机制安排的村级组织运转奖补资金。</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28</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农林水支出（类）其他农林水支出（款）其他农林水支出（项）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指除上述项目以外其他用于农林水方面的支出。</w:t>
      </w:r>
    </w:p>
    <w:p>
      <w:pPr>
        <w:spacing w:line="576" w:lineRule="atLeast"/>
        <w:ind w:firstLine="640" w:firstLineChars="200"/>
        <w:rPr>
          <w:rFonts w:ascii="仿宋_GB2312" w:hAnsi="仿宋_GB2312" w:eastAsia="仿宋_GB2312"/>
          <w:color w:val="000000"/>
          <w:sz w:val="32"/>
          <w:szCs w:val="32"/>
          <w:highlight w:val="none"/>
        </w:rPr>
      </w:pPr>
      <w:r>
        <w:rPr>
          <w:rStyle w:val="20"/>
          <w:rFonts w:hint="eastAsia" w:ascii="仿宋_GB2312" w:hAnsi="仿宋_GB2312" w:eastAsia="仿宋_GB2312" w:cs="仿宋_GB2312"/>
          <w:b w:val="0"/>
          <w:color w:val="000000"/>
          <w:sz w:val="32"/>
          <w:szCs w:val="32"/>
          <w:highlight w:val="none"/>
        </w:rPr>
        <w:t>29</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住房保障支出（类）住房改革支出（款）住房公积金（项）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w:t>
      </w:r>
      <w:r>
        <w:rPr>
          <w:rFonts w:hint="eastAsia" w:ascii="仿宋_GB2312" w:hAnsi="仿宋_GB2312" w:eastAsia="仿宋_GB2312" w:cs="仿宋_GB2312"/>
          <w:color w:val="000000"/>
          <w:kern w:val="0"/>
          <w:sz w:val="32"/>
          <w:szCs w:val="32"/>
          <w:highlight w:val="none"/>
        </w:rPr>
        <w:t>反映行政事业单位按规定为职工缴纳的住房公积金</w:t>
      </w:r>
      <w:r>
        <w:rPr>
          <w:rStyle w:val="20"/>
          <w:rFonts w:hint="eastAsia" w:ascii="仿宋_GB2312" w:hAnsi="仿宋_GB2312" w:eastAsia="仿宋_GB2312" w:cs="仿宋_GB2312"/>
          <w:b w:val="0"/>
          <w:color w:val="000000"/>
          <w:sz w:val="32"/>
          <w:szCs w:val="32"/>
          <w:highlight w:val="none"/>
        </w:rPr>
        <w:t>。</w:t>
      </w:r>
    </w:p>
    <w:p>
      <w:pPr>
        <w:spacing w:line="576" w:lineRule="atLeast"/>
        <w:ind w:firstLine="640" w:firstLineChars="200"/>
        <w:rPr>
          <w:rFonts w:ascii="仿宋_GB2312" w:eastAsia="仿宋_GB2312"/>
          <w:color w:val="000000"/>
          <w:sz w:val="32"/>
          <w:szCs w:val="32"/>
          <w:highlight w:val="none"/>
        </w:rPr>
      </w:pPr>
      <w:r>
        <w:rPr>
          <w:rFonts w:hint="eastAsia" w:ascii="仿宋_GB2312" w:eastAsia="仿宋_GB2312" w:cs="仿宋_GB2312"/>
          <w:color w:val="000000"/>
          <w:sz w:val="32"/>
          <w:szCs w:val="32"/>
          <w:highlight w:val="none"/>
        </w:rPr>
        <w:t>30</w:t>
      </w:r>
      <w:r>
        <w:rPr>
          <w:rFonts w:ascii="仿宋_GB2312" w:eastAsia="仿宋_GB2312" w:cs="仿宋_GB2312"/>
          <w:color w:val="000000"/>
          <w:sz w:val="32"/>
          <w:szCs w:val="32"/>
          <w:highlight w:val="none"/>
        </w:rPr>
        <w:t>.</w:t>
      </w:r>
      <w:r>
        <w:rPr>
          <w:rFonts w:hint="eastAsia" w:ascii="仿宋_GB2312" w:eastAsia="仿宋_GB2312" w:cs="仿宋_GB2312"/>
          <w:color w:val="000000"/>
          <w:sz w:val="32"/>
          <w:szCs w:val="32"/>
          <w:highlight w:val="none"/>
        </w:rPr>
        <w:t>基本支出：指为保障机构正常运转、完成日常工作任务而发生的人员支出和公用支出。</w:t>
      </w:r>
    </w:p>
    <w:p>
      <w:pPr>
        <w:spacing w:line="576" w:lineRule="atLeast"/>
        <w:ind w:firstLine="640" w:firstLineChars="200"/>
        <w:rPr>
          <w:rFonts w:ascii="仿宋_GB2312" w:eastAsia="仿宋_GB2312"/>
          <w:color w:val="000000"/>
          <w:sz w:val="32"/>
          <w:szCs w:val="32"/>
          <w:highlight w:val="none"/>
        </w:rPr>
      </w:pPr>
      <w:r>
        <w:rPr>
          <w:rFonts w:hint="eastAsia" w:ascii="仿宋_GB2312" w:eastAsia="仿宋_GB2312" w:cs="仿宋_GB2312"/>
          <w:color w:val="000000"/>
          <w:sz w:val="32"/>
          <w:szCs w:val="32"/>
          <w:highlight w:val="none"/>
        </w:rPr>
        <w:t>31</w:t>
      </w:r>
      <w:r>
        <w:rPr>
          <w:rFonts w:ascii="仿宋_GB2312" w:eastAsia="仿宋_GB2312" w:cs="仿宋_GB2312"/>
          <w:color w:val="000000"/>
          <w:sz w:val="32"/>
          <w:szCs w:val="32"/>
          <w:highlight w:val="none"/>
        </w:rPr>
        <w:t>.</w:t>
      </w:r>
      <w:r>
        <w:rPr>
          <w:rFonts w:hint="eastAsia" w:ascii="仿宋_GB2312" w:eastAsia="仿宋_GB2312" w:cs="仿宋_GB2312"/>
          <w:color w:val="000000"/>
          <w:sz w:val="32"/>
          <w:szCs w:val="32"/>
          <w:highlight w:val="none"/>
        </w:rPr>
        <w:t>项目支出：指在基本支出之外为完成特定行政任务和事业发展目标所发生的支出。</w:t>
      </w:r>
    </w:p>
    <w:p>
      <w:pPr>
        <w:spacing w:line="576" w:lineRule="atLeast"/>
        <w:ind w:firstLine="640" w:firstLineChars="200"/>
        <w:rPr>
          <w:rFonts w:ascii="仿宋_GB2312" w:eastAsia="仿宋_GB2312"/>
          <w:color w:val="000000"/>
          <w:sz w:val="32"/>
          <w:szCs w:val="32"/>
          <w:highlight w:val="none"/>
        </w:rPr>
      </w:pPr>
      <w:r>
        <w:rPr>
          <w:rFonts w:hint="eastAsia" w:ascii="仿宋_GB2312" w:eastAsia="仿宋_GB2312" w:cs="仿宋_GB2312"/>
          <w:color w:val="000000"/>
          <w:sz w:val="32"/>
          <w:szCs w:val="32"/>
          <w:highlight w:val="none"/>
        </w:rPr>
        <w:t>32</w:t>
      </w:r>
      <w:r>
        <w:rPr>
          <w:rFonts w:ascii="仿宋_GB2312" w:eastAsia="仿宋_GB2312" w:cs="仿宋_GB2312"/>
          <w:color w:val="000000"/>
          <w:sz w:val="32"/>
          <w:szCs w:val="32"/>
          <w:highlight w:val="none"/>
        </w:rPr>
        <w:t>.</w:t>
      </w:r>
      <w:r>
        <w:rPr>
          <w:rFonts w:hint="eastAsia" w:ascii="仿宋_GB2312" w:eastAsia="仿宋_GB2312" w:cs="仿宋_GB2312"/>
          <w:color w:val="000000"/>
          <w:sz w:val="32"/>
          <w:szCs w:val="32"/>
          <w:highlight w:val="none"/>
        </w:rPr>
        <w:t>经营支出：指事业单位在专业业务活动及其辅助活动之外开展非独立核算经营活动发生的支出。</w:t>
      </w:r>
    </w:p>
    <w:p>
      <w:pPr>
        <w:pStyle w:val="24"/>
        <w:spacing w:line="576" w:lineRule="atLeast"/>
        <w:ind w:firstLine="640" w:firstLineChars="200"/>
        <w:jc w:val="both"/>
        <w:rPr>
          <w:rFonts w:ascii="仿宋_GB2312" w:eastAsia="仿宋_GB2312" w:cs="Times New Roman"/>
          <w:sz w:val="32"/>
          <w:szCs w:val="32"/>
          <w:highlight w:val="none"/>
        </w:rPr>
      </w:pPr>
      <w:r>
        <w:rPr>
          <w:rFonts w:hint="eastAsia" w:ascii="仿宋_GB2312" w:eastAsia="仿宋_GB2312" w:cs="仿宋_GB2312"/>
          <w:sz w:val="32"/>
          <w:szCs w:val="32"/>
          <w:highlight w:val="none"/>
        </w:rPr>
        <w:t>33</w:t>
      </w:r>
      <w:r>
        <w:rPr>
          <w:rFonts w:ascii="仿宋_GB2312" w:eastAsia="仿宋_GB2312" w:cs="仿宋_GB2312"/>
          <w:sz w:val="32"/>
          <w:szCs w:val="32"/>
          <w:highlight w:val="none"/>
        </w:rPr>
        <w:t>.</w:t>
      </w:r>
      <w:r>
        <w:rPr>
          <w:rFonts w:hint="eastAsia" w:ascii="仿宋_GB2312" w:eastAsia="仿宋_GB2312" w:cs="仿宋_GB2312"/>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bookmarkEnd w:id="64"/>
    <w:p>
      <w:pPr>
        <w:pageBreakBefore w:val="0"/>
        <w:widowControl w:val="0"/>
        <w:kinsoku/>
        <w:wordWrap/>
        <w:overflowPunct/>
        <w:topLinePunct w:val="0"/>
        <w:bidi w:val="0"/>
        <w:spacing w:line="576" w:lineRule="atLeast"/>
        <w:rPr>
          <w:rFonts w:hint="eastAsia" w:ascii="仿宋_GB2312" w:eastAsia="仿宋_GB2312"/>
          <w:sz w:val="32"/>
          <w:szCs w:val="32"/>
          <w:highlight w:val="none"/>
        </w:rPr>
      </w:pPr>
    </w:p>
    <w:p>
      <w:pPr>
        <w:pStyle w:val="13"/>
        <w:rPr>
          <w:highlight w:val="none"/>
        </w:rPr>
      </w:pPr>
    </w:p>
    <w:p>
      <w:pPr>
        <w:pStyle w:val="5"/>
        <w:jc w:val="center"/>
        <w:rPr>
          <w:rFonts w:ascii="黑体" w:eastAsia="黑体" w:cs="黑体"/>
          <w:b w:val="0"/>
          <w:bCs w:val="0"/>
          <w:highlight w:val="none"/>
        </w:rPr>
      </w:pPr>
      <w:bookmarkStart w:id="65" w:name="_Toc79163885"/>
      <w:bookmarkStart w:id="66" w:name="_Toc79163635"/>
      <w:bookmarkStart w:id="67" w:name="_Toc111208512"/>
      <w:bookmarkStart w:id="68" w:name="_Toc5449"/>
      <w:r>
        <w:rPr>
          <w:rFonts w:hint="eastAsia" w:ascii="黑体" w:eastAsia="黑体" w:cs="黑体"/>
          <w:b w:val="0"/>
          <w:bCs w:val="0"/>
          <w:highlight w:val="none"/>
        </w:rPr>
        <w:t>第五部分 附表</w:t>
      </w:r>
      <w:bookmarkEnd w:id="65"/>
      <w:bookmarkEnd w:id="66"/>
      <w:bookmarkEnd w:id="67"/>
      <w:bookmarkEnd w:id="68"/>
    </w:p>
    <w:p>
      <w:pPr>
        <w:pStyle w:val="6"/>
        <w:ind w:firstLine="640" w:firstLineChars="200"/>
        <w:rPr>
          <w:rFonts w:hint="eastAsia" w:ascii="黑体" w:eastAsia="黑体" w:cs="Times New Roman"/>
          <w:b w:val="0"/>
          <w:bCs w:val="0"/>
          <w:color w:val="000000"/>
          <w:highlight w:val="none"/>
        </w:rPr>
      </w:pPr>
      <w:bookmarkStart w:id="69" w:name="_Toc6701"/>
      <w:r>
        <w:rPr>
          <w:rFonts w:hint="eastAsia" w:ascii="黑体" w:eastAsia="黑体" w:cs="Times New Roman"/>
          <w:b w:val="0"/>
          <w:bCs w:val="0"/>
          <w:color w:val="000000"/>
          <w:highlight w:val="none"/>
        </w:rPr>
        <w:t>一、收入支出决算总表</w:t>
      </w:r>
      <w:bookmarkEnd w:id="69"/>
    </w:p>
    <w:p>
      <w:pPr>
        <w:pStyle w:val="6"/>
        <w:ind w:firstLine="640" w:firstLineChars="200"/>
        <w:rPr>
          <w:rFonts w:hint="eastAsia" w:ascii="黑体" w:eastAsia="黑体" w:cs="Times New Roman"/>
          <w:b w:val="0"/>
          <w:bCs w:val="0"/>
          <w:color w:val="000000"/>
          <w:highlight w:val="none"/>
        </w:rPr>
      </w:pPr>
      <w:bookmarkStart w:id="70" w:name="_Toc5703"/>
      <w:r>
        <w:rPr>
          <w:rFonts w:hint="eastAsia" w:ascii="黑体" w:eastAsia="黑体" w:cs="Times New Roman"/>
          <w:b w:val="0"/>
          <w:bCs w:val="0"/>
          <w:color w:val="000000"/>
          <w:highlight w:val="none"/>
        </w:rPr>
        <w:t>二、收入决算表</w:t>
      </w:r>
      <w:bookmarkEnd w:id="70"/>
    </w:p>
    <w:p>
      <w:pPr>
        <w:pStyle w:val="6"/>
        <w:ind w:firstLine="640" w:firstLineChars="200"/>
        <w:rPr>
          <w:rFonts w:hint="eastAsia" w:ascii="黑体" w:eastAsia="黑体" w:cs="Times New Roman"/>
          <w:b w:val="0"/>
          <w:bCs w:val="0"/>
          <w:color w:val="000000"/>
          <w:highlight w:val="none"/>
        </w:rPr>
      </w:pPr>
      <w:bookmarkStart w:id="71" w:name="_Toc7252"/>
      <w:r>
        <w:rPr>
          <w:rFonts w:hint="eastAsia" w:ascii="黑体" w:eastAsia="黑体" w:cs="Times New Roman"/>
          <w:b w:val="0"/>
          <w:bCs w:val="0"/>
          <w:color w:val="000000"/>
          <w:highlight w:val="none"/>
        </w:rPr>
        <w:t>三、支出决算表</w:t>
      </w:r>
      <w:bookmarkEnd w:id="71"/>
    </w:p>
    <w:p>
      <w:pPr>
        <w:pStyle w:val="6"/>
        <w:ind w:firstLine="640" w:firstLineChars="200"/>
        <w:rPr>
          <w:rFonts w:hint="eastAsia" w:ascii="黑体" w:eastAsia="黑体" w:cs="Times New Roman"/>
          <w:b w:val="0"/>
          <w:bCs w:val="0"/>
          <w:color w:val="000000"/>
          <w:highlight w:val="none"/>
        </w:rPr>
      </w:pPr>
      <w:bookmarkStart w:id="72" w:name="_Toc2827"/>
      <w:r>
        <w:rPr>
          <w:rFonts w:hint="eastAsia" w:ascii="黑体" w:eastAsia="黑体" w:cs="Times New Roman"/>
          <w:b w:val="0"/>
          <w:bCs w:val="0"/>
          <w:color w:val="000000"/>
          <w:highlight w:val="none"/>
        </w:rPr>
        <w:t>四、财政拨款收入支出决算总表</w:t>
      </w:r>
      <w:bookmarkEnd w:id="72"/>
    </w:p>
    <w:p>
      <w:pPr>
        <w:pStyle w:val="6"/>
        <w:ind w:firstLine="640" w:firstLineChars="200"/>
        <w:rPr>
          <w:rFonts w:hint="eastAsia" w:ascii="黑体" w:eastAsia="黑体" w:cs="Times New Roman"/>
          <w:b w:val="0"/>
          <w:bCs w:val="0"/>
          <w:color w:val="000000"/>
          <w:highlight w:val="none"/>
        </w:rPr>
      </w:pPr>
      <w:bookmarkStart w:id="73" w:name="_Toc11388"/>
      <w:r>
        <w:rPr>
          <w:rFonts w:hint="eastAsia" w:ascii="黑体" w:eastAsia="黑体" w:cs="Times New Roman"/>
          <w:b w:val="0"/>
          <w:bCs w:val="0"/>
          <w:color w:val="000000"/>
          <w:highlight w:val="none"/>
        </w:rPr>
        <w:t>五、财政拨款支出决算明细表</w:t>
      </w:r>
      <w:bookmarkEnd w:id="73"/>
    </w:p>
    <w:p>
      <w:pPr>
        <w:pStyle w:val="6"/>
        <w:ind w:firstLine="640" w:firstLineChars="200"/>
        <w:rPr>
          <w:rFonts w:hint="eastAsia" w:ascii="黑体" w:eastAsia="黑体" w:cs="Times New Roman"/>
          <w:b w:val="0"/>
          <w:bCs w:val="0"/>
          <w:color w:val="000000"/>
          <w:highlight w:val="none"/>
        </w:rPr>
      </w:pPr>
      <w:bookmarkStart w:id="74" w:name="_Toc28378"/>
      <w:r>
        <w:rPr>
          <w:rFonts w:hint="eastAsia" w:ascii="黑体" w:eastAsia="黑体" w:cs="Times New Roman"/>
          <w:b w:val="0"/>
          <w:bCs w:val="0"/>
          <w:color w:val="000000"/>
          <w:highlight w:val="none"/>
        </w:rPr>
        <w:t>六、一般公共预算财政拨款支出决算表</w:t>
      </w:r>
      <w:bookmarkEnd w:id="74"/>
    </w:p>
    <w:p>
      <w:pPr>
        <w:pStyle w:val="6"/>
        <w:ind w:firstLine="640" w:firstLineChars="200"/>
        <w:rPr>
          <w:rFonts w:hint="eastAsia" w:ascii="黑体" w:eastAsia="黑体" w:cs="Times New Roman"/>
          <w:b w:val="0"/>
          <w:bCs w:val="0"/>
          <w:color w:val="000000"/>
          <w:highlight w:val="none"/>
        </w:rPr>
      </w:pPr>
      <w:bookmarkStart w:id="75" w:name="_Toc9565"/>
      <w:r>
        <w:rPr>
          <w:rFonts w:hint="eastAsia" w:ascii="黑体" w:eastAsia="黑体" w:cs="Times New Roman"/>
          <w:b w:val="0"/>
          <w:bCs w:val="0"/>
          <w:color w:val="000000"/>
          <w:highlight w:val="none"/>
        </w:rPr>
        <w:t>七、一般公共预算财政拨款支出决算明细表</w:t>
      </w:r>
      <w:bookmarkEnd w:id="75"/>
    </w:p>
    <w:p>
      <w:pPr>
        <w:pStyle w:val="6"/>
        <w:ind w:firstLine="640" w:firstLineChars="200"/>
        <w:rPr>
          <w:rFonts w:hint="eastAsia" w:ascii="黑体" w:eastAsia="黑体" w:cs="Times New Roman"/>
          <w:b w:val="0"/>
          <w:bCs w:val="0"/>
          <w:color w:val="000000"/>
          <w:highlight w:val="none"/>
        </w:rPr>
      </w:pPr>
      <w:bookmarkStart w:id="76" w:name="_Toc29675"/>
      <w:r>
        <w:rPr>
          <w:rFonts w:hint="eastAsia" w:ascii="黑体" w:eastAsia="黑体" w:cs="Times New Roman"/>
          <w:b w:val="0"/>
          <w:bCs w:val="0"/>
          <w:color w:val="000000"/>
          <w:highlight w:val="none"/>
        </w:rPr>
        <w:t>八、一般公共预算财政拨款基本支出决算表</w:t>
      </w:r>
      <w:bookmarkEnd w:id="76"/>
    </w:p>
    <w:p>
      <w:pPr>
        <w:pStyle w:val="6"/>
        <w:ind w:firstLine="640" w:firstLineChars="200"/>
        <w:rPr>
          <w:rFonts w:hint="eastAsia" w:ascii="黑体" w:eastAsia="黑体" w:cs="Times New Roman"/>
          <w:b w:val="0"/>
          <w:bCs w:val="0"/>
          <w:color w:val="000000"/>
          <w:highlight w:val="none"/>
        </w:rPr>
      </w:pPr>
      <w:bookmarkStart w:id="77" w:name="_Toc12590"/>
      <w:r>
        <w:rPr>
          <w:rFonts w:hint="eastAsia" w:ascii="黑体" w:eastAsia="黑体" w:cs="Times New Roman"/>
          <w:b w:val="0"/>
          <w:bCs w:val="0"/>
          <w:color w:val="000000"/>
          <w:highlight w:val="none"/>
        </w:rPr>
        <w:t>九、一般公共预算财政拨款项目支出决算表</w:t>
      </w:r>
      <w:bookmarkEnd w:id="77"/>
    </w:p>
    <w:p>
      <w:pPr>
        <w:pStyle w:val="6"/>
        <w:ind w:firstLine="640" w:firstLineChars="200"/>
        <w:rPr>
          <w:rFonts w:hint="eastAsia" w:ascii="黑体" w:eastAsia="黑体" w:cs="Times New Roman"/>
          <w:b w:val="0"/>
          <w:bCs w:val="0"/>
          <w:color w:val="000000"/>
          <w:highlight w:val="none"/>
        </w:rPr>
      </w:pPr>
      <w:bookmarkStart w:id="78" w:name="_Toc16652"/>
      <w:r>
        <w:rPr>
          <w:rFonts w:hint="eastAsia" w:ascii="黑体" w:eastAsia="黑体" w:cs="Times New Roman"/>
          <w:b w:val="0"/>
          <w:bCs w:val="0"/>
          <w:color w:val="000000"/>
          <w:highlight w:val="none"/>
        </w:rPr>
        <w:t>十、政府性基金预算财政拨款收入支出决算表</w:t>
      </w:r>
      <w:bookmarkEnd w:id="78"/>
    </w:p>
    <w:p>
      <w:pPr>
        <w:pStyle w:val="6"/>
        <w:ind w:firstLine="640" w:firstLineChars="200"/>
        <w:rPr>
          <w:rFonts w:hint="eastAsia" w:ascii="黑体" w:eastAsia="黑体" w:cs="Times New Roman"/>
          <w:b w:val="0"/>
          <w:bCs w:val="0"/>
          <w:color w:val="000000"/>
          <w:highlight w:val="none"/>
        </w:rPr>
      </w:pPr>
      <w:bookmarkStart w:id="79" w:name="_Toc13104"/>
      <w:r>
        <w:rPr>
          <w:rFonts w:hint="eastAsia" w:ascii="黑体" w:eastAsia="黑体" w:cs="Times New Roman"/>
          <w:b w:val="0"/>
          <w:bCs w:val="0"/>
          <w:color w:val="000000"/>
          <w:highlight w:val="none"/>
        </w:rPr>
        <w:t>十一、国有资本经营预算财政拨款收入支出决算表</w:t>
      </w:r>
      <w:bookmarkEnd w:id="79"/>
    </w:p>
    <w:p>
      <w:pPr>
        <w:pStyle w:val="6"/>
        <w:ind w:firstLine="640" w:firstLineChars="200"/>
        <w:rPr>
          <w:rFonts w:hint="eastAsia" w:ascii="黑体" w:eastAsia="黑体" w:cs="Times New Roman"/>
          <w:b w:val="0"/>
          <w:bCs w:val="0"/>
          <w:color w:val="000000"/>
          <w:highlight w:val="none"/>
        </w:rPr>
      </w:pPr>
      <w:bookmarkStart w:id="80" w:name="_Toc19837"/>
      <w:r>
        <w:rPr>
          <w:rFonts w:hint="eastAsia" w:ascii="黑体" w:eastAsia="黑体" w:cs="Times New Roman"/>
          <w:b w:val="0"/>
          <w:bCs w:val="0"/>
          <w:color w:val="000000"/>
          <w:highlight w:val="none"/>
        </w:rPr>
        <w:t>十二、国有资本经营预算财政拨款支出决算表</w:t>
      </w:r>
      <w:bookmarkEnd w:id="80"/>
    </w:p>
    <w:p>
      <w:pPr>
        <w:pStyle w:val="6"/>
        <w:ind w:firstLine="640" w:firstLineChars="200"/>
        <w:rPr>
          <w:rFonts w:ascii="黑体" w:eastAsia="黑体" w:cs="Times New Roman"/>
          <w:b w:val="0"/>
          <w:bCs w:val="0"/>
          <w:color w:val="000000"/>
          <w:highlight w:val="none"/>
        </w:rPr>
      </w:pPr>
      <w:bookmarkStart w:id="81" w:name="_Toc27290"/>
      <w:r>
        <w:rPr>
          <w:rFonts w:hint="eastAsia" w:ascii="黑体" w:eastAsia="黑体" w:cs="Times New Roman"/>
          <w:b w:val="0"/>
          <w:bCs w:val="0"/>
          <w:color w:val="000000"/>
          <w:highlight w:val="none"/>
        </w:rPr>
        <w:t>十三、财政拨款“三公”经费支出决算表</w:t>
      </w:r>
      <w:bookmarkEnd w:id="81"/>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Lucida Sans">
    <w:altName w:val="Noto Naskh Arabic"/>
    <w:panose1 w:val="020B0602030504020204"/>
    <w:charset w:val="01"/>
    <w:family w:val="auto"/>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3"/>
          <w:jc w:val="center"/>
        </w:pPr>
        <w:r>
          <w:fldChar w:fldCharType="begin"/>
        </w:r>
        <w:r>
          <w:instrText xml:space="preserve">PAGE   \* MERGEFORMAT</w:instrText>
        </w:r>
        <w:r>
          <w:fldChar w:fldCharType="separate"/>
        </w:r>
        <w:r>
          <w:rPr>
            <w:lang w:val="zh-CN"/>
          </w:rPr>
          <w:t>4</w:t>
        </w:r>
        <w: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
  <w:docVars>
    <w:docVar w:name="commondata" w:val="eyJoZGlkIjoiNTNkMGQ3MDkyOTg0ZDZiNWRhOGE4ZTg3NzZmZDIzZDAifQ=="/>
  </w:docVars>
  <w:rsids>
    <w:rsidRoot w:val="00000000"/>
    <w:rsid w:val="01680E90"/>
    <w:rsid w:val="020C0D02"/>
    <w:rsid w:val="06C82460"/>
    <w:rsid w:val="08F03392"/>
    <w:rsid w:val="092D6E22"/>
    <w:rsid w:val="0B292074"/>
    <w:rsid w:val="0BD460C1"/>
    <w:rsid w:val="0C5502A8"/>
    <w:rsid w:val="170F0A7C"/>
    <w:rsid w:val="1A493575"/>
    <w:rsid w:val="1CEB6DC6"/>
    <w:rsid w:val="1D322F3A"/>
    <w:rsid w:val="22693B00"/>
    <w:rsid w:val="2427248B"/>
    <w:rsid w:val="252C5398"/>
    <w:rsid w:val="26017B86"/>
    <w:rsid w:val="28FB3E89"/>
    <w:rsid w:val="2E3C636A"/>
    <w:rsid w:val="2F145784"/>
    <w:rsid w:val="32002097"/>
    <w:rsid w:val="3BF77BDA"/>
    <w:rsid w:val="3F3C54DB"/>
    <w:rsid w:val="40127E7D"/>
    <w:rsid w:val="431F0CA0"/>
    <w:rsid w:val="445F4429"/>
    <w:rsid w:val="4CD751C3"/>
    <w:rsid w:val="4E542903"/>
    <w:rsid w:val="4FDE113D"/>
    <w:rsid w:val="52196286"/>
    <w:rsid w:val="59F7625F"/>
    <w:rsid w:val="5AA72802"/>
    <w:rsid w:val="5D094A6B"/>
    <w:rsid w:val="5D316DAF"/>
    <w:rsid w:val="5EC73BB2"/>
    <w:rsid w:val="60653B68"/>
    <w:rsid w:val="6C7C5D3F"/>
    <w:rsid w:val="6D393A92"/>
    <w:rsid w:val="6EB10CA6"/>
    <w:rsid w:val="71862CD7"/>
    <w:rsid w:val="774D408F"/>
    <w:rsid w:val="77560441"/>
    <w:rsid w:val="D5FFB5E6"/>
    <w:rsid w:val="FF32DE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0"/>
    <w:pPr>
      <w:keepNext/>
      <w:keepLines/>
      <w:widowControl w:val="0"/>
      <w:spacing w:before="340" w:after="330" w:line="578" w:lineRule="auto"/>
      <w:outlineLvl w:val="0"/>
    </w:pPr>
    <w:rPr>
      <w:b/>
      <w:bCs/>
      <w:kern w:val="44"/>
      <w:sz w:val="44"/>
      <w:szCs w:val="44"/>
    </w:rPr>
  </w:style>
  <w:style w:type="paragraph" w:styleId="6">
    <w:name w:val="heading 2"/>
    <w:basedOn w:val="1"/>
    <w:next w:val="1"/>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7">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9">
    <w:name w:val="Default Paragraph Font"/>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Normal Indent"/>
    <w:basedOn w:val="1"/>
    <w:qFormat/>
    <w:uiPriority w:val="0"/>
    <w:pPr>
      <w:ind w:firstLine="680"/>
    </w:pPr>
  </w:style>
  <w:style w:type="paragraph" w:styleId="9">
    <w:name w:val="annotation text"/>
    <w:basedOn w:val="1"/>
    <w:qFormat/>
    <w:uiPriority w:val="0"/>
    <w:pPr>
      <w:jc w:val="left"/>
    </w:pPr>
  </w:style>
  <w:style w:type="paragraph" w:styleId="10">
    <w:name w:val="Body Text"/>
    <w:basedOn w:val="1"/>
    <w:qFormat/>
    <w:uiPriority w:val="0"/>
    <w:pPr>
      <w:spacing w:before="30" w:beforeLines="30"/>
    </w:pPr>
    <w:rPr>
      <w:rFonts w:ascii="仿宋_GB2312" w:eastAsia="仿宋_GB2312"/>
      <w:kern w:val="0"/>
      <w:sz w:val="30"/>
    </w:rPr>
  </w:style>
  <w:style w:type="paragraph" w:styleId="11">
    <w:name w:val="toc 3"/>
    <w:basedOn w:val="1"/>
    <w:next w:val="1"/>
    <w:qFormat/>
    <w:uiPriority w:val="0"/>
    <w:pPr>
      <w:tabs>
        <w:tab w:val="right" w:leader="dot" w:pos="8296"/>
      </w:tabs>
      <w:ind w:left="400" w:leftChars="400"/>
    </w:p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qFormat/>
    <w:uiPriority w:val="0"/>
    <w:pPr>
      <w:tabs>
        <w:tab w:val="right" w:leader="dot" w:pos="8296"/>
      </w:tabs>
      <w:spacing w:before="93"/>
      <w:jc w:val="center"/>
    </w:pPr>
    <w:rPr>
      <w:rFonts w:ascii="仿宋" w:eastAsia="仿宋"/>
      <w:sz w:val="28"/>
      <w:szCs w:val="28"/>
    </w:rPr>
  </w:style>
  <w:style w:type="paragraph" w:styleId="16">
    <w:name w:val="table of figures"/>
    <w:basedOn w:val="1"/>
    <w:next w:val="1"/>
    <w:qFormat/>
    <w:uiPriority w:val="0"/>
    <w:pPr>
      <w:ind w:left="400" w:leftChars="200" w:hanging="200" w:hangingChars="200"/>
    </w:pPr>
  </w:style>
  <w:style w:type="paragraph" w:styleId="17">
    <w:name w:val="toc 2"/>
    <w:basedOn w:val="1"/>
    <w:next w:val="1"/>
    <w:qFormat/>
    <w:uiPriority w:val="0"/>
    <w:pPr>
      <w:tabs>
        <w:tab w:val="right" w:leader="dot" w:pos="8296"/>
      </w:tabs>
      <w:ind w:left="200" w:leftChars="200"/>
    </w:p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styleId="22">
    <w:name w:val="annotation reference"/>
    <w:basedOn w:val="19"/>
    <w:qFormat/>
    <w:uiPriority w:val="0"/>
    <w:rPr>
      <w:sz w:val="21"/>
      <w:szCs w:val="21"/>
    </w:rPr>
  </w:style>
  <w:style w:type="character" w:customStyle="1" w:styleId="23">
    <w:name w:val="heading 1 Char"/>
    <w:basedOn w:val="19"/>
    <w:link w:val="5"/>
    <w:qFormat/>
    <w:uiPriority w:val="0"/>
    <w:rPr>
      <w:rFonts w:ascii="Times New Roman" w:hAnsi="Times New Roman" w:eastAsia="宋体" w:cs="Times New Roman"/>
      <w:b/>
      <w:bCs/>
      <w:kern w:val="44"/>
      <w:sz w:val="44"/>
      <w:szCs w:val="44"/>
      <w:lang w:val="en-US" w:eastAsia="zh-CN" w:bidi="ar-SA"/>
    </w:rPr>
  </w:style>
  <w:style w:type="paragraph" w:customStyle="1" w:styleId="24">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5">
    <w:name w:val="Header Char"/>
    <w:basedOn w:val="19"/>
    <w:qFormat/>
    <w:uiPriority w:val="0"/>
    <w:rPr>
      <w:rFonts w:ascii="Times New Roman" w:hAnsi="Times New Roman"/>
      <w:sz w:val="18"/>
      <w:szCs w:val="18"/>
    </w:rPr>
  </w:style>
  <w:style w:type="character" w:customStyle="1" w:styleId="26">
    <w:name w:val="Footer Char"/>
    <w:basedOn w:val="19"/>
    <w:qFormat/>
    <w:uiPriority w:val="0"/>
    <w:rPr>
      <w:rFonts w:ascii="Times New Roman" w:hAnsi="Times New Roman"/>
      <w:sz w:val="18"/>
      <w:szCs w:val="18"/>
    </w:rPr>
  </w:style>
  <w:style w:type="character" w:customStyle="1" w:styleId="27">
    <w:name w:val="Body Text Char"/>
    <w:basedOn w:val="19"/>
    <w:qFormat/>
    <w:uiPriority w:val="0"/>
    <w:rPr>
      <w:rFonts w:ascii="Times New Roman" w:hAnsi="Times New Roman"/>
      <w:szCs w:val="24"/>
    </w:rPr>
  </w:style>
  <w:style w:type="paragraph" w:styleId="28">
    <w:name w:val="List Paragraph"/>
    <w:basedOn w:val="1"/>
    <w:qFormat/>
    <w:uiPriority w:val="0"/>
    <w:pPr>
      <w:ind w:firstLine="200" w:firstLineChars="200"/>
    </w:pPr>
  </w:style>
  <w:style w:type="paragraph" w:customStyle="1" w:styleId="29">
    <w:name w:val="TOC 标题1"/>
    <w:basedOn w:val="5"/>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character" w:customStyle="1" w:styleId="30">
    <w:name w:val="标题 1 字符"/>
    <w:basedOn w:val="19"/>
    <w:link w:val="5"/>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收、支决算总计变动情况表</a:t>
            </a:r>
          </a:p>
          <a:p>
            <a:pPr defTabSz="914400">
              <a:defRPr lang="zh-CN" sz="1400" b="1" i="0" u="none" strike="noStrike" kern="1200" baseline="0">
                <a:solidFill>
                  <a:schemeClr val="dk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收、支决算总计变动情况图</c:v>
                </c:pt>
              </c:strCache>
            </c:strRef>
          </c:tx>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Sheet1!$A$2:$A$3</c:f>
              <c:strCache>
                <c:ptCount val="2"/>
                <c:pt idx="0">
                  <c:v>2023年</c:v>
                </c:pt>
                <c:pt idx="1">
                  <c:v>2024年</c:v>
                </c:pt>
              </c:strCache>
            </c:strRef>
          </c:cat>
          <c:val>
            <c:numRef>
              <c:f>Sheet1!$B$2:$B$3</c:f>
              <c:numCache>
                <c:formatCode>General</c:formatCode>
                <c:ptCount val="2"/>
                <c:pt idx="0">
                  <c:v>244.05</c:v>
                </c:pt>
                <c:pt idx="1">
                  <c:v>265.24</c:v>
                </c:pt>
              </c:numCache>
            </c:numRef>
          </c:val>
        </c:ser>
        <c:dLbls>
          <c:showLegendKey val="0"/>
          <c:showVal val="1"/>
          <c:showCatName val="0"/>
          <c:showSerName val="0"/>
          <c:showPercent val="0"/>
          <c:showBubbleSize val="0"/>
        </c:dLbls>
        <c:gapWidth val="500"/>
        <c:overlap val="100"/>
        <c:axId val="996309692"/>
        <c:axId val="753378695"/>
      </c:barChart>
      <c:catAx>
        <c:axId val="996309692"/>
        <c:scaling>
          <c:orientation val="minMax"/>
        </c:scaling>
        <c:delete val="0"/>
        <c:axPos val="b"/>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753378695"/>
        <c:crosses val="autoZero"/>
        <c:auto val="1"/>
        <c:lblAlgn val="ctr"/>
        <c:lblOffset val="100"/>
        <c:noMultiLvlLbl val="0"/>
      </c:catAx>
      <c:valAx>
        <c:axId val="75337869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9963096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Times New Roman" panose="02020603050405020304"/>
                <a:ea typeface="宋体" charset="-122"/>
                <a:cs typeface="Lucida Sans" panose="020B0602030504020204"/>
              </a:defRPr>
            </a:pPr>
            <a:r>
              <a:rPr lang="zh-CN"/>
              <a:t>收入决算结构图</a:t>
            </a:r>
            <a:endParaRPr lang="zh-CN"/>
          </a:p>
        </c:rich>
      </c:tx>
      <c:layout/>
      <c:overlay val="0"/>
      <c:spPr>
        <a:ln>
          <a:noFill/>
        </a:ln>
      </c:spPr>
    </c:title>
    <c:autoTitleDeleted val="0"/>
    <c:plotArea>
      <c:layout/>
      <c:pieChart>
        <c:varyColors val="1"/>
        <c:ser>
          <c:idx val="1"/>
          <c:order val="0"/>
          <c:spPr>
            <a:solidFill>
              <a:srgbClr val="C0504D"/>
            </a:solidFill>
            <a:ln>
              <a:noFill/>
            </a:ln>
          </c:spPr>
          <c:explosion val="0"/>
          <c:dPt>
            <c:idx val="0"/>
            <c:bubble3D val="0"/>
            <c:spPr>
              <a:solidFill>
                <a:srgbClr val="4572A7"/>
              </a:solidFill>
              <a:ln>
                <a:noFill/>
              </a:ln>
            </c:spPr>
          </c:dPt>
          <c:dPt>
            <c:idx val="1"/>
            <c:bubble3D val="0"/>
            <c:spPr>
              <a:solidFill>
                <a:srgbClr val="AA4643"/>
              </a:solidFill>
              <a:ln>
                <a:noFill/>
              </a:ln>
            </c:spPr>
          </c:dPt>
          <c:dPt>
            <c:idx val="2"/>
            <c:bubble3D val="0"/>
            <c:spPr>
              <a:solidFill>
                <a:srgbClr val="89A54E"/>
              </a:solidFill>
              <a:ln>
                <a:noFill/>
              </a:ln>
            </c:spPr>
          </c:dPt>
          <c:dPt>
            <c:idx val="3"/>
            <c:bubble3D val="0"/>
            <c:spPr>
              <a:solidFill>
                <a:srgbClr val="71588F"/>
              </a:solidFill>
              <a:ln>
                <a:noFill/>
              </a:ln>
            </c:spPr>
          </c:dPt>
          <c:dPt>
            <c:idx val="4"/>
            <c:bubble3D val="0"/>
            <c:spPr>
              <a:solidFill>
                <a:srgbClr val="4198AF"/>
              </a:solidFill>
              <a:ln>
                <a:noFill/>
              </a:ln>
            </c:spPr>
          </c:dPt>
          <c:dPt>
            <c:idx val="5"/>
            <c:bubble3D val="0"/>
            <c:spPr>
              <a:solidFill>
                <a:srgbClr val="DB843D"/>
              </a:solidFill>
              <a:ln>
                <a:noFill/>
              </a:ln>
            </c:spPr>
          </c:dPt>
          <c:dPt>
            <c:idx val="6"/>
            <c:bubble3D val="0"/>
            <c:spPr>
              <a:solidFill>
                <a:srgbClr val="93A9CF"/>
              </a:solidFill>
              <a:ln>
                <a:noFill/>
              </a:ln>
            </c:spPr>
          </c:dPt>
          <c:dPt>
            <c:idx val="7"/>
            <c:bubble3D val="0"/>
            <c:spPr>
              <a:solidFill>
                <a:srgbClr val="D19392"/>
              </a:solidFill>
              <a:ln>
                <a:noFill/>
              </a:ln>
            </c:spPr>
          </c:dPt>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charset="-122"/>
                    <a:cs typeface="Lucida Sans" panose="020B0602030504020204"/>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{6107287.36,0,0,0,0,0,0,0}</c:f>
              <c:numCache>
                <c:formatCode>General</c:formatCode>
                <c:ptCount val="8"/>
                <c:pt idx="0">
                  <c:v>6107287.36</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charset="-122"/>
              <a:cs typeface="Lucida Sans" panose="020B0602030504020204"/>
            </a:defRPr>
          </a:pPr>
        </a:p>
      </c:txPr>
    </c:legend>
    <c:plotVisOnly val="1"/>
    <c:dispBlanksAs val="zero"/>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charset="-122"/>
          <a:cs typeface="Lucida Sans" panose="020B0602030504020204"/>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265.24</c:v>
                </c:pt>
                <c:pt idx="1">
                  <c:v>0</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收、支决算总计变动情况表</a:t>
            </a:r>
          </a:p>
          <a:p>
            <a:pPr defTabSz="914400">
              <a:defRPr lang="zh-CN" sz="1400" b="1" i="0" u="none" strike="noStrike" kern="1200" baseline="0">
                <a:solidFill>
                  <a:schemeClr val="dk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收、支决算总计变动情况图</c:v>
                </c:pt>
              </c:strCache>
            </c:strRef>
          </c:tx>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Sheet1!$A$2:$A$3</c:f>
              <c:strCache>
                <c:ptCount val="2"/>
                <c:pt idx="0">
                  <c:v>2023年</c:v>
                </c:pt>
                <c:pt idx="1">
                  <c:v>2024年</c:v>
                </c:pt>
              </c:strCache>
            </c:strRef>
          </c:cat>
          <c:val>
            <c:numRef>
              <c:f>Sheet1!$B$2:$B$3</c:f>
              <c:numCache>
                <c:formatCode>General</c:formatCode>
                <c:ptCount val="2"/>
                <c:pt idx="0">
                  <c:v>244.05</c:v>
                </c:pt>
                <c:pt idx="1">
                  <c:v>265.24</c:v>
                </c:pt>
              </c:numCache>
            </c:numRef>
          </c:val>
        </c:ser>
        <c:dLbls>
          <c:showLegendKey val="0"/>
          <c:showVal val="1"/>
          <c:showCatName val="0"/>
          <c:showSerName val="0"/>
          <c:showPercent val="0"/>
          <c:showBubbleSize val="0"/>
        </c:dLbls>
        <c:gapWidth val="500"/>
        <c:overlap val="100"/>
        <c:axId val="996309692"/>
        <c:axId val="753378695"/>
      </c:barChart>
      <c:catAx>
        <c:axId val="996309692"/>
        <c:scaling>
          <c:orientation val="minMax"/>
        </c:scaling>
        <c:delete val="0"/>
        <c:axPos val="b"/>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753378695"/>
        <c:crosses val="autoZero"/>
        <c:auto val="1"/>
        <c:lblAlgn val="ctr"/>
        <c:lblOffset val="100"/>
        <c:noMultiLvlLbl val="0"/>
      </c:catAx>
      <c:valAx>
        <c:axId val="75337869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9963096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manualLayout>
          <c:xMode val="edge"/>
          <c:yMode val="edge"/>
          <c:x val="0.210074897318193"/>
          <c:y val="0.0212494687632809"/>
        </c:manualLayout>
      </c:layout>
      <c:overlay val="0"/>
      <c:spPr>
        <a:noFill/>
        <a:ln>
          <a:noFill/>
        </a:ln>
        <a:effectLst/>
      </c:spPr>
    </c:title>
    <c:autoTitleDeleted val="0"/>
    <c:plotArea>
      <c:layout/>
      <c:barChart>
        <c:barDir val="col"/>
        <c:grouping val="clustered"/>
        <c:varyColors val="0"/>
        <c:ser>
          <c:idx val="2"/>
          <c:order val="0"/>
          <c:tx>
            <c:strRef>
              <c:f>Sheet1!$B$1</c:f>
              <c:strCache>
                <c:ptCount val="1"/>
                <c:pt idx="0">
                  <c:v>一般公共预算财政拨款支出决算变动情况图</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244.05</c:v>
                </c:pt>
                <c:pt idx="1">
                  <c:v>265.24</c:v>
                </c:pt>
              </c:numCache>
            </c:numRef>
          </c:val>
        </c:ser>
        <c:dLbls>
          <c:showLegendKey val="0"/>
          <c:showVal val="1"/>
          <c:showCatName val="0"/>
          <c:showSerName val="0"/>
          <c:showPercent val="0"/>
          <c:showBubbleSize val="0"/>
        </c:dLbls>
        <c:gapWidth val="246"/>
        <c:overlap val="-28"/>
        <c:axId val="277025957"/>
        <c:axId val="47227912"/>
      </c:barChart>
      <c:catAx>
        <c:axId val="27702595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227912"/>
        <c:crosses val="autoZero"/>
        <c:auto val="1"/>
        <c:lblAlgn val="ctr"/>
        <c:lblOffset val="100"/>
        <c:noMultiLvlLbl val="0"/>
      </c:catAx>
      <c:valAx>
        <c:axId val="4722791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702595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gradFill>
                <a:gsLst>
                  <a:gs pos="0">
                    <a:schemeClr val="accent1">
                      <a:hueOff val="-1670000"/>
                    </a:schemeClr>
                  </a:gs>
                  <a:gs pos="100000">
                    <a:schemeClr val="accent1"/>
                  </a:gs>
                </a:gsLst>
                <a:lin ang="5400000" scaled="0"/>
              </a:gradFill>
              <a:ln>
                <a:gradFill>
                  <a:gsLst>
                    <a:gs pos="0">
                      <a:schemeClr val="accent1">
                        <a:lumMod val="75000"/>
                        <a:hueOff val="-1670000"/>
                      </a:schemeClr>
                    </a:gs>
                    <a:gs pos="100000">
                      <a:schemeClr val="accent1">
                        <a:lumMod val="75000"/>
                      </a:schemeClr>
                    </a:gs>
                  </a:gsLst>
                  <a:lin ang="5400000" scaled="1"/>
                </a:gradFill>
              </a:ln>
              <a:effectLst/>
            </c:spPr>
          </c:dPt>
          <c:dPt>
            <c:idx val="1"/>
            <c:bubble3D val="0"/>
            <c:spPr>
              <a:gradFill>
                <a:gsLst>
                  <a:gs pos="0">
                    <a:schemeClr val="accent2">
                      <a:hueOff val="-1670000"/>
                    </a:schemeClr>
                  </a:gs>
                  <a:gs pos="100000">
                    <a:schemeClr val="accent2"/>
                  </a:gs>
                </a:gsLst>
                <a:lin ang="5400000" scaled="0"/>
              </a:gradFill>
              <a:ln>
                <a:gradFill>
                  <a:gsLst>
                    <a:gs pos="0">
                      <a:schemeClr val="accent2">
                        <a:lumMod val="75000"/>
                        <a:hueOff val="-1670000"/>
                      </a:schemeClr>
                    </a:gs>
                    <a:gs pos="100000">
                      <a:schemeClr val="accent2">
                        <a:lumMod val="75000"/>
                      </a:schemeClr>
                    </a:gs>
                  </a:gsLst>
                  <a:lin ang="5400000" scaled="1"/>
                </a:gradFill>
              </a:ln>
              <a:effectLst/>
            </c:spPr>
          </c:dPt>
          <c:dPt>
            <c:idx val="2"/>
            <c:bubble3D val="0"/>
            <c:spPr>
              <a:gradFill>
                <a:gsLst>
                  <a:gs pos="0">
                    <a:schemeClr val="accent3">
                      <a:hueOff val="-1670000"/>
                    </a:schemeClr>
                  </a:gs>
                  <a:gs pos="100000">
                    <a:schemeClr val="accent3"/>
                  </a:gs>
                </a:gsLst>
                <a:lin ang="5400000" scaled="0"/>
              </a:gradFill>
              <a:ln>
                <a:gradFill>
                  <a:gsLst>
                    <a:gs pos="0">
                      <a:schemeClr val="accent3">
                        <a:lumMod val="75000"/>
                        <a:hueOff val="-1670000"/>
                      </a:schemeClr>
                    </a:gs>
                    <a:gs pos="100000">
                      <a:schemeClr val="accent3">
                        <a:lumMod val="75000"/>
                      </a:schemeClr>
                    </a:gs>
                  </a:gsLst>
                  <a:lin ang="5400000" scaled="1"/>
                </a:gradFill>
              </a:ln>
              <a:effectLst/>
            </c:spPr>
          </c:dPt>
          <c:dPt>
            <c:idx val="3"/>
            <c:bubble3D val="0"/>
            <c:spPr>
              <a:gradFill>
                <a:gsLst>
                  <a:gs pos="0">
                    <a:schemeClr val="accent4">
                      <a:hueOff val="-1670000"/>
                    </a:schemeClr>
                  </a:gs>
                  <a:gs pos="100000">
                    <a:schemeClr val="accent4"/>
                  </a:gs>
                </a:gsLst>
                <a:lin ang="5400000" scaled="0"/>
              </a:gradFill>
              <a:ln>
                <a:gradFill>
                  <a:gsLst>
                    <a:gs pos="0">
                      <a:schemeClr val="accent4">
                        <a:lumMod val="75000"/>
                        <a:hueOff val="-1670000"/>
                      </a:schemeClr>
                    </a:gs>
                    <a:gs pos="100000">
                      <a:schemeClr val="accent4">
                        <a:lumMod val="75000"/>
                      </a:schemeClr>
                    </a:gs>
                  </a:gsLst>
                  <a:lin ang="5400000" scaled="1"/>
                </a:gradFill>
              </a:ln>
              <a:effectLst/>
            </c:spPr>
          </c:dPt>
          <c:dPt>
            <c:idx val="4"/>
            <c:bubble3D val="0"/>
            <c:spPr>
              <a:gradFill>
                <a:gsLst>
                  <a:gs pos="0">
                    <a:schemeClr val="accent5">
                      <a:hueOff val="-1670000"/>
                    </a:schemeClr>
                  </a:gs>
                  <a:gs pos="100000">
                    <a:schemeClr val="accent5"/>
                  </a:gs>
                </a:gsLst>
                <a:lin ang="5400000" scaled="0"/>
              </a:gradFill>
              <a:ln>
                <a:gradFill>
                  <a:gsLst>
                    <a:gs pos="0">
                      <a:schemeClr val="accent5">
                        <a:lumMod val="75000"/>
                        <a:hueOff val="-1670000"/>
                      </a:schemeClr>
                    </a:gs>
                    <a:gs pos="100000">
                      <a:schemeClr val="accent5">
                        <a:lumMod val="75000"/>
                      </a:schemeClr>
                    </a:gs>
                  </a:gsLst>
                  <a:lin ang="5400000" scaled="1"/>
                </a:gradFill>
              </a:ln>
              <a:effectLst/>
            </c:spPr>
          </c:dPt>
          <c:dPt>
            <c:idx val="5"/>
            <c:bubble3D val="0"/>
            <c:spPr>
              <a:gradFill>
                <a:gsLst>
                  <a:gs pos="0">
                    <a:schemeClr val="accent6">
                      <a:hueOff val="-1670000"/>
                    </a:schemeClr>
                  </a:gs>
                  <a:gs pos="100000">
                    <a:schemeClr val="accent6"/>
                  </a:gs>
                </a:gsLst>
                <a:lin ang="5400000" scaled="0"/>
              </a:gradFill>
              <a:ln>
                <a:gradFill>
                  <a:gsLst>
                    <a:gs pos="0">
                      <a:schemeClr val="accent6">
                        <a:lumMod val="75000"/>
                        <a:hueOff val="-1670000"/>
                      </a:schemeClr>
                    </a:gs>
                    <a:gs pos="100000">
                      <a:schemeClr val="accent6">
                        <a:lumMod val="75000"/>
                      </a:schemeClr>
                    </a:gs>
                  </a:gsLst>
                  <a:lin ang="5400000" scaled="1"/>
                </a:gra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231456873640976"/>
                  <c:y val="0.037611559711007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991785455424015"/>
                  <c:y val="0.17807054823629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30466296206813"/>
                  <c:y val="-0.12749681257968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77385841990819"/>
                      <c:h val="0.116234594135147"/>
                    </c:manualLayout>
                  </c15:layout>
                </c:ext>
              </c:extLst>
            </c:dLbl>
            <c:dLbl>
              <c:idx val="4"/>
              <c:layout>
                <c:manualLayout>
                  <c:x val="-0.16199565112346"/>
                  <c:y val="-0.0036124096897577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5"/>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00241604252234839"/>
                  <c:y val="0.072248193795155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6"/>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800193283401788"/>
                      <c:h val="0.140883977900552"/>
                    </c:manualLayout>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Sheet1!$A$2:$A$7</c:f>
              <c:strCache>
                <c:ptCount val="6"/>
                <c:pt idx="1">
                  <c:v>社会保障和就业（类）支出</c:v>
                </c:pt>
                <c:pt idx="2">
                  <c:v>卫生健康（类）支出</c:v>
                </c:pt>
                <c:pt idx="4">
                  <c:v>农林水（类）支出</c:v>
                </c:pt>
                <c:pt idx="5">
                  <c:v>住房保障（类）支出</c:v>
                </c:pt>
              </c:strCache>
            </c:strRef>
          </c:cat>
          <c:val>
            <c:numRef>
              <c:f>Sheet1!$B$2:$B$7</c:f>
              <c:numCache>
                <c:formatCode>General</c:formatCode>
                <c:ptCount val="6"/>
                <c:pt idx="1">
                  <c:v>35.91</c:v>
                </c:pt>
                <c:pt idx="2">
                  <c:v>14.46</c:v>
                </c:pt>
                <c:pt idx="4">
                  <c:v>194.09</c:v>
                </c:pt>
                <c:pt idx="5">
                  <c:v>20.79</c:v>
                </c:pt>
              </c:numCache>
            </c:numRef>
          </c:val>
        </c:ser>
        <c:dLbls>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Times New Roman" panose="02020603050405020304"/>
                <a:ea typeface="宋体" charset="-122"/>
                <a:cs typeface="Lucida Sans" panose="020B0602030504020204"/>
              </a:defRPr>
            </a:pPr>
            <a:r>
              <a:rPr lang="zh-CN"/>
              <a:t>三公经费</a:t>
            </a:r>
            <a:endParaRPr lang="zh-CN"/>
          </a:p>
        </c:rich>
      </c:tx>
      <c:layout/>
      <c:overlay val="0"/>
      <c:spPr>
        <a:noFill/>
        <a:ln>
          <a:noFill/>
        </a:ln>
        <a:effectLst/>
      </c:spPr>
    </c:title>
    <c:autoTitleDeleted val="0"/>
    <c:plotArea>
      <c:layout/>
      <c:pieChart>
        <c:varyColors val="1"/>
        <c:ser>
          <c:idx val="1"/>
          <c:order val="0"/>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Lbls>
            <c:dLbl>
              <c:idx val="1"/>
              <c:delete val="1"/>
            </c:dLbl>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charset="-122"/>
                    <a:cs typeface="Lucida Sans" panose="020B0602030504020204"/>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{0,5.14,0}</c:f>
              <c:numCache>
                <c:formatCode>General</c:formatCode>
                <c:ptCount val="3"/>
                <c:pt idx="0">
                  <c:v>0</c:v>
                </c:pt>
                <c:pt idx="1">
                  <c:v>5.14</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charset="-122"/>
              <a:cs typeface="Lucida Sans" panose="020B0602030504020204"/>
            </a:defRPr>
          </a:pPr>
        </a:p>
      </c:txPr>
    </c:legend>
    <c:plotVisOnly val="1"/>
    <c:dispBlanksAs val="zero"/>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lang="zh-CN" sz="1000" b="0" i="0" u="none" strike="noStrike" baseline="0">
          <a:solidFill>
            <a:srgbClr val="000000"/>
          </a:solidFill>
          <a:latin typeface="Times New Roman" panose="02020603050405020304"/>
          <a:ea typeface="宋体" charset="-122"/>
          <a:cs typeface="Lucida Sans" panose="020B0602030504020204"/>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5">
  <a:schemeClr val="accent2"/>
</cs:colorStyle>
</file>

<file path=word/charts/colors5.xml><?xml version="1.0" encoding="utf-8"?>
<cs:colorStyle xmlns:cs="http://schemas.microsoft.com/office/drawing/2012/chartStyle" xmlns:a="http://schemas.openxmlformats.org/drawingml/2006/main" meth="withinLinear" id="15">
  <a:schemeClr val="accent2"/>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090">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0"/>
      </a:gradFill>
      <a:ln>
        <a:gradFill>
          <a:gsLst>
            <a:gs pos="0">
              <a:schemeClr val="phClr">
                <a:lumMod val="75000"/>
                <a:hueOff val="-1670000"/>
              </a:scheme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16">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16">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17</Pages>
  <Words>5111</Words>
  <Characters>5554</Characters>
  <Lines>592</Lines>
  <Paragraphs>194</Paragraphs>
  <TotalTime>6</TotalTime>
  <ScaleCrop>false</ScaleCrop>
  <LinksUpToDate>false</LinksUpToDate>
  <CharactersWithSpaces>5612</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2023-08-19T15:28:00Z</dcterms:created>
  <dc:creator>pjf</dc:creator>
  <cp:lastModifiedBy>user</cp:lastModifiedBy>
  <cp:lastPrinted>2025-09-10T23:55:00Z</cp:lastPrinted>
  <dcterms:modified xsi:type="dcterms:W3CDTF">2026-05-19T09:56:16Z</dcterms:modified>
  <dc:title>四川省决算编制说明</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B93CA6F4BEAD4F359769D1203595D585</vt:lpwstr>
  </property>
  <property fmtid="{D5CDD505-2E9C-101B-9397-08002B2CF9AE}" pid="4" name="KSOTemplateDocerSaveRecord">
    <vt:lpwstr>eyJoZGlkIjoiYzFkY2M3Y2QxM2FjYzE0NWRiMDE4NGExMzJkNDBkNzciLCJ1c2VySWQiOiIyNjc2MjkwNjIifQ==</vt:lpwstr>
  </property>
</Properties>
</file>