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s="方正小标宋简体"/>
          <w:b/>
          <w:bCs/>
          <w:color w:val="000000"/>
          <w:sz w:val="44"/>
          <w:szCs w:val="44"/>
        </w:rPr>
      </w:pPr>
      <w:r>
        <w:rPr>
          <w:rFonts w:hint="eastAsia" w:ascii="方正小标宋简体" w:hAnsi="宋体" w:eastAsia="方正小标宋简体" w:cs="方正小标宋简体"/>
          <w:b/>
          <w:bCs/>
          <w:color w:val="000000"/>
          <w:sz w:val="44"/>
          <w:szCs w:val="44"/>
        </w:rPr>
        <w:t>茂县广播电视台</w:t>
      </w:r>
    </w:p>
    <w:p>
      <w:pPr>
        <w:spacing w:line="600" w:lineRule="exact"/>
        <w:jc w:val="center"/>
        <w:rPr>
          <w:rFonts w:ascii="方正小标宋简体" w:hAnsi="宋体" w:eastAsia="方正小标宋简体" w:cs="方正小标宋简体"/>
          <w:b/>
          <w:bCs/>
          <w:color w:val="000000"/>
          <w:sz w:val="44"/>
          <w:szCs w:val="44"/>
        </w:rPr>
      </w:pPr>
      <w:r>
        <w:rPr>
          <w:rFonts w:hint="eastAsia" w:ascii="方正小标宋简体" w:hAnsi="宋体" w:eastAsia="方正小标宋简体" w:cs="方正小标宋简体"/>
          <w:b/>
          <w:bCs/>
          <w:color w:val="000000"/>
          <w:sz w:val="44"/>
          <w:szCs w:val="44"/>
        </w:rPr>
        <w:t>2017年部门决算编制说明</w:t>
      </w:r>
    </w:p>
    <w:p>
      <w:pPr>
        <w:spacing w:line="600" w:lineRule="exact"/>
        <w:jc w:val="center"/>
        <w:rPr>
          <w:rFonts w:ascii="宋体" w:hAnsi="宋体" w:eastAsia="宋体" w:cs="宋体"/>
          <w:b/>
          <w:color w:val="000000"/>
          <w:sz w:val="32"/>
          <w:szCs w:val="32"/>
        </w:rPr>
      </w:pPr>
    </w:p>
    <w:p>
      <w:pPr>
        <w:spacing w:line="600" w:lineRule="exact"/>
        <w:ind w:firstLine="640" w:firstLineChars="200"/>
        <w:rPr>
          <w:rFonts w:ascii="黑体" w:hAnsi="Times New Roman" w:eastAsia="黑体" w:cs="黑体"/>
          <w:color w:val="000000"/>
          <w:sz w:val="32"/>
          <w:szCs w:val="32"/>
        </w:rPr>
      </w:pPr>
      <w:r>
        <w:rPr>
          <w:rFonts w:hint="eastAsia" w:ascii="黑体" w:hAnsi="Times New Roman" w:eastAsia="黑体" w:cs="黑体"/>
          <w:color w:val="000000"/>
          <w:sz w:val="32"/>
          <w:szCs w:val="32"/>
        </w:rPr>
        <w:t>一、基本职能及主要工作</w:t>
      </w:r>
    </w:p>
    <w:p>
      <w:pPr>
        <w:widowControl/>
        <w:spacing w:line="600" w:lineRule="exact"/>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（一）基本职能</w:t>
      </w:r>
    </w:p>
    <w:p>
      <w:pPr>
        <w:widowControl/>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1.认真贯彻、执行党和政府有关新闻宣传、电视文艺方针、政策、法律、法规，把握好全县广播电视舆论导向和文艺方向，在县委、县政府及主管部门的坚强领导下，对全县广播电视节目进行审查把关。</w:t>
      </w:r>
    </w:p>
    <w:p>
      <w:pPr>
        <w:widowControl/>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负责编制全县近期和中长期广播电视工作的目标、事业和技术发展的规划，并组织实施。负责全县广播电视传输网络的统一建设、经营管理和维护工作，负责广播电视网络多功能综合业务的开放与应用，扩大广播电视有效覆盖面。</w:t>
      </w:r>
    </w:p>
    <w:p>
      <w:pPr>
        <w:widowControl/>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3.承办全县广播电视广告宣传业务。</w:t>
      </w:r>
    </w:p>
    <w:p>
      <w:pPr>
        <w:widowControl/>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4.负责广播电视安全播出与设施设备的安全防范工作。按上级有关规定，完整转播传输中央、省、州广播电视节目。</w:t>
      </w:r>
    </w:p>
    <w:p>
      <w:pPr>
        <w:widowControl/>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5.承办县委、县政府和上级业务主管部门交办的其他事项。</w:t>
      </w:r>
    </w:p>
    <w:p>
      <w:pPr>
        <w:pStyle w:val="2"/>
        <w:widowControl/>
        <w:adjustRightInd w:val="0"/>
        <w:snapToGrid w:val="0"/>
        <w:spacing w:before="93" w:line="600" w:lineRule="exact"/>
        <w:ind w:firstLine="675" w:firstLineChars="210"/>
        <w:rPr>
          <w:rFonts w:hint="default" w:ascii="仿宋" w:hAnsi="仿宋" w:eastAsia="仿宋" w:cs="仿宋"/>
          <w:b/>
          <w:color w:val="000000"/>
          <w:sz w:val="32"/>
          <w:szCs w:val="32"/>
        </w:rPr>
      </w:pPr>
      <w:r>
        <w:rPr>
          <w:rFonts w:ascii="仿宋" w:hAnsi="仿宋" w:eastAsia="仿宋" w:cs="仿宋"/>
          <w:b/>
          <w:color w:val="000000"/>
          <w:sz w:val="32"/>
          <w:szCs w:val="32"/>
        </w:rPr>
        <w:t>（二）2017年重点工作完成情况</w:t>
      </w:r>
    </w:p>
    <w:p>
      <w:pPr>
        <w:ind w:firstLine="640"/>
        <w:rPr>
          <w:rFonts w:ascii="仿宋" w:hAnsi="仿宋" w:eastAsia="仿宋" w:cs="仿宋"/>
          <w:sz w:val="32"/>
          <w:szCs w:val="32"/>
        </w:rPr>
      </w:pPr>
      <w:r>
        <w:rPr>
          <w:rFonts w:hint="eastAsia" w:ascii="仿宋" w:hAnsi="仿宋" w:eastAsia="仿宋"/>
          <w:bCs/>
          <w:sz w:val="32"/>
          <w:szCs w:val="32"/>
        </w:rPr>
        <w:t>1.不断</w:t>
      </w:r>
      <w:r>
        <w:rPr>
          <w:rFonts w:hint="eastAsia" w:ascii="仿宋" w:hAnsi="仿宋" w:eastAsia="仿宋"/>
          <w:sz w:val="32"/>
          <w:szCs w:val="32"/>
        </w:rPr>
        <w:t>提高新闻宣传舆论引导水平，在不断丰富《茂县新闻》综合频道自办栏目的基础上，</w:t>
      </w:r>
      <w:r>
        <w:rPr>
          <w:rFonts w:hint="eastAsia" w:ascii="仿宋" w:hAnsi="仿宋" w:eastAsia="仿宋" w:cs="仿宋"/>
          <w:sz w:val="32"/>
          <w:szCs w:val="32"/>
        </w:rPr>
        <w:t>持续做好《茂县羌族频道》、FM98.9广播、“两微一端”平台建设，</w:t>
      </w:r>
      <w:r>
        <w:rPr>
          <w:rFonts w:hint="eastAsia" w:ascii="仿宋" w:hAnsi="仿宋" w:eastAsia="仿宋" w:cs="宋体"/>
          <w:color w:val="000000"/>
          <w:kern w:val="0"/>
          <w:sz w:val="32"/>
          <w:szCs w:val="32"/>
        </w:rPr>
        <w:t>使之成为全县人民喜闻乐见的品牌栏目，不断提高广播电视收看、收听率，</w:t>
      </w:r>
      <w:r>
        <w:rPr>
          <w:rFonts w:hint="eastAsia" w:ascii="仿宋" w:hAnsi="仿宋" w:eastAsia="仿宋"/>
          <w:sz w:val="32"/>
          <w:szCs w:val="32"/>
        </w:rPr>
        <w:t>实现年节目制作总量稳中有增的工作目标。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2.根据单位工作实际，制定网络事业人员及新闻工作人员业务培训方案，努力提高网络技术和新闻人员的综合能力和专业水平。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3.2017年，我台在继续建立县、乡（镇）联络员通联工作的基础上，积极争取县委宣传部与各部门的联系，及时对各部门的工作动态信息进行跟踪报道，广开新闻源头，拓展新闻渠道。</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结合我县地域文化特色，充分展示我县民族民俗文化，大力宣传我县文化旅游发展、农业产业结构调整、脱贫攻坚、依法治县、生态环保等方面取得的突出成就，将茂县的羌族原生态特色、饮食文化、语言文化、旅游文化融会贯通起来，让《羌族频道》真正具有羌族文化特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5.进一步完善广电网入户规划，大力实施网络入户工程，充分利用公共文化服务体系项目专项资金，逐步实现我县更多的高半山群众，都能收听收看到优质数字电视节目的工作任务。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6.大力加强网络的维护管理水平，确保了全年网络的正常运行。同时，完善对用户维护的管理措施，提高维护反应能力和技术水平。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7.加大了与省、州网络公司和通讯运营商的业务合作力度，开辟新的运营平台，为广大用户提供更加丰富的网络服务和网络功能业务，扩大了市场占有率，增强了自身“造血”功能。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8.2017年，积极协助县文体广新局稳步</w:t>
      </w:r>
      <w:r>
        <w:rPr>
          <w:rFonts w:hint="eastAsia" w:ascii="仿宋" w:hAnsi="仿宋" w:eastAsia="仿宋" w:cs="仿宋"/>
          <w:sz w:val="32"/>
          <w:szCs w:val="32"/>
        </w:rPr>
        <w:t>推进广播电视“村村响”“户户通”“应急平台”三个建设项目，安装完成新增有线电视入网用户200余户，维护抢修各类故障1400余次，确保了广播电视的信号的传输畅通，</w:t>
      </w:r>
      <w:r>
        <w:rPr>
          <w:rFonts w:hint="eastAsia" w:ascii="仿宋" w:hAnsi="仿宋" w:eastAsia="仿宋"/>
          <w:sz w:val="32"/>
          <w:szCs w:val="32"/>
        </w:rPr>
        <w:t>使党的各项方针政策传播给更多的群众。</w:t>
      </w:r>
    </w:p>
    <w:p>
      <w:pPr>
        <w:spacing w:line="560" w:lineRule="exact"/>
        <w:ind w:firstLine="640" w:firstLineChars="200"/>
        <w:rPr>
          <w:bCs/>
          <w:color w:val="000000"/>
          <w:sz w:val="32"/>
          <w:szCs w:val="32"/>
        </w:rPr>
      </w:pPr>
      <w:r>
        <w:rPr>
          <w:rFonts w:hint="eastAsia" w:ascii="仿宋" w:hAnsi="仿宋" w:eastAsia="仿宋"/>
          <w:sz w:val="32"/>
          <w:szCs w:val="32"/>
        </w:rPr>
        <w:t>9.2017年</w:t>
      </w:r>
      <w:r>
        <w:rPr>
          <w:rFonts w:hint="eastAsia" w:ascii="仿宋" w:hAnsi="仿宋" w:eastAsia="仿宋" w:cs="宋体"/>
          <w:kern w:val="0"/>
          <w:sz w:val="32"/>
          <w:szCs w:val="32"/>
        </w:rPr>
        <w:t>确保了广播电视节目安全优质播出。</w:t>
      </w:r>
    </w:p>
    <w:p>
      <w:pPr>
        <w:pStyle w:val="15"/>
        <w:numPr>
          <w:ilvl w:val="0"/>
          <w:numId w:val="1"/>
        </w:numPr>
        <w:spacing w:line="600" w:lineRule="exact"/>
        <w:ind w:firstLineChars="0"/>
        <w:rPr>
          <w:rFonts w:ascii="黑体" w:hAnsi="Times New Roman" w:eastAsia="黑体" w:cs="黑体"/>
          <w:color w:val="000000"/>
          <w:sz w:val="32"/>
          <w:szCs w:val="32"/>
        </w:rPr>
      </w:pPr>
      <w:r>
        <w:rPr>
          <w:rFonts w:hint="eastAsia" w:ascii="黑体" w:hAnsi="Times New Roman" w:eastAsia="黑体" w:cs="黑体"/>
          <w:color w:val="000000"/>
          <w:sz w:val="32"/>
          <w:szCs w:val="32"/>
        </w:rPr>
        <w:t>部门概况</w:t>
      </w:r>
    </w:p>
    <w:p>
      <w:pPr>
        <w:widowControl/>
        <w:tabs>
          <w:tab w:val="left" w:pos="312"/>
        </w:tabs>
        <w:spacing w:line="600" w:lineRule="exact"/>
        <w:ind w:left="643"/>
        <w:jc w:val="left"/>
        <w:rPr>
          <w:rFonts w:ascii="仿宋" w:hAnsi="仿宋" w:eastAsia="仿宋" w:cs="宋体"/>
          <w:kern w:val="0"/>
          <w:sz w:val="32"/>
          <w:szCs w:val="32"/>
        </w:rPr>
      </w:pPr>
      <w:r>
        <w:rPr>
          <w:rFonts w:hint="eastAsia" w:ascii="仿宋" w:hAnsi="仿宋" w:eastAsia="仿宋" w:cs="宋体"/>
          <w:b/>
          <w:kern w:val="0"/>
          <w:sz w:val="32"/>
          <w:szCs w:val="32"/>
        </w:rPr>
        <w:t>1.本部门机构：</w:t>
      </w:r>
      <w:r>
        <w:rPr>
          <w:rFonts w:hint="eastAsia" w:ascii="仿宋" w:hAnsi="仿宋" w:eastAsia="仿宋" w:cs="宋体"/>
          <w:kern w:val="0"/>
          <w:sz w:val="32"/>
          <w:szCs w:val="32"/>
        </w:rPr>
        <w:t>本部门属于一级预算单位</w:t>
      </w:r>
      <w:r>
        <w:rPr>
          <w:rFonts w:hint="eastAsia" w:ascii="仿宋" w:hAnsi="仿宋" w:eastAsia="仿宋" w:cs="宋体"/>
          <w:kern w:val="0"/>
          <w:sz w:val="32"/>
          <w:szCs w:val="32"/>
          <w:u w:val="single"/>
        </w:rPr>
        <w:t xml:space="preserve"> 1 </w:t>
      </w:r>
      <w:r>
        <w:rPr>
          <w:rFonts w:hint="eastAsia" w:ascii="仿宋" w:hAnsi="仿宋" w:eastAsia="仿宋" w:cs="宋体"/>
          <w:kern w:val="0"/>
          <w:sz w:val="32"/>
          <w:szCs w:val="32"/>
        </w:rPr>
        <w:t>个，其中内设机构</w:t>
      </w:r>
      <w:r>
        <w:rPr>
          <w:rFonts w:hint="eastAsia" w:ascii="仿宋" w:hAnsi="仿宋" w:eastAsia="仿宋" w:cs="宋体"/>
          <w:kern w:val="0"/>
          <w:sz w:val="32"/>
          <w:szCs w:val="32"/>
          <w:u w:val="single"/>
        </w:rPr>
        <w:t xml:space="preserve">  6</w:t>
      </w:r>
      <w:r>
        <w:rPr>
          <w:rFonts w:hint="eastAsia" w:ascii="仿宋" w:hAnsi="仿宋" w:eastAsia="仿宋" w:cs="宋体"/>
          <w:kern w:val="0"/>
          <w:sz w:val="32"/>
          <w:szCs w:val="32"/>
        </w:rPr>
        <w:t>个。</w:t>
      </w:r>
    </w:p>
    <w:p>
      <w:pPr>
        <w:widowControl/>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w:t>
      </w:r>
      <w:r>
        <w:rPr>
          <w:rFonts w:hint="eastAsia" w:ascii="仿宋" w:hAnsi="仿宋" w:eastAsia="仿宋" w:cs="宋体"/>
          <w:b/>
          <w:kern w:val="0"/>
          <w:sz w:val="32"/>
          <w:szCs w:val="32"/>
        </w:rPr>
        <w:t>人员情况：</w:t>
      </w:r>
      <w:r>
        <w:rPr>
          <w:rFonts w:hint="eastAsia" w:ascii="仿宋" w:hAnsi="仿宋" w:eastAsia="仿宋" w:cs="宋体"/>
          <w:kern w:val="0"/>
          <w:sz w:val="32"/>
          <w:szCs w:val="32"/>
        </w:rPr>
        <w:t>总编制</w:t>
      </w:r>
      <w:r>
        <w:rPr>
          <w:rFonts w:hint="eastAsia" w:ascii="仿宋" w:hAnsi="仿宋" w:eastAsia="仿宋" w:cs="宋体"/>
          <w:kern w:val="0"/>
          <w:sz w:val="32"/>
          <w:szCs w:val="32"/>
          <w:u w:val="single"/>
        </w:rPr>
        <w:t xml:space="preserve"> 25</w:t>
      </w:r>
      <w:r>
        <w:rPr>
          <w:rFonts w:hint="eastAsia" w:ascii="仿宋" w:hAnsi="仿宋" w:eastAsia="仿宋" w:cs="宋体"/>
          <w:kern w:val="0"/>
          <w:sz w:val="32"/>
          <w:szCs w:val="32"/>
        </w:rPr>
        <w:t>名,事业编制</w:t>
      </w:r>
      <w:r>
        <w:rPr>
          <w:rFonts w:hint="eastAsia" w:ascii="仿宋" w:hAnsi="仿宋" w:eastAsia="仿宋" w:cs="宋体"/>
          <w:kern w:val="0"/>
          <w:sz w:val="32"/>
          <w:szCs w:val="32"/>
          <w:u w:val="single"/>
        </w:rPr>
        <w:t xml:space="preserve"> 19</w:t>
      </w:r>
      <w:r>
        <w:rPr>
          <w:rFonts w:hint="eastAsia" w:ascii="仿宋" w:hAnsi="仿宋" w:eastAsia="仿宋" w:cs="宋体"/>
          <w:kern w:val="0"/>
          <w:sz w:val="32"/>
          <w:szCs w:val="32"/>
        </w:rPr>
        <w:t>名，事业工勤编制</w:t>
      </w:r>
      <w:r>
        <w:rPr>
          <w:rFonts w:hint="eastAsia" w:ascii="仿宋" w:hAnsi="仿宋" w:eastAsia="仿宋" w:cs="宋体"/>
          <w:kern w:val="0"/>
          <w:sz w:val="32"/>
          <w:szCs w:val="32"/>
          <w:u w:val="single"/>
        </w:rPr>
        <w:t xml:space="preserve">  6</w:t>
      </w:r>
      <w:r>
        <w:rPr>
          <w:rFonts w:hint="eastAsia" w:ascii="仿宋" w:hAnsi="仿宋" w:eastAsia="仿宋" w:cs="宋体"/>
          <w:kern w:val="0"/>
          <w:sz w:val="32"/>
          <w:szCs w:val="32"/>
        </w:rPr>
        <w:t>名。</w:t>
      </w:r>
    </w:p>
    <w:p>
      <w:pPr>
        <w:spacing w:line="600" w:lineRule="exact"/>
        <w:ind w:firstLine="640" w:firstLineChars="200"/>
        <w:rPr>
          <w:rFonts w:ascii="黑体" w:hAnsi="Times New Roman" w:eastAsia="黑体" w:cs="黑体"/>
          <w:color w:val="000000"/>
          <w:sz w:val="32"/>
          <w:szCs w:val="32"/>
        </w:rPr>
      </w:pPr>
      <w:r>
        <w:rPr>
          <w:rFonts w:hint="eastAsia" w:ascii="黑体" w:hAnsi="Times New Roman" w:eastAsia="黑体" w:cs="黑体"/>
          <w:color w:val="000000"/>
          <w:sz w:val="32"/>
          <w:szCs w:val="32"/>
        </w:rPr>
        <w:t>三、收支决算总体情况</w:t>
      </w:r>
    </w:p>
    <w:p>
      <w:pPr>
        <w:spacing w:line="600" w:lineRule="exact"/>
        <w:ind w:firstLine="640"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2017年茂县广播电视台本年收入合计545.46万元，其中：财政拨款收入422.46万元，占77.45%；事业收入123万元，占22.55%；</w:t>
      </w:r>
    </w:p>
    <w:p>
      <w:pPr>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 xml:space="preserve">            </w:t>
      </w:r>
      <w:r>
        <w:rPr>
          <w:rFonts w:hint="eastAsia"/>
          <w:sz w:val="32"/>
          <w:szCs w:val="32"/>
        </w:rPr>
        <w:drawing>
          <wp:inline distT="0" distB="0" distL="114300" distR="114300">
            <wp:extent cx="2994660" cy="1990725"/>
            <wp:effectExtent l="4445" t="4445" r="1079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600" w:lineRule="exact"/>
        <w:ind w:firstLine="640" w:firstLineChars="200"/>
        <w:rPr>
          <w:sz w:val="32"/>
          <w:szCs w:val="32"/>
        </w:rPr>
      </w:pPr>
      <w:r>
        <w:rPr>
          <w:rFonts w:hint="eastAsia" w:ascii="仿宋_GB2312" w:hAnsi="Times New Roman" w:eastAsia="仿宋_GB2312" w:cs="仿宋_GB2312"/>
          <w:color w:val="000000"/>
          <w:sz w:val="32"/>
          <w:szCs w:val="32"/>
        </w:rPr>
        <w:t xml:space="preserve">2017年茂县广播电视台本年支出合计559.31万元，其中：基本支出484.55万元，占86.63%；项目支出74.76万元，占13.37%； </w:t>
      </w:r>
    </w:p>
    <w:p>
      <w:pPr>
        <w:rPr>
          <w:sz w:val="32"/>
          <w:szCs w:val="32"/>
        </w:rPr>
      </w:pPr>
      <w:r>
        <w:rPr>
          <w:rFonts w:hint="eastAsia"/>
          <w:sz w:val="32"/>
          <w:szCs w:val="32"/>
        </w:rPr>
        <w:t xml:space="preserve">                </w:t>
      </w:r>
      <w:r>
        <w:rPr>
          <w:rFonts w:hint="eastAsia"/>
          <w:sz w:val="32"/>
          <w:szCs w:val="32"/>
        </w:rPr>
        <w:drawing>
          <wp:inline distT="0" distB="0" distL="114300" distR="114300">
            <wp:extent cx="2995295" cy="2313940"/>
            <wp:effectExtent l="4445" t="4445" r="10160" b="57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600" w:lineRule="exact"/>
        <w:rPr>
          <w:rFonts w:ascii="仿宋_GB2312" w:eastAsia="仿宋_GB2312" w:cs="仿宋_GB2312"/>
          <w:color w:val="000000"/>
          <w:sz w:val="32"/>
          <w:szCs w:val="32"/>
        </w:rPr>
      </w:pPr>
      <w:r>
        <w:rPr>
          <w:rFonts w:hint="eastAsia" w:ascii="黑体" w:hAnsi="Times New Roman" w:eastAsia="黑体" w:cs="黑体"/>
          <w:color w:val="000000"/>
          <w:sz w:val="32"/>
          <w:szCs w:val="32"/>
        </w:rPr>
        <w:t>四、财政拨款收支决算情况</w:t>
      </w:r>
    </w:p>
    <w:p>
      <w:pPr>
        <w:spacing w:line="600" w:lineRule="exact"/>
        <w:ind w:firstLine="640"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茂县广播电视台2017年度财政拨款收支总决算422.46万元。与2016年相比，财政拨款收、支总计各增加26.91万元，增长6.8%。</w:t>
      </w:r>
    </w:p>
    <w:p>
      <w:pPr>
        <w:rPr>
          <w:sz w:val="32"/>
          <w:szCs w:val="32"/>
        </w:rPr>
      </w:pPr>
      <w:r>
        <w:rPr>
          <w:rFonts w:hint="eastAsia" w:ascii="仿宋_GB2312" w:hAnsi="Times New Roman" w:eastAsia="仿宋_GB2312" w:cs="仿宋_GB2312"/>
          <w:color w:val="000000"/>
          <w:sz w:val="32"/>
          <w:szCs w:val="32"/>
        </w:rPr>
        <w:t xml:space="preserve">             </w:t>
      </w:r>
      <w:r>
        <w:rPr>
          <w:rFonts w:hint="eastAsia"/>
          <w:sz w:val="32"/>
          <w:szCs w:val="32"/>
        </w:rPr>
        <w:drawing>
          <wp:inline distT="0" distB="0" distL="114300" distR="114300">
            <wp:extent cx="3003550" cy="2324735"/>
            <wp:effectExtent l="4445" t="4445" r="2095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黑体" w:hAnsi="Times New Roman" w:eastAsia="黑体" w:cs="黑体"/>
          <w:color w:val="000000"/>
          <w:sz w:val="32"/>
          <w:szCs w:val="32"/>
        </w:rPr>
      </w:pPr>
      <w:r>
        <w:rPr>
          <w:rFonts w:hint="eastAsia" w:ascii="黑体" w:hAnsi="Times New Roman" w:eastAsia="黑体" w:cs="黑体"/>
          <w:color w:val="000000"/>
          <w:sz w:val="32"/>
          <w:szCs w:val="32"/>
        </w:rPr>
        <w:t>五、一般公共预算财政拨款支出决算情况</w:t>
      </w:r>
    </w:p>
    <w:p>
      <w:pPr>
        <w:spacing w:line="600" w:lineRule="exact"/>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（一）一般公共预算财政拨款支出决算总体情况</w:t>
      </w:r>
    </w:p>
    <w:p>
      <w:pPr>
        <w:spacing w:line="600" w:lineRule="exact"/>
        <w:ind w:firstLine="640"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茂县广播电视台2017年度一般公共预算财政拨款支出436.31万元，占本年支出合计的78.01%。与2016年相比，一般公共预算财政拨款增加39.32万元，增长2.5%。</w:t>
      </w:r>
    </w:p>
    <w:p>
      <w:pPr>
        <w:rPr>
          <w:sz w:val="32"/>
          <w:szCs w:val="32"/>
        </w:rPr>
      </w:pPr>
      <w:r>
        <w:rPr>
          <w:rFonts w:hint="eastAsia" w:ascii="仿宋_GB2312" w:hAnsi="Times New Roman" w:eastAsia="仿宋_GB2312" w:cs="仿宋_GB2312"/>
          <w:color w:val="000000"/>
          <w:sz w:val="32"/>
          <w:szCs w:val="32"/>
        </w:rPr>
        <w:t xml:space="preserve">                </w:t>
      </w:r>
      <w:r>
        <w:rPr>
          <w:rFonts w:hint="eastAsia"/>
          <w:sz w:val="32"/>
          <w:szCs w:val="32"/>
        </w:rPr>
        <w:drawing>
          <wp:inline distT="0" distB="0" distL="114300" distR="114300">
            <wp:extent cx="3051810" cy="2125345"/>
            <wp:effectExtent l="4445" t="4445" r="10795" b="228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（二）一般公共预算财政拨款支出决算结构情况</w:t>
      </w:r>
    </w:p>
    <w:p>
      <w:pPr>
        <w:spacing w:line="600" w:lineRule="exact"/>
        <w:ind w:firstLine="640" w:firstLineChars="20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茂县广播电视台2017年一般公共预算财政拨款支出436.31万元</w:t>
      </w:r>
      <w:r>
        <w:rPr>
          <w:rFonts w:hint="eastAsia" w:ascii="仿宋_GB2312" w:hAnsi="Times New Roman" w:eastAsia="仿宋_GB2312" w:cs="仿宋_GB2312"/>
          <w:color w:val="000000"/>
          <w:sz w:val="32"/>
          <w:szCs w:val="32"/>
          <w:lang w:val="en-US" w:eastAsia="zh-CN"/>
        </w:rPr>
        <w:t>。</w:t>
      </w:r>
      <w:r>
        <w:rPr>
          <w:rFonts w:hint="eastAsia" w:ascii="仿宋_GB2312" w:hAnsi="Times New Roman" w:eastAsia="仿宋_GB2312" w:cs="仿宋_GB2312"/>
          <w:color w:val="000000"/>
          <w:sz w:val="32"/>
          <w:szCs w:val="32"/>
        </w:rPr>
        <w:t>主要用于以下方面:一般公共服务支出340.90万元，占78.13%；社会保障和就业支出51.4万元，占11.78%；医疗卫生支出18.41万元，占4.22%；住房保障支出25.60万元，占5.87%。</w:t>
      </w:r>
    </w:p>
    <w:p>
      <w:pPr>
        <w:ind w:left="640" w:hanging="640" w:hangingChars="200"/>
        <w:rPr>
          <w:rFonts w:ascii="仿宋_GB2312" w:eastAsia="仿宋_GB2312" w:cs="仿宋_GB2312"/>
          <w:i/>
          <w:color w:val="404040"/>
          <w:sz w:val="32"/>
          <w:szCs w:val="32"/>
        </w:rPr>
      </w:pPr>
      <w:r>
        <w:rPr>
          <w:rFonts w:hint="eastAsia" w:ascii="仿宋_GB2312" w:hAnsi="Times New Roman" w:eastAsia="仿宋_GB2312" w:cs="仿宋_GB2312"/>
          <w:color w:val="000000"/>
          <w:sz w:val="32"/>
          <w:szCs w:val="32"/>
        </w:rPr>
        <w:t xml:space="preserve">                </w:t>
      </w:r>
      <w:r>
        <w:rPr>
          <w:rFonts w:hint="eastAsia"/>
          <w:sz w:val="32"/>
          <w:szCs w:val="32"/>
        </w:rPr>
        <w:drawing>
          <wp:inline distT="0" distB="0" distL="114300" distR="114300">
            <wp:extent cx="3032760" cy="2239010"/>
            <wp:effectExtent l="4445" t="4445" r="10795" b="234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sz w:val="32"/>
          <w:szCs w:val="32"/>
        </w:rPr>
        <w:t xml:space="preserve">     </w:t>
      </w:r>
    </w:p>
    <w:p>
      <w:pPr>
        <w:spacing w:line="600" w:lineRule="exact"/>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（三）一般公共预算财政拨款支出决算具体情况</w:t>
      </w:r>
    </w:p>
    <w:p>
      <w:pPr>
        <w:spacing w:line="600" w:lineRule="exact"/>
        <w:ind w:firstLine="643" w:firstLineChars="200"/>
        <w:rPr>
          <w:rFonts w:ascii="仿宋_GB2312" w:eastAsia="仿宋_GB2312" w:cs="仿宋_GB2312"/>
          <w:color w:val="000000"/>
          <w:sz w:val="32"/>
          <w:szCs w:val="32"/>
        </w:rPr>
      </w:pPr>
      <w:r>
        <w:rPr>
          <w:rStyle w:val="7"/>
          <w:rFonts w:hint="eastAsia" w:ascii="仿宋_GB2312" w:hAnsi="Times New Roman" w:eastAsia="仿宋_GB2312" w:cs="仿宋_GB2312"/>
          <w:color w:val="000000"/>
          <w:sz w:val="32"/>
          <w:szCs w:val="32"/>
        </w:rPr>
        <w:t>1.文化体育与传媒（类）04（款）05/99（项）:</w:t>
      </w:r>
      <w:r>
        <w:rPr>
          <w:rFonts w:hint="eastAsia" w:ascii="仿宋_GB2312" w:hAnsi="Times New Roman" w:eastAsia="仿宋_GB2312" w:cs="仿宋_GB2312"/>
          <w:color w:val="000000"/>
          <w:sz w:val="32"/>
          <w:szCs w:val="32"/>
        </w:rPr>
        <w:t>2017年决算数为316.83万元，完成预算117.77%。</w:t>
      </w:r>
      <w:r>
        <w:rPr>
          <w:rFonts w:hint="eastAsia" w:ascii="仿宋_GB2312" w:hAnsi="Times New Roman" w:eastAsia="仿宋_GB2312" w:cs="仿宋_GB2312"/>
          <w:color w:val="000000"/>
          <w:sz w:val="32"/>
          <w:szCs w:val="32"/>
        </w:rPr>
        <w:br w:type="textWrapping"/>
      </w:r>
      <w:r>
        <w:rPr>
          <w:rFonts w:hint="eastAsia" w:ascii="仿宋_GB2312" w:hAnsi="Times New Roman" w:eastAsia="仿宋_GB2312" w:cs="仿宋_GB2312"/>
          <w:color w:val="000000"/>
          <w:sz w:val="32"/>
          <w:szCs w:val="32"/>
        </w:rPr>
        <w:t>　　</w:t>
      </w:r>
      <w:r>
        <w:rPr>
          <w:rStyle w:val="7"/>
          <w:rFonts w:hint="eastAsia" w:ascii="仿宋_GB2312" w:hAnsi="Times New Roman" w:eastAsia="仿宋_GB2312" w:cs="仿宋_GB2312"/>
          <w:color w:val="000000"/>
          <w:sz w:val="32"/>
          <w:szCs w:val="32"/>
        </w:rPr>
        <w:t>2.社会保障和就业（类）05（款）05/06（项）:</w:t>
      </w:r>
      <w:r>
        <w:rPr>
          <w:rFonts w:hint="eastAsia" w:ascii="仿宋_GB2312" w:hAnsi="Times New Roman" w:eastAsia="仿宋_GB2312" w:cs="仿宋_GB2312"/>
          <w:color w:val="000000"/>
          <w:sz w:val="32"/>
          <w:szCs w:val="32"/>
        </w:rPr>
        <w:t>2017年决算数为51.40万元，完成预算100%。</w:t>
      </w:r>
      <w:r>
        <w:rPr>
          <w:rFonts w:hint="eastAsia" w:ascii="仿宋_GB2312" w:hAnsi="Times New Roman" w:eastAsia="仿宋_GB2312" w:cs="仿宋_GB2312"/>
          <w:color w:val="000000"/>
          <w:sz w:val="32"/>
          <w:szCs w:val="32"/>
        </w:rPr>
        <w:br w:type="textWrapping"/>
      </w:r>
      <w:r>
        <w:rPr>
          <w:rFonts w:hint="eastAsia" w:ascii="仿宋_GB2312" w:hAnsi="Times New Roman" w:eastAsia="仿宋_GB2312" w:cs="仿宋_GB2312"/>
          <w:color w:val="000000"/>
          <w:sz w:val="32"/>
          <w:szCs w:val="32"/>
        </w:rPr>
        <w:t xml:space="preserve">　 </w:t>
      </w:r>
      <w:r>
        <w:rPr>
          <w:rFonts w:hint="eastAsia" w:ascii="仿宋_GB2312" w:hAnsi="Times New Roman" w:eastAsia="仿宋_GB2312" w:cs="仿宋_GB2312"/>
          <w:b/>
          <w:bCs/>
          <w:color w:val="000000"/>
          <w:sz w:val="32"/>
          <w:szCs w:val="32"/>
        </w:rPr>
        <w:t>3</w:t>
      </w:r>
      <w:r>
        <w:rPr>
          <w:rStyle w:val="7"/>
          <w:rFonts w:hint="eastAsia" w:ascii="仿宋_GB2312" w:hAnsi="Times New Roman" w:eastAsia="仿宋_GB2312" w:cs="仿宋_GB2312"/>
          <w:color w:val="000000"/>
          <w:sz w:val="32"/>
          <w:szCs w:val="32"/>
        </w:rPr>
        <w:t>.医疗卫生与计划生育（类）11（款）02（项）:</w:t>
      </w:r>
      <w:r>
        <w:rPr>
          <w:rFonts w:hint="eastAsia" w:ascii="仿宋_GB2312" w:hAnsi="Times New Roman" w:eastAsia="仿宋_GB2312" w:cs="仿宋_GB2312"/>
          <w:color w:val="000000"/>
          <w:sz w:val="32"/>
          <w:szCs w:val="32"/>
        </w:rPr>
        <w:t>2017年决算数为18.41万元，完成预算100%。</w:t>
      </w:r>
    </w:p>
    <w:p>
      <w:pPr>
        <w:spacing w:line="600" w:lineRule="exact"/>
        <w:ind w:firstLine="640"/>
        <w:rPr>
          <w:rFonts w:ascii="黑体" w:hAnsi="Times New Roman" w:eastAsia="黑体" w:cs="黑体"/>
          <w:color w:val="000000"/>
          <w:sz w:val="32"/>
          <w:szCs w:val="32"/>
        </w:rPr>
      </w:pPr>
      <w:r>
        <w:rPr>
          <w:rFonts w:hint="eastAsia" w:ascii="黑体" w:hAnsi="Times New Roman" w:eastAsia="黑体" w:cs="黑体"/>
          <w:color w:val="000000"/>
          <w:sz w:val="32"/>
          <w:szCs w:val="32"/>
        </w:rPr>
        <w:t>六、一般公共预算财政拨款基本支出决算情况</w:t>
      </w:r>
    </w:p>
    <w:p>
      <w:pPr>
        <w:spacing w:line="600" w:lineRule="exact"/>
        <w:ind w:firstLine="645"/>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茂县广播电视台2017年一般公共预算财政拨款基本支出361.56万元，其中：</w:t>
      </w:r>
    </w:p>
    <w:p>
      <w:pPr>
        <w:spacing w:line="600" w:lineRule="exact"/>
        <w:ind w:firstLine="645"/>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人员经费336.71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Pr>
          <w:rFonts w:hint="eastAsia" w:ascii="仿宋_GB2312" w:hAnsi="Times New Roman" w:eastAsia="仿宋_GB2312" w:cs="仿宋_GB2312"/>
          <w:color w:val="000000"/>
          <w:sz w:val="32"/>
          <w:szCs w:val="32"/>
        </w:rPr>
        <w:br w:type="textWrapping"/>
      </w:r>
      <w:r>
        <w:rPr>
          <w:rFonts w:hint="eastAsia" w:ascii="仿宋_GB2312" w:hAnsi="Times New Roman" w:eastAsia="仿宋_GB2312" w:cs="仿宋_GB2312"/>
          <w:color w:val="000000"/>
          <w:sz w:val="32"/>
          <w:szCs w:val="32"/>
        </w:rPr>
        <w:t>　　公用经费24.85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spacing w:line="600" w:lineRule="exact"/>
        <w:ind w:firstLine="640"/>
        <w:rPr>
          <w:rFonts w:ascii="黑体" w:hAnsi="Times New Roman" w:eastAsia="黑体" w:cs="黑体"/>
          <w:color w:val="000000"/>
          <w:sz w:val="32"/>
          <w:szCs w:val="32"/>
        </w:rPr>
      </w:pPr>
      <w:r>
        <w:rPr>
          <w:rFonts w:hint="eastAsia" w:ascii="黑体" w:hAnsi="Times New Roman" w:eastAsia="黑体" w:cs="黑体"/>
          <w:color w:val="000000"/>
          <w:sz w:val="32"/>
          <w:szCs w:val="32"/>
        </w:rPr>
        <w:t>七、“三公”经费财政拨款支出决算情况</w:t>
      </w:r>
    </w:p>
    <w:p>
      <w:pPr>
        <w:spacing w:line="600" w:lineRule="exact"/>
        <w:ind w:firstLine="640"/>
        <w:rPr>
          <w:rFonts w:ascii="仿宋_GB2312" w:eastAsia="仿宋_GB2312" w:cs="仿宋_GB2312"/>
          <w:b/>
          <w:color w:val="000000"/>
          <w:sz w:val="32"/>
          <w:szCs w:val="32"/>
        </w:rPr>
      </w:pPr>
      <w:r>
        <w:rPr>
          <w:rFonts w:hint="eastAsia" w:ascii="仿宋_GB2312" w:hAnsi="Times New Roman" w:eastAsia="仿宋_GB2312" w:cs="仿宋_GB2312"/>
          <w:b/>
          <w:color w:val="000000"/>
          <w:sz w:val="32"/>
          <w:szCs w:val="32"/>
        </w:rPr>
        <w:t>（一）“三公”经费财政拨款支出决算总体情况说明</w:t>
      </w:r>
    </w:p>
    <w:p>
      <w:pPr>
        <w:spacing w:line="600" w:lineRule="exact"/>
        <w:ind w:firstLine="640"/>
        <w:rPr>
          <w:rFonts w:ascii="仿宋_GB2312" w:eastAsia="仿宋_GB2312" w:cs="仿宋_GB2312"/>
          <w:color w:val="333333"/>
          <w:sz w:val="32"/>
          <w:szCs w:val="32"/>
        </w:rPr>
      </w:pPr>
      <w:r>
        <w:rPr>
          <w:rFonts w:hint="eastAsia" w:ascii="仿宋_GB2312" w:hAnsi="Times New Roman" w:eastAsia="仿宋_GB2312" w:cs="仿宋_GB2312"/>
          <w:color w:val="333333"/>
          <w:sz w:val="32"/>
          <w:szCs w:val="32"/>
        </w:rPr>
        <w:t>茂县广播电视台2017年度“三公”经费财政拨款支出决算为4.38万元，完成预算100%。其中：因公出国（境）费支出决算为0万元，完成预算0%；公务用车购置及运行维护费支出决算为3.87万元，完成预算100%；公务接待费支出决算为0.51万元，完成预算100%。</w:t>
      </w:r>
    </w:p>
    <w:p>
      <w:pPr>
        <w:spacing w:line="600" w:lineRule="exact"/>
        <w:ind w:firstLine="640"/>
        <w:rPr>
          <w:rFonts w:ascii="仿宋_GB2312" w:eastAsia="仿宋_GB2312" w:cs="仿宋_GB2312"/>
          <w:color w:val="333333"/>
          <w:sz w:val="32"/>
          <w:szCs w:val="32"/>
        </w:rPr>
      </w:pPr>
      <w:r>
        <w:rPr>
          <w:rFonts w:hint="eastAsia" w:ascii="仿宋_GB2312" w:hAnsi="Times New Roman" w:eastAsia="仿宋_GB2312" w:cs="仿宋_GB2312"/>
          <w:color w:val="333333"/>
          <w:sz w:val="32"/>
          <w:szCs w:val="32"/>
        </w:rPr>
        <w:t>2017年度“三公”经费财政拨款支出决算数比2016年</w:t>
      </w:r>
      <w:r>
        <w:rPr>
          <w:rFonts w:hint="eastAsia" w:ascii="仿宋_GB2312" w:hAnsi="Times New Roman" w:eastAsia="仿宋_GB2312" w:cs="仿宋_GB2312"/>
          <w:color w:val="000000"/>
          <w:sz w:val="32"/>
          <w:szCs w:val="32"/>
        </w:rPr>
        <w:t>减少</w:t>
      </w:r>
      <w:r>
        <w:rPr>
          <w:rFonts w:hint="eastAsia" w:ascii="仿宋_GB2312" w:hAnsi="Times New Roman" w:eastAsia="仿宋_GB2312" w:cs="仿宋_GB2312"/>
          <w:color w:val="333333"/>
          <w:sz w:val="32"/>
          <w:szCs w:val="32"/>
        </w:rPr>
        <w:t>0.15万元，</w:t>
      </w:r>
      <w:r>
        <w:rPr>
          <w:rFonts w:hint="eastAsia" w:ascii="仿宋_GB2312" w:hAnsi="Times New Roman" w:eastAsia="仿宋_GB2312" w:cs="仿宋_GB2312"/>
          <w:color w:val="000000"/>
          <w:sz w:val="32"/>
          <w:szCs w:val="32"/>
        </w:rPr>
        <w:t>下降3.30%。其中：</w:t>
      </w:r>
      <w:r>
        <w:rPr>
          <w:rFonts w:hint="eastAsia" w:ascii="仿宋_GB2312" w:hAnsi="Times New Roman" w:eastAsia="仿宋_GB2312" w:cs="仿宋_GB2312"/>
          <w:color w:val="333333"/>
          <w:sz w:val="32"/>
          <w:szCs w:val="32"/>
        </w:rPr>
        <w:t>因公出国（境）费支出决算</w:t>
      </w:r>
      <w:r>
        <w:rPr>
          <w:rFonts w:hint="eastAsia" w:ascii="仿宋_GB2312" w:hAnsi="Times New Roman" w:eastAsia="仿宋_GB2312" w:cs="仿宋_GB2312"/>
          <w:color w:val="000000"/>
          <w:sz w:val="32"/>
          <w:szCs w:val="32"/>
        </w:rPr>
        <w:t>增加</w:t>
      </w:r>
      <w:r>
        <w:rPr>
          <w:rFonts w:hint="eastAsia" w:ascii="仿宋_GB2312" w:hAnsi="Times New Roman" w:eastAsia="仿宋_GB2312" w:cs="仿宋_GB2312"/>
          <w:color w:val="333333"/>
          <w:sz w:val="32"/>
          <w:szCs w:val="32"/>
        </w:rPr>
        <w:t>0万元，</w:t>
      </w:r>
      <w:r>
        <w:rPr>
          <w:rFonts w:hint="eastAsia" w:ascii="仿宋_GB2312" w:hAnsi="Times New Roman" w:eastAsia="仿宋_GB2312" w:cs="仿宋_GB2312"/>
          <w:color w:val="000000"/>
          <w:sz w:val="32"/>
          <w:szCs w:val="32"/>
        </w:rPr>
        <w:t>增长0%</w:t>
      </w:r>
      <w:r>
        <w:rPr>
          <w:rFonts w:hint="eastAsia" w:ascii="仿宋_GB2312" w:hAnsi="Times New Roman" w:eastAsia="仿宋_GB2312" w:cs="仿宋_GB2312"/>
          <w:color w:val="333333"/>
          <w:sz w:val="32"/>
          <w:szCs w:val="32"/>
        </w:rPr>
        <w:t>；公务用车购置及运行维护费支出决算</w:t>
      </w:r>
      <w:r>
        <w:rPr>
          <w:rFonts w:hint="eastAsia" w:ascii="仿宋_GB2312" w:hAnsi="Times New Roman" w:eastAsia="仿宋_GB2312" w:cs="仿宋_GB2312"/>
          <w:color w:val="000000"/>
          <w:sz w:val="32"/>
          <w:szCs w:val="32"/>
        </w:rPr>
        <w:t>减少</w:t>
      </w:r>
      <w:r>
        <w:rPr>
          <w:rFonts w:hint="eastAsia" w:ascii="仿宋_GB2312" w:hAnsi="Times New Roman" w:eastAsia="仿宋_GB2312" w:cs="仿宋_GB2312"/>
          <w:color w:val="333333"/>
          <w:sz w:val="32"/>
          <w:szCs w:val="32"/>
        </w:rPr>
        <w:t>0.13万元，</w:t>
      </w:r>
      <w:r>
        <w:rPr>
          <w:rFonts w:hint="eastAsia" w:ascii="仿宋_GB2312" w:hAnsi="Times New Roman" w:eastAsia="仿宋_GB2312" w:cs="仿宋_GB2312"/>
          <w:color w:val="000000"/>
          <w:sz w:val="32"/>
          <w:szCs w:val="32"/>
        </w:rPr>
        <w:t>下降3.36%</w:t>
      </w:r>
      <w:r>
        <w:rPr>
          <w:rFonts w:hint="eastAsia" w:ascii="仿宋_GB2312" w:hAnsi="Times New Roman" w:eastAsia="仿宋_GB2312" w:cs="仿宋_GB2312"/>
          <w:color w:val="333333"/>
          <w:sz w:val="32"/>
          <w:szCs w:val="32"/>
        </w:rPr>
        <w:t>；公务接待费支出决算</w:t>
      </w:r>
      <w:r>
        <w:rPr>
          <w:rFonts w:hint="eastAsia" w:ascii="仿宋_GB2312" w:hAnsi="Times New Roman" w:eastAsia="仿宋_GB2312" w:cs="仿宋_GB2312"/>
          <w:color w:val="000000"/>
          <w:sz w:val="32"/>
          <w:szCs w:val="32"/>
        </w:rPr>
        <w:t>减少</w:t>
      </w:r>
      <w:r>
        <w:rPr>
          <w:rFonts w:hint="eastAsia" w:ascii="仿宋_GB2312" w:hAnsi="Times New Roman" w:eastAsia="仿宋_GB2312" w:cs="仿宋_GB2312"/>
          <w:color w:val="333333"/>
          <w:sz w:val="32"/>
          <w:szCs w:val="32"/>
        </w:rPr>
        <w:t>0.013万元，</w:t>
      </w:r>
      <w:r>
        <w:rPr>
          <w:rFonts w:hint="eastAsia" w:ascii="仿宋_GB2312" w:hAnsi="Times New Roman" w:eastAsia="仿宋_GB2312" w:cs="仿宋_GB2312"/>
          <w:color w:val="000000"/>
          <w:sz w:val="32"/>
          <w:szCs w:val="32"/>
        </w:rPr>
        <w:t>下降2.87%</w:t>
      </w:r>
      <w:r>
        <w:rPr>
          <w:rFonts w:hint="eastAsia" w:ascii="仿宋_GB2312" w:hAnsi="Times New Roman" w:eastAsia="仿宋_GB2312" w:cs="仿宋_GB2312"/>
          <w:color w:val="333333"/>
          <w:sz w:val="32"/>
          <w:szCs w:val="32"/>
        </w:rPr>
        <w:t>。增减变动的主要原因，根据中央八项规定，我单位在公务接待和公车使用上例行节约，减少支出相关费用。</w:t>
      </w:r>
    </w:p>
    <w:p>
      <w:pPr>
        <w:spacing w:line="600" w:lineRule="exact"/>
        <w:ind w:firstLine="640"/>
        <w:rPr>
          <w:rFonts w:ascii="仿宋_GB2312" w:eastAsia="仿宋_GB2312" w:cs="仿宋_GB2312"/>
          <w:b/>
          <w:color w:val="333333"/>
          <w:sz w:val="32"/>
          <w:szCs w:val="32"/>
        </w:rPr>
      </w:pPr>
      <w:r>
        <w:rPr>
          <w:rFonts w:hint="eastAsia" w:ascii="仿宋_GB2312" w:hAnsi="Times New Roman" w:eastAsia="仿宋_GB2312" w:cs="仿宋_GB2312"/>
          <w:b/>
          <w:color w:val="333333"/>
          <w:sz w:val="32"/>
          <w:szCs w:val="32"/>
        </w:rPr>
        <w:t>（二）“三公”经费财政拨款支出决算具体情况说明</w:t>
      </w:r>
    </w:p>
    <w:p>
      <w:pPr>
        <w:spacing w:line="600" w:lineRule="exact"/>
        <w:ind w:firstLine="640"/>
        <w:rPr>
          <w:rFonts w:ascii="仿宋_GB2312" w:eastAsia="仿宋_GB2312" w:cs="仿宋_GB2312"/>
          <w:color w:val="333333"/>
          <w:sz w:val="32"/>
          <w:szCs w:val="32"/>
        </w:rPr>
      </w:pPr>
      <w:r>
        <w:rPr>
          <w:rFonts w:hint="eastAsia" w:ascii="仿宋_GB2312" w:hAnsi="Times New Roman" w:eastAsia="仿宋_GB2312" w:cs="仿宋_GB2312"/>
          <w:color w:val="333333"/>
          <w:sz w:val="32"/>
          <w:szCs w:val="32"/>
        </w:rPr>
        <w:t>2017年度“三公”经费财政拨款支出决算中，因公出国（境）费支出决算0万元，</w:t>
      </w:r>
      <w:r>
        <w:rPr>
          <w:rFonts w:hint="eastAsia" w:ascii="仿宋_GB2312" w:hAnsi="Times New Roman" w:eastAsia="仿宋_GB2312" w:cs="仿宋_GB2312"/>
          <w:color w:val="000000"/>
          <w:sz w:val="32"/>
          <w:szCs w:val="32"/>
        </w:rPr>
        <w:t>占0%</w:t>
      </w:r>
      <w:r>
        <w:rPr>
          <w:rFonts w:hint="eastAsia" w:ascii="仿宋_GB2312" w:hAnsi="Times New Roman" w:eastAsia="仿宋_GB2312" w:cs="仿宋_GB2312"/>
          <w:color w:val="333333"/>
          <w:sz w:val="32"/>
          <w:szCs w:val="32"/>
        </w:rPr>
        <w:t>；公务用车购置及运行维护费支出决算3.87万元，</w:t>
      </w:r>
      <w:r>
        <w:rPr>
          <w:rFonts w:hint="eastAsia" w:ascii="仿宋_GB2312" w:hAnsi="Times New Roman" w:eastAsia="仿宋_GB2312" w:cs="仿宋_GB2312"/>
          <w:color w:val="000000"/>
          <w:sz w:val="32"/>
          <w:szCs w:val="32"/>
        </w:rPr>
        <w:t>占88.36%</w:t>
      </w:r>
      <w:r>
        <w:rPr>
          <w:rFonts w:hint="eastAsia" w:ascii="仿宋_GB2312" w:hAnsi="Times New Roman" w:eastAsia="仿宋_GB2312" w:cs="仿宋_GB2312"/>
          <w:color w:val="333333"/>
          <w:sz w:val="32"/>
          <w:szCs w:val="32"/>
        </w:rPr>
        <w:t>；公务接待费支出决算0.51万元，</w:t>
      </w:r>
      <w:r>
        <w:rPr>
          <w:rFonts w:hint="eastAsia" w:ascii="仿宋_GB2312" w:hAnsi="Times New Roman" w:eastAsia="仿宋_GB2312" w:cs="仿宋_GB2312"/>
          <w:color w:val="000000"/>
          <w:sz w:val="32"/>
          <w:szCs w:val="32"/>
        </w:rPr>
        <w:t>占11.64%。具体情况如下：</w:t>
      </w:r>
    </w:p>
    <w:p>
      <w:pPr>
        <w:ind w:firstLine="1050" w:firstLineChars="500"/>
        <w:rPr>
          <w:rFonts w:eastAsia="宋体"/>
        </w:rPr>
      </w:pPr>
      <w:r>
        <w:rPr>
          <w:rFonts w:hint="eastAsia" w:eastAsia="宋体"/>
        </w:rPr>
        <w:object>
          <v:shape id="_x0000_i1025" o:spt="75" type="#_x0000_t75" style="height:166.55pt;width:321.2pt;" o:ole="t" fillcolor="#44546A [3215]" filled="t" o:preferrelative="t" stroked="f" coordsize="21600,21600">
            <v:path/>
            <v:fill on="t" focussize="0,0"/>
            <v:stroke on="f" joinstyle="miter"/>
            <v:imagedata r:id="rId10" o:title=""/>
            <o:lock v:ext="edit" aspectratio="t"/>
            <w10:wrap type="none"/>
            <w10:anchorlock/>
          </v:shape>
          <o:OLEObject Type="Embed" ProgID="Excel.Chart.8" ShapeID="_x0000_i1025" DrawAspect="Content" ObjectID="_1468075725" r:id="rId9">
            <o:LockedField>false</o:LockedField>
          </o:OLEObject>
        </w:object>
      </w:r>
    </w:p>
    <w:p>
      <w:pPr>
        <w:spacing w:line="600" w:lineRule="exact"/>
        <w:ind w:firstLine="643" w:firstLineChars="200"/>
        <w:rPr>
          <w:rFonts w:ascii="仿宋_GB2312" w:eastAsia="仿宋_GB2312" w:cs="仿宋_GB2312"/>
          <w:b/>
          <w:color w:val="000000"/>
          <w:sz w:val="32"/>
          <w:szCs w:val="32"/>
        </w:rPr>
      </w:pPr>
      <w:r>
        <w:rPr>
          <w:rFonts w:hint="eastAsia" w:ascii="仿宋_GB2312" w:hAnsi="Times New Roman" w:eastAsia="仿宋_GB2312" w:cs="仿宋_GB2312"/>
          <w:b/>
          <w:color w:val="000000"/>
          <w:sz w:val="32"/>
          <w:szCs w:val="32"/>
        </w:rPr>
        <w:t>1.因公出国（境）经费</w:t>
      </w:r>
    </w:p>
    <w:p>
      <w:pPr>
        <w:spacing w:line="600" w:lineRule="exact"/>
        <w:ind w:firstLine="64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2017年因公出国（境）费0万元。全年安排因公出国（境）团组0次，出国（境）0人。</w:t>
      </w:r>
    </w:p>
    <w:p>
      <w:pPr>
        <w:spacing w:line="600" w:lineRule="exact"/>
        <w:ind w:firstLine="643" w:firstLineChars="200"/>
        <w:rPr>
          <w:rFonts w:ascii="仿宋_GB2312" w:eastAsia="仿宋_GB2312" w:cs="仿宋_GB2312"/>
          <w:b/>
          <w:color w:val="000000"/>
          <w:sz w:val="32"/>
          <w:szCs w:val="32"/>
        </w:rPr>
      </w:pPr>
      <w:r>
        <w:rPr>
          <w:rFonts w:hint="eastAsia" w:ascii="仿宋_GB2312" w:hAnsi="Times New Roman" w:eastAsia="仿宋_GB2312" w:cs="仿宋_GB2312"/>
          <w:b/>
          <w:color w:val="000000"/>
          <w:sz w:val="32"/>
          <w:szCs w:val="32"/>
        </w:rPr>
        <w:t>2.公务用车购置及运行维护费</w:t>
      </w:r>
    </w:p>
    <w:p>
      <w:pPr>
        <w:spacing w:line="600" w:lineRule="exact"/>
        <w:ind w:firstLine="64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2017年公务用车购置及运行维护费3.87万元。其中：</w:t>
      </w:r>
    </w:p>
    <w:p>
      <w:pPr>
        <w:spacing w:line="600" w:lineRule="exact"/>
        <w:ind w:firstLine="640"/>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公务用车购置支出0万元。截至2017年12月底，单位共有公务用车5辆，其中</w:t>
      </w:r>
      <w:r>
        <w:rPr>
          <w:rFonts w:hint="eastAsia" w:ascii="仿宋_GB2312" w:hAnsi="Times New Roman" w:eastAsia="仿宋_GB2312" w:cs="仿宋_GB2312"/>
          <w:color w:val="000000"/>
          <w:sz w:val="32"/>
          <w:szCs w:val="32"/>
          <w:lang w:eastAsia="zh-CN"/>
        </w:rPr>
        <w:t>，</w:t>
      </w:r>
      <w:r>
        <w:rPr>
          <w:rFonts w:hint="eastAsia" w:ascii="仿宋_GB2312" w:hAnsi="Times New Roman" w:eastAsia="仿宋_GB2312" w:cs="仿宋_GB2312"/>
          <w:color w:val="000000"/>
          <w:sz w:val="32"/>
          <w:szCs w:val="32"/>
        </w:rPr>
        <w:t>轿车1辆、越野车1辆、载客汽车0辆、其他车辆3辆。公务用车运行维护费支出3.87万元，主要用于所需的公务用车燃料费、维修费、过路过桥费、保险费等支出。</w:t>
      </w:r>
    </w:p>
    <w:p>
      <w:pPr>
        <w:spacing w:line="600" w:lineRule="exact"/>
        <w:ind w:firstLine="643" w:firstLineChars="200"/>
        <w:rPr>
          <w:rFonts w:ascii="楷体_GB2312" w:eastAsia="楷体_GB2312" w:cs="楷体_GB2312"/>
          <w:b/>
          <w:color w:val="000000"/>
          <w:sz w:val="32"/>
          <w:szCs w:val="32"/>
        </w:rPr>
      </w:pPr>
      <w:r>
        <w:rPr>
          <w:rFonts w:hint="eastAsia" w:ascii="仿宋_GB2312" w:hAnsi="Times New Roman" w:eastAsia="仿宋_GB2312" w:cs="仿宋_GB2312"/>
          <w:b/>
          <w:color w:val="000000"/>
          <w:sz w:val="32"/>
          <w:szCs w:val="32"/>
        </w:rPr>
        <w:t>3.公务接待费</w:t>
      </w:r>
    </w:p>
    <w:p>
      <w:pPr>
        <w:spacing w:line="600" w:lineRule="exact"/>
        <w:ind w:firstLine="640"/>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2017年公务接待费0.51万元。主要用于执行公务、开展业务活动开支的交通费、住宿费、用餐费等。国内公务接待13批次，117人，共计支出0.51万元，主要用于接待上级主管部门及设备维护商等。</w:t>
      </w:r>
    </w:p>
    <w:p>
      <w:pPr>
        <w:spacing w:line="600" w:lineRule="exact"/>
        <w:ind w:firstLine="640"/>
        <w:rPr>
          <w:rFonts w:ascii="黑体" w:hAnsi="Times New Roman" w:eastAsia="黑体" w:cs="黑体"/>
          <w:color w:val="000000"/>
          <w:sz w:val="32"/>
          <w:szCs w:val="32"/>
        </w:rPr>
      </w:pPr>
      <w:r>
        <w:rPr>
          <w:rFonts w:hint="eastAsia" w:ascii="黑体" w:hAnsi="Times New Roman" w:eastAsia="黑体" w:cs="黑体"/>
          <w:color w:val="000000"/>
          <w:sz w:val="32"/>
          <w:szCs w:val="32"/>
        </w:rPr>
        <w:t>八、政府性基金预算财政拨款支出决算情况</w:t>
      </w:r>
    </w:p>
    <w:p>
      <w:pPr>
        <w:spacing w:line="600" w:lineRule="exact"/>
        <w:ind w:firstLine="64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茂县广播电视台2017年使用政府性基金预算财政拨款支出0万元。</w:t>
      </w:r>
    </w:p>
    <w:p>
      <w:pPr>
        <w:spacing w:line="600" w:lineRule="exact"/>
        <w:ind w:firstLine="640" w:firstLineChars="200"/>
        <w:rPr>
          <w:rFonts w:ascii="黑体" w:hAnsi="Times New Roman" w:eastAsia="黑体" w:cs="黑体"/>
          <w:color w:val="000000"/>
          <w:sz w:val="32"/>
          <w:szCs w:val="32"/>
        </w:rPr>
      </w:pPr>
      <w:r>
        <w:rPr>
          <w:rFonts w:hint="eastAsia" w:ascii="黑体" w:hAnsi="Times New Roman" w:eastAsia="黑体" w:cs="黑体"/>
          <w:color w:val="000000"/>
          <w:sz w:val="32"/>
          <w:szCs w:val="32"/>
        </w:rPr>
        <w:t>九、其他重要事项的情况说明</w:t>
      </w:r>
    </w:p>
    <w:p>
      <w:pPr>
        <w:spacing w:line="600" w:lineRule="exact"/>
        <w:ind w:firstLine="643" w:firstLineChars="200"/>
        <w:rPr>
          <w:rFonts w:ascii="仿宋_GB2312" w:eastAsia="仿宋_GB2312" w:cs="仿宋_GB2312"/>
          <w:color w:val="000000"/>
          <w:sz w:val="32"/>
          <w:szCs w:val="32"/>
        </w:rPr>
      </w:pPr>
      <w:r>
        <w:rPr>
          <w:rFonts w:hint="eastAsia" w:ascii="仿宋_GB2312" w:hAnsi="Times New Roman" w:eastAsia="仿宋_GB2312" w:cs="仿宋_GB2312"/>
          <w:b/>
          <w:color w:val="000000"/>
          <w:sz w:val="32"/>
          <w:szCs w:val="32"/>
        </w:rPr>
        <w:t>（一）机关运行经费支出情况</w:t>
      </w:r>
    </w:p>
    <w:p>
      <w:pPr>
        <w:spacing w:line="600" w:lineRule="exact"/>
        <w:ind w:firstLine="640" w:firstLineChars="200"/>
        <w:rPr>
          <w:rFonts w:hint="eastAsia" w:ascii="仿宋_GB2312" w:eastAsia="仿宋_GB2312" w:cs="仿宋_GB2312"/>
          <w:color w:val="000000"/>
          <w:sz w:val="32"/>
          <w:szCs w:val="32"/>
          <w:lang w:eastAsia="zh-CN"/>
        </w:rPr>
      </w:pPr>
      <w:r>
        <w:rPr>
          <w:rFonts w:hint="eastAsia" w:ascii="仿宋_GB2312" w:hAnsi="Times New Roman" w:eastAsia="仿宋_GB2312" w:cs="仿宋_GB2312"/>
          <w:color w:val="000000"/>
          <w:sz w:val="32"/>
          <w:szCs w:val="32"/>
        </w:rPr>
        <w:t>2017年度，茂县广播电视台机关运行经费支出0万元，比2016年增加0万元</w:t>
      </w:r>
      <w:r>
        <w:rPr>
          <w:rFonts w:hint="eastAsia" w:ascii="仿宋_GB2312" w:hAnsi="Times New Roman" w:eastAsia="仿宋_GB2312" w:cs="仿宋_GB2312"/>
          <w:color w:val="000000"/>
          <w:sz w:val="32"/>
          <w:szCs w:val="32"/>
          <w:lang w:eastAsia="zh-CN"/>
        </w:rPr>
        <w:t>。</w:t>
      </w:r>
      <w:bookmarkStart w:id="0" w:name="_GoBack"/>
      <w:bookmarkEnd w:id="0"/>
    </w:p>
    <w:p>
      <w:pPr>
        <w:autoSpaceDE w:val="0"/>
        <w:autoSpaceDN w:val="0"/>
        <w:adjustRightInd w:val="0"/>
        <w:spacing w:line="600" w:lineRule="exact"/>
        <w:ind w:firstLine="643" w:firstLineChars="200"/>
        <w:jc w:val="left"/>
        <w:rPr>
          <w:rFonts w:ascii="仿宋_GB2312" w:eastAsia="仿宋_GB2312" w:cs="仿宋_GB2312"/>
          <w:b/>
          <w:color w:val="000000"/>
          <w:sz w:val="32"/>
          <w:szCs w:val="32"/>
        </w:rPr>
      </w:pPr>
      <w:r>
        <w:rPr>
          <w:rFonts w:hint="eastAsia" w:ascii="仿宋_GB2312" w:hAnsi="Times New Roman" w:eastAsia="仿宋_GB2312" w:cs="仿宋_GB2312"/>
          <w:b/>
          <w:color w:val="000000"/>
          <w:sz w:val="32"/>
          <w:szCs w:val="32"/>
        </w:rPr>
        <w:t>（二）政府采购支出情况</w:t>
      </w:r>
    </w:p>
    <w:p>
      <w:pPr>
        <w:spacing w:line="600" w:lineRule="exact"/>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2017年度，茂县广播电视台政府采购支出总额52.41万元。其中：政府采购货物支出16.89万元、政府采购工程支出0万元、政府采购服务支出35.52万元。主要用于前端机房升级改造和摄像设备购置等。</w:t>
      </w:r>
    </w:p>
    <w:p>
      <w:pPr>
        <w:autoSpaceDE w:val="0"/>
        <w:autoSpaceDN w:val="0"/>
        <w:adjustRightInd w:val="0"/>
        <w:spacing w:line="600" w:lineRule="exact"/>
        <w:ind w:firstLine="643" w:firstLineChars="200"/>
        <w:jc w:val="left"/>
        <w:rPr>
          <w:rFonts w:ascii="仿宋_GB2312" w:eastAsia="仿宋_GB2312" w:cs="仿宋_GB2312"/>
          <w:b/>
          <w:color w:val="000000"/>
          <w:sz w:val="32"/>
          <w:szCs w:val="32"/>
        </w:rPr>
      </w:pPr>
      <w:r>
        <w:rPr>
          <w:rFonts w:hint="eastAsia" w:ascii="仿宋_GB2312" w:hAnsi="Times New Roman" w:eastAsia="仿宋_GB2312" w:cs="仿宋_GB2312"/>
          <w:b/>
          <w:color w:val="000000"/>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截至2017年12月31日，茂县广播电视台公有车辆5辆，其中：一般公务用车5辆；单价50万元以上通用设备1台（套），单价100万元以上专用设备0台（套）。</w:t>
      </w:r>
    </w:p>
    <w:p>
      <w:pPr>
        <w:autoSpaceDE w:val="0"/>
        <w:autoSpaceDN w:val="0"/>
        <w:adjustRightInd w:val="0"/>
        <w:spacing w:line="600" w:lineRule="exact"/>
        <w:ind w:firstLine="643" w:firstLineChars="200"/>
        <w:jc w:val="left"/>
        <w:rPr>
          <w:rFonts w:ascii="仿宋_GB2312" w:eastAsia="仿宋_GB2312" w:cs="仿宋_GB2312"/>
          <w:b/>
          <w:color w:val="000000"/>
          <w:sz w:val="32"/>
          <w:szCs w:val="32"/>
        </w:rPr>
      </w:pPr>
      <w:r>
        <w:rPr>
          <w:rFonts w:hint="eastAsia" w:ascii="仿宋_GB2312" w:hAnsi="Times New Roman" w:eastAsia="仿宋_GB2312" w:cs="仿宋_GB2312"/>
          <w:b/>
          <w:color w:val="000000"/>
          <w:sz w:val="32"/>
          <w:szCs w:val="32"/>
        </w:rPr>
        <w:t>（四）预算绩效情况</w:t>
      </w:r>
    </w:p>
    <w:p>
      <w:pPr>
        <w:spacing w:line="600" w:lineRule="atLeas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rPr>
        <w:t>按照预算绩效管理要求，本部门对2017年一般公共预算项目支出开展了绩效目标管理，共编制绩效目标2个，涉及财政资金52.41万元，覆盖率达到100%。</w:t>
      </w:r>
    </w:p>
    <w:p>
      <w:pPr>
        <w:autoSpaceDE w:val="0"/>
        <w:autoSpaceDN w:val="0"/>
        <w:adjustRightInd w:val="0"/>
        <w:spacing w:line="600" w:lineRule="exact"/>
        <w:ind w:firstLine="640" w:firstLineChars="200"/>
        <w:jc w:val="left"/>
        <w:rPr>
          <w:rFonts w:ascii="黑体" w:hAnsi="Times New Roman" w:eastAsia="黑体" w:cs="黑体"/>
          <w:color w:val="000000"/>
          <w:sz w:val="32"/>
          <w:szCs w:val="32"/>
        </w:rPr>
      </w:pPr>
      <w:r>
        <w:rPr>
          <w:rFonts w:hint="eastAsia" w:ascii="黑体" w:hAnsi="Times New Roman" w:eastAsia="黑体" w:cs="黑体"/>
          <w:color w:val="000000"/>
          <w:sz w:val="32"/>
          <w:szCs w:val="32"/>
        </w:rPr>
        <w:t>十、名词解释</w:t>
      </w:r>
    </w:p>
    <w:p>
      <w:pPr>
        <w:pStyle w:val="12"/>
        <w:widowControl/>
        <w:spacing w:line="560" w:lineRule="exact"/>
        <w:ind w:firstLine="640" w:firstLineChars="200"/>
        <w:rPr>
          <w:rFonts w:hint="default" w:ascii="仿宋_GB2312" w:eastAsia="仿宋_GB2312" w:cs="仿宋_GB2312"/>
          <w:sz w:val="32"/>
          <w:szCs w:val="32"/>
        </w:rPr>
      </w:pPr>
      <w:r>
        <w:rPr>
          <w:rFonts w:ascii="仿宋_GB2312" w:eastAsia="仿宋_GB2312" w:cs="仿宋_GB2312"/>
          <w:sz w:val="32"/>
          <w:szCs w:val="32"/>
        </w:rPr>
        <w:t xml:space="preserve">1.财政拨款收入：指州级财政当年拨付的资金。 </w:t>
      </w:r>
    </w:p>
    <w:p>
      <w:pPr>
        <w:pStyle w:val="12"/>
        <w:widowControl/>
        <w:spacing w:line="560" w:lineRule="exact"/>
        <w:ind w:firstLine="640" w:firstLineChars="200"/>
        <w:rPr>
          <w:rFonts w:hint="default" w:ascii="仿宋_GB2312" w:eastAsia="仿宋_GB2312" w:cs="仿宋_GB2312"/>
          <w:sz w:val="32"/>
          <w:szCs w:val="32"/>
        </w:rPr>
      </w:pPr>
      <w:r>
        <w:rPr>
          <w:rFonts w:ascii="仿宋_GB2312" w:eastAsia="仿宋_GB2312" w:cs="仿宋_GB2312"/>
          <w:sz w:val="32"/>
          <w:szCs w:val="32"/>
        </w:rPr>
        <w:t>2.事业收入：指事业单位开展专业业务活动及辅助活动所取得的收入。</w:t>
      </w:r>
    </w:p>
    <w:p>
      <w:pPr>
        <w:pStyle w:val="12"/>
        <w:widowControl/>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3.经营收入：指事业单位在专业业务活动及其辅助活动之外开展非独立核算经营活动取得的收入。</w:t>
      </w:r>
    </w:p>
    <w:p>
      <w:pPr>
        <w:pStyle w:val="12"/>
        <w:widowControl/>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4.其他收入：指除上述“财政拨款收入”“事业收入”“经营收入”等以外的收入。</w:t>
      </w:r>
    </w:p>
    <w:p>
      <w:pPr>
        <w:pStyle w:val="12"/>
        <w:widowControl/>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5.用事业基金弥补收支差额：指事业单位在当年的“财政拨款收入”“事业收入”“经营收入”“其他收入”不足以安排当年支出的情况下，使用以前年度积累的事业基金。</w:t>
      </w:r>
    </w:p>
    <w:p>
      <w:pPr>
        <w:pStyle w:val="12"/>
        <w:widowControl/>
        <w:spacing w:line="560" w:lineRule="exact"/>
        <w:ind w:firstLine="640" w:firstLineChars="200"/>
        <w:rPr>
          <w:rFonts w:hint="default" w:ascii="仿宋_GB2312" w:eastAsia="仿宋_GB2312" w:cs="仿宋_GB2312"/>
          <w:sz w:val="32"/>
          <w:szCs w:val="32"/>
        </w:rPr>
      </w:pPr>
      <w:r>
        <w:rPr>
          <w:rFonts w:ascii="仿宋_GB2312" w:eastAsia="仿宋_GB2312" w:cs="仿宋_GB2312"/>
          <w:sz w:val="32"/>
          <w:szCs w:val="32"/>
        </w:rPr>
        <w:t xml:space="preserve">6.年初结转和结余：指以前年度尚未完成、结转到本年按有关规定继续使用的资金。 </w:t>
      </w:r>
    </w:p>
    <w:p>
      <w:pPr>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7.结余分配：指事业单位按规定提取的职工福利基金、事业基金和缴纳的所得税，以及建设单位按规定应交回的基本建设竣工项目结余资金。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8.年末结转和结余：指本年度或以前年度预算安排、因客观条件发生变化无法按原计划实施，需延迟到以后年度按有关规定继续使用的资金。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 xml:space="preserve">10.项目支出：指在基本支出之外为完成特定行政任务和事业发展目标所发生的支出。 </w:t>
      </w:r>
    </w:p>
    <w:p>
      <w:pPr>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rPr>
        <w:t>11.经营支出：指事业单位在专业业务活动及其辅助活动之外开展非独立核算经营活动发生的支出。</w:t>
      </w:r>
    </w:p>
    <w:p>
      <w:pPr>
        <w:pStyle w:val="12"/>
        <w:widowControl/>
        <w:spacing w:line="560" w:lineRule="exact"/>
        <w:ind w:firstLine="640" w:firstLineChars="200"/>
        <w:rPr>
          <w:rFonts w:hint="default" w:ascii="仿宋_GB2312" w:eastAsia="仿宋_GB2312" w:cs="仿宋_GB2312"/>
          <w:sz w:val="32"/>
          <w:szCs w:val="32"/>
        </w:rPr>
      </w:pPr>
      <w:r>
        <w:rPr>
          <w:rFonts w:ascii="仿宋_GB2312" w:eastAsia="仿宋_GB2312" w:cs="仿宋_GB2312"/>
          <w:sz w:val="32"/>
          <w:szCs w:val="32"/>
        </w:rPr>
        <w:t>12.“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2"/>
        <w:widowControl/>
        <w:spacing w:line="560" w:lineRule="exact"/>
        <w:ind w:firstLine="640" w:firstLineChars="200"/>
        <w:rPr>
          <w:rFonts w:hint="default" w:ascii="仿宋_GB2312" w:eastAsia="仿宋_GB2312" w:cs="仿宋_GB2312"/>
          <w:sz w:val="32"/>
          <w:szCs w:val="32"/>
        </w:rPr>
      </w:pPr>
      <w:r>
        <w:rPr>
          <w:rFonts w:ascii="仿宋_GB2312" w:eastAsia="仿宋_GB2312" w:cs="仿宋_GB2312"/>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w:t>
      </w:r>
    </w:p>
    <w:p>
      <w:pPr>
        <w:ind w:firstLine="63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附近：1.2017年部门决算公开表及补充表</w:t>
      </w:r>
    </w:p>
    <w:p>
      <w:pPr>
        <w:ind w:firstLine="63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w:t>
      </w:r>
    </w:p>
    <w:p>
      <w:pPr>
        <w:ind w:firstLine="630"/>
        <w:rPr>
          <w:rFonts w:hint="eastAsia" w:ascii="仿宋_GB2312" w:eastAsia="仿宋_GB2312" w:cs="仿宋_GB2312"/>
          <w:color w:val="000000"/>
          <w:sz w:val="32"/>
          <w:szCs w:val="32"/>
        </w:rPr>
      </w:pPr>
    </w:p>
    <w:p>
      <w:pPr>
        <w:ind w:firstLine="4640" w:firstLineChars="145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茂县广播电视台</w:t>
      </w:r>
    </w:p>
    <w:p>
      <w:pPr>
        <w:ind w:firstLine="630"/>
        <w:rPr>
          <w:rFonts w:ascii="仿宋_GB2312" w:eastAsia="仿宋_GB2312" w:cs="仿宋_GB2312"/>
          <w:color w:val="000000"/>
          <w:sz w:val="32"/>
          <w:szCs w:val="32"/>
        </w:rPr>
      </w:pPr>
      <w:r>
        <w:rPr>
          <w:rFonts w:hint="eastAsia" w:ascii="仿宋_GB2312" w:eastAsia="仿宋_GB2312" w:cs="仿宋_GB2312"/>
          <w:color w:val="000000"/>
          <w:sz w:val="32"/>
          <w:szCs w:val="32"/>
        </w:rPr>
        <w:t xml:space="preserve">                        2017年9月11日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25D06"/>
    <w:multiLevelType w:val="multilevel"/>
    <w:tmpl w:val="31525D06"/>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56CE2E04"/>
    <w:rsid w:val="004D0D57"/>
    <w:rsid w:val="005A39C0"/>
    <w:rsid w:val="00750813"/>
    <w:rsid w:val="017614AA"/>
    <w:rsid w:val="0916184E"/>
    <w:rsid w:val="2F8564D8"/>
    <w:rsid w:val="339117CB"/>
    <w:rsid w:val="43084244"/>
    <w:rsid w:val="47D50547"/>
    <w:rsid w:val="494802FF"/>
    <w:rsid w:val="56CE2E04"/>
    <w:rsid w:val="76362385"/>
    <w:rsid w:val="77185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spacing w:beforeLines="30"/>
    </w:pPr>
    <w:rPr>
      <w:rFonts w:hint="eastAsia" w:ascii="仿宋_GB2312" w:hAnsi="Times New Roman" w:eastAsia="仿宋_GB2312" w:cs="Times New Roman"/>
      <w:kern w:val="0"/>
      <w:sz w:val="30"/>
    </w:rPr>
  </w:style>
  <w:style w:type="paragraph" w:styleId="3">
    <w:name w:val="Balloon Text"/>
    <w:basedOn w:val="1"/>
    <w:link w:val="14"/>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脚 Char"/>
    <w:basedOn w:val="6"/>
    <w:link w:val="4"/>
    <w:qFormat/>
    <w:uiPriority w:val="0"/>
    <w:rPr>
      <w:sz w:val="18"/>
      <w:szCs w:val="18"/>
    </w:rPr>
  </w:style>
  <w:style w:type="character" w:customStyle="1" w:styleId="11">
    <w:name w:val="页眉 Char"/>
    <w:basedOn w:val="6"/>
    <w:link w:val="5"/>
    <w:qFormat/>
    <w:uiPriority w:val="0"/>
    <w:rPr>
      <w:sz w:val="18"/>
      <w:szCs w:val="18"/>
    </w:rPr>
  </w:style>
  <w:style w:type="paragraph" w:customStyle="1" w:styleId="12">
    <w:name w:val="Default"/>
    <w:basedOn w:val="1"/>
    <w:qFormat/>
    <w:uiPriority w:val="0"/>
    <w:pPr>
      <w:autoSpaceDE w:val="0"/>
      <w:autoSpaceDN w:val="0"/>
      <w:adjustRightInd w:val="0"/>
      <w:jc w:val="left"/>
    </w:pPr>
    <w:rPr>
      <w:rFonts w:hint="eastAsia" w:ascii="仿宋" w:hAnsi="Calibri" w:eastAsia="仿宋" w:cs="Times New Roman"/>
      <w:color w:val="000000"/>
      <w:kern w:val="0"/>
      <w:sz w:val="24"/>
    </w:rPr>
  </w:style>
  <w:style w:type="character" w:customStyle="1" w:styleId="13">
    <w:name w:val="正文文本 Char"/>
    <w:basedOn w:val="6"/>
    <w:link w:val="2"/>
    <w:qFormat/>
    <w:uiPriority w:val="0"/>
    <w:rPr>
      <w:rFonts w:hint="eastAsia" w:ascii="仿宋_GB2312" w:hAnsi="Times New Roman" w:eastAsia="仿宋_GB2312" w:cs="仿宋_GB2312"/>
      <w:sz w:val="30"/>
      <w:szCs w:val="24"/>
    </w:rPr>
  </w:style>
  <w:style w:type="character" w:customStyle="1" w:styleId="14">
    <w:name w:val="批注框文本 Char"/>
    <w:basedOn w:val="6"/>
    <w:link w:val="3"/>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2017年度收入合计</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extLst>
                <c:ext xmlns:c15="http://schemas.microsoft.com/office/drawing/2012/chart" uri="{02D57815-91ED-43cb-92C2-25804820EDAC}">
                  <c15:fullRef>
                    <c15:sqref>Sheet1!$A$2:$A$5</c15:sqref>
                  </c15:fullRef>
                </c:ext>
              </c:extLst>
              <c:f>Sheet1!$A$2:$A$3</c:f>
              <c:strCache>
                <c:ptCount val="2"/>
                <c:pt idx="0">
                  <c:v>财政拨款收入</c:v>
                </c:pt>
                <c:pt idx="1">
                  <c:v>事业收入</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77.45</c:v>
                </c:pt>
                <c:pt idx="1">
                  <c:v>22.55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08545377438507"/>
          <c:y val="0.8842105263157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2017年度支出合计</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pt idx="1">
                  <c:v>项目支出</c:v>
                </c:pt>
              </c:strCache>
            </c:strRef>
          </c:cat>
          <c:val>
            <c:numRef>
              <c:f>Sheet1!$B$2:$B$5</c:f>
              <c:numCache>
                <c:formatCode>General</c:formatCode>
                <c:ptCount val="4"/>
                <c:pt idx="0">
                  <c:v>86.63</c:v>
                </c:pt>
                <c:pt idx="1">
                  <c:v>13.37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50"/>
              <a:t>与2016年相比财政拨款收支总计</a:t>
            </a:r>
            <a:endParaRPr sz="105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与2016年相比财政拨款收支总计</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Sheet1!$A$2:$A$3</c:f>
              <c:strCache>
                <c:ptCount val="2"/>
                <c:pt idx="0">
                  <c:v>2016年度</c:v>
                </c:pt>
                <c:pt idx="1">
                  <c:v>2017年度</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395.55</c:v>
                </c:pt>
                <c:pt idx="1">
                  <c:v>422.46</c:v>
                </c:pt>
              </c:numCache>
            </c:numRef>
          </c:val>
        </c:ser>
        <c:dLbls>
          <c:showLegendKey val="0"/>
          <c:showVal val="0"/>
          <c:showCatName val="0"/>
          <c:showSerName val="0"/>
          <c:showPercent val="0"/>
          <c:showBubbleSize val="0"/>
        </c:dLbls>
        <c:gapWidth val="219"/>
        <c:overlap val="-27"/>
        <c:axId val="98021376"/>
        <c:axId val="9802483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2016年度</c:v>
                      </c:pt>
                      <c:pt idx="1">
                        <c:v>2017年度</c:v>
                      </c:pt>
                    </c:strCache>
                  </c:strRef>
                </c:cat>
                <c:val>
                  <c:numRef>
                    <c:extLst>
                      <c:ext uri="{02D57815-91ED-43cb-92C2-25804820EDAC}">
                        <c15:fullRef>
                          <c15:sqref>Sheet1!$C$2:$C$5</c15:sqref>
                        </c15:fullRef>
                        <c15:formulaRef>
                          <c15:sqref>Sheet1!$C$2:$C$3</c15:sqref>
                        </c15:formulaRef>
                      </c:ext>
                    </c:extLst>
                    <c:numCache>
                      <c:formatCode>General</c:formatCode>
                      <c:ptCount val="2"/>
                    </c:numCache>
                  </c:numRef>
                </c:val>
              </c15:ser>
            </c15:filteredBarSeries>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Sheet1!$A$2:$A$5</c15:sqref>
                        </c15:fullRef>
                        <c15:formulaRef>
                          <c15:sqref>Sheet1!$A$2:$A$3</c15:sqref>
                        </c15:formulaRef>
                      </c:ext>
                    </c:extLst>
                    <c:strCache>
                      <c:ptCount val="2"/>
                      <c:pt idx="0">
                        <c:v>2016年度</c:v>
                      </c:pt>
                      <c:pt idx="1">
                        <c:v>2017年度</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BarSeries>
          </c:ext>
        </c:extLst>
      </c:barChart>
      <c:catAx>
        <c:axId val="980213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024832"/>
        <c:crosses val="autoZero"/>
        <c:auto val="1"/>
        <c:lblAlgn val="ctr"/>
        <c:lblOffset val="100"/>
        <c:noMultiLvlLbl val="0"/>
      </c:catAx>
      <c:valAx>
        <c:axId val="980248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021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050"/>
              <a:t>2017</a:t>
            </a:r>
            <a:r>
              <a:rPr altLang="zh-CN" sz="1050"/>
              <a:t>年度</a:t>
            </a:r>
            <a:r>
              <a:rPr sz="1050"/>
              <a:t>一般公共预算财政拨款支出决算总体情况</a:t>
            </a:r>
            <a:endParaRPr sz="1050"/>
          </a:p>
        </c:rich>
      </c:tx>
      <c:layout>
        <c:manualLayout>
          <c:xMode val="edge"/>
          <c:yMode val="edge"/>
          <c:x val="0.0846858094049105"/>
          <c:y val="0.0358530026889752"/>
        </c:manualLayout>
      </c:layout>
      <c:overlay val="0"/>
      <c:spPr>
        <a:noFill/>
        <a:ln>
          <a:noFill/>
        </a:ln>
        <a:effectLst/>
      </c:spPr>
    </c:title>
    <c:autoTitleDeleted val="0"/>
    <c:plotArea>
      <c:layout>
        <c:manualLayout>
          <c:layoutTarget val="inner"/>
          <c:xMode val="edge"/>
          <c:yMode val="edge"/>
          <c:x val="0.118310445276737"/>
          <c:y val="0.328054974604123"/>
          <c:w val="0.842155638784852"/>
          <c:h val="0.398984164923812"/>
        </c:manualLayout>
      </c:layout>
      <c:barChart>
        <c:barDir val="col"/>
        <c:grouping val="clustered"/>
        <c:varyColors val="0"/>
        <c:ser>
          <c:idx val="0"/>
          <c:order val="0"/>
          <c:tx>
            <c:strRef>
              <c:f>Sheet1!$B$1</c:f>
              <c:strCache>
                <c:ptCount val="1"/>
                <c:pt idx="0">
                  <c:v>一般公共预算财政拨款支出决算总体情况</c:v>
                </c:pt>
              </c:strCache>
            </c:strRef>
          </c:tx>
          <c:spPr>
            <a:solidFill>
              <a:schemeClr val="accent1"/>
            </a:solidFill>
            <a:ln>
              <a:noFill/>
            </a:ln>
            <a:effectLst/>
          </c:spPr>
          <c:invertIfNegative val="0"/>
          <c:dLbls>
            <c:delete val="1"/>
          </c:dLbls>
          <c:cat>
            <c:strRef>
              <c:f>Sheet1!$A$2:$A$5</c:f>
              <c:strCache>
                <c:ptCount val="4"/>
                <c:pt idx="0">
                  <c:v>2016年度</c:v>
                </c:pt>
                <c:pt idx="1">
                  <c:v>2017年度</c:v>
                </c:pt>
              </c:strCache>
            </c:strRef>
          </c:cat>
          <c:val>
            <c:numRef>
              <c:f>Sheet1!$B$2:$B$5</c:f>
              <c:numCache>
                <c:formatCode>General</c:formatCode>
                <c:ptCount val="4"/>
                <c:pt idx="0">
                  <c:v>396.99</c:v>
                </c:pt>
                <c:pt idx="1">
                  <c:v>436.31</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2016年度</c:v>
                </c:pt>
                <c:pt idx="1">
                  <c:v>2017年度</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2016年度</c:v>
                </c:pt>
                <c:pt idx="1">
                  <c:v>2017年度</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49099264"/>
        <c:axId val="149154816"/>
      </c:barChart>
      <c:catAx>
        <c:axId val="1490992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154816"/>
        <c:crosses val="autoZero"/>
        <c:auto val="1"/>
        <c:lblAlgn val="ctr"/>
        <c:lblOffset val="100"/>
        <c:noMultiLvlLbl val="0"/>
      </c:catAx>
      <c:valAx>
        <c:axId val="1491548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099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2017年度一般公共预算财政拨款支出决算结构情况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一般公共服务支出</c:v>
                </c:pt>
                <c:pt idx="1">
                  <c:v>社会保障和就业支出</c:v>
                </c:pt>
                <c:pt idx="2">
                  <c:v>医疗卫生支出</c:v>
                </c:pt>
                <c:pt idx="3">
                  <c:v>住房保障支出</c:v>
                </c:pt>
              </c:strCache>
            </c:strRef>
          </c:cat>
          <c:val>
            <c:numRef>
              <c:f>Sheet1!$B$2:$B$5</c:f>
              <c:numCache>
                <c:formatCode>General</c:formatCode>
                <c:ptCount val="4"/>
                <c:pt idx="0">
                  <c:v>78.13</c:v>
                </c:pt>
                <c:pt idx="1">
                  <c:v>11.78</c:v>
                </c:pt>
                <c:pt idx="2">
                  <c:v>4.22</c:v>
                </c:pt>
                <c:pt idx="3">
                  <c:v>5.87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677</Words>
  <Characters>3864</Characters>
  <Lines>32</Lines>
  <Paragraphs>9</Paragraphs>
  <TotalTime>22</TotalTime>
  <ScaleCrop>false</ScaleCrop>
  <LinksUpToDate>false</LinksUpToDate>
  <CharactersWithSpaces>4532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2018-09-05T01:25:00Z</dcterms:created>
  <dc:creator>Administrator</dc:creator>
  <cp:lastModifiedBy>ffgg</cp:lastModifiedBy>
  <dcterms:modified xsi:type="dcterms:W3CDTF">2018-09-11T08:17:05Z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