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296EF">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6281ED31"/>
    <w:p w14:paraId="73539C9E"/>
    <w:p w14:paraId="6FC492BA"/>
    <w:p w14:paraId="36EB0FBC">
      <w:pPr>
        <w:ind w:firstLine="1050" w:firstLineChars="500"/>
      </w:pPr>
    </w:p>
    <w:p w14:paraId="46DC7C74">
      <w:pPr>
        <w:ind w:firstLine="1050" w:firstLineChars="500"/>
      </w:pPr>
    </w:p>
    <w:p w14:paraId="17C034F7">
      <w:pPr>
        <w:ind w:firstLine="1760" w:firstLineChars="400"/>
        <w:rPr>
          <w:rFonts w:ascii="黑体" w:hAnsi="黑体" w:eastAsia="黑体"/>
          <w:sz w:val="44"/>
          <w:szCs w:val="44"/>
        </w:rPr>
      </w:pPr>
    </w:p>
    <w:p w14:paraId="3431837D">
      <w:pPr>
        <w:ind w:firstLine="1760" w:firstLineChars="400"/>
        <w:rPr>
          <w:rFonts w:ascii="黑体" w:hAnsi="黑体" w:eastAsia="黑体"/>
          <w:sz w:val="44"/>
          <w:szCs w:val="44"/>
        </w:rPr>
      </w:pPr>
    </w:p>
    <w:p w14:paraId="24FCF4B4">
      <w:pPr>
        <w:ind w:firstLine="1760" w:firstLineChars="400"/>
        <w:rPr>
          <w:rFonts w:ascii="黑体" w:eastAsia="黑体"/>
          <w:sz w:val="44"/>
          <w:szCs w:val="44"/>
        </w:rPr>
      </w:pPr>
    </w:p>
    <w:p w14:paraId="733C0EC0">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val="en-US" w:eastAsia="zh-CN"/>
        </w:rPr>
        <w:t>综合行政执法局</w:t>
      </w:r>
    </w:p>
    <w:p w14:paraId="1145AD13">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3</w:t>
      </w:r>
      <w:r>
        <w:rPr>
          <w:rFonts w:hint="eastAsia" w:ascii="黑体" w:eastAsia="黑体"/>
          <w:sz w:val="44"/>
          <w:szCs w:val="44"/>
        </w:rPr>
        <w:t>年部门预算</w:t>
      </w:r>
    </w:p>
    <w:p w14:paraId="758E0963">
      <w:pPr>
        <w:ind w:firstLine="1760" w:firstLineChars="400"/>
        <w:rPr>
          <w:rFonts w:ascii="黑体" w:hAnsi="黑体" w:eastAsia="黑体"/>
          <w:sz w:val="44"/>
          <w:szCs w:val="44"/>
        </w:rPr>
      </w:pPr>
    </w:p>
    <w:p w14:paraId="57529CD0">
      <w:pPr>
        <w:ind w:firstLine="1760" w:firstLineChars="400"/>
        <w:rPr>
          <w:rFonts w:ascii="黑体" w:hAnsi="黑体" w:eastAsia="黑体"/>
          <w:sz w:val="44"/>
          <w:szCs w:val="44"/>
        </w:rPr>
      </w:pPr>
    </w:p>
    <w:p w14:paraId="1935766C">
      <w:pPr>
        <w:ind w:firstLine="1760" w:firstLineChars="400"/>
        <w:rPr>
          <w:rFonts w:ascii="黑体" w:hAnsi="黑体" w:eastAsia="黑体"/>
          <w:sz w:val="44"/>
          <w:szCs w:val="44"/>
        </w:rPr>
      </w:pPr>
    </w:p>
    <w:p w14:paraId="4A9AFF3F">
      <w:pPr>
        <w:ind w:firstLine="1760" w:firstLineChars="400"/>
        <w:rPr>
          <w:rFonts w:ascii="黑体" w:hAnsi="黑体" w:eastAsia="黑体"/>
          <w:sz w:val="44"/>
          <w:szCs w:val="44"/>
        </w:rPr>
      </w:pPr>
    </w:p>
    <w:p w14:paraId="4665B208">
      <w:pPr>
        <w:ind w:firstLine="1760" w:firstLineChars="400"/>
        <w:rPr>
          <w:rFonts w:ascii="黑体" w:hAnsi="黑体" w:eastAsia="黑体"/>
          <w:sz w:val="44"/>
          <w:szCs w:val="44"/>
        </w:rPr>
      </w:pPr>
    </w:p>
    <w:p w14:paraId="698D90FD">
      <w:pPr>
        <w:ind w:firstLine="1760" w:firstLineChars="400"/>
        <w:rPr>
          <w:rFonts w:ascii="黑体" w:hAnsi="黑体" w:eastAsia="黑体"/>
          <w:sz w:val="44"/>
          <w:szCs w:val="44"/>
        </w:rPr>
      </w:pPr>
    </w:p>
    <w:p w14:paraId="03AC6B84">
      <w:pPr>
        <w:ind w:firstLine="1760" w:firstLineChars="400"/>
        <w:rPr>
          <w:rFonts w:ascii="黑体" w:hAnsi="黑体" w:eastAsia="黑体"/>
          <w:sz w:val="44"/>
          <w:szCs w:val="44"/>
        </w:rPr>
      </w:pPr>
    </w:p>
    <w:p w14:paraId="57A7D941">
      <w:pPr>
        <w:ind w:firstLine="1760" w:firstLineChars="400"/>
        <w:rPr>
          <w:rFonts w:ascii="黑体" w:hAnsi="黑体" w:eastAsia="黑体"/>
          <w:sz w:val="44"/>
          <w:szCs w:val="44"/>
        </w:rPr>
      </w:pPr>
    </w:p>
    <w:p w14:paraId="4BF8AF49">
      <w:pPr>
        <w:ind w:firstLine="1760" w:firstLineChars="400"/>
        <w:rPr>
          <w:rFonts w:ascii="黑体" w:hAnsi="黑体" w:eastAsia="黑体"/>
          <w:sz w:val="44"/>
          <w:szCs w:val="44"/>
        </w:rPr>
      </w:pPr>
    </w:p>
    <w:p w14:paraId="1AF16650">
      <w:pPr>
        <w:ind w:firstLine="1760" w:firstLineChars="400"/>
        <w:rPr>
          <w:rFonts w:ascii="黑体" w:hAnsi="黑体" w:eastAsia="黑体"/>
          <w:sz w:val="44"/>
          <w:szCs w:val="44"/>
        </w:rPr>
      </w:pPr>
    </w:p>
    <w:p w14:paraId="1707FDAE">
      <w:pPr>
        <w:ind w:firstLine="1760" w:firstLineChars="400"/>
        <w:rPr>
          <w:rFonts w:ascii="黑体" w:hAnsi="黑体" w:eastAsia="黑体"/>
          <w:sz w:val="44"/>
          <w:szCs w:val="44"/>
        </w:rPr>
      </w:pPr>
    </w:p>
    <w:p w14:paraId="49376FAA">
      <w:pPr>
        <w:ind w:firstLine="1760" w:firstLineChars="400"/>
        <w:rPr>
          <w:rFonts w:ascii="黑体" w:hAnsi="黑体" w:eastAsia="黑体"/>
          <w:sz w:val="44"/>
          <w:szCs w:val="44"/>
        </w:rPr>
      </w:pPr>
    </w:p>
    <w:p w14:paraId="17146DF0">
      <w:pPr>
        <w:rPr>
          <w:rFonts w:ascii="黑体" w:hAnsi="黑体" w:eastAsia="黑体"/>
          <w:sz w:val="44"/>
          <w:szCs w:val="44"/>
        </w:rPr>
      </w:pPr>
    </w:p>
    <w:p w14:paraId="21F57D3A">
      <w:pPr>
        <w:rPr>
          <w:rFonts w:ascii="黑体" w:hAnsi="黑体" w:eastAsia="黑体"/>
          <w:sz w:val="44"/>
          <w:szCs w:val="44"/>
        </w:rPr>
      </w:pPr>
    </w:p>
    <w:p w14:paraId="298ABF54">
      <w:pPr>
        <w:ind w:firstLine="3120" w:firstLineChars="600"/>
        <w:rPr>
          <w:rFonts w:ascii="黑体" w:hAnsi="黑体" w:eastAsia="黑体"/>
          <w:sz w:val="52"/>
          <w:szCs w:val="52"/>
        </w:rPr>
      </w:pPr>
      <w:r>
        <w:rPr>
          <w:rFonts w:hint="eastAsia" w:ascii="黑体" w:hAnsi="黑体" w:eastAsia="黑体"/>
          <w:sz w:val="52"/>
          <w:szCs w:val="52"/>
        </w:rPr>
        <w:t>目录</w:t>
      </w:r>
    </w:p>
    <w:p w14:paraId="2F5174F4">
      <w:pPr>
        <w:ind w:firstLine="3080" w:firstLineChars="700"/>
        <w:rPr>
          <w:rFonts w:ascii="黑体" w:hAnsi="黑体" w:eastAsia="黑体"/>
          <w:sz w:val="44"/>
          <w:szCs w:val="44"/>
        </w:rPr>
      </w:pPr>
    </w:p>
    <w:p w14:paraId="657FAABB">
      <w:pPr>
        <w:pStyle w:val="10"/>
        <w:ind w:firstLine="0" w:firstLineChars="0"/>
        <w:rPr>
          <w:rFonts w:ascii="黑体" w:hAnsi="黑体" w:eastAsia="黑体"/>
          <w:sz w:val="32"/>
          <w:szCs w:val="32"/>
        </w:rPr>
      </w:pPr>
      <w:r>
        <w:rPr>
          <w:rFonts w:hint="eastAsia" w:ascii="黑体" w:hAnsi="黑体" w:eastAsia="黑体"/>
          <w:sz w:val="32"/>
          <w:szCs w:val="32"/>
        </w:rPr>
        <w:t>一、基本职能及主要工作</w:t>
      </w:r>
    </w:p>
    <w:p w14:paraId="7CAE7BD8">
      <w:pPr>
        <w:rPr>
          <w:rFonts w:ascii="楷体_GB2312" w:hAnsi="楷体" w:eastAsia="楷体_GB2312"/>
          <w:sz w:val="32"/>
          <w:szCs w:val="32"/>
        </w:rPr>
      </w:pPr>
      <w:r>
        <w:rPr>
          <w:rFonts w:hint="eastAsia" w:ascii="楷体_GB2312" w:hAnsi="楷体" w:eastAsia="楷体_GB2312"/>
          <w:sz w:val="32"/>
          <w:szCs w:val="32"/>
        </w:rPr>
        <w:t>（一）部门职能简介</w:t>
      </w:r>
    </w:p>
    <w:p w14:paraId="5D118AAD">
      <w:pPr>
        <w:rPr>
          <w:rFonts w:ascii="楷体_GB2312" w:hAnsi="楷体" w:eastAsia="楷体_GB2312"/>
          <w:sz w:val="32"/>
          <w:szCs w:val="32"/>
        </w:rPr>
      </w:pPr>
      <w:r>
        <w:rPr>
          <w:rFonts w:hint="eastAsia" w:ascii="楷体_GB2312" w:hAnsi="楷体" w:eastAsia="楷体_GB2312"/>
          <w:sz w:val="32"/>
          <w:szCs w:val="32"/>
        </w:rPr>
        <w:t>（二）2023年重点工作</w:t>
      </w:r>
    </w:p>
    <w:p w14:paraId="6F68C98A">
      <w:pPr>
        <w:rPr>
          <w:rFonts w:ascii="黑体" w:hAnsi="黑体" w:eastAsia="黑体"/>
          <w:sz w:val="32"/>
          <w:szCs w:val="32"/>
        </w:rPr>
      </w:pPr>
      <w:r>
        <w:rPr>
          <w:rFonts w:hint="eastAsia" w:ascii="黑体" w:hAnsi="黑体" w:eastAsia="黑体"/>
          <w:sz w:val="32"/>
          <w:szCs w:val="32"/>
        </w:rPr>
        <w:t>二、部门预算单位构成</w:t>
      </w:r>
    </w:p>
    <w:p w14:paraId="41ADC62D">
      <w:pPr>
        <w:rPr>
          <w:rFonts w:ascii="黑体" w:hAnsi="黑体" w:eastAsia="黑体"/>
          <w:sz w:val="32"/>
          <w:szCs w:val="32"/>
        </w:rPr>
      </w:pPr>
      <w:r>
        <w:rPr>
          <w:rFonts w:hint="eastAsia" w:ascii="黑体" w:hAnsi="黑体" w:eastAsia="黑体"/>
          <w:sz w:val="32"/>
          <w:szCs w:val="32"/>
        </w:rPr>
        <w:t>三、收支预算情况说明</w:t>
      </w:r>
    </w:p>
    <w:p w14:paraId="5B0CFEAE">
      <w:pPr>
        <w:rPr>
          <w:rFonts w:ascii="楷体_GB2312" w:hAnsi="楷体" w:eastAsia="楷体_GB2312"/>
          <w:sz w:val="32"/>
          <w:szCs w:val="32"/>
        </w:rPr>
      </w:pPr>
      <w:r>
        <w:rPr>
          <w:rFonts w:hint="eastAsia" w:ascii="楷体_GB2312" w:hAnsi="楷体" w:eastAsia="楷体_GB2312"/>
          <w:sz w:val="32"/>
          <w:szCs w:val="32"/>
        </w:rPr>
        <w:t>（一）收入预算情况</w:t>
      </w:r>
    </w:p>
    <w:p w14:paraId="07213584">
      <w:pPr>
        <w:rPr>
          <w:rFonts w:ascii="楷体_GB2312" w:hAnsi="楷体" w:eastAsia="楷体_GB2312"/>
          <w:sz w:val="32"/>
          <w:szCs w:val="32"/>
        </w:rPr>
      </w:pPr>
      <w:r>
        <w:rPr>
          <w:rFonts w:hint="eastAsia" w:ascii="楷体_GB2312" w:hAnsi="楷体" w:eastAsia="楷体_GB2312"/>
          <w:sz w:val="32"/>
          <w:szCs w:val="32"/>
        </w:rPr>
        <w:t>（二）支出预算情况</w:t>
      </w:r>
    </w:p>
    <w:p w14:paraId="4214F466">
      <w:pPr>
        <w:rPr>
          <w:rFonts w:ascii="黑体" w:hAnsi="黑体" w:eastAsia="黑体"/>
          <w:sz w:val="32"/>
          <w:szCs w:val="32"/>
        </w:rPr>
      </w:pPr>
      <w:r>
        <w:rPr>
          <w:rFonts w:hint="eastAsia" w:ascii="黑体" w:hAnsi="黑体" w:eastAsia="黑体"/>
          <w:sz w:val="32"/>
          <w:szCs w:val="32"/>
        </w:rPr>
        <w:t>四、财政拨款收支预算情况说明</w:t>
      </w:r>
    </w:p>
    <w:p w14:paraId="602ACC09">
      <w:pPr>
        <w:rPr>
          <w:rFonts w:ascii="黑体" w:hAnsi="黑体" w:eastAsia="黑体"/>
          <w:sz w:val="32"/>
          <w:szCs w:val="32"/>
        </w:rPr>
      </w:pPr>
      <w:r>
        <w:rPr>
          <w:rFonts w:hint="eastAsia" w:ascii="黑体" w:hAnsi="黑体" w:eastAsia="黑体"/>
          <w:sz w:val="32"/>
          <w:szCs w:val="32"/>
        </w:rPr>
        <w:t>五、一般公共预算当年拨款情况说明</w:t>
      </w:r>
    </w:p>
    <w:p w14:paraId="1F93D186">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4D046974">
      <w:pPr>
        <w:rPr>
          <w:rFonts w:ascii="黑体" w:hAnsi="黑体" w:eastAsia="黑体"/>
          <w:sz w:val="32"/>
          <w:szCs w:val="32"/>
        </w:rPr>
      </w:pPr>
    </w:p>
    <w:p w14:paraId="28C74DC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87E6AB3">
      <w:pPr>
        <w:pStyle w:val="10"/>
        <w:ind w:firstLine="640"/>
        <w:rPr>
          <w:rFonts w:ascii="黑体" w:hAnsi="黑体" w:eastAsia="黑体"/>
          <w:sz w:val="32"/>
          <w:szCs w:val="32"/>
        </w:rPr>
      </w:pPr>
      <w:r>
        <w:rPr>
          <w:rFonts w:hint="eastAsia" w:ascii="黑体" w:hAnsi="黑体" w:eastAsia="黑体"/>
          <w:sz w:val="32"/>
          <w:szCs w:val="32"/>
        </w:rPr>
        <w:t>一、基本职能及主要工作</w:t>
      </w:r>
    </w:p>
    <w:p w14:paraId="26C52F90">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2689E7A2">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1.贯彻执行国家、省、州、县有关综合行政执法的方针政策和法律、法规、规章；负责起草有关规范性文件草案；拟定全县综合行政执法的发展战略、中期发展规划和年度工作计划，经批准后组织实施；制定全县综合行政执法制度和规范经批准后组织实施。</w:t>
      </w:r>
    </w:p>
    <w:p w14:paraId="59718216">
      <w:pPr>
        <w:spacing w:line="576" w:lineRule="exact"/>
        <w:ind w:firstLine="640" w:firstLineChars="200"/>
        <w:outlineLvl w:val="1"/>
        <w:rPr>
          <w:rFonts w:hint="eastAsia" w:ascii="仿宋_GB2312" w:eastAsia="仿宋_GB2312"/>
          <w:b/>
          <w:sz w:val="32"/>
          <w:szCs w:val="24"/>
        </w:rPr>
      </w:pPr>
      <w:r>
        <w:rPr>
          <w:rFonts w:hint="eastAsia" w:ascii="仿宋_GB2312" w:eastAsia="仿宋_GB2312"/>
          <w:sz w:val="32"/>
          <w:szCs w:val="24"/>
          <w:lang w:val="en-US" w:eastAsia="zh-CN"/>
        </w:rPr>
        <w:t>2.</w:t>
      </w:r>
      <w:r>
        <w:rPr>
          <w:rFonts w:hint="eastAsia" w:ascii="仿宋_GB2312" w:eastAsia="仿宋_GB2312"/>
          <w:sz w:val="32"/>
          <w:szCs w:val="24"/>
        </w:rPr>
        <w:t>集中行使自然资源管理、城市管理、文化市场管理等领域法律、法规、规章规定的全部或部分行政处罚权及相应的行政检查权、行政命令权和行政强制措施权。具体包括：</w:t>
      </w:r>
    </w:p>
    <w:p w14:paraId="50A47191">
      <w:pPr>
        <w:spacing w:line="576" w:lineRule="exact"/>
        <w:ind w:firstLine="640" w:firstLineChars="200"/>
        <w:rPr>
          <w:rFonts w:hint="eastAsia" w:ascii="仿宋_GB2312" w:eastAsia="仿宋_GB2312"/>
          <w:sz w:val="32"/>
          <w:szCs w:val="24"/>
        </w:rPr>
      </w:pPr>
      <w:r>
        <w:rPr>
          <w:rFonts w:hint="eastAsia" w:ascii="仿宋_GB2312" w:eastAsia="仿宋_GB2312"/>
          <w:sz w:val="32"/>
          <w:szCs w:val="24"/>
          <w:lang w:eastAsia="zh-CN"/>
        </w:rPr>
        <w:t>（</w:t>
      </w:r>
      <w:r>
        <w:rPr>
          <w:rFonts w:hint="eastAsia" w:ascii="仿宋_GB2312" w:eastAsia="仿宋_GB2312"/>
          <w:sz w:val="32"/>
          <w:szCs w:val="24"/>
          <w:lang w:val="en-US" w:eastAsia="zh-CN"/>
        </w:rPr>
        <w:t>1</w:t>
      </w:r>
      <w:r>
        <w:rPr>
          <w:rFonts w:hint="eastAsia" w:ascii="仿宋_GB2312" w:eastAsia="仿宋_GB2312"/>
          <w:sz w:val="32"/>
          <w:szCs w:val="24"/>
          <w:lang w:eastAsia="zh-CN"/>
        </w:rPr>
        <w:t>）</w:t>
      </w:r>
      <w:r>
        <w:rPr>
          <w:rFonts w:hint="eastAsia" w:ascii="仿宋_GB2312" w:eastAsia="仿宋_GB2312"/>
          <w:sz w:val="32"/>
          <w:szCs w:val="24"/>
        </w:rPr>
        <w:t>行使土地、矿产资源及城乡规划管理方面法律、法规、规章规定的行政处罚权；</w:t>
      </w:r>
    </w:p>
    <w:p w14:paraId="24BC9514">
      <w:pPr>
        <w:spacing w:line="576" w:lineRule="exact"/>
        <w:ind w:firstLine="640" w:firstLineChars="200"/>
        <w:rPr>
          <w:rFonts w:hint="eastAsia" w:ascii="仿宋_GB2312" w:eastAsia="仿宋_GB2312"/>
          <w:sz w:val="32"/>
          <w:szCs w:val="24"/>
          <w:lang w:eastAsia="zh-CN"/>
        </w:rPr>
      </w:pPr>
      <w:r>
        <w:rPr>
          <w:rFonts w:hint="eastAsia" w:ascii="仿宋_GB2312" w:eastAsia="仿宋_GB2312"/>
          <w:sz w:val="32"/>
          <w:szCs w:val="24"/>
          <w:lang w:val="en-US" w:eastAsia="zh-CN"/>
        </w:rPr>
        <w:t>（2）</w:t>
      </w:r>
      <w:r>
        <w:rPr>
          <w:rFonts w:hint="eastAsia" w:ascii="仿宋_GB2312" w:eastAsia="仿宋_GB2312"/>
          <w:sz w:val="32"/>
          <w:szCs w:val="24"/>
          <w:lang w:eastAsia="zh-CN"/>
        </w:rPr>
        <w:t>行使文化(文物)、广播影视、新闻出版（版权)、体育管理方面法律、法规、规章规定的行政处罚权；</w:t>
      </w:r>
    </w:p>
    <w:p w14:paraId="726AFB60">
      <w:pPr>
        <w:spacing w:line="576" w:lineRule="exact"/>
        <w:ind w:firstLine="640" w:firstLineChars="200"/>
        <w:rPr>
          <w:rFonts w:hint="eastAsia" w:ascii="仿宋_GB2312" w:eastAsia="仿宋_GB2312"/>
          <w:sz w:val="32"/>
          <w:szCs w:val="24"/>
          <w:lang w:eastAsia="zh-CN"/>
        </w:rPr>
      </w:pPr>
      <w:r>
        <w:rPr>
          <w:rFonts w:hint="eastAsia" w:ascii="仿宋_GB2312" w:eastAsia="仿宋_GB2312"/>
          <w:sz w:val="32"/>
          <w:szCs w:val="24"/>
          <w:lang w:val="en-US" w:eastAsia="zh-CN"/>
        </w:rPr>
        <w:t>（3）</w:t>
      </w:r>
      <w:r>
        <w:rPr>
          <w:rFonts w:hint="eastAsia" w:ascii="仿宋_GB2312" w:eastAsia="仿宋_GB2312"/>
          <w:sz w:val="32"/>
          <w:szCs w:val="24"/>
          <w:lang w:eastAsia="zh-CN"/>
        </w:rPr>
        <w:t>行使城市管理方面法律、法规、规章规定的行政处罚权。</w:t>
      </w:r>
    </w:p>
    <w:p w14:paraId="5CC0BD22">
      <w:pPr>
        <w:spacing w:line="576" w:lineRule="exact"/>
        <w:ind w:firstLine="640" w:firstLineChars="200"/>
        <w:rPr>
          <w:rFonts w:hint="eastAsia" w:ascii="仿宋_GB2312" w:eastAsia="仿宋_GB2312"/>
          <w:sz w:val="32"/>
          <w:szCs w:val="24"/>
        </w:rPr>
      </w:pPr>
      <w:r>
        <w:rPr>
          <w:rFonts w:hint="eastAsia" w:ascii="仿宋_GB2312" w:eastAsia="仿宋_GB2312"/>
          <w:sz w:val="32"/>
          <w:szCs w:val="24"/>
        </w:rPr>
        <w:t>上述行政处罚权及行政检查、行政命令和行政强制权中，与行政管理联系紧密的提供报表资料、费用缴纳、资质资格管理、招投标管理、合同管理等方面法律、法规、规章规定的相关职权仍由原行政主管部门行使。</w:t>
      </w:r>
    </w:p>
    <w:p w14:paraId="79D3533C">
      <w:pPr>
        <w:spacing w:line="576" w:lineRule="exact"/>
        <w:ind w:firstLine="640" w:firstLineChars="200"/>
        <w:rPr>
          <w:rFonts w:hint="eastAsia" w:ascii="仿宋_GB2312" w:eastAsia="仿宋_GB2312"/>
          <w:sz w:val="32"/>
          <w:szCs w:val="24"/>
        </w:rPr>
      </w:pPr>
      <w:r>
        <w:rPr>
          <w:rFonts w:hint="eastAsia" w:ascii="仿宋_GB2312" w:eastAsia="仿宋_GB2312"/>
          <w:sz w:val="32"/>
          <w:szCs w:val="24"/>
        </w:rPr>
        <w:t>除上述行政执法职责外，对省、州有关文件规定应予划转的行政执法职责，将结合县内实际，逐步将相关部门的行政执法职责划入县综合执法局。</w:t>
      </w:r>
    </w:p>
    <w:p w14:paraId="030B8E70">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3.负责受理职责范围内行政违法行为的举报、投诉和各种方式移送的案件线索，办理有关行政复议和行政应诉工作。</w:t>
      </w:r>
    </w:p>
    <w:p w14:paraId="0A5307E3">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4.牵头实施由县人民政府组织的有关专项整治和重大执法活动。</w:t>
      </w:r>
    </w:p>
    <w:p w14:paraId="184307F4">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5.配合协助划转行政处罚权涉及的行政主管部门组织开展行业整治活动。</w:t>
      </w:r>
      <w:r>
        <w:rPr>
          <w:rFonts w:hint="eastAsia" w:ascii="仿宋_GB2312" w:eastAsia="仿宋_GB2312"/>
          <w:sz w:val="32"/>
          <w:szCs w:val="24"/>
          <w:lang w:val="en-US" w:eastAsia="zh-CN"/>
        </w:rPr>
        <w:br w:type="textWrapping"/>
      </w:r>
      <w:r>
        <w:rPr>
          <w:rFonts w:hint="eastAsia" w:ascii="仿宋_GB2312" w:eastAsia="仿宋_GB2312"/>
          <w:sz w:val="32"/>
          <w:szCs w:val="24"/>
          <w:lang w:val="en-US" w:eastAsia="zh-CN"/>
        </w:rPr>
        <w:t xml:space="preserve">    6.指导乡（镇）综合行政执法工作。   </w:t>
      </w:r>
    </w:p>
    <w:p w14:paraId="7B363132">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7.承办县委、县人民政府交办的其他任务。</w:t>
      </w:r>
    </w:p>
    <w:p w14:paraId="0F9910D1">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8.与有关部门的职责关系和职责分工</w:t>
      </w:r>
    </w:p>
    <w:p w14:paraId="58F10EB6">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1）行政主管部门承担实现行政管理目标责任；县综合执法局承担对违法行为的处罚职责，其实施行政处罚须符合行政管理目标要求。为实现行政管理目标，行政主管部门可以对县综合执法局实施的行政处罚提出建议，县综合执法局应积极采纳。</w:t>
      </w:r>
    </w:p>
    <w:p w14:paraId="18DC0BB9">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（2）县综合执法局实施行政处罚需要行政主管部门配合的，行政主管部门应当配合，主要承担协助查明案件事实和提供相关资料等责任。</w:t>
      </w:r>
    </w:p>
    <w:p w14:paraId="7214D2C2">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3）行政主管部门通过加强行政检査及时发现、制止、纠正行政违法行为，认为需要实施行政处罚的及时将掌握的材料移送县综合执法局。对其中专业性强的行政违法案件，由行政主管部门负责调查并提出处罚建议。</w:t>
      </w:r>
    </w:p>
    <w:p w14:paraId="38EB530E">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（4）行政主管部门负责将行政许可、登记、确认、备案、日常管理等情况及时抄告县综合执法局，县综合执法局负责将日常巡查情况和处理结果及时抄告行政主管部门。</w:t>
      </w:r>
    </w:p>
    <w:p w14:paraId="50AEF0E1">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（5）县综合执法局受理的需要有关行政主管部门处理的行政违法案件，及时移交有关行政主管部门调查处理；行政主管部门将处理结果及时抄告县综合执法局。</w:t>
      </w:r>
    </w:p>
    <w:p w14:paraId="1003758D">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（6）由行政主管部门承担日常巡查主体责任的，县综合执法局进行监督性检查；由县综合执法局承担日常巡查主体责任的，行政主管部门进行监督性检查。</w:t>
      </w:r>
    </w:p>
    <w:p w14:paraId="48F53E44">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（7）有关行政执法工作，与上级主管部门的业务对接、向上级主管部门汇报工作（包括工作报表、情况报告、信件回复等），由行政主管部门负责，县综合执法局配合协助。</w:t>
      </w:r>
    </w:p>
    <w:p w14:paraId="6BC00762">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（8）镇人民政府负责按照县综合执法局统一安排，制定本镇的综合行政执法工作计划，统筹安排和协调本乡（镇）的综合行政执法活动。</w:t>
      </w:r>
    </w:p>
    <w:p w14:paraId="454C6C50">
      <w:pPr>
        <w:spacing w:line="576" w:lineRule="exact"/>
        <w:ind w:firstLine="640" w:firstLineChars="200"/>
        <w:rPr>
          <w:rFonts w:hint="eastAsia" w:ascii="仿宋_GB2312" w:eastAsia="仿宋_GB2312" w:cs="仿宋"/>
          <w:sz w:val="32"/>
          <w:szCs w:val="32"/>
          <w:lang w:bidi="ar-SA"/>
        </w:rPr>
      </w:pPr>
      <w:r>
        <w:rPr>
          <w:rFonts w:hint="eastAsia" w:ascii="仿宋_GB2312" w:eastAsia="仿宋_GB2312"/>
          <w:sz w:val="32"/>
          <w:szCs w:val="24"/>
          <w:lang w:val="en-US" w:eastAsia="zh-CN"/>
        </w:rPr>
        <w:t>（9）</w:t>
      </w:r>
      <w:r>
        <w:rPr>
          <w:rFonts w:hint="eastAsia" w:ascii="仿宋_GB2312" w:eastAsia="仿宋_GB2312" w:cs="仿宋"/>
          <w:sz w:val="32"/>
          <w:szCs w:val="32"/>
          <w:lang w:bidi="ar-SA"/>
        </w:rPr>
        <w:t>镇人民政府应当依法积极履行属地监管职责，并负责组织发动镇干部、村干部和广大群众及时发现、举报和制止行政违法行为；县综合执法局负责及时受理违法行为举报、</w:t>
      </w:r>
      <w:r>
        <w:rPr>
          <w:rFonts w:hint="eastAsia" w:ascii="仿宋_GB2312" w:hAnsi="仿宋_GB2312" w:eastAsia="仿宋" w:cs="仿宋"/>
          <w:sz w:val="32"/>
          <w:szCs w:val="32"/>
          <w:lang w:bidi="ar-SA"/>
        </w:rPr>
        <w:t>査</w:t>
      </w:r>
      <w:r>
        <w:rPr>
          <w:rFonts w:hint="eastAsia" w:ascii="仿宋_GB2312" w:eastAsia="仿宋_GB2312" w:cs="仿宋"/>
          <w:sz w:val="32"/>
          <w:szCs w:val="32"/>
          <w:lang w:bidi="ar-SA"/>
        </w:rPr>
        <w:t>处违法案件。</w:t>
      </w:r>
    </w:p>
    <w:p w14:paraId="6B236028">
      <w:pPr>
        <w:spacing w:line="576" w:lineRule="exact"/>
        <w:ind w:firstLine="640" w:firstLineChars="200"/>
        <w:rPr>
          <w:rFonts w:hint="eastAsia" w:ascii="仿宋_GB2312" w:eastAsia="仿宋_GB2312" w:cs="仿宋"/>
          <w:sz w:val="32"/>
          <w:szCs w:val="32"/>
          <w:lang w:bidi="ar-SA"/>
        </w:rPr>
      </w:pPr>
      <w:r>
        <w:rPr>
          <w:rFonts w:hint="eastAsia" w:ascii="仿宋_GB2312" w:eastAsia="仿宋_GB2312"/>
          <w:sz w:val="32"/>
          <w:szCs w:val="24"/>
          <w:lang w:val="en-US" w:eastAsia="zh-CN"/>
        </w:rPr>
        <w:t>（10）</w:t>
      </w:r>
      <w:r>
        <w:rPr>
          <w:rFonts w:hint="eastAsia" w:ascii="仿宋_GB2312" w:eastAsia="仿宋_GB2312" w:cs="仿宋"/>
          <w:sz w:val="32"/>
          <w:szCs w:val="32"/>
          <w:lang w:bidi="ar-SA"/>
        </w:rPr>
        <w:t>镇人民政府在本辖区内组织开展的重大行政执法活动和专项整治活动，县综合执法局应积极配合；县综合执法局组织开展的重大行政执法活动和专项整治活动，有关镇人民政府应积极配合。</w:t>
      </w:r>
    </w:p>
    <w:p w14:paraId="3D29017B">
      <w:pPr>
        <w:ind w:firstLine="643"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14:paraId="580F1658">
      <w:pPr>
        <w:pStyle w:val="6"/>
        <w:shd w:val="clear" w:color="auto" w:fill="FFFFFF"/>
        <w:spacing w:before="0" w:beforeAutospacing="0" w:after="0" w:afterAutospacing="0" w:line="560" w:lineRule="exact"/>
        <w:ind w:left="0" w:firstLine="643" w:firstLineChars="200"/>
        <w:rPr>
          <w:rFonts w:hint="eastAsia" w:ascii="楷体" w:eastAsia="楷体"/>
          <w:b/>
          <w:kern w:val="2"/>
          <w:sz w:val="32"/>
          <w:szCs w:val="24"/>
          <w:lang w:val="en-US" w:eastAsia="zh-CN"/>
        </w:rPr>
      </w:pPr>
      <w:r>
        <w:rPr>
          <w:rFonts w:ascii="楷体" w:eastAsia="楷体"/>
          <w:b/>
          <w:kern w:val="2"/>
          <w:sz w:val="32"/>
          <w:szCs w:val="24"/>
          <w:lang w:val="en-US" w:eastAsia="zh-CN"/>
        </w:rPr>
        <w:t>1</w:t>
      </w:r>
      <w:r>
        <w:rPr>
          <w:rFonts w:hint="eastAsia" w:ascii="楷体" w:eastAsia="楷体"/>
          <w:b/>
          <w:kern w:val="2"/>
          <w:sz w:val="32"/>
          <w:szCs w:val="24"/>
          <w:lang w:val="en-US" w:eastAsia="zh-CN"/>
        </w:rPr>
        <w:t>.有针对性开展多项整治工作</w:t>
      </w:r>
    </w:p>
    <w:p w14:paraId="23F50928">
      <w:pPr>
        <w:pStyle w:val="6"/>
        <w:shd w:val="clear" w:color="auto" w:fill="FFFFFF"/>
        <w:spacing w:before="0" w:beforeAutospacing="0" w:after="0" w:afterAutospacing="0" w:line="560" w:lineRule="exact"/>
        <w:ind w:left="0" w:firstLine="640" w:firstLineChars="200"/>
        <w:rPr>
          <w:rFonts w:hint="eastAsia" w:ascii="仿宋" w:eastAsia="仿宋"/>
          <w:sz w:val="32"/>
          <w:szCs w:val="24"/>
          <w:lang w:val="en-US" w:eastAsia="zh-CN"/>
        </w:rPr>
      </w:pPr>
      <w:r>
        <w:rPr>
          <w:rFonts w:hint="eastAsia" w:ascii="仿宋" w:eastAsia="仿宋"/>
          <w:sz w:val="32"/>
          <w:szCs w:val="24"/>
          <w:lang w:val="en-US" w:eastAsia="zh-CN"/>
        </w:rPr>
        <w:t>一是针对城区跨门槛经营、流动摊贩占道经营、车辆乱停乱放、违章乱搭乱盖、非法张贴小广告、夜市市场乱象及未按要求设置户外广告(招牌)等行为进行集中整治，并联合责任单位，形成联动机制和长效管理机制，将市容市貌整治工作推向新台阶。二是</w:t>
      </w:r>
      <w:r>
        <w:rPr>
          <w:rFonts w:hint="eastAsia" w:ascii="仿宋" w:eastAsia="仿宋"/>
          <w:sz w:val="32"/>
          <w:szCs w:val="24"/>
        </w:rPr>
        <w:t>继续深入做好文化市场管理和“扫黄打非”工作，确保意识形态领域安全</w:t>
      </w:r>
      <w:r>
        <w:rPr>
          <w:rFonts w:hint="eastAsia" w:ascii="仿宋" w:eastAsia="仿宋"/>
          <w:sz w:val="32"/>
          <w:szCs w:val="24"/>
          <w:lang w:eastAsia="zh-CN"/>
        </w:rPr>
        <w:t>。三</w:t>
      </w:r>
      <w:r>
        <w:rPr>
          <w:rFonts w:hint="eastAsia" w:ascii="仿宋" w:eastAsia="仿宋"/>
          <w:sz w:val="32"/>
          <w:szCs w:val="24"/>
          <w:lang w:val="en-US" w:eastAsia="zh-CN"/>
        </w:rPr>
        <w:t>是进一步规范国土及城乡规划执法程序，对查处的每个案件严格采取正规的立案程序、执行程序、结案程序，保证案件规范化、格式化。严格依法办事，不断提高执法人员案件制作、处理能力。</w:t>
      </w:r>
    </w:p>
    <w:p w14:paraId="797A1F58">
      <w:pPr>
        <w:spacing w:line="560" w:lineRule="exact"/>
        <w:ind w:left="0" w:firstLine="643" w:firstLineChars="200"/>
        <w:rPr>
          <w:rFonts w:hint="eastAsia" w:ascii="楷体" w:eastAsia="楷体"/>
          <w:b/>
          <w:sz w:val="32"/>
          <w:szCs w:val="24"/>
        </w:rPr>
      </w:pPr>
      <w:r>
        <w:rPr>
          <w:rFonts w:ascii="楷体" w:eastAsia="楷体"/>
          <w:b/>
          <w:sz w:val="32"/>
          <w:szCs w:val="24"/>
          <w:lang w:val="en-US" w:eastAsia="zh-CN"/>
        </w:rPr>
        <w:t>2</w:t>
      </w:r>
      <w:r>
        <w:rPr>
          <w:rFonts w:hint="eastAsia" w:ascii="楷体" w:eastAsia="楷体"/>
          <w:b/>
          <w:sz w:val="32"/>
          <w:szCs w:val="24"/>
          <w:lang w:val="en-US" w:eastAsia="zh-CN"/>
        </w:rPr>
        <w:t>.</w:t>
      </w:r>
      <w:r>
        <w:rPr>
          <w:rFonts w:hint="eastAsia" w:ascii="楷体" w:eastAsia="楷体"/>
          <w:b/>
          <w:sz w:val="32"/>
          <w:szCs w:val="24"/>
        </w:rPr>
        <w:t>继续做好工作衔接机制建设</w:t>
      </w:r>
    </w:p>
    <w:p w14:paraId="6B141EC4">
      <w:pPr>
        <w:spacing w:line="560" w:lineRule="exact"/>
        <w:ind w:left="0" w:firstLine="640" w:firstLineChars="200"/>
        <w:rPr>
          <w:rFonts w:hint="eastAsia" w:ascii="仿宋_GB2312" w:eastAsia="仿宋_GB2312"/>
          <w:color w:val="343434"/>
          <w:kern w:val="0"/>
          <w:sz w:val="32"/>
          <w:szCs w:val="24"/>
          <w:lang w:val="en-US" w:eastAsia="zh-CN"/>
        </w:rPr>
      </w:pPr>
      <w:r>
        <w:rPr>
          <w:rFonts w:hint="eastAsia" w:ascii="仿宋" w:eastAsia="仿宋"/>
          <w:sz w:val="32"/>
          <w:szCs w:val="24"/>
        </w:rPr>
        <w:t>加强与各</w:t>
      </w:r>
      <w:r>
        <w:rPr>
          <w:rFonts w:hint="eastAsia" w:ascii="仿宋" w:eastAsia="仿宋"/>
          <w:sz w:val="32"/>
          <w:szCs w:val="24"/>
          <w:lang w:eastAsia="zh-CN"/>
        </w:rPr>
        <w:t>乡</w:t>
      </w:r>
      <w:r>
        <w:rPr>
          <w:rFonts w:hint="eastAsia" w:ascii="仿宋" w:eastAsia="仿宋"/>
          <w:sz w:val="32"/>
          <w:szCs w:val="24"/>
        </w:rPr>
        <w:t>镇、各部门的沟通协调，</w:t>
      </w:r>
      <w:r>
        <w:rPr>
          <w:rFonts w:hint="eastAsia" w:ascii="仿宋" w:eastAsia="仿宋"/>
          <w:sz w:val="32"/>
          <w:szCs w:val="24"/>
          <w:lang w:val="en-US" w:eastAsia="zh-CN"/>
        </w:rPr>
        <w:t>理</w:t>
      </w:r>
      <w:r>
        <w:rPr>
          <w:rFonts w:hint="eastAsia" w:ascii="仿宋" w:eastAsia="仿宋"/>
          <w:sz w:val="32"/>
          <w:szCs w:val="24"/>
        </w:rPr>
        <w:t>清工作职能职责，建立与各行政职能部门之间的常态化工作衔接机制，做到既“分工”又“合作”同时，加强与公安机关的沟通衔接，在高危行政执法活动中加入公安力量。</w:t>
      </w:r>
    </w:p>
    <w:p w14:paraId="667FBAEF">
      <w:pPr>
        <w:spacing w:line="560" w:lineRule="exact"/>
        <w:ind w:left="0" w:firstLine="643" w:firstLineChars="200"/>
        <w:rPr>
          <w:rFonts w:hint="eastAsia" w:ascii="楷体" w:eastAsia="楷体"/>
          <w:b/>
          <w:sz w:val="32"/>
          <w:szCs w:val="24"/>
        </w:rPr>
      </w:pPr>
      <w:r>
        <w:rPr>
          <w:rFonts w:ascii="楷体" w:eastAsia="楷体"/>
          <w:b/>
          <w:sz w:val="32"/>
          <w:szCs w:val="24"/>
          <w:lang w:val="en-US" w:eastAsia="zh-CN"/>
        </w:rPr>
        <w:t>3</w:t>
      </w:r>
      <w:r>
        <w:rPr>
          <w:rFonts w:hint="eastAsia" w:ascii="楷体" w:eastAsia="楷体"/>
          <w:b/>
          <w:sz w:val="32"/>
          <w:szCs w:val="24"/>
          <w:lang w:val="en-US" w:eastAsia="zh-CN"/>
        </w:rPr>
        <w:t>.</w:t>
      </w:r>
      <w:r>
        <w:rPr>
          <w:rFonts w:hint="eastAsia" w:ascii="楷体" w:eastAsia="楷体"/>
          <w:b/>
          <w:sz w:val="32"/>
          <w:szCs w:val="24"/>
        </w:rPr>
        <w:t>加大对外宣传力</w:t>
      </w:r>
      <w:r>
        <w:rPr>
          <w:rFonts w:hint="eastAsia" w:ascii="楷体" w:eastAsia="楷体"/>
          <w:b/>
          <w:sz w:val="32"/>
          <w:szCs w:val="24"/>
          <w:lang w:eastAsia="zh-CN"/>
        </w:rPr>
        <w:t>度，</w:t>
      </w:r>
      <w:r>
        <w:rPr>
          <w:rFonts w:hint="eastAsia" w:ascii="楷体" w:eastAsia="楷体"/>
          <w:b/>
          <w:sz w:val="32"/>
          <w:szCs w:val="24"/>
          <w:lang w:val="en-US" w:eastAsia="zh-CN"/>
        </w:rPr>
        <w:t>营造良好氛围</w:t>
      </w:r>
    </w:p>
    <w:p w14:paraId="317F7314">
      <w:pPr>
        <w:spacing w:line="560" w:lineRule="exact"/>
        <w:ind w:left="0" w:firstLine="640" w:firstLineChars="200"/>
        <w:rPr>
          <w:rFonts w:hint="eastAsia" w:ascii="仿宋" w:eastAsia="仿宋"/>
          <w:sz w:val="32"/>
          <w:szCs w:val="24"/>
          <w:lang w:val="en-US" w:eastAsia="zh-CN"/>
        </w:rPr>
      </w:pPr>
      <w:r>
        <w:rPr>
          <w:rFonts w:hint="eastAsia" w:ascii="仿宋" w:eastAsia="仿宋"/>
          <w:sz w:val="32"/>
          <w:szCs w:val="24"/>
          <w:lang w:val="en-US" w:eastAsia="zh-CN"/>
        </w:rPr>
        <w:t>在利用广播电视台、网络等主流媒体宣传我县综合行政执法体系改革成效的基础上，拓宽宣传渠道，采用微信、微博等新型宣传媒体扩大综合行政执法的知晓度，以“工作规范、认识统一、效率更高、复议更少、百姓更满意”为工作目标，让广大人民群众理解综合行政执法、支持综合行政执法，树立勤政廉洁高效的综合执法形象，展现综合执法人蓬勃向上、忠诚担当、奋发有为的精神风貌。</w:t>
      </w:r>
    </w:p>
    <w:p w14:paraId="55D6B38F">
      <w:pPr>
        <w:pStyle w:val="10"/>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071B4D98">
      <w:pPr>
        <w:pStyle w:val="7"/>
        <w:ind w:left="0" w:firstLine="640" w:firstLineChars="200"/>
        <w:rPr>
          <w:rFonts w:hint="eastAsia"/>
        </w:rPr>
      </w:pPr>
      <w:r>
        <w:rPr>
          <w:rFonts w:hint="eastAsia" w:ascii="仿宋" w:eastAsia="仿宋"/>
          <w:sz w:val="32"/>
          <w:szCs w:val="24"/>
          <w:lang w:val="en-US" w:eastAsia="zh-CN"/>
        </w:rPr>
        <w:t>茂县综合行政执法局属一级预算单位，下属二级预算单位 1个。</w:t>
      </w:r>
    </w:p>
    <w:p w14:paraId="1E9CE2C2">
      <w:pPr>
        <w:pStyle w:val="10"/>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2E235049">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color w:val="000000"/>
          <w:sz w:val="32"/>
          <w:szCs w:val="24"/>
          <w:lang w:eastAsia="zh-CN"/>
        </w:rPr>
        <w:t>茂县综合行政执法局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10450903.03</w:t>
      </w:r>
      <w:r>
        <w:rPr>
          <w:rFonts w:ascii="仿宋_GB2312" w:eastAsia="仿宋_GB2312"/>
          <w:sz w:val="32"/>
          <w:szCs w:val="32"/>
        </w:rPr>
        <w:t>元；支出包括：一般公共服务支出</w:t>
      </w:r>
      <w:r>
        <w:rPr>
          <w:rFonts w:hint="eastAsia" w:ascii="仿宋_GB2312" w:eastAsia="仿宋_GB2312"/>
          <w:sz w:val="32"/>
          <w:szCs w:val="32"/>
        </w:rPr>
        <w:t>7812758.55</w:t>
      </w:r>
      <w:r>
        <w:rPr>
          <w:rFonts w:ascii="仿宋_GB2312" w:eastAsia="仿宋_GB2312"/>
          <w:sz w:val="32"/>
          <w:szCs w:val="32"/>
        </w:rPr>
        <w:t>元，社会保障和就业支出</w:t>
      </w:r>
      <w:r>
        <w:rPr>
          <w:rFonts w:hint="eastAsia" w:ascii="仿宋_GB2312" w:eastAsia="仿宋_GB2312"/>
          <w:sz w:val="32"/>
          <w:szCs w:val="32"/>
        </w:rPr>
        <w:t>1223165.68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628030.8</w:t>
      </w:r>
      <w:r>
        <w:rPr>
          <w:rFonts w:ascii="仿宋_GB2312" w:eastAsia="仿宋_GB2312"/>
          <w:sz w:val="32"/>
          <w:szCs w:val="32"/>
        </w:rPr>
        <w:t>元，住房保障支出</w:t>
      </w:r>
      <w:r>
        <w:rPr>
          <w:rFonts w:hint="eastAsia" w:ascii="仿宋_GB2312" w:eastAsia="仿宋_GB2312"/>
          <w:sz w:val="32"/>
          <w:szCs w:val="32"/>
        </w:rPr>
        <w:t>786948</w:t>
      </w:r>
      <w:r>
        <w:rPr>
          <w:rFonts w:ascii="仿宋_GB2312" w:eastAsia="仿宋_GB2312"/>
          <w:sz w:val="32"/>
          <w:szCs w:val="32"/>
        </w:rPr>
        <w:t>元。</w:t>
      </w:r>
      <w:r>
        <w:rPr>
          <w:rFonts w:hint="eastAsia" w:ascii="仿宋_GB2312" w:eastAsia="仿宋_GB2312"/>
          <w:color w:val="000000"/>
          <w:sz w:val="32"/>
          <w:szCs w:val="24"/>
          <w:lang w:eastAsia="zh-CN"/>
        </w:rPr>
        <w:t>茂县综合行政执法局</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rPr>
        <w:t>10450903.03</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2423171.85</w:t>
      </w:r>
      <w:r>
        <w:rPr>
          <w:rFonts w:ascii="仿宋_GB2312" w:eastAsia="仿宋_GB2312"/>
          <w:sz w:val="32"/>
          <w:szCs w:val="32"/>
        </w:rPr>
        <w:t>元，主要原因:</w:t>
      </w:r>
      <w:r>
        <w:rPr>
          <w:rFonts w:hint="eastAsia" w:ascii="仿宋_GB2312" w:eastAsia="仿宋_GB2312"/>
          <w:sz w:val="32"/>
          <w:szCs w:val="24"/>
          <w:lang w:val="en-US" w:eastAsia="zh-CN"/>
        </w:rPr>
        <w:t>新增人员。</w:t>
      </w:r>
    </w:p>
    <w:p w14:paraId="4878AB3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7E1DF83">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rPr>
        <w:t>10450903.03</w:t>
      </w:r>
      <w:r>
        <w:rPr>
          <w:rFonts w:ascii="仿宋_GB2312" w:eastAsia="仿宋_GB2312"/>
          <w:sz w:val="32"/>
          <w:szCs w:val="32"/>
        </w:rPr>
        <w:t>元；一般公共预算拨款收入</w:t>
      </w:r>
      <w:r>
        <w:rPr>
          <w:rFonts w:hint="eastAsia" w:ascii="仿宋_GB2312" w:eastAsia="仿宋_GB2312"/>
          <w:sz w:val="32"/>
          <w:szCs w:val="32"/>
        </w:rPr>
        <w:t>10450903.03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50A3E4A">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71FC4DC0">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rPr>
        <w:t>10450903.03</w:t>
      </w:r>
      <w:r>
        <w:rPr>
          <w:rFonts w:ascii="仿宋_GB2312" w:eastAsia="仿宋_GB2312"/>
          <w:sz w:val="32"/>
          <w:szCs w:val="32"/>
        </w:rPr>
        <w:t>元，其中：基本支出</w:t>
      </w:r>
      <w:r>
        <w:rPr>
          <w:rFonts w:hint="eastAsia" w:ascii="仿宋_GB2312" w:eastAsia="仿宋_GB2312"/>
          <w:sz w:val="32"/>
          <w:szCs w:val="32"/>
        </w:rPr>
        <w:t>10450903.03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14:paraId="25D7B533">
      <w:pPr>
        <w:spacing w:line="560" w:lineRule="exact"/>
        <w:ind w:firstLine="643" w:firstLineChars="200"/>
        <w:rPr>
          <w:rFonts w:ascii="黑体" w:eastAsia="黑体"/>
          <w:b/>
          <w:sz w:val="32"/>
          <w:szCs w:val="32"/>
        </w:rPr>
      </w:pPr>
      <w:r>
        <w:rPr>
          <w:rFonts w:ascii="黑体" w:eastAsia="黑体"/>
          <w:b/>
          <w:sz w:val="32"/>
          <w:szCs w:val="32"/>
        </w:rPr>
        <w:t xml:space="preserve"> </w:t>
      </w:r>
    </w:p>
    <w:p w14:paraId="0FBDF0BC">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14:paraId="3C61CE00">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rPr>
        <w:t>10450903.03</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2423171.85</w:t>
      </w:r>
      <w:r>
        <w:rPr>
          <w:rFonts w:ascii="仿宋_GB2312" w:eastAsia="仿宋_GB2312"/>
          <w:sz w:val="32"/>
          <w:szCs w:val="32"/>
        </w:rPr>
        <w:t>元，主要原因:</w:t>
      </w:r>
      <w:r>
        <w:rPr>
          <w:rFonts w:hint="eastAsia" w:ascii="仿宋_GB2312" w:eastAsia="仿宋_GB2312"/>
          <w:sz w:val="32"/>
          <w:szCs w:val="24"/>
          <w:lang w:val="en-US" w:eastAsia="zh-CN"/>
        </w:rPr>
        <w:t>新增人员</w:t>
      </w:r>
      <w:r>
        <w:rPr>
          <w:rFonts w:ascii="仿宋_GB2312" w:eastAsia="仿宋_GB2312"/>
          <w:sz w:val="32"/>
          <w:szCs w:val="32"/>
        </w:rPr>
        <w:t>。</w:t>
      </w:r>
    </w:p>
    <w:p w14:paraId="52D998DA">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10450903.03</w:t>
      </w:r>
      <w:r>
        <w:rPr>
          <w:rFonts w:ascii="仿宋_GB2312" w:eastAsia="仿宋_GB2312"/>
          <w:sz w:val="32"/>
          <w:szCs w:val="32"/>
        </w:rPr>
        <w:t>元</w:t>
      </w:r>
      <w:r>
        <w:rPr>
          <w:rFonts w:hint="eastAsia" w:ascii="仿宋_GB2312" w:eastAsia="仿宋_GB2312"/>
          <w:sz w:val="32"/>
          <w:szCs w:val="32"/>
        </w:rPr>
        <w:t>。</w:t>
      </w:r>
    </w:p>
    <w:p w14:paraId="68EEC32C">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7812758.55</w:t>
      </w:r>
      <w:r>
        <w:rPr>
          <w:rFonts w:ascii="仿宋_GB2312" w:eastAsia="仿宋_GB2312"/>
          <w:sz w:val="32"/>
          <w:szCs w:val="32"/>
        </w:rPr>
        <w:t>元，社会保障和就业支出</w:t>
      </w:r>
      <w:r>
        <w:rPr>
          <w:rFonts w:hint="eastAsia" w:ascii="仿宋_GB2312" w:eastAsia="仿宋_GB2312"/>
          <w:sz w:val="32"/>
          <w:szCs w:val="32"/>
        </w:rPr>
        <w:t>1223165.68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628030.8</w:t>
      </w:r>
      <w:r>
        <w:rPr>
          <w:rFonts w:ascii="仿宋_GB2312" w:eastAsia="仿宋_GB2312"/>
          <w:sz w:val="32"/>
          <w:szCs w:val="32"/>
        </w:rPr>
        <w:t>元，住房保障支出</w:t>
      </w:r>
      <w:r>
        <w:rPr>
          <w:rFonts w:hint="eastAsia" w:ascii="仿宋_GB2312" w:eastAsia="仿宋_GB2312"/>
          <w:sz w:val="32"/>
          <w:szCs w:val="32"/>
        </w:rPr>
        <w:t>786948</w:t>
      </w:r>
      <w:r>
        <w:rPr>
          <w:rFonts w:ascii="仿宋_GB2312" w:eastAsia="仿宋_GB2312"/>
          <w:sz w:val="32"/>
          <w:szCs w:val="32"/>
        </w:rPr>
        <w:t>元。</w:t>
      </w:r>
    </w:p>
    <w:p w14:paraId="37D356BE">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14:paraId="36D1A1ED">
      <w:pPr>
        <w:pStyle w:val="11"/>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2161FE6E">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10450903.03</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2423171.85</w:t>
      </w:r>
      <w:r>
        <w:rPr>
          <w:rFonts w:ascii="仿宋_GB2312" w:eastAsia="仿宋_GB2312"/>
          <w:sz w:val="32"/>
          <w:szCs w:val="32"/>
        </w:rPr>
        <w:t>元，主要原因:</w:t>
      </w:r>
      <w:r>
        <w:rPr>
          <w:rFonts w:hint="eastAsia" w:ascii="仿宋_GB2312" w:eastAsia="仿宋_GB2312"/>
          <w:sz w:val="32"/>
          <w:szCs w:val="24"/>
          <w:lang w:val="en-US" w:eastAsia="zh-CN"/>
        </w:rPr>
        <w:t>新增人员</w:t>
      </w:r>
      <w:r>
        <w:rPr>
          <w:rFonts w:ascii="仿宋_GB2312" w:eastAsia="仿宋_GB2312"/>
          <w:sz w:val="32"/>
          <w:szCs w:val="32"/>
        </w:rPr>
        <w:t>。</w:t>
      </w:r>
    </w:p>
    <w:p w14:paraId="75DDBE10">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E70C250">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7812758.55</w:t>
      </w:r>
      <w:r>
        <w:rPr>
          <w:rFonts w:ascii="仿宋_GB2312" w:eastAsia="仿宋_GB2312"/>
          <w:sz w:val="32"/>
          <w:szCs w:val="32"/>
        </w:rPr>
        <w:t>元，占</w:t>
      </w:r>
      <w:r>
        <w:rPr>
          <w:rFonts w:hint="eastAsia" w:ascii="仿宋_GB2312" w:eastAsia="仿宋_GB2312"/>
          <w:sz w:val="32"/>
          <w:szCs w:val="32"/>
          <w:lang w:val="en-US" w:eastAsia="zh-CN"/>
        </w:rPr>
        <w:t>74.5</w:t>
      </w:r>
      <w:r>
        <w:rPr>
          <w:rFonts w:ascii="仿宋_GB2312" w:eastAsia="仿宋_GB2312"/>
          <w:sz w:val="32"/>
          <w:szCs w:val="32"/>
        </w:rPr>
        <w:t>%；社会保障和就业支出</w:t>
      </w:r>
      <w:r>
        <w:rPr>
          <w:rFonts w:hint="eastAsia" w:ascii="仿宋_GB2312" w:eastAsia="仿宋_GB2312"/>
          <w:sz w:val="32"/>
          <w:szCs w:val="32"/>
        </w:rPr>
        <w:t>1223165.68</w:t>
      </w:r>
      <w:r>
        <w:rPr>
          <w:rFonts w:ascii="仿宋_GB2312" w:eastAsia="仿宋_GB2312"/>
          <w:sz w:val="32"/>
          <w:szCs w:val="32"/>
        </w:rPr>
        <w:t>元，占</w:t>
      </w: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628030.8</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rPr>
        <w:t>786948</w:t>
      </w:r>
      <w:r>
        <w:rPr>
          <w:rFonts w:ascii="仿宋_GB2312" w:eastAsia="仿宋_GB2312"/>
          <w:sz w:val="32"/>
          <w:szCs w:val="32"/>
        </w:rPr>
        <w:t>元，占</w:t>
      </w:r>
      <w:r>
        <w:rPr>
          <w:rFonts w:hint="eastAsia" w:ascii="仿宋_GB2312" w:eastAsia="仿宋_GB2312"/>
          <w:sz w:val="32"/>
          <w:szCs w:val="32"/>
          <w:lang w:val="en-US" w:eastAsia="zh-CN"/>
        </w:rPr>
        <w:t>7.5</w:t>
      </w:r>
      <w:r>
        <w:rPr>
          <w:rFonts w:hint="eastAsia" w:ascii="仿宋_GB2312" w:eastAsia="仿宋_GB2312"/>
          <w:sz w:val="32"/>
          <w:szCs w:val="32"/>
        </w:rPr>
        <w:t xml:space="preserve"> </w:t>
      </w:r>
      <w:r>
        <w:rPr>
          <w:rFonts w:ascii="仿宋_GB2312" w:eastAsia="仿宋_GB2312"/>
          <w:sz w:val="32"/>
          <w:szCs w:val="32"/>
        </w:rPr>
        <w:t>%。</w:t>
      </w:r>
    </w:p>
    <w:p w14:paraId="2808C0E9">
      <w:pPr>
        <w:pStyle w:val="11"/>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58F3D684">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7162244.51</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14:paraId="5D97F72C">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w:t>
      </w:r>
      <w:r>
        <w:rPr>
          <w:rFonts w:hint="eastAsia" w:ascii="仿宋_GB2312" w:eastAsia="仿宋_GB2312"/>
          <w:sz w:val="32"/>
          <w:szCs w:val="32"/>
          <w:lang w:val="en-US" w:eastAsia="zh-CN"/>
        </w:rPr>
        <w:t>事业运行</w:t>
      </w:r>
      <w:r>
        <w:rPr>
          <w:rFonts w:ascii="仿宋_GB2312" w:eastAsia="仿宋_GB2312"/>
          <w:sz w:val="32"/>
          <w:szCs w:val="32"/>
        </w:rPr>
        <w:t>（项）</w:t>
      </w:r>
      <w:r>
        <w:rPr>
          <w:rFonts w:hint="eastAsia" w:ascii="仿宋_GB2312" w:eastAsia="仿宋_GB2312"/>
          <w:sz w:val="32"/>
          <w:szCs w:val="32"/>
        </w:rPr>
        <w:t>2023</w:t>
      </w:r>
      <w:r>
        <w:rPr>
          <w:rFonts w:ascii="仿宋_GB2312" w:eastAsia="仿宋_GB2312"/>
          <w:sz w:val="32"/>
          <w:szCs w:val="32"/>
        </w:rPr>
        <w:t>年预算数为</w:t>
      </w:r>
      <w:r>
        <w:rPr>
          <w:rFonts w:hint="eastAsia" w:ascii="仿宋_GB2312" w:eastAsia="仿宋_GB2312"/>
          <w:sz w:val="32"/>
          <w:szCs w:val="32"/>
        </w:rPr>
        <w:t>650514.04</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14:paraId="604B6D75">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815443.8</w:t>
      </w:r>
      <w:r>
        <w:rPr>
          <w:rFonts w:ascii="仿宋_GB2312" w:eastAsia="仿宋_GB2312"/>
          <w:sz w:val="32"/>
          <w:szCs w:val="32"/>
        </w:rPr>
        <w:t>元，主要用于单位缴纳基本养老保险费。</w:t>
      </w:r>
    </w:p>
    <w:p w14:paraId="160D7030">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407721.88</w:t>
      </w:r>
      <w:r>
        <w:rPr>
          <w:rFonts w:ascii="仿宋_GB2312" w:eastAsia="仿宋_GB2312"/>
          <w:sz w:val="32"/>
          <w:szCs w:val="32"/>
        </w:rPr>
        <w:t>元，主要用于单位缴纳职业年金。</w:t>
      </w:r>
    </w:p>
    <w:p w14:paraId="56DDFEE0">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023</w:t>
      </w:r>
      <w:r>
        <w:rPr>
          <w:rFonts w:ascii="仿宋_GB2312" w:eastAsia="仿宋_GB2312"/>
          <w:sz w:val="32"/>
          <w:szCs w:val="32"/>
        </w:rPr>
        <w:t>年预算数为</w:t>
      </w:r>
      <w:r>
        <w:rPr>
          <w:rFonts w:hint="eastAsia" w:ascii="仿宋_GB2312" w:eastAsia="仿宋_GB2312"/>
          <w:sz w:val="32"/>
          <w:szCs w:val="32"/>
        </w:rPr>
        <w:t>575592.73</w:t>
      </w:r>
      <w:r>
        <w:rPr>
          <w:rFonts w:ascii="仿宋_GB2312" w:eastAsia="仿宋_GB2312"/>
          <w:sz w:val="32"/>
          <w:szCs w:val="32"/>
        </w:rPr>
        <w:t>元，主要用于行政单位缴纳基本医疗保险。</w:t>
      </w:r>
    </w:p>
    <w:p w14:paraId="19279C01">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52438.07</w:t>
      </w:r>
      <w:r>
        <w:rPr>
          <w:rFonts w:ascii="仿宋_GB2312" w:eastAsia="仿宋_GB2312"/>
          <w:sz w:val="32"/>
          <w:szCs w:val="32"/>
        </w:rPr>
        <w:t>元，主要用于事业单位缴纳基本医疗保险。</w:t>
      </w:r>
    </w:p>
    <w:p w14:paraId="3D28D754">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786948</w:t>
      </w:r>
      <w:r>
        <w:rPr>
          <w:rFonts w:ascii="仿宋_GB2312" w:eastAsia="仿宋_GB2312"/>
          <w:sz w:val="32"/>
          <w:szCs w:val="32"/>
        </w:rPr>
        <w:t>元，主要用于单位为职工缴纳住房公积金。</w:t>
      </w:r>
    </w:p>
    <w:p w14:paraId="478BBD7F">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24824D8A">
      <w:pPr>
        <w:pStyle w:val="11"/>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10450903.0元，其中：人员经费9906903.03元，主要包括：基本工资、津贴补贴、奖金、其他社会保障缴费、绩效工资、机关事业单位基本养老保险缴费、职业年金缴费、其他工资福利支出、离休费、奖励金、住房公积金、其他对个人和家庭的补助支出。</w:t>
      </w:r>
    </w:p>
    <w:p w14:paraId="3681EB64">
      <w:pPr>
        <w:pStyle w:val="11"/>
        <w:spacing w:before="0" w:line="360" w:lineRule="auto"/>
        <w:ind w:firstLine="640" w:firstLineChars="200"/>
        <w:rPr>
          <w:rFonts w:cs="仿宋_GB2312"/>
          <w:kern w:val="2"/>
          <w:sz w:val="32"/>
          <w:szCs w:val="32"/>
        </w:rPr>
      </w:pPr>
      <w:r>
        <w:rPr>
          <w:rFonts w:hint="eastAsia" w:cs="仿宋_GB2312"/>
          <w:kern w:val="2"/>
          <w:sz w:val="32"/>
          <w:szCs w:val="32"/>
        </w:rPr>
        <w:t>公用经费544000元，主要包括：办公费、印刷费、手续费、水费、电费、邮电费、差旅费、维修（护）费、租赁费、会议费、培训费、劳务费、工会经费、福利费、其他交通工具运行维护费、其他商品和服务支出。</w:t>
      </w:r>
    </w:p>
    <w:p w14:paraId="27E73F2A">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r>
        <w:rPr>
          <w:rFonts w:hint="eastAsia" w:ascii="黑体" w:eastAsia="黑体"/>
          <w:sz w:val="32"/>
          <w:szCs w:val="32"/>
        </w:rPr>
        <w:t>（数据来源于公示表3-3、4-1）</w:t>
      </w:r>
    </w:p>
    <w:p w14:paraId="2F2C45EE">
      <w:pPr>
        <w:pStyle w:val="11"/>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2023年“三公”经费财政拨款预算数100080元，其中：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公务接待费10080元，公务用车购置及运行维护费90000元。</w:t>
      </w:r>
    </w:p>
    <w:p w14:paraId="10CCAE98">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14:paraId="5D1D6ACB">
      <w:pPr>
        <w:pStyle w:val="11"/>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kern w:val="2"/>
          <w:sz w:val="32"/>
          <w:szCs w:val="32"/>
        </w:rPr>
        <w:t>10080</w:t>
      </w:r>
      <w:r>
        <w:rPr>
          <w:rFonts w:hint="eastAsia" w:cs="仿宋_GB2312"/>
          <w:color w:val="000000"/>
          <w:kern w:val="2"/>
          <w:sz w:val="32"/>
          <w:szCs w:val="32"/>
        </w:rPr>
        <w:t>元。较2022年预算经费减少</w:t>
      </w:r>
      <w:r>
        <w:rPr>
          <w:rFonts w:hint="eastAsia" w:cs="仿宋_GB2312"/>
          <w:color w:val="000000"/>
          <w:kern w:val="2"/>
          <w:sz w:val="32"/>
          <w:szCs w:val="32"/>
          <w:lang w:val="en-US" w:eastAsia="zh-CN"/>
        </w:rPr>
        <w:t>160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1.56</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val="en-US" w:eastAsia="zh-CN"/>
        </w:rPr>
        <w:t>接待减少。</w:t>
      </w:r>
    </w:p>
    <w:p w14:paraId="3B1805FF">
      <w:pPr>
        <w:pStyle w:val="11"/>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（三）2023年公务用车购置及运行维护费</w:t>
      </w:r>
      <w:r>
        <w:rPr>
          <w:rFonts w:hint="eastAsia" w:cs="仿宋_GB2312"/>
          <w:kern w:val="2"/>
          <w:sz w:val="32"/>
          <w:szCs w:val="32"/>
        </w:rPr>
        <w:t>90000</w:t>
      </w:r>
      <w:r>
        <w:rPr>
          <w:rFonts w:hint="eastAsia" w:cs="仿宋_GB2312"/>
          <w:color w:val="000000"/>
          <w:kern w:val="2"/>
          <w:sz w:val="32"/>
          <w:szCs w:val="32"/>
        </w:rPr>
        <w:t>元。较2022年预算经费</w:t>
      </w:r>
      <w:r>
        <w:rPr>
          <w:rFonts w:hint="eastAsia" w:hAnsi="ˎ̥" w:cs="宋体"/>
          <w:sz w:val="32"/>
          <w:szCs w:val="32"/>
        </w:rPr>
        <w:t>增加</w:t>
      </w:r>
      <w:r>
        <w:rPr>
          <w:rFonts w:hint="eastAsia" w:hAnsi="ˎ̥" w:cs="宋体"/>
          <w:sz w:val="32"/>
          <w:szCs w:val="32"/>
          <w:lang w:val="en-US" w:eastAsia="zh-CN"/>
        </w:rPr>
        <w:t>50000</w:t>
      </w:r>
      <w:r>
        <w:rPr>
          <w:rFonts w:hint="eastAsia" w:cs="仿宋_GB2312"/>
          <w:color w:val="000000"/>
          <w:kern w:val="2"/>
          <w:sz w:val="32"/>
          <w:szCs w:val="32"/>
        </w:rPr>
        <w:t>元，增长</w:t>
      </w:r>
      <w:r>
        <w:rPr>
          <w:rFonts w:hint="eastAsia" w:cs="仿宋_GB2312"/>
          <w:color w:val="000000"/>
          <w:kern w:val="2"/>
          <w:sz w:val="32"/>
          <w:szCs w:val="32"/>
          <w:lang w:val="en-US" w:eastAsia="zh-CN"/>
        </w:rPr>
        <w:t>125</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val="en-US" w:eastAsia="zh-CN"/>
        </w:rPr>
        <w:t>人员增加。</w:t>
      </w:r>
    </w:p>
    <w:p w14:paraId="02BAEEBB">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r>
        <w:rPr>
          <w:rFonts w:hint="eastAsia" w:ascii="黑体" w:eastAsia="黑体"/>
          <w:sz w:val="32"/>
          <w:szCs w:val="32"/>
        </w:rPr>
        <w:t>（数据来源于公示表4）</w:t>
      </w:r>
    </w:p>
    <w:p w14:paraId="0BEB3323">
      <w:pPr>
        <w:pStyle w:val="11"/>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14:paraId="22EDD79A">
      <w:pPr>
        <w:pStyle w:val="11"/>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78B14229">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11DDE5F2">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lang w:val="en-US" w:eastAsia="zh-CN"/>
        </w:rPr>
        <w:t>544000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w:t>
      </w:r>
      <w:r>
        <w:rPr>
          <w:rFonts w:hint="eastAsia" w:ascii="仿宋_GB2312" w:eastAsia="仿宋_GB2312"/>
          <w:sz w:val="32"/>
          <w:szCs w:val="32"/>
        </w:rPr>
        <w:t>减少</w:t>
      </w:r>
      <w:r>
        <w:rPr>
          <w:rFonts w:hint="eastAsia" w:ascii="仿宋_GB2312" w:eastAsia="仿宋_GB2312"/>
          <w:sz w:val="32"/>
          <w:szCs w:val="32"/>
          <w:lang w:val="en-US" w:eastAsia="zh-CN"/>
        </w:rPr>
        <w:t>8000</w:t>
      </w:r>
      <w:r>
        <w:rPr>
          <w:rFonts w:ascii="仿宋_GB2312" w:eastAsia="仿宋_GB2312"/>
          <w:sz w:val="32"/>
          <w:szCs w:val="32"/>
        </w:rPr>
        <w:t>元，</w:t>
      </w:r>
      <w:r>
        <w:rPr>
          <w:rFonts w:hint="eastAsia" w:ascii="仿宋_GB2312" w:eastAsia="仿宋_GB2312"/>
          <w:sz w:val="32"/>
          <w:szCs w:val="32"/>
        </w:rPr>
        <w:t>下降</w:t>
      </w:r>
      <w:r>
        <w:rPr>
          <w:rFonts w:hint="eastAsia" w:ascii="仿宋_GB2312" w:eastAsia="仿宋_GB2312"/>
          <w:sz w:val="32"/>
          <w:szCs w:val="32"/>
          <w:lang w:val="en-US" w:eastAsia="zh-CN"/>
        </w:rPr>
        <w:t>1.4</w:t>
      </w:r>
      <w:r>
        <w:rPr>
          <w:rFonts w:ascii="仿宋_GB2312" w:eastAsia="仿宋_GB2312"/>
          <w:sz w:val="32"/>
          <w:szCs w:val="32"/>
        </w:rPr>
        <w:t>%。主要原因是：</w:t>
      </w:r>
      <w:r>
        <w:rPr>
          <w:rFonts w:hint="eastAsia" w:ascii="仿宋_GB2312" w:eastAsia="仿宋_GB2312"/>
          <w:sz w:val="32"/>
          <w:szCs w:val="32"/>
          <w:lang w:val="en-US" w:eastAsia="zh-CN"/>
        </w:rPr>
        <w:t>经费使用减少。</w:t>
      </w:r>
    </w:p>
    <w:p w14:paraId="4AAF0801">
      <w:pPr>
        <w:pStyle w:val="11"/>
        <w:numPr>
          <w:ilvl w:val="0"/>
          <w:numId w:val="2"/>
        </w:numPr>
        <w:spacing w:before="0" w:line="360" w:lineRule="auto"/>
        <w:ind w:firstLine="643"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2023年安排政府采购预算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54A5CF2E">
      <w:pPr>
        <w:pStyle w:val="11"/>
        <w:numPr>
          <w:ilvl w:val="0"/>
          <w:numId w:val="0"/>
        </w:numPr>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57090F3F">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2193059.37</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rPr>
        <w:t xml:space="preserve">  </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lang w:val="en-US" w:eastAsia="zh-CN"/>
        </w:rPr>
        <w:t>1353962</w:t>
      </w:r>
      <w:r>
        <w:rPr>
          <w:rFonts w:ascii="仿宋_GB2312" w:eastAsia="仿宋_GB2312"/>
          <w:sz w:val="32"/>
          <w:szCs w:val="32"/>
        </w:rPr>
        <w:t>元；其他固定资产</w:t>
      </w:r>
      <w:r>
        <w:rPr>
          <w:rFonts w:hint="eastAsia" w:ascii="仿宋_GB2312" w:eastAsia="仿宋_GB2312"/>
          <w:sz w:val="32"/>
          <w:szCs w:val="32"/>
          <w:lang w:val="en-US" w:eastAsia="zh-CN"/>
        </w:rPr>
        <w:t>839097.37</w:t>
      </w:r>
      <w:r>
        <w:rPr>
          <w:rFonts w:ascii="仿宋_GB2312" w:eastAsia="仿宋_GB2312"/>
          <w:sz w:val="32"/>
          <w:szCs w:val="32"/>
        </w:rPr>
        <w:t>元。</w:t>
      </w:r>
    </w:p>
    <w:p w14:paraId="305BA766">
      <w:pPr>
        <w:pStyle w:val="6"/>
        <w:keepNext w:val="0"/>
        <w:keepLines w:val="0"/>
        <w:widowControl w:val="0"/>
        <w:suppressLineNumbers w:val="0"/>
        <w:pBdr>
          <w:top w:val="none" w:color="auto" w:sz="0" w:space="0"/>
          <w:left w:val="none" w:color="auto" w:sz="0" w:space="0"/>
          <w:bottom w:val="single" w:color="FFFFFF" w:sz="4" w:space="0"/>
          <w:right w:val="none" w:color="auto" w:sz="0" w:space="0"/>
          <w:between w:val="none" w:color="auto" w:sz="0" w:space="0"/>
        </w:pBdr>
        <w:spacing w:before="0" w:beforeAutospacing="0" w:after="0" w:afterAutospacing="0" w:line="0" w:lineRule="atLeast"/>
        <w:ind w:left="0" w:right="210" w:firstLine="640"/>
        <w:jc w:val="both"/>
        <w:rPr>
          <w:color w:val="000000" w:themeColor="text1"/>
          <w14:textFill>
            <w14:solidFill>
              <w14:schemeClr w14:val="tx1"/>
            </w14:solidFill>
          </w14:textFill>
        </w:rPr>
      </w:pPr>
      <w:r>
        <w:rPr>
          <w:rFonts w:hint="eastAsia" w:ascii="楷体_GB2312" w:hAnsi="楷体" w:eastAsia="楷体_GB2312" w:cs="仿宋_GB2312"/>
          <w:b/>
          <w:sz w:val="32"/>
          <w:szCs w:val="32"/>
          <w:lang w:val="en-US" w:eastAsia="zh-CN"/>
        </w:rPr>
        <w:t>（四）</w:t>
      </w:r>
      <w:r>
        <w:rPr>
          <w:rFonts w:hint="eastAsia" w:ascii="楷体_GB2312" w:hAnsi="楷体"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ascii="仿宋_GB2312" w:eastAsia="仿宋_GB2312" w:cs="仿宋_GB2312"/>
          <w:color w:val="000000" w:themeColor="text1"/>
          <w:sz w:val="32"/>
          <w:szCs w:val="32"/>
          <w14:textFill>
            <w14:solidFill>
              <w14:schemeClr w14:val="tx1"/>
            </w14:solidFill>
          </w14:textFill>
        </w:rPr>
        <w:t>202</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ascii="仿宋_GB2312" w:eastAsia="仿宋_GB2312" w:cs="仿宋_GB2312"/>
          <w:color w:val="000000" w:themeColor="text1"/>
          <w:sz w:val="32"/>
          <w:szCs w:val="32"/>
          <w14:textFill>
            <w14:solidFill>
              <w14:schemeClr w14:val="tx1"/>
            </w14:solidFill>
          </w14:textFill>
        </w:rPr>
        <w:t>年开展绩效目标管理的项目</w:t>
      </w:r>
      <w:r>
        <w:rPr>
          <w:rFonts w:hint="eastAsia" w:ascii="仿宋_GB2312" w:eastAsia="仿宋_GB2312" w:cs="仿宋_GB2312"/>
          <w:color w:val="000000" w:themeColor="text1"/>
          <w:sz w:val="32"/>
          <w:szCs w:val="32"/>
          <w:lang w:val="en-US" w:eastAsia="zh-CN"/>
          <w14:textFill>
            <w14:solidFill>
              <w14:schemeClr w14:val="tx1"/>
            </w14:solidFill>
          </w14:textFill>
        </w:rPr>
        <w:t>22</w:t>
      </w:r>
      <w:r>
        <w:rPr>
          <w:rFonts w:ascii="仿宋_GB2312" w:eastAsia="仿宋_GB2312" w:cs="仿宋_GB2312"/>
          <w:color w:val="000000" w:themeColor="text1"/>
          <w:sz w:val="32"/>
          <w:szCs w:val="32"/>
          <w14:textFill>
            <w14:solidFill>
              <w14:schemeClr w14:val="tx1"/>
            </w14:solidFill>
          </w14:textFill>
        </w:rPr>
        <w:t>个，涉及预算</w:t>
      </w:r>
      <w:r>
        <w:rPr>
          <w:rFonts w:hint="eastAsia" w:ascii="仿宋_GB2312" w:eastAsia="仿宋_GB2312" w:cs="仿宋_GB2312"/>
          <w:color w:val="000000" w:themeColor="text1"/>
          <w:sz w:val="32"/>
          <w:szCs w:val="32"/>
          <w:lang w:val="en-US" w:eastAsia="zh-CN"/>
          <w14:textFill>
            <w14:solidFill>
              <w14:schemeClr w14:val="tx1"/>
            </w14:solidFill>
          </w14:textFill>
        </w:rPr>
        <w:t>10450903.03</w:t>
      </w:r>
      <w:r>
        <w:rPr>
          <w:rFonts w:ascii="仿宋_GB2312" w:eastAsia="仿宋_GB2312" w:cs="仿宋_GB2312"/>
          <w:color w:val="000000" w:themeColor="text1"/>
          <w:sz w:val="32"/>
          <w:szCs w:val="32"/>
          <w14:textFill>
            <w14:solidFill>
              <w14:schemeClr w14:val="tx1"/>
            </w14:solidFill>
          </w14:textFill>
        </w:rPr>
        <w:t>元。其中：人员类项目</w:t>
      </w:r>
      <w:r>
        <w:rPr>
          <w:rFonts w:hint="eastAsia" w:ascii="仿宋_GB2312" w:eastAsia="仿宋_GB2312" w:cs="仿宋_GB2312"/>
          <w:color w:val="000000" w:themeColor="text1"/>
          <w:sz w:val="32"/>
          <w:szCs w:val="32"/>
          <w:lang w:val="en-US" w:eastAsia="zh-CN"/>
          <w14:textFill>
            <w14:solidFill>
              <w14:schemeClr w14:val="tx1"/>
            </w14:solidFill>
          </w14:textFill>
        </w:rPr>
        <w:t>22</w:t>
      </w:r>
      <w:r>
        <w:rPr>
          <w:rFonts w:ascii="仿宋_GB2312" w:eastAsia="仿宋_GB2312" w:cs="仿宋_GB2312"/>
          <w:color w:val="000000" w:themeColor="text1"/>
          <w:sz w:val="32"/>
          <w:szCs w:val="32"/>
          <w14:textFill>
            <w14:solidFill>
              <w14:schemeClr w14:val="tx1"/>
            </w14:solidFill>
          </w14:textFill>
        </w:rPr>
        <w:t>个，涉及预算</w:t>
      </w:r>
      <w:r>
        <w:rPr>
          <w:rFonts w:hint="eastAsia" w:ascii="仿宋_GB2312" w:eastAsia="仿宋_GB2312" w:cs="仿宋_GB2312"/>
          <w:color w:val="000000" w:themeColor="text1"/>
          <w:sz w:val="32"/>
          <w:szCs w:val="32"/>
          <w:lang w:val="en-US" w:eastAsia="zh-CN"/>
          <w14:textFill>
            <w14:solidFill>
              <w14:schemeClr w14:val="tx1"/>
            </w14:solidFill>
          </w14:textFill>
        </w:rPr>
        <w:t>10450903.03</w:t>
      </w:r>
      <w:r>
        <w:rPr>
          <w:rFonts w:ascii="仿宋_GB2312" w:eastAsia="仿宋_GB2312" w:cs="仿宋_GB2312"/>
          <w:color w:val="000000" w:themeColor="text1"/>
          <w:sz w:val="32"/>
          <w:szCs w:val="32"/>
          <w14:textFill>
            <w14:solidFill>
              <w14:schemeClr w14:val="tx1"/>
            </w14:solidFill>
          </w14:textFill>
        </w:rPr>
        <w:t>元；运转类项目</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ascii="仿宋_GB2312" w:eastAsia="仿宋_GB2312" w:cs="仿宋_GB2312"/>
          <w:color w:val="000000" w:themeColor="text1"/>
          <w:sz w:val="32"/>
          <w:szCs w:val="32"/>
          <w14:textFill>
            <w14:solidFill>
              <w14:schemeClr w14:val="tx1"/>
            </w14:solidFill>
          </w14:textFill>
        </w:rPr>
        <w:t>个，涉及预算</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ascii="仿宋_GB2312" w:eastAsia="仿宋_GB2312" w:cs="仿宋_GB2312"/>
          <w:color w:val="000000" w:themeColor="text1"/>
          <w:sz w:val="32"/>
          <w:szCs w:val="32"/>
          <w14:textFill>
            <w14:solidFill>
              <w14:schemeClr w14:val="tx1"/>
            </w14:solidFill>
          </w14:textFill>
        </w:rPr>
        <w:t>元；特定目标类项目0个，涉及预算0元。</w:t>
      </w:r>
    </w:p>
    <w:p w14:paraId="64499BB8">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leftChars="200" w:right="210" w:rightChars="100" w:firstLine="320" w:firstLineChars="100"/>
        <w:textAlignment w:val="auto"/>
        <w:rPr>
          <w:rFonts w:hint="eastAsia" w:ascii="仿宋_GB2312" w:eastAsia="仿宋_GB2312"/>
          <w:sz w:val="32"/>
          <w:szCs w:val="32"/>
          <w:lang w:val="en-US" w:eastAsia="zh-CN"/>
        </w:rPr>
      </w:pPr>
      <w:bookmarkStart w:id="0" w:name="_GoBack"/>
      <w:bookmarkEnd w:id="0"/>
    </w:p>
    <w:p w14:paraId="184BFB2F">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leftChars="200" w:right="210" w:rightChars="1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F96BBC6">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7A750439">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A449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4E5B224"/>
    <w:multiLevelType w:val="singleLevel"/>
    <w:tmpl w:val="74E5B22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NmM5OGJkYWFmNGEwMTYwNmQzZDhhODNmNGQ0ZjU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30B7ED4"/>
    <w:rsid w:val="07674A16"/>
    <w:rsid w:val="13197D31"/>
    <w:rsid w:val="164003A4"/>
    <w:rsid w:val="16C5583A"/>
    <w:rsid w:val="177904B8"/>
    <w:rsid w:val="1B0406D7"/>
    <w:rsid w:val="20361CB8"/>
    <w:rsid w:val="29566940"/>
    <w:rsid w:val="30B878B7"/>
    <w:rsid w:val="32BF7DF5"/>
    <w:rsid w:val="3BC70F92"/>
    <w:rsid w:val="48505C81"/>
    <w:rsid w:val="48EB0A3F"/>
    <w:rsid w:val="54005363"/>
    <w:rsid w:val="60D158A0"/>
    <w:rsid w:val="61693C9D"/>
    <w:rsid w:val="619F662A"/>
    <w:rsid w:val="64CC0F4B"/>
    <w:rsid w:val="66CE2230"/>
    <w:rsid w:val="6F747727"/>
    <w:rsid w:val="74E62B5E"/>
    <w:rsid w:val="7A3D168D"/>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3">
    <w:name w:val="Body Text Indent"/>
    <w:basedOn w:val="1"/>
    <w:qFormat/>
    <w:uiPriority w:val="0"/>
    <w:pPr>
      <w:spacing w:after="120"/>
      <w:ind w:left="200" w:leftChars="200"/>
    </w:pPr>
    <w:rPr>
      <w:sz w:val="21"/>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1"/>
    <w:uiPriority w:val="0"/>
    <w:pPr>
      <w:spacing w:before="100" w:beforeAutospacing="1" w:after="100" w:afterAutospacing="1"/>
      <w:jc w:val="left"/>
    </w:pPr>
    <w:rPr>
      <w:kern w:val="0"/>
      <w:sz w:val="24"/>
      <w:szCs w:val="24"/>
    </w:rPr>
  </w:style>
  <w:style w:type="paragraph" w:styleId="7">
    <w:name w:val="Body Text First Indent 2"/>
    <w:basedOn w:val="3"/>
    <w:qFormat/>
    <w:uiPriority w:val="0"/>
    <w:pPr>
      <w:tabs>
        <w:tab w:val="left" w:pos="960"/>
      </w:tabs>
      <w:spacing w:after="0" w:line="540" w:lineRule="exact"/>
      <w:ind w:left="0" w:leftChars="0" w:firstLine="200" w:firstLineChars="200"/>
    </w:pPr>
    <w:rPr>
      <w:sz w:val="32"/>
      <w:szCs w:val="24"/>
    </w:rPr>
  </w:style>
  <w:style w:type="paragraph" w:styleId="10">
    <w:name w:val="List Paragraph"/>
    <w:basedOn w:val="1"/>
    <w:qFormat/>
    <w:uiPriority w:val="99"/>
    <w:pPr>
      <w:ind w:firstLine="420" w:firstLineChars="200"/>
    </w:pPr>
  </w:style>
  <w:style w:type="paragraph" w:customStyle="1" w:styleId="11">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4613</Words>
  <Characters>5103</Characters>
  <Lines>23</Lines>
  <Paragraphs>6</Paragraphs>
  <TotalTime>0</TotalTime>
  <ScaleCrop>false</ScaleCrop>
  <LinksUpToDate>false</LinksUpToDate>
  <CharactersWithSpaces>5142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。Distance</cp:lastModifiedBy>
  <cp:lastPrinted>2022-03-04T07:40:00Z</cp:lastPrinted>
  <dcterms:modified xsi:type="dcterms:W3CDTF">2024-08-14T03:34:13Z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ED4DF19CF97A4D94910751E96BD46B5F</vt:lpwstr>
  </property>
</Properties>
</file>