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75747">
      <w:pPr>
        <w:pStyle w:val="7"/>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96475"/>
      <w:bookmarkStart w:id="2" w:name="_Toc15377425"/>
      <w:bookmarkStart w:id="3" w:name="_Toc15396597"/>
      <w:bookmarkStart w:id="4" w:name="_Toc15377193"/>
      <w:bookmarkStart w:id="5" w:name="_Toc15306267"/>
    </w:p>
    <w:bookmarkEnd w:id="0"/>
    <w:bookmarkEnd w:id="1"/>
    <w:bookmarkEnd w:id="2"/>
    <w:bookmarkEnd w:id="3"/>
    <w:bookmarkEnd w:id="4"/>
    <w:p w14:paraId="31FBE4D5">
      <w:pPr>
        <w:pStyle w:val="7"/>
        <w:jc w:val="center"/>
        <w:rPr>
          <w:rFonts w:hint="eastAsia" w:ascii="方正小标宋简体" w:hAnsi="宋体" w:eastAsia="方正小标宋简体"/>
          <w:sz w:val="44"/>
          <w:szCs w:val="44"/>
        </w:rPr>
      </w:pPr>
      <w:bookmarkStart w:id="6" w:name="_Toc15378442"/>
      <w:bookmarkStart w:id="7" w:name="_Toc15377426"/>
      <w:bookmarkStart w:id="8" w:name="_Toc15396598"/>
      <w:bookmarkStart w:id="9" w:name="_Toc15377194"/>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方正小标宋简体" w:hAnsi="宋体" w:eastAsia="方正小标宋简体"/>
          <w:sz w:val="44"/>
          <w:szCs w:val="44"/>
        </w:rPr>
        <w:t>阿坝州</w:t>
      </w:r>
    </w:p>
    <w:p w14:paraId="38B063C5">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方正小标宋简体" w:hAnsi="宋体" w:eastAsia="方正小标宋简体"/>
          <w:sz w:val="44"/>
          <w:szCs w:val="44"/>
        </w:rPr>
        <w:t>茂县综合行政执法局</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E6BECA0">
      <w:pPr>
        <w:pStyle w:val="18"/>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5F031258">
      <w:pPr>
        <w:widowControl/>
        <w:jc w:val="center"/>
        <w:rPr>
          <w:rFonts w:hint="eastAsia" w:ascii="Times New Roman" w:hAnsi="Times New Roman" w:eastAsia="黑体"/>
          <w:color w:val="auto"/>
          <w:sz w:val="48"/>
          <w:szCs w:val="48"/>
          <w:highlight w:val="none"/>
        </w:rPr>
      </w:pPr>
    </w:p>
    <w:p w14:paraId="4562D5F5">
      <w:pPr>
        <w:widowControl/>
        <w:jc w:val="center"/>
        <w:rPr>
          <w:rFonts w:hint="eastAsia" w:ascii="Times New Roman" w:hAnsi="Times New Roman" w:eastAsia="黑体"/>
          <w:color w:val="auto"/>
          <w:sz w:val="48"/>
          <w:szCs w:val="48"/>
          <w:highlight w:val="none"/>
        </w:rPr>
      </w:pPr>
    </w:p>
    <w:p w14:paraId="0B870B61">
      <w:pPr>
        <w:widowControl/>
        <w:jc w:val="center"/>
        <w:rPr>
          <w:rFonts w:hint="eastAsia" w:ascii="Times New Roman" w:hAnsi="Times New Roman" w:eastAsia="黑体"/>
          <w:color w:val="auto"/>
          <w:sz w:val="48"/>
          <w:szCs w:val="48"/>
          <w:highlight w:val="none"/>
        </w:rPr>
      </w:pPr>
    </w:p>
    <w:p w14:paraId="189C5A87">
      <w:pPr>
        <w:widowControl/>
        <w:jc w:val="center"/>
        <w:rPr>
          <w:rFonts w:hint="eastAsia" w:ascii="Times New Roman" w:hAnsi="Times New Roman" w:eastAsia="黑体"/>
          <w:color w:val="auto"/>
          <w:sz w:val="48"/>
          <w:szCs w:val="48"/>
          <w:highlight w:val="none"/>
        </w:rPr>
      </w:pPr>
    </w:p>
    <w:p w14:paraId="052F3055">
      <w:pPr>
        <w:widowControl/>
        <w:jc w:val="center"/>
        <w:rPr>
          <w:rFonts w:hint="eastAsia" w:ascii="Times New Roman" w:hAnsi="Times New Roman" w:eastAsia="黑体"/>
          <w:color w:val="auto"/>
          <w:sz w:val="48"/>
          <w:szCs w:val="48"/>
          <w:highlight w:val="none"/>
        </w:rPr>
      </w:pPr>
    </w:p>
    <w:p w14:paraId="0FAE10D0">
      <w:pPr>
        <w:widowControl/>
        <w:jc w:val="center"/>
        <w:rPr>
          <w:rFonts w:hint="eastAsia" w:ascii="Times New Roman" w:hAnsi="Times New Roman" w:eastAsia="黑体"/>
          <w:color w:val="auto"/>
          <w:sz w:val="48"/>
          <w:szCs w:val="48"/>
          <w:highlight w:val="none"/>
        </w:rPr>
      </w:pPr>
    </w:p>
    <w:p w14:paraId="74668806">
      <w:pPr>
        <w:widowControl/>
        <w:jc w:val="center"/>
        <w:rPr>
          <w:rFonts w:hint="eastAsia" w:ascii="Times New Roman" w:hAnsi="Times New Roman" w:eastAsia="黑体"/>
          <w:color w:val="auto"/>
          <w:sz w:val="48"/>
          <w:szCs w:val="48"/>
          <w:highlight w:val="none"/>
        </w:rPr>
      </w:pPr>
    </w:p>
    <w:p w14:paraId="09BD8EB1">
      <w:pPr>
        <w:widowControl/>
        <w:jc w:val="center"/>
        <w:rPr>
          <w:rFonts w:hint="eastAsia" w:ascii="Times New Roman" w:hAnsi="Times New Roman" w:eastAsia="黑体"/>
          <w:color w:val="auto"/>
          <w:sz w:val="48"/>
          <w:szCs w:val="48"/>
          <w:highlight w:val="none"/>
        </w:rPr>
      </w:pPr>
    </w:p>
    <w:p w14:paraId="2D27D5F9">
      <w:pPr>
        <w:widowControl/>
        <w:jc w:val="center"/>
        <w:rPr>
          <w:rFonts w:hint="eastAsia" w:ascii="Times New Roman" w:hAnsi="Times New Roman" w:eastAsia="黑体"/>
          <w:color w:val="auto"/>
          <w:sz w:val="48"/>
          <w:szCs w:val="48"/>
          <w:highlight w:val="none"/>
        </w:rPr>
      </w:pPr>
    </w:p>
    <w:p w14:paraId="60ECA700">
      <w:pPr>
        <w:widowControl/>
        <w:jc w:val="center"/>
        <w:rPr>
          <w:rFonts w:hint="eastAsia" w:ascii="Times New Roman" w:hAnsi="Times New Roman" w:eastAsia="黑体"/>
          <w:color w:val="auto"/>
          <w:sz w:val="48"/>
          <w:szCs w:val="48"/>
          <w:highlight w:val="none"/>
        </w:rPr>
      </w:pPr>
    </w:p>
    <w:p w14:paraId="2938E81F">
      <w:pPr>
        <w:widowControl/>
        <w:jc w:val="center"/>
        <w:rPr>
          <w:rFonts w:hint="eastAsia" w:ascii="Times New Roman" w:hAnsi="Times New Roman" w:eastAsia="黑体"/>
          <w:color w:val="auto"/>
          <w:sz w:val="48"/>
          <w:szCs w:val="48"/>
          <w:highlight w:val="none"/>
        </w:rPr>
      </w:pPr>
    </w:p>
    <w:p w14:paraId="58DC3D57">
      <w:pPr>
        <w:widowControl/>
        <w:jc w:val="center"/>
        <w:rPr>
          <w:rFonts w:hint="eastAsia" w:ascii="Times New Roman" w:hAnsi="Times New Roman" w:eastAsia="黑体"/>
          <w:color w:val="auto"/>
          <w:sz w:val="48"/>
          <w:szCs w:val="48"/>
          <w:highlight w:val="none"/>
        </w:rPr>
      </w:pPr>
    </w:p>
    <w:p w14:paraId="443875B9">
      <w:pPr>
        <w:widowControl/>
        <w:jc w:val="center"/>
        <w:rPr>
          <w:rFonts w:hint="eastAsia" w:ascii="Times New Roman" w:hAnsi="Times New Roman" w:eastAsia="黑体"/>
          <w:color w:val="auto"/>
          <w:sz w:val="48"/>
          <w:szCs w:val="48"/>
          <w:highlight w:val="none"/>
        </w:rPr>
      </w:pPr>
    </w:p>
    <w:p w14:paraId="60333513">
      <w:pPr>
        <w:widowControl/>
        <w:jc w:val="center"/>
        <w:rPr>
          <w:rFonts w:hint="eastAsia" w:ascii="Times New Roman" w:hAnsi="Times New Roman" w:eastAsia="黑体"/>
          <w:color w:val="auto"/>
          <w:sz w:val="48"/>
          <w:szCs w:val="48"/>
          <w:highlight w:val="none"/>
        </w:rPr>
      </w:pPr>
    </w:p>
    <w:p w14:paraId="0B4CC3EA">
      <w:pPr>
        <w:widowControl/>
        <w:jc w:val="center"/>
        <w:rPr>
          <w:rFonts w:hint="eastAsia" w:ascii="Times New Roman" w:hAnsi="Times New Roman" w:eastAsia="黑体"/>
          <w:color w:val="auto"/>
          <w:sz w:val="48"/>
          <w:szCs w:val="48"/>
          <w:highlight w:val="none"/>
        </w:rPr>
      </w:pPr>
    </w:p>
    <w:p w14:paraId="29E3752F">
      <w:pPr>
        <w:widowControl/>
        <w:jc w:val="center"/>
        <w:rPr>
          <w:rFonts w:hint="eastAsia" w:ascii="Times New Roman" w:hAnsi="Times New Roman" w:eastAsia="黑体"/>
          <w:color w:val="auto"/>
          <w:sz w:val="48"/>
          <w:szCs w:val="48"/>
          <w:highlight w:val="none"/>
        </w:rPr>
      </w:pPr>
    </w:p>
    <w:p w14:paraId="3A5130DD">
      <w:pPr>
        <w:widowControl/>
        <w:jc w:val="center"/>
        <w:rPr>
          <w:rFonts w:hint="eastAsia" w:ascii="Times New Roman" w:hAnsi="Times New Roman" w:eastAsia="黑体"/>
          <w:color w:val="auto"/>
          <w:sz w:val="48"/>
          <w:szCs w:val="48"/>
          <w:highlight w:val="none"/>
        </w:rPr>
      </w:pPr>
    </w:p>
    <w:p w14:paraId="6BF28023">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368670D6">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5248942">
      <w:pPr>
        <w:widowControl/>
        <w:jc w:val="center"/>
        <w:rPr>
          <w:rFonts w:ascii="Times New Roman" w:hAnsi="Times New Roman" w:eastAsia="黑体" w:cstheme="minorBidi"/>
          <w:color w:val="auto"/>
          <w:sz w:val="28"/>
          <w:szCs w:val="28"/>
          <w:highlight w:val="none"/>
        </w:rPr>
      </w:pPr>
    </w:p>
    <w:p w14:paraId="7DE6DC70">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27FD14AF">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8874"/>
        <w15:color w:val="DBDBDB"/>
        <w:docPartObj>
          <w:docPartGallery w:val="Table of Contents"/>
          <w:docPartUnique/>
        </w:docPartObj>
      </w:sdtPr>
      <w:sdtEndPr>
        <w:rPr>
          <w:rFonts w:hint="eastAsia" w:ascii="黑体" w:hAnsi="黑体" w:eastAsia="黑体" w:cs="黑体"/>
          <w:b w:val="0"/>
          <w:bCs w:val="0"/>
          <w:kern w:val="2"/>
          <w:sz w:val="24"/>
          <w:szCs w:val="24"/>
          <w:lang w:val="en-US" w:eastAsia="zh-CN" w:bidi="ar-SA"/>
        </w:rPr>
      </w:sdtEndPr>
      <w:sdtContent>
        <w:p w14:paraId="73C08BA1">
          <w:pPr>
            <w:spacing w:before="0" w:beforeLines="0" w:after="0" w:afterLines="0" w:line="240" w:lineRule="auto"/>
            <w:ind w:left="0" w:leftChars="0" w:right="0" w:rightChars="0" w:firstLine="0" w:firstLineChars="0"/>
            <w:jc w:val="center"/>
          </w:pPr>
          <w:bookmarkStart w:id="12" w:name="_Toc15377196"/>
          <w:bookmarkStart w:id="13" w:name="_Toc15396599"/>
        </w:p>
        <w:p w14:paraId="7431CCAE">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黑体" w:hAnsi="黑体" w:eastAsia="黑体" w:cs="黑体"/>
              <w:b w:val="0"/>
              <w:bCs w:val="0"/>
              <w:sz w:val="24"/>
              <w:szCs w:val="24"/>
            </w:rPr>
            <w:fldChar w:fldCharType="begin"/>
          </w:r>
          <w:r>
            <w:rPr>
              <w:rFonts w:hint="eastAsia" w:ascii="黑体" w:hAnsi="黑体" w:eastAsia="黑体" w:cs="黑体"/>
              <w:b w:val="0"/>
              <w:bCs w:val="0"/>
              <w:sz w:val="24"/>
              <w:szCs w:val="24"/>
            </w:rPr>
            <w:instrText xml:space="preserve">TOC \o "1-2" \h \u </w:instrText>
          </w:r>
          <w:r>
            <w:rPr>
              <w:rFonts w:hint="eastAsia" w:ascii="黑体" w:hAnsi="黑体" w:eastAsia="黑体" w:cs="黑体"/>
              <w:b w:val="0"/>
              <w:bCs w:val="0"/>
              <w:sz w:val="24"/>
              <w:szCs w:val="24"/>
            </w:rPr>
            <w:fldChar w:fldCharType="separate"/>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_Toc7977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第一部分</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 xml:space="preserve"> 部门概况</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_Toc7977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292035D">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_Toc12810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一、</w:t>
          </w:r>
          <w:r>
            <w:rPr>
              <w:rFonts w:hint="eastAsia" w:ascii="仿宋_GB2312" w:hAnsi="仿宋_GB2312" w:eastAsia="仿宋_GB2312" w:cs="仿宋_GB2312"/>
              <w:b w:val="0"/>
              <w:bCs w:val="0"/>
              <w:sz w:val="32"/>
              <w:szCs w:val="32"/>
              <w:lang w:eastAsia="zh-CN"/>
            </w:rPr>
            <w:t>部门职责</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_Toc12810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2653003">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_Toc32478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二、机构设置</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_Toc32478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7F97ECF">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_Toc24618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第二部分</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2025年度</w:t>
          </w:r>
          <w:r>
            <w:rPr>
              <w:rFonts w:hint="eastAsia" w:ascii="仿宋_GB2312" w:hAnsi="仿宋_GB2312" w:eastAsia="仿宋_GB2312" w:cs="仿宋_GB2312"/>
              <w:b w:val="0"/>
              <w:bCs w:val="0"/>
              <w:sz w:val="32"/>
              <w:szCs w:val="32"/>
            </w:rPr>
            <w:t>部门决算情况说明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_Toc24618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1EB77495">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_Toc7264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一、</w:t>
          </w:r>
          <w:r>
            <w:rPr>
              <w:rFonts w:hint="eastAsia" w:ascii="仿宋_GB2312" w:hAnsi="仿宋_GB2312" w:eastAsia="仿宋_GB2312" w:cs="仿宋_GB2312"/>
              <w:b w:val="0"/>
              <w:bCs w:val="0"/>
              <w:sz w:val="32"/>
              <w:szCs w:val="32"/>
            </w:rPr>
            <w:t>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_Toc7264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3B48213">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_Toc24861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二、收入决算情况说明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_Toc24861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25C3994F">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_Toc6583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三、支出决算情况说明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_Toc6583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5D8E81F">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_Toc17064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四、财政拨款收入支出决算总体情况说明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_Toc17064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4</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E2F3531">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_Toc23048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五、一般公共预算财政拨款支出决算情况说明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_Toc23048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5</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7B1549C">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_Toc32262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en-US" w:eastAsia="zh-CN"/>
            </w:rPr>
            <w:t>六、一般公共预算财政拨款基本支出决算情况说明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_Toc32262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7700076F">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_Toc12703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七、财政拨款“三公”经费支出决算情况说明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_Toc12703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CD38993">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_Toc24137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八、政府性基金预算支出决算情况说明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_Toc24137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10</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B31FB85">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_Toc20316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九、国有资本经营预算支出决算情况说明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_Toc20316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10</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DD77C96">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_Toc28317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十、其他重要事项的情况说明</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_Toc28317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10</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2580461B">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_Toc29278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w:t>
          </w:r>
          <w:r>
            <w:rPr>
              <w:rFonts w:hint="eastAsia" w:ascii="仿宋_GB2312" w:hAnsi="仿宋_GB2312" w:eastAsia="仿宋_GB2312" w:cs="仿宋_GB2312"/>
              <w:b w:val="0"/>
              <w:bCs w:val="0"/>
              <w:sz w:val="32"/>
              <w:szCs w:val="32"/>
              <w:lang w:eastAsia="zh-CN"/>
            </w:rPr>
            <w:t>三</w:t>
          </w:r>
          <w:r>
            <w:rPr>
              <w:rFonts w:hint="eastAsia" w:ascii="仿宋_GB2312" w:hAnsi="仿宋_GB2312" w:eastAsia="仿宋_GB2312" w:cs="仿宋_GB2312"/>
              <w:b w:val="0"/>
              <w:bCs w:val="0"/>
              <w:sz w:val="32"/>
              <w:szCs w:val="32"/>
            </w:rPr>
            <w:t>部分</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名词解释</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_Toc29278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12</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D350EAA">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_Toc22462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第四部分</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 xml:space="preserve"> 附件</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_Toc22462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16</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28F4EE6E">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_Toc22047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第五部分 附表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_Toc22047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27</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6F7166F">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_Toc3630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一、收入支出决算总表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_Toc3630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3B3FF95">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_Toc20575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二、收入决算表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_Toc20575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5C741EF3">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_Toc32479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三、支出决算表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_Toc32479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79B8663C">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_Toc14231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四、财政拨款收入支出决算总表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_Toc14231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7286C649">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_Toc5746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五、财政拨款支出决算明细表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_Toc5746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488A2567">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_Toc7625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六、一般公共预算财政拨款支出决算表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_Toc7625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852EAA1">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_Toc8000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七、一般公共预算财政拨款支出决算明细表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_Toc8000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7D2895C9">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_Toc2778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八、一般公共预算财政拨款基本支出决算表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_Toc2778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5DD52A1">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_Toc5310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九、一般公共预算财政拨款项目支出决算表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_Toc5310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C18F6A4">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_Toc31467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十、政府性基金预算财政拨款收入支出决算表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_Toc31467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2934C30E">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_Toc16133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十一、国有资本经营预算财政拨款收入支出决算表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_Toc16133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60D7BF7D">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_Toc18504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十二、国有资本经营预算财政拨款支出决算表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_Toc18504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03D77E6D">
          <w:pPr>
            <w:pStyle w:val="15"/>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黑体" w:hAnsi="黑体" w:eastAsia="黑体" w:cs="黑体"/>
              <w:b w:val="0"/>
              <w:bCs w:val="0"/>
              <w:sz w:val="24"/>
              <w:szCs w:val="24"/>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_Toc16251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eastAsia="zh-CN"/>
            </w:rPr>
            <w:t>十三、财政拨款“三公”经费支出决算表</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PAGEREF _Toc16251 \h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rPr>
            <w:t>28</w:t>
          </w:r>
          <w:r>
            <w:rPr>
              <w:rFonts w:hint="eastAsia" w:ascii="仿宋_GB2312" w:hAnsi="仿宋_GB2312" w:eastAsia="仿宋_GB2312" w:cs="仿宋_GB2312"/>
              <w:b w:val="0"/>
              <w:bCs w:val="0"/>
              <w:sz w:val="32"/>
              <w:szCs w:val="32"/>
            </w:rPr>
            <w:fldChar w:fldCharType="end"/>
          </w:r>
          <w:r>
            <w:rPr>
              <w:rFonts w:hint="eastAsia" w:ascii="仿宋_GB2312" w:hAnsi="仿宋_GB2312" w:eastAsia="仿宋_GB2312" w:cs="仿宋_GB2312"/>
              <w:b w:val="0"/>
              <w:bCs w:val="0"/>
              <w:sz w:val="32"/>
              <w:szCs w:val="32"/>
            </w:rPr>
            <w:fldChar w:fldCharType="end"/>
          </w:r>
        </w:p>
        <w:p w14:paraId="3055C671">
          <w:pPr>
            <w:rPr>
              <w:rFonts w:hint="eastAsia" w:ascii="黑体" w:hAnsi="黑体" w:eastAsia="黑体" w:cs="黑体"/>
              <w:b w:val="0"/>
              <w:bCs w:val="0"/>
              <w:sz w:val="24"/>
              <w:szCs w:val="24"/>
            </w:rPr>
          </w:pPr>
          <w:r>
            <w:rPr>
              <w:rFonts w:hint="eastAsia" w:ascii="黑体" w:hAnsi="黑体" w:eastAsia="黑体" w:cs="黑体"/>
              <w:b w:val="0"/>
              <w:bCs w:val="0"/>
              <w:sz w:val="24"/>
              <w:szCs w:val="24"/>
            </w:rPr>
            <w:fldChar w:fldCharType="end"/>
          </w:r>
        </w:p>
      </w:sdtContent>
    </w:sdt>
    <w:p w14:paraId="13565A91"/>
    <w:p w14:paraId="68FEDE27">
      <w:pPr>
        <w:pStyle w:val="3"/>
        <w:jc w:val="center"/>
        <w:rPr>
          <w:rFonts w:hint="eastAsia" w:ascii="Times New Roman" w:hAnsi="Times New Roman" w:eastAsia="方正小标宋简体" w:cs="方正小标宋简体"/>
          <w:b w:val="0"/>
          <w:color w:val="auto"/>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12A405A5">
      <w:pPr>
        <w:pStyle w:val="3"/>
        <w:jc w:val="center"/>
        <w:rPr>
          <w:rFonts w:ascii="Times New Roman" w:hAnsi="Times New Roman" w:eastAsia="黑体"/>
          <w:color w:val="auto"/>
          <w:sz w:val="32"/>
          <w:szCs w:val="32"/>
          <w:highlight w:val="none"/>
        </w:rPr>
      </w:pPr>
      <w:bookmarkStart w:id="14" w:name="_Toc7977"/>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12"/>
      <w:bookmarkEnd w:id="13"/>
      <w:bookmarkEnd w:id="14"/>
    </w:p>
    <w:p w14:paraId="5F1F040B">
      <w:pPr>
        <w:pStyle w:val="4"/>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b w:val="0"/>
          <w:color w:val="auto"/>
          <w:highlight w:val="none"/>
          <w:lang w:eastAsia="zh-CN"/>
        </w:rPr>
      </w:pPr>
      <w:bookmarkStart w:id="15" w:name="_Toc15396600"/>
      <w:bookmarkStart w:id="16" w:name="_Toc15377197"/>
      <w:bookmarkStart w:id="17" w:name="_Toc12810"/>
      <w:r>
        <w:rPr>
          <w:rFonts w:hint="eastAsia" w:ascii="Times New Roman" w:hAnsi="Times New Roman" w:eastAsia="黑体"/>
          <w:b w:val="0"/>
          <w:color w:val="auto"/>
          <w:highlight w:val="none"/>
        </w:rPr>
        <w:t>一、</w:t>
      </w:r>
      <w:bookmarkEnd w:id="15"/>
      <w:bookmarkEnd w:id="16"/>
      <w:r>
        <w:rPr>
          <w:rFonts w:hint="eastAsia" w:ascii="Times New Roman" w:hAnsi="Times New Roman" w:eastAsia="黑体"/>
          <w:b w:val="0"/>
          <w:color w:val="auto"/>
          <w:highlight w:val="none"/>
          <w:lang w:eastAsia="zh-CN"/>
        </w:rPr>
        <w:t>部门职责</w:t>
      </w:r>
      <w:bookmarkEnd w:id="17"/>
    </w:p>
    <w:p w14:paraId="7B4A8367">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1.贯彻执行国家、省、州、县有关综合行政执法的方针政策和法律、法规、规章；负责起草有关规范性文件草案；拟定全县综合行政执法的发展战略、中期发展规划和年度工作计划，经批准后组织实施；制定全县综合行政执法制度和规范经批准后组织实施。</w:t>
      </w:r>
    </w:p>
    <w:p w14:paraId="3BC23FFC">
      <w:pPr>
        <w:spacing w:line="560" w:lineRule="exact"/>
        <w:ind w:firstLine="640" w:firstLineChars="200"/>
        <w:outlineLvl w:val="9"/>
        <w:rPr>
          <w:rFonts w:hint="eastAsia" w:ascii="仿宋_GB2312" w:hAnsi="仿宋_GB2312" w:eastAsia="仿宋_GB2312" w:cs="仿宋_GB2312"/>
          <w:b/>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2.集中行使自然资源管理、城市管理、文化市场管理等领域法律、法规、规章规定的全部或部分行政处罚权及相应的行政检查权、行政命令权和行政强制措施权。具体包括：</w:t>
      </w:r>
    </w:p>
    <w:p w14:paraId="50E011A5">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（1）行使土地、矿产资源及城乡规划管理方面法律、法规、规章规定的行政处罚权；</w:t>
      </w:r>
    </w:p>
    <w:p w14:paraId="039E867B">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（2）行使文化(文物)、广播影视、新闻出版（版权)、体育管理方面法律、法规、规章规定的行政处罚权；</w:t>
      </w:r>
    </w:p>
    <w:p w14:paraId="416BD491">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（3）行使城市管理方面法律、法规、规章规定的行政处罚权。</w:t>
      </w:r>
    </w:p>
    <w:p w14:paraId="67EA3EB4">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上述行政处罚权及行政检查、行政命令和行政强制权中，与行政管理联系紧密的提供报表资料、费用缴纳、资质资格管理、招投标管理、合同管理等方面法律、法规、规章规定的相关职权仍由原行政主管部门行使。</w:t>
      </w:r>
    </w:p>
    <w:p w14:paraId="479D8EB6">
      <w:pPr>
        <w:spacing w:line="560" w:lineRule="exact"/>
        <w:ind w:firstLine="640" w:firstLineChars="200"/>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除上述行政执法职责外，对省、州有关文件规定应予划转的行政执法职责，将结合县内实际，逐步将相关部门的行政执法职责划入县综合执法局。</w:t>
      </w:r>
    </w:p>
    <w:p w14:paraId="0C7CAD7A">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3.负责受理职责范围内行政违法行为的举报、投诉和各种方式移送的案件线索，办理有关行政复议和行政应诉工作。</w:t>
      </w:r>
    </w:p>
    <w:p w14:paraId="2AC15112">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4.牵头实施由县政府组织的有关专项整治和重大执法活动。</w:t>
      </w:r>
    </w:p>
    <w:p w14:paraId="4FFBBF4F">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5.配合协助划转行政处罚权涉及的行政主管部门组织开展行业整治活动。</w:t>
      </w:r>
    </w:p>
    <w:p w14:paraId="579149BE">
      <w:pPr>
        <w:spacing w:line="560" w:lineRule="exact"/>
        <w:ind w:firstLine="640" w:firstLineChars="200"/>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6.指导</w:t>
      </w:r>
      <w:r>
        <w:rPr>
          <w:rFonts w:hint="eastAsia" w:ascii="仿宋_GB2312" w:hAnsi="仿宋_GB2312" w:eastAsia="仿宋_GB2312" w:cs="仿宋_GB2312"/>
          <w:color w:val="000000" w:themeColor="text1"/>
          <w:sz w:val="32"/>
          <w:lang w:val="en-US" w:eastAsia="zh-CN"/>
          <w14:textFill>
            <w14:solidFill>
              <w14:schemeClr w14:val="tx1"/>
            </w14:solidFill>
          </w14:textFill>
        </w:rPr>
        <w:t>各镇</w:t>
      </w:r>
      <w:r>
        <w:rPr>
          <w:rFonts w:hint="eastAsia" w:ascii="仿宋_GB2312" w:hAnsi="仿宋_GB2312" w:eastAsia="仿宋_GB2312" w:cs="仿宋_GB2312"/>
          <w:color w:val="000000" w:themeColor="text1"/>
          <w:sz w:val="32"/>
          <w14:textFill>
            <w14:solidFill>
              <w14:schemeClr w14:val="tx1"/>
            </w14:solidFill>
          </w14:textFill>
        </w:rPr>
        <w:t xml:space="preserve">综合行政执法工作。   </w:t>
      </w:r>
    </w:p>
    <w:p w14:paraId="41FDDCD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eastAsia="zh-CN"/>
        </w:rPr>
      </w:pPr>
      <w:r>
        <w:rPr>
          <w:rFonts w:hint="eastAsia" w:ascii="仿宋_GB2312" w:hAnsi="仿宋_GB2312" w:eastAsia="仿宋_GB2312" w:cs="仿宋_GB2312"/>
          <w:color w:val="000000" w:themeColor="text1"/>
          <w:sz w:val="32"/>
          <w14:textFill>
            <w14:solidFill>
              <w14:schemeClr w14:val="tx1"/>
            </w14:solidFill>
          </w14:textFill>
        </w:rPr>
        <w:t>7.承办县委、县政府交办的其他任务。</w:t>
      </w:r>
    </w:p>
    <w:p w14:paraId="058BEF8A">
      <w:pPr>
        <w:pStyle w:val="4"/>
        <w:pageBreakBefore w:val="0"/>
        <w:widowControl w:val="0"/>
        <w:kinsoku/>
        <w:wordWrap/>
        <w:overflowPunct/>
        <w:topLinePunct w:val="0"/>
        <w:autoSpaceDE/>
        <w:autoSpaceDN/>
        <w:bidi w:val="0"/>
        <w:adjustRightInd/>
        <w:snapToGrid/>
        <w:spacing w:line="560" w:lineRule="exact"/>
        <w:textAlignment w:val="auto"/>
        <w:rPr>
          <w:rStyle w:val="32"/>
          <w:rFonts w:ascii="Times New Roman" w:hAnsi="Times New Roman"/>
          <w:b w:val="0"/>
          <w:bCs w:val="0"/>
          <w:color w:val="auto"/>
          <w:highlight w:val="none"/>
        </w:rPr>
      </w:pPr>
      <w:bookmarkStart w:id="18" w:name="_Toc32478"/>
      <w:bookmarkStart w:id="19" w:name="_Toc15396601"/>
      <w:bookmarkStart w:id="20"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8"/>
      <w:bookmarkEnd w:id="19"/>
      <w:bookmarkEnd w:id="20"/>
    </w:p>
    <w:p w14:paraId="7B3620B8">
      <w:pPr>
        <w:pageBreakBefore w:val="0"/>
        <w:widowControl w:val="0"/>
        <w:kinsoku/>
        <w:wordWrap/>
        <w:overflowPunct/>
        <w:topLinePunct w:val="0"/>
        <w:autoSpaceDE/>
        <w:autoSpaceDN/>
        <w:bidi w:val="0"/>
        <w:adjustRightInd/>
        <w:snapToGrid/>
        <w:spacing w:line="560" w:lineRule="exact"/>
        <w:ind w:firstLine="800" w:firstLineChars="250"/>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茂县综合行政执法局</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下属二级</w:t>
      </w:r>
      <w:r>
        <w:rPr>
          <w:rFonts w:hint="eastAsia" w:ascii="Times New Roman" w:hAnsi="Times New Roman" w:eastAsia="仿宋_GB2312" w:cs="仿宋_GB2312"/>
          <w:color w:val="000000" w:themeColor="text1"/>
          <w:sz w:val="32"/>
          <w:szCs w:val="32"/>
          <w:highlight w:val="none"/>
          <w:lang w:eastAsia="zh-CN"/>
          <w14:textFill>
            <w14:solidFill>
              <w14:schemeClr w14:val="tx1"/>
            </w14:solidFill>
          </w14:textFill>
        </w:rPr>
        <w:t>预算</w:t>
      </w:r>
      <w:r>
        <w:rPr>
          <w:rFonts w:hint="eastAsia" w:ascii="Times New Roman" w:hAnsi="Times New Roman" w:eastAsia="仿宋_GB2312" w:cs="仿宋_GB2312"/>
          <w:color w:val="000000" w:themeColor="text1"/>
          <w:sz w:val="32"/>
          <w:szCs w:val="32"/>
          <w:highlight w:val="none"/>
          <w14:textFill>
            <w14:solidFill>
              <w14:schemeClr w14:val="tx1"/>
            </w14:solidFill>
          </w14:textFill>
        </w:rPr>
        <w:t>单位</w:t>
      </w:r>
      <w:r>
        <w:rPr>
          <w:rFonts w:hint="eastAsia" w:eastAsia="仿宋_GB2312" w:cs="仿宋_GB2312"/>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个，其中行政单位</w:t>
      </w:r>
      <w:r>
        <w:rPr>
          <w:rFonts w:hint="eastAsia" w:eastAsia="仿宋_GB2312" w:cs="仿宋_GB2312"/>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个，参照公务员法管理的事业单位</w:t>
      </w:r>
      <w:r>
        <w:rPr>
          <w:rFonts w:hint="eastAsia" w:eastAsia="仿宋_GB2312" w:cs="仿宋_GB2312"/>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个，其他事业单位</w:t>
      </w:r>
      <w:r>
        <w:rPr>
          <w:rFonts w:hint="eastAsia" w:ascii="Times New Roman" w:hAnsi="Times New Roman" w:eastAsia="仿宋_GB2312" w:cs="仿宋_GB2312"/>
          <w:color w:val="000000" w:themeColor="text1"/>
          <w:sz w:val="32"/>
          <w:szCs w:val="32"/>
          <w:highlight w:val="none"/>
          <w:lang w:val="en-US" w:eastAsia="zh-CN"/>
          <w14:textFill>
            <w14:solidFill>
              <w14:schemeClr w14:val="tx1"/>
            </w14:solidFill>
          </w14:textFill>
        </w:rPr>
        <w:t>0</w:t>
      </w:r>
      <w:r>
        <w:rPr>
          <w:rFonts w:hint="eastAsia" w:ascii="Times New Roman" w:hAnsi="Times New Roman" w:eastAsia="仿宋_GB2312" w:cs="仿宋_GB2312"/>
          <w:color w:val="000000" w:themeColor="text1"/>
          <w:sz w:val="32"/>
          <w:szCs w:val="32"/>
          <w:highlight w:val="none"/>
          <w14:textFill>
            <w14:solidFill>
              <w14:schemeClr w14:val="tx1"/>
            </w14:solidFill>
          </w14:textFill>
        </w:rPr>
        <w:t>个。</w:t>
      </w:r>
      <w:bookmarkStart w:id="21" w:name="_Toc15396602"/>
      <w:bookmarkStart w:id="22" w:name="_Toc15377204"/>
    </w:p>
    <w:p w14:paraId="4B31FF57">
      <w:pPr>
        <w:pStyle w:val="7"/>
        <w:pageBreakBefore w:val="0"/>
        <w:kinsoku/>
        <w:wordWrap/>
        <w:overflowPunct/>
        <w:topLinePunct w:val="0"/>
        <w:bidi w:val="0"/>
        <w:adjustRightInd w:val="0"/>
        <w:snapToGrid w:val="0"/>
        <w:spacing w:beforeLines="0" w:line="576" w:lineRule="exact"/>
        <w:ind w:firstLine="672" w:firstLineChars="21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纳入</w:t>
      </w:r>
      <w:r>
        <w:rPr>
          <w:rFonts w:hint="eastAsia" w:ascii="Times New Roman" w:cs="Times New Roman"/>
          <w:color w:val="auto"/>
          <w:sz w:val="32"/>
          <w:szCs w:val="32"/>
          <w:highlight w:val="none"/>
          <w:lang w:val="en-US" w:eastAsia="zh-CN"/>
        </w:rPr>
        <w:t>茂县综合行政执法局</w:t>
      </w:r>
      <w:r>
        <w:rPr>
          <w:rFonts w:hint="default" w:ascii="Times New Roman" w:hAnsi="Times New Roman"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rPr>
        <w:t>部门决算编制范围的二级预算单位包括：</w:t>
      </w:r>
    </w:p>
    <w:p w14:paraId="271F0625">
      <w:pPr>
        <w:pStyle w:val="7"/>
        <w:pageBreakBefore w:val="0"/>
        <w:numPr>
          <w:ilvl w:val="0"/>
          <w:numId w:val="1"/>
        </w:numPr>
        <w:kinsoku/>
        <w:wordWrap/>
        <w:overflowPunct/>
        <w:topLinePunct w:val="0"/>
        <w:bidi w:val="0"/>
        <w:adjustRightInd w:val="0"/>
        <w:snapToGrid w:val="0"/>
        <w:spacing w:beforeLines="0" w:line="576" w:lineRule="exact"/>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茂县综合行政执法局</w:t>
      </w:r>
      <w:r>
        <w:rPr>
          <w:rFonts w:hint="default" w:ascii="Times New Roman" w:hAnsi="Times New Roman" w:eastAsia="仿宋_GB2312" w:cs="Times New Roman"/>
          <w:color w:val="auto"/>
          <w:sz w:val="32"/>
          <w:szCs w:val="32"/>
          <w:highlight w:val="none"/>
        </w:rPr>
        <w:t>（行政）</w:t>
      </w:r>
    </w:p>
    <w:p w14:paraId="44A131D5">
      <w:pPr>
        <w:pStyle w:val="3"/>
        <w:jc w:val="center"/>
        <w:rPr>
          <w:rFonts w:hint="eastAsia" w:ascii="Times New Roman" w:hAnsi="Times New Roman" w:eastAsia="方正小标宋简体" w:cs="方正小标宋简体"/>
          <w:b w:val="0"/>
          <w:color w:val="auto"/>
          <w:highlight w:val="none"/>
        </w:rPr>
      </w:pPr>
    </w:p>
    <w:p w14:paraId="3917E7CF">
      <w:pPr>
        <w:rPr>
          <w:rFonts w:hint="eastAsia"/>
        </w:rPr>
      </w:pPr>
    </w:p>
    <w:p w14:paraId="73190442">
      <w:pPr>
        <w:rPr>
          <w:rFonts w:hint="eastAsia" w:ascii="Times New Roman" w:hAnsi="Times New Roman" w:eastAsia="方正小标宋简体" w:cs="方正小标宋简体"/>
          <w:b w:val="0"/>
          <w:color w:val="auto"/>
          <w:highlight w:val="none"/>
        </w:rPr>
      </w:pPr>
    </w:p>
    <w:p w14:paraId="7CAEDAB4">
      <w:pPr>
        <w:pStyle w:val="2"/>
        <w:rPr>
          <w:rFonts w:hint="eastAsia" w:ascii="Times New Roman" w:hAnsi="Times New Roman" w:eastAsia="方正小标宋简体" w:cs="方正小标宋简体"/>
          <w:b w:val="0"/>
          <w:color w:val="auto"/>
          <w:highlight w:val="none"/>
        </w:rPr>
      </w:pPr>
    </w:p>
    <w:p w14:paraId="0DA34728">
      <w:pPr>
        <w:rPr>
          <w:rFonts w:hint="eastAsia" w:ascii="Times New Roman" w:hAnsi="Times New Roman" w:eastAsia="方正小标宋简体" w:cs="方正小标宋简体"/>
          <w:b w:val="0"/>
          <w:color w:val="auto"/>
          <w:highlight w:val="none"/>
        </w:rPr>
      </w:pPr>
    </w:p>
    <w:p w14:paraId="1E5ECA26">
      <w:pPr>
        <w:pStyle w:val="2"/>
        <w:rPr>
          <w:rFonts w:hint="eastAsia"/>
        </w:rPr>
      </w:pPr>
    </w:p>
    <w:p w14:paraId="770E7988">
      <w:pPr>
        <w:rPr>
          <w:rFonts w:hint="eastAsia"/>
        </w:rPr>
      </w:pPr>
    </w:p>
    <w:p w14:paraId="45C5620A">
      <w:pPr>
        <w:pStyle w:val="3"/>
        <w:jc w:val="center"/>
        <w:rPr>
          <w:rFonts w:hint="eastAsia" w:ascii="Times New Roman" w:hAnsi="Times New Roman" w:eastAsia="方正小标宋简体" w:cs="方正小标宋简体"/>
          <w:b w:val="0"/>
          <w:color w:val="auto"/>
          <w:highlight w:val="none"/>
        </w:rPr>
      </w:pPr>
      <w:bookmarkStart w:id="23" w:name="_Toc2461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1"/>
      <w:bookmarkEnd w:id="22"/>
      <w:bookmarkEnd w:id="23"/>
    </w:p>
    <w:p w14:paraId="7AC42FF1">
      <w:pPr>
        <w:rPr>
          <w:rFonts w:ascii="Times New Roman" w:hAnsi="Times New Roman"/>
          <w:color w:val="auto"/>
          <w:highlight w:val="none"/>
        </w:rPr>
      </w:pPr>
    </w:p>
    <w:p w14:paraId="0497375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4" w:name="_Toc15377205"/>
      <w:bookmarkStart w:id="25" w:name="_Toc7264"/>
      <w:bookmarkStart w:id="26"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24"/>
      <w:bookmarkEnd w:id="25"/>
      <w:bookmarkEnd w:id="26"/>
    </w:p>
    <w:p w14:paraId="3570B3FC">
      <w:pPr>
        <w:pStyle w:val="7"/>
        <w:bidi w:val="0"/>
        <w:ind w:firstLine="640" w:firstLineChars="200"/>
        <w:rPr>
          <w:rFonts w:hint="eastAsia"/>
          <w:sz w:val="32"/>
          <w:szCs w:val="32"/>
          <w:lang w:eastAsia="zh-CN"/>
        </w:rPr>
      </w:pPr>
      <w:r>
        <w:rPr>
          <w:rFonts w:hint="eastAsia"/>
          <w:sz w:val="32"/>
          <w:szCs w:val="32"/>
          <w:lang w:eastAsia="zh-CN"/>
        </w:rPr>
        <w:t>2025年度收入</w:t>
      </w:r>
      <w:r>
        <w:rPr>
          <w:rFonts w:hint="eastAsia"/>
          <w:sz w:val="32"/>
          <w:szCs w:val="32"/>
        </w:rPr>
        <w:t>、</w:t>
      </w:r>
      <w:r>
        <w:rPr>
          <w:rFonts w:hint="eastAsia"/>
          <w:sz w:val="32"/>
          <w:szCs w:val="32"/>
          <w:lang w:eastAsia="zh-CN"/>
        </w:rPr>
        <w:t>支出</w:t>
      </w:r>
      <w:r>
        <w:rPr>
          <w:rFonts w:hint="eastAsia"/>
          <w:sz w:val="32"/>
          <w:szCs w:val="32"/>
        </w:rPr>
        <w:t>总计</w:t>
      </w:r>
      <w:r>
        <w:rPr>
          <w:rFonts w:hint="eastAsia"/>
          <w:sz w:val="32"/>
          <w:szCs w:val="32"/>
          <w:lang w:eastAsia="zh-CN"/>
        </w:rPr>
        <w:t>均为1582.79</w:t>
      </w:r>
      <w:r>
        <w:rPr>
          <w:rFonts w:hint="eastAsia"/>
          <w:sz w:val="32"/>
          <w:szCs w:val="32"/>
        </w:rPr>
        <w:t>万元。与</w:t>
      </w:r>
      <w:r>
        <w:rPr>
          <w:rFonts w:hint="eastAsia"/>
          <w:sz w:val="32"/>
          <w:szCs w:val="32"/>
          <w:lang w:eastAsia="zh-CN"/>
        </w:rPr>
        <w:t>上</w:t>
      </w:r>
      <w:r>
        <w:rPr>
          <w:rFonts w:hint="eastAsia"/>
          <w:sz w:val="32"/>
          <w:szCs w:val="32"/>
        </w:rPr>
        <w:t>年</w:t>
      </w:r>
      <w:r>
        <w:rPr>
          <w:rFonts w:hint="eastAsia"/>
          <w:sz w:val="32"/>
          <w:szCs w:val="32"/>
          <w:lang w:eastAsia="zh-CN"/>
        </w:rPr>
        <w:t>度</w:t>
      </w:r>
      <w:r>
        <w:rPr>
          <w:rFonts w:hint="eastAsia"/>
          <w:sz w:val="32"/>
          <w:szCs w:val="32"/>
        </w:rPr>
        <w:t>相比，</w:t>
      </w:r>
      <w:r>
        <w:rPr>
          <w:rFonts w:hint="eastAsia"/>
          <w:sz w:val="32"/>
          <w:szCs w:val="32"/>
          <w:lang w:eastAsia="zh-CN"/>
        </w:rPr>
        <w:t>收入</w:t>
      </w:r>
      <w:r>
        <w:rPr>
          <w:rFonts w:hint="eastAsia"/>
          <w:sz w:val="32"/>
          <w:szCs w:val="32"/>
        </w:rPr>
        <w:t>、</w:t>
      </w:r>
      <w:r>
        <w:rPr>
          <w:rFonts w:hint="eastAsia"/>
          <w:sz w:val="32"/>
          <w:szCs w:val="32"/>
          <w:lang w:eastAsia="zh-CN"/>
        </w:rPr>
        <w:t>支出</w:t>
      </w:r>
      <w:r>
        <w:rPr>
          <w:rFonts w:hint="eastAsia"/>
          <w:sz w:val="32"/>
          <w:szCs w:val="32"/>
        </w:rPr>
        <w:t>总计各增加</w:t>
      </w:r>
      <w:r>
        <w:rPr>
          <w:rFonts w:hint="eastAsia"/>
          <w:sz w:val="32"/>
          <w:szCs w:val="32"/>
          <w:lang w:val="en-US" w:eastAsia="zh-CN"/>
        </w:rPr>
        <w:t>200.68</w:t>
      </w:r>
      <w:r>
        <w:rPr>
          <w:rFonts w:hint="eastAsia"/>
          <w:sz w:val="32"/>
          <w:szCs w:val="32"/>
        </w:rPr>
        <w:t>万元，增长</w:t>
      </w:r>
      <w:r>
        <w:rPr>
          <w:rFonts w:hint="eastAsia"/>
          <w:sz w:val="32"/>
          <w:szCs w:val="32"/>
          <w:lang w:val="en-US" w:eastAsia="zh-CN"/>
        </w:rPr>
        <w:t>14.5</w:t>
      </w:r>
      <w:r>
        <w:rPr>
          <w:rFonts w:hint="eastAsia"/>
          <w:sz w:val="32"/>
          <w:szCs w:val="32"/>
        </w:rPr>
        <w:t>%。</w:t>
      </w:r>
      <w:r>
        <w:rPr>
          <w:rFonts w:hint="eastAsia"/>
          <w:sz w:val="32"/>
          <w:szCs w:val="32"/>
          <w:lang w:eastAsia="zh-CN"/>
        </w:rPr>
        <w:t>主要变动原因是：</w:t>
      </w:r>
      <w:r>
        <w:rPr>
          <w:rFonts w:hint="eastAsia"/>
          <w:sz w:val="32"/>
          <w:szCs w:val="32"/>
        </w:rPr>
        <w:t>单位职工增加、工资保险变动</w:t>
      </w:r>
      <w:r>
        <w:rPr>
          <w:rFonts w:hint="eastAsia"/>
          <w:sz w:val="32"/>
          <w:szCs w:val="32"/>
          <w:lang w:eastAsia="zh-CN"/>
        </w:rPr>
        <w:t>。</w:t>
      </w:r>
    </w:p>
    <w:p w14:paraId="7088E2E9">
      <w:pPr>
        <w:pStyle w:val="7"/>
        <w:bidi w:val="0"/>
        <w:rPr>
          <w:rFonts w:hint="eastAsia"/>
          <w:lang w:eastAsia="zh-CN"/>
        </w:rPr>
      </w:pPr>
      <w:r>
        <w:rPr>
          <w:rFonts w:hint="eastAsia"/>
        </w:rPr>
        <w:drawing>
          <wp:inline distT="0" distB="0" distL="114300" distR="114300">
            <wp:extent cx="5256530" cy="3734435"/>
            <wp:effectExtent l="4445" t="4445" r="15875"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4B1601">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lang w:eastAsia="zh-CN"/>
        </w:rPr>
      </w:pPr>
      <w:bookmarkStart w:id="27" w:name="_Toc15396604"/>
      <w:bookmarkStart w:id="28" w:name="_Toc24861"/>
      <w:bookmarkStart w:id="29" w:name="_Toc15377206"/>
      <w:r>
        <w:rPr>
          <w:rFonts w:hint="eastAsia" w:ascii="黑体" w:hAnsi="黑体" w:eastAsia="黑体" w:cs="黑体"/>
          <w:b w:val="0"/>
          <w:bCs w:val="0"/>
          <w:lang w:eastAsia="zh-CN"/>
        </w:rPr>
        <w:t>二、收入决算情况说明</w:t>
      </w:r>
      <w:bookmarkEnd w:id="27"/>
      <w:bookmarkEnd w:id="28"/>
      <w:bookmarkEnd w:id="29"/>
    </w:p>
    <w:p w14:paraId="659C8E90">
      <w:pPr>
        <w:pStyle w:val="7"/>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eastAsia="zh-CN"/>
        </w:rPr>
      </w:pPr>
      <w:r>
        <w:rPr>
          <w:rFonts w:hint="eastAsia"/>
          <w:sz w:val="32"/>
          <w:szCs w:val="32"/>
          <w:lang w:eastAsia="zh-CN"/>
        </w:rPr>
        <w:t>2025年度本年收入合计</w:t>
      </w:r>
      <w:r>
        <w:rPr>
          <w:rFonts w:hint="eastAsia"/>
          <w:sz w:val="32"/>
          <w:szCs w:val="32"/>
          <w:lang w:val="en-US" w:eastAsia="zh-CN"/>
        </w:rPr>
        <w:t>1582.79</w:t>
      </w:r>
      <w:r>
        <w:rPr>
          <w:rFonts w:hint="eastAsia"/>
          <w:sz w:val="32"/>
          <w:szCs w:val="32"/>
          <w:lang w:eastAsia="zh-CN"/>
        </w:rPr>
        <w:t>万元，其中：一般公共预算财政拨款收入</w:t>
      </w:r>
      <w:r>
        <w:rPr>
          <w:rFonts w:hint="eastAsia"/>
          <w:sz w:val="32"/>
          <w:szCs w:val="32"/>
          <w:lang w:val="en-US" w:eastAsia="zh-CN"/>
        </w:rPr>
        <w:t>1582.79</w:t>
      </w:r>
      <w:r>
        <w:rPr>
          <w:rFonts w:hint="eastAsia"/>
          <w:sz w:val="32"/>
          <w:szCs w:val="32"/>
          <w:lang w:eastAsia="zh-CN"/>
        </w:rPr>
        <w:t>万元，占</w:t>
      </w:r>
      <w:r>
        <w:rPr>
          <w:rFonts w:hint="eastAsia"/>
          <w:sz w:val="32"/>
          <w:szCs w:val="32"/>
          <w:lang w:val="en-US" w:eastAsia="zh-CN"/>
        </w:rPr>
        <w:t>100</w:t>
      </w:r>
      <w:r>
        <w:rPr>
          <w:rFonts w:hint="eastAsia"/>
          <w:sz w:val="32"/>
          <w:szCs w:val="32"/>
          <w:lang w:eastAsia="zh-CN"/>
        </w:rPr>
        <w:t>%。</w:t>
      </w:r>
    </w:p>
    <w:p w14:paraId="3CF47E03">
      <w:pPr>
        <w:pStyle w:val="7"/>
        <w:bidi w:val="0"/>
        <w:rPr>
          <w:rFonts w:hint="eastAsia"/>
          <w:lang w:eastAsia="zh-CN"/>
        </w:rPr>
      </w:pPr>
      <w:r>
        <w:rPr>
          <w:rFonts w:hint="eastAsia"/>
          <w:lang w:eastAsia="zh-CN"/>
        </w:rPr>
        <w:drawing>
          <wp:inline distT="0" distB="0" distL="114300" distR="114300">
            <wp:extent cx="5256530" cy="3136265"/>
            <wp:effectExtent l="4445" t="4445" r="15875" b="2159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A17E8C6">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lang w:eastAsia="zh-CN"/>
        </w:rPr>
      </w:pPr>
      <w:bookmarkStart w:id="30" w:name="_Toc15396605"/>
      <w:bookmarkStart w:id="31" w:name="_Toc15377207"/>
      <w:bookmarkStart w:id="32" w:name="_Toc6583"/>
      <w:r>
        <w:rPr>
          <w:rFonts w:hint="eastAsia" w:ascii="黑体" w:hAnsi="黑体" w:eastAsia="黑体" w:cs="黑体"/>
          <w:b w:val="0"/>
          <w:bCs w:val="0"/>
          <w:lang w:eastAsia="zh-CN"/>
        </w:rPr>
        <w:t>三、支出决算情况说明</w:t>
      </w:r>
      <w:bookmarkEnd w:id="30"/>
      <w:bookmarkEnd w:id="31"/>
      <w:bookmarkEnd w:id="32"/>
    </w:p>
    <w:p w14:paraId="436D2E6F">
      <w:pPr>
        <w:pStyle w:val="7"/>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eastAsia="zh-CN"/>
        </w:rPr>
      </w:pPr>
      <w:r>
        <w:rPr>
          <w:rFonts w:hint="eastAsia"/>
          <w:sz w:val="32"/>
          <w:szCs w:val="32"/>
          <w:lang w:eastAsia="zh-CN"/>
        </w:rPr>
        <w:t>2025年度本年支出合计</w:t>
      </w:r>
      <w:r>
        <w:rPr>
          <w:rFonts w:hint="eastAsia"/>
          <w:sz w:val="32"/>
          <w:szCs w:val="32"/>
          <w:lang w:val="en-US" w:eastAsia="zh-CN"/>
        </w:rPr>
        <w:t>1582.79</w:t>
      </w:r>
      <w:r>
        <w:rPr>
          <w:rFonts w:hint="eastAsia"/>
          <w:sz w:val="32"/>
          <w:szCs w:val="32"/>
          <w:lang w:eastAsia="zh-CN"/>
        </w:rPr>
        <w:t>万元，其中：基本支出</w:t>
      </w:r>
      <w:r>
        <w:rPr>
          <w:rFonts w:hint="eastAsia"/>
          <w:sz w:val="32"/>
          <w:szCs w:val="32"/>
          <w:lang w:val="en-US" w:eastAsia="zh-CN"/>
        </w:rPr>
        <w:t>1523.26</w:t>
      </w:r>
      <w:r>
        <w:rPr>
          <w:rFonts w:hint="eastAsia"/>
          <w:sz w:val="32"/>
          <w:szCs w:val="32"/>
          <w:lang w:eastAsia="zh-CN"/>
        </w:rPr>
        <w:t>万元，占</w:t>
      </w:r>
      <w:r>
        <w:rPr>
          <w:rFonts w:hint="eastAsia"/>
          <w:sz w:val="32"/>
          <w:szCs w:val="32"/>
          <w:lang w:val="en-US" w:eastAsia="zh-CN"/>
        </w:rPr>
        <w:t>96.2</w:t>
      </w:r>
      <w:r>
        <w:rPr>
          <w:rFonts w:hint="eastAsia"/>
          <w:sz w:val="32"/>
          <w:szCs w:val="32"/>
          <w:lang w:eastAsia="zh-CN"/>
        </w:rPr>
        <w:t>%；项目支出</w:t>
      </w:r>
      <w:r>
        <w:rPr>
          <w:rFonts w:hint="eastAsia"/>
          <w:sz w:val="32"/>
          <w:szCs w:val="32"/>
          <w:lang w:val="en-US" w:eastAsia="zh-CN"/>
        </w:rPr>
        <w:t>59.53</w:t>
      </w:r>
      <w:r>
        <w:rPr>
          <w:rFonts w:hint="eastAsia"/>
          <w:sz w:val="32"/>
          <w:szCs w:val="32"/>
          <w:lang w:eastAsia="zh-CN"/>
        </w:rPr>
        <w:t>万元，占</w:t>
      </w:r>
      <w:r>
        <w:rPr>
          <w:rFonts w:hint="eastAsia"/>
          <w:sz w:val="32"/>
          <w:szCs w:val="32"/>
          <w:lang w:val="en-US" w:eastAsia="zh-CN"/>
        </w:rPr>
        <w:t>3.8</w:t>
      </w:r>
      <w:r>
        <w:rPr>
          <w:rFonts w:hint="eastAsia"/>
          <w:sz w:val="32"/>
          <w:szCs w:val="32"/>
          <w:lang w:eastAsia="zh-CN"/>
        </w:rPr>
        <w:t>%。</w:t>
      </w:r>
    </w:p>
    <w:p w14:paraId="26FE0090">
      <w:pPr>
        <w:pStyle w:val="7"/>
        <w:bidi w:val="0"/>
        <w:jc w:val="center"/>
        <w:rPr>
          <w:rFonts w:hint="eastAsia" w:ascii="Times New Roman" w:hAnsi="Times New Roman" w:eastAsia="仿宋_GB2312" w:cs="仿宋_GB2312"/>
          <w:color w:val="auto"/>
          <w:sz w:val="32"/>
          <w:szCs w:val="32"/>
          <w:highlight w:val="none"/>
          <w:lang w:eastAsia="zh-CN"/>
        </w:rPr>
      </w:pPr>
      <w:r>
        <w:rPr>
          <w:rFonts w:hint="eastAsia"/>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9F65963">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lang w:eastAsia="zh-CN"/>
        </w:rPr>
      </w:pPr>
      <w:bookmarkStart w:id="33" w:name="_Toc15396606"/>
      <w:bookmarkStart w:id="34" w:name="_Toc15377208"/>
      <w:bookmarkStart w:id="35" w:name="_Toc17064"/>
      <w:r>
        <w:rPr>
          <w:rFonts w:hint="eastAsia" w:ascii="黑体" w:hAnsi="黑体" w:eastAsia="黑体" w:cs="黑体"/>
          <w:b w:val="0"/>
          <w:bCs w:val="0"/>
          <w:lang w:eastAsia="zh-CN"/>
        </w:rPr>
        <w:t>四、财政拨款收入支出决算总体情况说明</w:t>
      </w:r>
      <w:bookmarkEnd w:id="33"/>
      <w:bookmarkEnd w:id="34"/>
      <w:bookmarkEnd w:id="35"/>
    </w:p>
    <w:p w14:paraId="4E6FFD95">
      <w:pPr>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1582.79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200.68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w:t>
      </w:r>
      <w:r>
        <w:rPr>
          <w:rFonts w:hint="eastAsia" w:ascii="仿宋" w:hAnsi="仿宋" w:eastAsia="仿宋"/>
          <w:color w:val="000000" w:themeColor="text1"/>
          <w:sz w:val="32"/>
          <w:szCs w:val="32"/>
          <w14:textFill>
            <w14:solidFill>
              <w14:schemeClr w14:val="tx1"/>
            </w14:solidFill>
          </w14:textFill>
        </w:rPr>
        <w:t>单位职工增加、工资保险变动</w:t>
      </w:r>
      <w:r>
        <w:rPr>
          <w:rFonts w:hint="eastAsia" w:ascii="仿宋" w:hAnsi="仿宋" w:eastAsia="仿宋"/>
          <w:color w:val="000000" w:themeColor="text1"/>
          <w:sz w:val="32"/>
          <w:szCs w:val="32"/>
          <w:lang w:eastAsia="zh-CN"/>
          <w14:textFill>
            <w14:solidFill>
              <w14:schemeClr w14:val="tx1"/>
            </w14:solidFill>
          </w14:textFill>
        </w:rPr>
        <w:t>。</w:t>
      </w:r>
    </w:p>
    <w:p w14:paraId="6F784C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drawing>
          <wp:inline distT="0" distB="0" distL="114300" distR="114300">
            <wp:extent cx="5256530" cy="3698240"/>
            <wp:effectExtent l="4445" t="4445" r="15875" b="1206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31E71D">
      <w:pPr>
        <w:pStyle w:val="4"/>
        <w:bidi w:val="0"/>
        <w:ind w:firstLine="640" w:firstLineChars="200"/>
        <w:rPr>
          <w:rFonts w:hint="eastAsia" w:ascii="黑体" w:hAnsi="黑体" w:eastAsia="黑体" w:cs="黑体"/>
          <w:b w:val="0"/>
          <w:bCs w:val="0"/>
          <w:lang w:eastAsia="zh-CN"/>
        </w:rPr>
      </w:pPr>
      <w:bookmarkStart w:id="36" w:name="_Toc15396607"/>
      <w:bookmarkStart w:id="37" w:name="_Toc23048"/>
      <w:bookmarkStart w:id="38" w:name="_Toc15377209"/>
      <w:r>
        <w:rPr>
          <w:rFonts w:hint="eastAsia" w:ascii="黑体" w:hAnsi="黑体" w:eastAsia="黑体" w:cs="黑体"/>
          <w:b w:val="0"/>
          <w:bCs w:val="0"/>
          <w:lang w:eastAsia="zh-CN"/>
        </w:rPr>
        <w:t>五、一般公共预算财政拨款支出决算情况说明</w:t>
      </w:r>
      <w:bookmarkEnd w:id="36"/>
      <w:bookmarkEnd w:id="37"/>
      <w:bookmarkEnd w:id="38"/>
    </w:p>
    <w:p w14:paraId="0838685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9"/>
    </w:p>
    <w:p w14:paraId="40A865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1582.79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200.68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w:t>
      </w:r>
      <w:r>
        <w:rPr>
          <w:rFonts w:hint="eastAsia" w:ascii="仿宋" w:hAnsi="仿宋" w:eastAsia="仿宋"/>
          <w:color w:val="000000" w:themeColor="text1"/>
          <w:sz w:val="32"/>
          <w:szCs w:val="32"/>
          <w14:textFill>
            <w14:solidFill>
              <w14:schemeClr w14:val="tx1"/>
            </w14:solidFill>
          </w14:textFill>
        </w:rPr>
        <w:t>单位职工增加、工资保险变动</w:t>
      </w:r>
      <w:r>
        <w:rPr>
          <w:rFonts w:hint="eastAsia" w:ascii="仿宋" w:hAnsi="仿宋" w:eastAsia="仿宋"/>
          <w:color w:val="000000" w:themeColor="text1"/>
          <w:sz w:val="32"/>
          <w:szCs w:val="32"/>
          <w:lang w:eastAsia="zh-CN"/>
          <w14:textFill>
            <w14:solidFill>
              <w14:schemeClr w14:val="tx1"/>
            </w14:solidFill>
          </w14:textFill>
        </w:rPr>
        <w:t>。</w:t>
      </w:r>
    </w:p>
    <w:p w14:paraId="3B2005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7929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0"/>
    </w:p>
    <w:p w14:paraId="6A235352">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1582.79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一般公共服务支出1177.68万元，占</w:t>
      </w:r>
      <w:r>
        <w:rPr>
          <w:rFonts w:hint="eastAsia" w:eastAsia="仿宋_GB2312" w:cs="仿宋_GB2312"/>
          <w:color w:val="auto"/>
          <w:kern w:val="2"/>
          <w:sz w:val="32"/>
          <w:szCs w:val="32"/>
          <w:highlight w:val="none"/>
          <w:lang w:val="en-US" w:eastAsia="zh-CN" w:bidi="ar-SA"/>
        </w:rPr>
        <w:t>74.4</w:t>
      </w:r>
      <w:r>
        <w:rPr>
          <w:rFonts w:hint="eastAsia" w:ascii="Times New Roman" w:hAnsi="Times New Roman" w:eastAsia="仿宋_GB2312" w:cs="仿宋_GB2312"/>
          <w:color w:val="auto"/>
          <w:kern w:val="2"/>
          <w:sz w:val="32"/>
          <w:szCs w:val="32"/>
          <w:highlight w:val="none"/>
          <w:lang w:val="en-US" w:eastAsia="zh-CN" w:bidi="ar-SA"/>
        </w:rPr>
        <w:t>%；社会保障和就业支出209.04万元，占</w:t>
      </w:r>
      <w:r>
        <w:rPr>
          <w:rFonts w:hint="eastAsia" w:eastAsia="仿宋_GB2312" w:cs="仿宋_GB2312"/>
          <w:color w:val="auto"/>
          <w:kern w:val="2"/>
          <w:sz w:val="32"/>
          <w:szCs w:val="32"/>
          <w:highlight w:val="none"/>
          <w:lang w:val="en-US" w:eastAsia="zh-CN" w:bidi="ar-SA"/>
        </w:rPr>
        <w:t>13.2</w:t>
      </w:r>
      <w:r>
        <w:rPr>
          <w:rFonts w:hint="eastAsia" w:ascii="Times New Roman" w:hAnsi="Times New Roman" w:eastAsia="仿宋_GB2312" w:cs="仿宋_GB2312"/>
          <w:color w:val="auto"/>
          <w:kern w:val="2"/>
          <w:sz w:val="32"/>
          <w:szCs w:val="32"/>
          <w:highlight w:val="none"/>
          <w:lang w:val="en-US" w:eastAsia="zh-CN" w:bidi="ar-SA"/>
        </w:rPr>
        <w:t>%；卫生健康支出81.56万元，占</w:t>
      </w:r>
      <w:r>
        <w:rPr>
          <w:rFonts w:hint="eastAsia" w:eastAsia="仿宋_GB2312" w:cs="仿宋_GB2312"/>
          <w:color w:val="auto"/>
          <w:kern w:val="2"/>
          <w:sz w:val="32"/>
          <w:szCs w:val="32"/>
          <w:highlight w:val="none"/>
          <w:lang w:val="en-US" w:eastAsia="zh-CN" w:bidi="ar-SA"/>
        </w:rPr>
        <w:t>5.2</w:t>
      </w:r>
      <w:r>
        <w:rPr>
          <w:rFonts w:hint="eastAsia" w:ascii="Times New Roman" w:hAnsi="Times New Roman" w:eastAsia="仿宋_GB2312" w:cs="仿宋_GB2312"/>
          <w:color w:val="auto"/>
          <w:kern w:val="2"/>
          <w:sz w:val="32"/>
          <w:szCs w:val="32"/>
          <w:highlight w:val="none"/>
          <w:lang w:val="en-US" w:eastAsia="zh-CN" w:bidi="ar-SA"/>
        </w:rPr>
        <w:t>%；住房保障支出114.51万元，占</w:t>
      </w:r>
      <w:r>
        <w:rPr>
          <w:rFonts w:hint="eastAsia" w:eastAsia="仿宋_GB2312" w:cs="仿宋_GB2312"/>
          <w:color w:val="auto"/>
          <w:kern w:val="2"/>
          <w:sz w:val="32"/>
          <w:szCs w:val="32"/>
          <w:highlight w:val="none"/>
          <w:lang w:val="en-US" w:eastAsia="zh-CN" w:bidi="ar-SA"/>
        </w:rPr>
        <w:t>7.2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1401D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drawing>
          <wp:inline distT="0" distB="0" distL="114300" distR="114300">
            <wp:extent cx="5256530" cy="2926080"/>
            <wp:effectExtent l="4445" t="4445" r="15875" b="222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59C21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1"/>
    </w:p>
    <w:p w14:paraId="3B75CA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78460"/>
      <w:bookmarkStart w:id="43" w:name="_Toc15377444"/>
      <w:bookmarkStart w:id="44"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1582.79万元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2"/>
      <w:bookmarkEnd w:id="43"/>
      <w:bookmarkEnd w:id="44"/>
    </w:p>
    <w:p w14:paraId="65385A87">
      <w:pPr>
        <w:spacing w:line="600" w:lineRule="exact"/>
        <w:ind w:firstLine="643" w:firstLineChars="200"/>
        <w:rPr>
          <w:rFonts w:hint="eastAsia" w:ascii="仿宋_GB2312" w:hAnsi="仿宋_GB2312" w:eastAsia="仿宋_GB2312" w:cs="仿宋_GB2312"/>
          <w:color w:val="000000" w:themeColor="text1"/>
          <w14:textFill>
            <w14:solidFill>
              <w14:schemeClr w14:val="tx1"/>
            </w14:solidFill>
          </w14:textFill>
        </w:rPr>
      </w:pPr>
      <w:r>
        <w:rPr>
          <w:rStyle w:val="21"/>
          <w:rFonts w:hint="eastAsia" w:ascii="仿宋_GB2312" w:hAnsi="仿宋_GB2312" w:eastAsia="仿宋_GB2312" w:cs="仿宋_GB2312"/>
          <w:bCs/>
          <w:color w:val="000000" w:themeColor="text1"/>
          <w:sz w:val="32"/>
          <w:szCs w:val="32"/>
          <w14:textFill>
            <w14:solidFill>
              <w14:schemeClr w14:val="tx1"/>
            </w14:solidFill>
          </w14:textFill>
        </w:rPr>
        <w:t>1.一般公共服务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）政府办公厅（室）及相关机构事务（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）行政运行（</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1118.15</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37ABE974">
      <w:pPr>
        <w:spacing w:line="600" w:lineRule="exact"/>
        <w:ind w:firstLine="643" w:firstLineChars="200"/>
        <w:rPr>
          <w:rStyle w:val="21"/>
          <w:rFonts w:hint="eastAsia" w:ascii="仿宋_GB2312" w:hAnsi="仿宋_GB2312" w:eastAsia="仿宋_GB2312" w:cs="仿宋_GB2312"/>
          <w:b w:val="0"/>
          <w:bCs/>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2.</w:t>
      </w:r>
      <w:r>
        <w:rPr>
          <w:rStyle w:val="21"/>
          <w:rFonts w:hint="eastAsia" w:ascii="仿宋_GB2312" w:hAnsi="仿宋_GB2312" w:eastAsia="仿宋_GB2312" w:cs="仿宋_GB2312"/>
          <w:bCs/>
          <w:color w:val="000000" w:themeColor="text1"/>
          <w:sz w:val="32"/>
          <w:szCs w:val="32"/>
          <w14:textFill>
            <w14:solidFill>
              <w14:schemeClr w14:val="tx1"/>
            </w14:solidFill>
          </w14:textFill>
        </w:rPr>
        <w:t>一般公共服务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）政府办公厅（室）及相关机构事务（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其他</w:t>
      </w:r>
      <w:r>
        <w:rPr>
          <w:rStyle w:val="21"/>
          <w:rFonts w:hint="eastAsia" w:ascii="仿宋_GB2312" w:hAnsi="仿宋_GB2312" w:eastAsia="仿宋_GB2312" w:cs="仿宋_GB2312"/>
          <w:bCs/>
          <w:color w:val="000000" w:themeColor="text1"/>
          <w:sz w:val="32"/>
          <w:szCs w:val="32"/>
          <w14:textFill>
            <w14:solidFill>
              <w14:schemeClr w14:val="tx1"/>
            </w14:solidFill>
          </w14:textFill>
        </w:rPr>
        <w:t>政府办公厅（室）及相关机构事务（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57.53</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36DC044E">
      <w:pPr>
        <w:spacing w:line="600" w:lineRule="exact"/>
        <w:ind w:firstLine="643" w:firstLineChars="200"/>
        <w:rPr>
          <w:rStyle w:val="21"/>
          <w:rFonts w:hint="eastAsia" w:ascii="仿宋_GB2312" w:hAnsi="仿宋_GB2312" w:eastAsia="仿宋_GB2312" w:cs="仿宋_GB2312"/>
          <w:b w:val="0"/>
          <w:bCs/>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3</w:t>
      </w:r>
      <w:r>
        <w:rPr>
          <w:rStyle w:val="21"/>
          <w:rFonts w:hint="eastAsia" w:ascii="仿宋_GB2312" w:hAnsi="仿宋_GB2312" w:eastAsia="仿宋_GB2312" w:cs="仿宋_GB2312"/>
          <w:bCs/>
          <w:color w:val="000000" w:themeColor="text1"/>
          <w:sz w:val="32"/>
          <w:szCs w:val="32"/>
          <w14:textFill>
            <w14:solidFill>
              <w14:schemeClr w14:val="tx1"/>
            </w14:solidFill>
          </w14:textFill>
        </w:rPr>
        <w:t>.一般公共服务</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市场监督管理事务</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其他市场监督管理事务</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14D55E9A">
      <w:pPr>
        <w:spacing w:line="60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4</w:t>
      </w:r>
      <w:r>
        <w:rPr>
          <w:rStyle w:val="21"/>
          <w:rFonts w:hint="eastAsia" w:ascii="仿宋_GB2312" w:hAnsi="仿宋_GB2312" w:eastAsia="仿宋_GB2312" w:cs="仿宋_GB2312"/>
          <w:bCs/>
          <w:color w:val="000000" w:themeColor="text1"/>
          <w:sz w:val="32"/>
          <w:szCs w:val="32"/>
          <w14:textFill>
            <w14:solidFill>
              <w14:schemeClr w14:val="tx1"/>
            </w14:solidFill>
          </w14:textFill>
        </w:rPr>
        <w:t>.社会保障和就业</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）行政事业单位养老支出（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）机关事业单位</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基本</w:t>
      </w:r>
      <w:r>
        <w:rPr>
          <w:rStyle w:val="21"/>
          <w:rFonts w:hint="eastAsia" w:ascii="仿宋_GB2312" w:hAnsi="仿宋_GB2312" w:eastAsia="仿宋_GB2312" w:cs="仿宋_GB2312"/>
          <w:bCs/>
          <w:color w:val="000000" w:themeColor="text1"/>
          <w:sz w:val="32"/>
          <w:szCs w:val="32"/>
          <w14:textFill>
            <w14:solidFill>
              <w14:schemeClr w14:val="tx1"/>
            </w14:solidFill>
          </w14:textFill>
        </w:rPr>
        <w:t>养老保险缴费支出（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139.4</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万元，完成预算100%，决算等于预算数。</w:t>
      </w:r>
    </w:p>
    <w:p w14:paraId="7F310D00">
      <w:pPr>
        <w:spacing w:line="60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5</w:t>
      </w:r>
      <w:r>
        <w:rPr>
          <w:rStyle w:val="21"/>
          <w:rFonts w:hint="eastAsia" w:ascii="仿宋_GB2312" w:hAnsi="仿宋_GB2312" w:eastAsia="仿宋_GB2312" w:cs="仿宋_GB2312"/>
          <w:bCs/>
          <w:color w:val="000000" w:themeColor="text1"/>
          <w:sz w:val="32"/>
          <w:szCs w:val="32"/>
          <w14:textFill>
            <w14:solidFill>
              <w14:schemeClr w14:val="tx1"/>
            </w14:solidFill>
          </w14:textFill>
        </w:rPr>
        <w:t>.社会保障和就业</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）行政事业单位职业年金支出（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）机关事业单位职业年金缴费支出（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69.64</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万元，完成预算100%，决算等于预算数。</w:t>
      </w:r>
    </w:p>
    <w:p w14:paraId="2787DF34">
      <w:pPr>
        <w:spacing w:line="600" w:lineRule="exact"/>
        <w:ind w:firstLine="643" w:firstLineChars="200"/>
        <w:rPr>
          <w:rFonts w:hint="eastAsia" w:ascii="仿宋_GB2312" w:hAnsi="仿宋_GB2312" w:eastAsia="仿宋_GB2312" w:cs="仿宋_GB2312"/>
          <w:b/>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6</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14:textFill>
            <w14:solidFill>
              <w14:schemeClr w14:val="tx1"/>
            </w14:solidFill>
          </w14:textFill>
        </w:rPr>
        <w:t>卫生健康</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color w:val="000000" w:themeColor="text1"/>
          <w:sz w:val="32"/>
          <w:szCs w:val="32"/>
          <w14:textFill>
            <w14:solidFill>
              <w14:schemeClr w14:val="tx1"/>
            </w14:solidFill>
          </w14:textFill>
        </w:rPr>
        <w:t>）行政事业单位医疗（</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color w:val="000000" w:themeColor="text1"/>
          <w:sz w:val="32"/>
          <w:szCs w:val="32"/>
          <w14:textFill>
            <w14:solidFill>
              <w14:schemeClr w14:val="tx1"/>
            </w14:solidFill>
          </w14:textFill>
        </w:rPr>
        <w:t>）行政单位医疗（</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81.56</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080CE4BB">
      <w:pPr>
        <w:spacing w:line="600" w:lineRule="exact"/>
        <w:ind w:firstLine="643" w:firstLineChars="200"/>
        <w:rPr>
          <w:rStyle w:val="21"/>
          <w:rFonts w:hint="eastAsia" w:ascii="仿宋_GB2312" w:hAnsi="仿宋_GB2312" w:eastAsia="仿宋_GB2312" w:cs="仿宋_GB2312"/>
          <w:b w:val="0"/>
          <w:bCs/>
          <w:color w:val="000000" w:themeColor="text1"/>
          <w:sz w:val="32"/>
          <w:szCs w:val="32"/>
          <w14:textFill>
            <w14:solidFill>
              <w14:schemeClr w14:val="tx1"/>
            </w14:solidFill>
          </w14:textFill>
        </w:rPr>
      </w:pP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7</w:t>
      </w:r>
      <w:r>
        <w:rPr>
          <w:rStyle w:val="21"/>
          <w:rFonts w:hint="eastAsia" w:ascii="仿宋_GB2312" w:hAnsi="仿宋_GB2312" w:eastAsia="仿宋_GB2312" w:cs="仿宋_GB2312"/>
          <w:bCs/>
          <w:color w:val="000000" w:themeColor="text1"/>
          <w:sz w:val="32"/>
          <w:szCs w:val="32"/>
          <w14:textFill>
            <w14:solidFill>
              <w14:schemeClr w14:val="tx1"/>
            </w14:solidFill>
          </w14:textFill>
        </w:rPr>
        <w:t>.住房保障</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bCs/>
          <w:color w:val="000000" w:themeColor="text1"/>
          <w:sz w:val="32"/>
          <w:szCs w:val="32"/>
          <w14:textFill>
            <w14:solidFill>
              <w14:schemeClr w14:val="tx1"/>
            </w14:solidFill>
          </w14:textFill>
        </w:rPr>
        <w:t>）住房改革支出（</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bCs/>
          <w:color w:val="000000" w:themeColor="text1"/>
          <w:sz w:val="32"/>
          <w:szCs w:val="32"/>
          <w14:textFill>
            <w14:solidFill>
              <w14:schemeClr w14:val="tx1"/>
            </w14:solidFill>
          </w14:textFill>
        </w:rPr>
        <w:t>）住房公积金（</w:t>
      </w:r>
      <w:r>
        <w:rPr>
          <w:rStyle w:val="21"/>
          <w:rFonts w:hint="eastAsia" w:ascii="仿宋_GB2312" w:hAnsi="仿宋_GB2312" w:eastAsia="仿宋_GB2312" w:cs="仿宋_GB2312"/>
          <w:bCs/>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bCs/>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113.31</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4695AED7">
      <w:pPr>
        <w:spacing w:line="576"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Style w:val="21"/>
          <w:rFonts w:hint="eastAsia" w:ascii="仿宋_GB2312" w:hAnsi="仿宋_GB2312" w:eastAsia="仿宋_GB2312" w:cs="仿宋_GB2312"/>
          <w:color w:val="000000" w:themeColor="text1"/>
          <w:sz w:val="32"/>
          <w:szCs w:val="32"/>
          <w14:textFill>
            <w14:solidFill>
              <w14:schemeClr w14:val="tx1"/>
            </w14:solidFill>
          </w14:textFill>
        </w:rPr>
        <w:t>.住房保障</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支出</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Style w:val="21"/>
          <w:rFonts w:hint="eastAsia" w:ascii="仿宋_GB2312" w:hAnsi="仿宋_GB2312" w:eastAsia="仿宋_GB2312" w:cs="仿宋_GB2312"/>
          <w:color w:val="000000" w:themeColor="text1"/>
          <w:sz w:val="32"/>
          <w:szCs w:val="32"/>
          <w14:textFill>
            <w14:solidFill>
              <w14:schemeClr w14:val="tx1"/>
            </w14:solidFill>
          </w14:textFill>
        </w:rPr>
        <w:t>）住房改革支出（</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Style w:val="21"/>
          <w:rFonts w:hint="eastAsia" w:ascii="仿宋_GB2312" w:hAnsi="仿宋_GB2312" w:eastAsia="仿宋_GB2312" w:cs="仿宋_GB2312"/>
          <w:color w:val="000000" w:themeColor="text1"/>
          <w:sz w:val="32"/>
          <w:szCs w:val="32"/>
          <w14:textFill>
            <w14:solidFill>
              <w14:schemeClr w14:val="tx1"/>
            </w14:solidFill>
          </w14:textFill>
        </w:rPr>
        <w:t>）购房补贴（</w:t>
      </w:r>
      <w:r>
        <w:rPr>
          <w:rStyle w:val="21"/>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Style w:val="21"/>
          <w:rFonts w:hint="eastAsia" w:ascii="仿宋_GB2312" w:hAnsi="仿宋_GB2312" w:eastAsia="仿宋_GB2312" w:cs="仿宋_GB2312"/>
          <w:color w:val="000000" w:themeColor="text1"/>
          <w:sz w:val="32"/>
          <w:szCs w:val="32"/>
          <w14:textFill>
            <w14:solidFill>
              <w14:schemeClr w14:val="tx1"/>
            </w14:solidFill>
          </w14:textFill>
        </w:rPr>
        <w:t>）:</w:t>
      </w:r>
      <w:r>
        <w:rPr>
          <w:rStyle w:val="21"/>
          <w:rFonts w:hint="eastAsia" w:ascii="仿宋_GB2312" w:hAnsi="仿宋_GB2312" w:eastAsia="仿宋_GB2312" w:cs="仿宋_GB2312"/>
          <w:b w:val="0"/>
          <w:bCs/>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万元，完成预算100%，决算数等于预算数。</w:t>
      </w:r>
    </w:p>
    <w:p w14:paraId="145F6001">
      <w:pPr>
        <w:pStyle w:val="4"/>
        <w:bidi w:val="0"/>
        <w:ind w:firstLine="640" w:firstLineChars="200"/>
        <w:rPr>
          <w:rStyle w:val="32"/>
          <w:rFonts w:ascii="Times New Roman" w:hAnsi="Times New Roman"/>
          <w:b/>
          <w:bCs/>
          <w:color w:val="auto"/>
          <w:highlight w:val="none"/>
        </w:rPr>
      </w:pPr>
      <w:bookmarkStart w:id="45" w:name="_Toc32262"/>
      <w:bookmarkStart w:id="46" w:name="_Toc15396608"/>
      <w:bookmarkStart w:id="47" w:name="_Toc15377214"/>
      <w:r>
        <w:rPr>
          <w:rFonts w:hint="eastAsia" w:ascii="黑体" w:hAnsi="黑体" w:eastAsia="黑体" w:cs="黑体"/>
          <w:b w:val="0"/>
          <w:bCs w:val="0"/>
          <w:kern w:val="2"/>
          <w:sz w:val="32"/>
          <w:szCs w:val="32"/>
          <w:lang w:val="en-US" w:eastAsia="zh-CN" w:bidi="ar-SA"/>
        </w:rPr>
        <w:t>六、一般公共预算财政拨款基本支出决算情况说明</w:t>
      </w:r>
      <w:bookmarkEnd w:id="45"/>
      <w:bookmarkEnd w:id="46"/>
      <w:bookmarkEnd w:id="47"/>
      <w:r>
        <w:rPr>
          <w:rStyle w:val="32"/>
          <w:rFonts w:ascii="Times New Roman" w:hAnsi="Times New Roman" w:eastAsia="黑体"/>
          <w:b w:val="0"/>
          <w:bCs/>
          <w:color w:val="auto"/>
          <w:highlight w:val="none"/>
        </w:rPr>
        <w:tab/>
      </w:r>
    </w:p>
    <w:p w14:paraId="4681A0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1523.26</w:t>
      </w:r>
      <w:r>
        <w:rPr>
          <w:rFonts w:hint="eastAsia" w:ascii="Times New Roman" w:hAnsi="Times New Roman" w:eastAsia="仿宋_GB2312" w:cs="仿宋_GB2312"/>
          <w:color w:val="auto"/>
          <w:kern w:val="2"/>
          <w:sz w:val="32"/>
          <w:szCs w:val="32"/>
          <w:highlight w:val="none"/>
          <w:lang w:val="en-US" w:eastAsia="zh-CN" w:bidi="ar-SA"/>
        </w:rPr>
        <w:t>万元，其中：</w:t>
      </w:r>
    </w:p>
    <w:p w14:paraId="575EDDBC">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1458.31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退休费、生活补助、医疗费补助、奖励金、住房公积金、其他对个人和家庭的补助支出等。</w:t>
      </w:r>
    </w:p>
    <w:p w14:paraId="785DA8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公用经费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64.95</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万</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元，主要包括：</w:t>
      </w:r>
      <w:r>
        <w:rPr>
          <w:rFonts w:hint="eastAsia" w:ascii="Times New Roman" w:hAnsi="Times New Roman" w:eastAsia="仿宋_GB2312" w:cs="仿宋_GB2312"/>
          <w:color w:val="auto"/>
          <w:kern w:val="2"/>
          <w:sz w:val="32"/>
          <w:szCs w:val="32"/>
          <w:highlight w:val="none"/>
          <w:lang w:val="en-US" w:eastAsia="zh-CN" w:bidi="ar-SA"/>
        </w:rPr>
        <w:t>办公费、手续费、水费、电费、邮电费、差旅费、培训费、公务用车运行维护费等。</w:t>
      </w:r>
    </w:p>
    <w:p w14:paraId="50B7C056">
      <w:pPr>
        <w:pStyle w:val="4"/>
        <w:bidi w:val="0"/>
        <w:ind w:firstLine="640" w:firstLineChars="200"/>
        <w:rPr>
          <w:rFonts w:hint="eastAsia" w:ascii="黑体" w:hAnsi="黑体" w:eastAsia="黑体" w:cs="黑体"/>
          <w:b w:val="0"/>
          <w:bCs w:val="0"/>
          <w:lang w:eastAsia="zh-CN"/>
        </w:rPr>
      </w:pPr>
      <w:bookmarkStart w:id="48" w:name="_Toc12703"/>
      <w:bookmarkStart w:id="49" w:name="_Toc15377215"/>
      <w:bookmarkStart w:id="50" w:name="_Toc15396609"/>
      <w:r>
        <w:rPr>
          <w:rFonts w:hint="eastAsia" w:ascii="黑体" w:hAnsi="黑体" w:eastAsia="黑体" w:cs="黑体"/>
          <w:b w:val="0"/>
          <w:bCs w:val="0"/>
          <w:lang w:eastAsia="zh-CN"/>
        </w:rPr>
        <w:t>七、财政拨款“三公”经费支出决算情况说明</w:t>
      </w:r>
      <w:bookmarkEnd w:id="48"/>
      <w:bookmarkEnd w:id="49"/>
      <w:bookmarkEnd w:id="50"/>
    </w:p>
    <w:p w14:paraId="546E9DC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1"/>
    </w:p>
    <w:p w14:paraId="24432E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上年度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主要原因是：厉行节俭。</w:t>
      </w:r>
    </w:p>
    <w:p w14:paraId="0D8B61A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2"/>
    </w:p>
    <w:p w14:paraId="046D08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万元。具体情况如下：</w:t>
      </w:r>
    </w:p>
    <w:p w14:paraId="47CE0C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themeColor="text1"/>
          <w:sz w:val="32"/>
          <w:szCs w:val="32"/>
          <w14:textFill>
            <w14:solidFill>
              <w14:schemeClr w14:val="tx1"/>
            </w14:solidFill>
          </w14:textFill>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5DBEA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14:paraId="0969C68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8.6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与上年度相比</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：厉行节俭。</w:t>
      </w:r>
    </w:p>
    <w:p w14:paraId="4C440516">
      <w:pPr>
        <w:spacing w:line="600" w:lineRule="exact"/>
        <w:ind w:firstLine="640" w:firstLineChars="200"/>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仿宋_GB2312" w:hAnsi="仿宋_GB2312" w:eastAsia="仿宋_GB2312" w:cs="仿宋_GB2312"/>
          <w:b w:val="0"/>
          <w:bCs/>
          <w:color w:val="000000" w:themeColor="text1"/>
          <w:sz w:val="32"/>
          <w:szCs w:val="32"/>
          <w14:textFill>
            <w14:solidFill>
              <w14:schemeClr w14:val="tx1"/>
            </w14:solidFill>
          </w14:textFill>
        </w:rPr>
        <w:t>执法车辆</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color w:val="000000" w:themeColor="text1"/>
          <w:sz w:val="32"/>
          <w:szCs w:val="32"/>
          <w14:textFill>
            <w14:solidFill>
              <w14:schemeClr w14:val="tx1"/>
            </w14:solidFill>
          </w14:textFill>
        </w:rPr>
        <w:t>辆，全部属于资产划拨。</w:t>
      </w:r>
    </w:p>
    <w:p w14:paraId="656F0E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8.6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执法检查等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76755A7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4726F7CD">
      <w:pPr>
        <w:spacing w:line="60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国内公务接待支出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7F890F0B">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color w:val="000000" w:themeColor="text1"/>
          <w:sz w:val="32"/>
          <w:szCs w:val="32"/>
          <w14:textFill>
            <w14:solidFill>
              <w14:schemeClr w14:val="tx1"/>
            </w14:solidFill>
          </w14:textFill>
        </w:rPr>
        <w:t>外事接待支出</w:t>
      </w:r>
      <w:r>
        <w:rPr>
          <w:rFonts w:hint="eastAsia" w:ascii="仿宋_GB2312" w:hAnsi="仿宋_GB2312" w:eastAsia="仿宋_GB2312" w:cs="仿宋_GB2312"/>
          <w:color w:val="000000" w:themeColor="text1"/>
          <w:sz w:val="32"/>
          <w:szCs w:val="32"/>
          <w:lang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w:t>
      </w:r>
      <w:bookmarkStart w:id="53" w:name="_Toc15377218"/>
      <w:bookmarkStart w:id="54" w:name="_Toc15396610"/>
    </w:p>
    <w:p w14:paraId="504F4A87">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lang w:eastAsia="zh-CN"/>
        </w:rPr>
      </w:pPr>
      <w:bookmarkStart w:id="55" w:name="_Toc24137"/>
      <w:r>
        <w:rPr>
          <w:rFonts w:hint="eastAsia" w:ascii="黑体" w:hAnsi="黑体" w:eastAsia="黑体" w:cs="黑体"/>
          <w:b w:val="0"/>
          <w:bCs w:val="0"/>
          <w:lang w:eastAsia="zh-CN"/>
        </w:rPr>
        <w:t>八、政府性基金预算支出决算情况说明</w:t>
      </w:r>
      <w:bookmarkEnd w:id="53"/>
      <w:bookmarkEnd w:id="54"/>
      <w:bookmarkEnd w:id="55"/>
    </w:p>
    <w:p w14:paraId="6AF627E8">
      <w:pPr>
        <w:pStyle w:val="7"/>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bookmarkStart w:id="56" w:name="_Toc30581"/>
      <w:bookmarkStart w:id="57" w:name="_Toc15396611"/>
      <w:bookmarkStart w:id="58" w:name="_Toc15377219"/>
      <w:r>
        <w:rPr>
          <w:rFonts w:hint="default"/>
          <w:sz w:val="32"/>
          <w:szCs w:val="32"/>
          <w:lang w:val="en-US" w:eastAsia="zh-CN"/>
        </w:rPr>
        <w:t>2025年度政府性基金预算财政拨款支出0万元。</w:t>
      </w:r>
      <w:bookmarkEnd w:id="56"/>
    </w:p>
    <w:p w14:paraId="7FB87307">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lang w:eastAsia="zh-CN"/>
        </w:rPr>
      </w:pPr>
      <w:bookmarkStart w:id="59" w:name="_Toc20316"/>
      <w:r>
        <w:rPr>
          <w:rFonts w:hint="eastAsia" w:ascii="黑体" w:hAnsi="黑体" w:eastAsia="黑体" w:cs="黑体"/>
          <w:b w:val="0"/>
          <w:bCs w:val="0"/>
          <w:lang w:eastAsia="zh-CN"/>
        </w:rPr>
        <w:t>九、国有资本经营预算支出决算情况说明</w:t>
      </w:r>
      <w:bookmarkEnd w:id="57"/>
      <w:bookmarkEnd w:id="58"/>
      <w:bookmarkEnd w:id="59"/>
    </w:p>
    <w:p w14:paraId="0B6B4535">
      <w:pPr>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60" w:name="_Toc15396612"/>
      <w:bookmarkStart w:id="61" w:name="_Toc15377221"/>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14:paraId="52633C2D">
      <w:pPr>
        <w:pStyle w:val="4"/>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lang w:eastAsia="zh-CN"/>
        </w:rPr>
      </w:pPr>
      <w:bookmarkStart w:id="62" w:name="_Toc28317"/>
      <w:r>
        <w:rPr>
          <w:rFonts w:hint="eastAsia" w:ascii="黑体" w:hAnsi="黑体" w:eastAsia="黑体" w:cs="黑体"/>
          <w:b w:val="0"/>
          <w:bCs w:val="0"/>
          <w:lang w:eastAsia="zh-CN"/>
        </w:rPr>
        <w:t>十、其他重要事项的情况说明</w:t>
      </w:r>
      <w:bookmarkEnd w:id="60"/>
      <w:bookmarkEnd w:id="61"/>
      <w:bookmarkEnd w:id="62"/>
    </w:p>
    <w:p w14:paraId="279F5017">
      <w:pPr>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63" w:name="_Toc15377222"/>
      <w:r>
        <w:rPr>
          <w:rFonts w:hint="eastAsia" w:ascii="Times New Roman" w:hAnsi="Times New Roman" w:eastAsia="楷体_GB2312" w:cs="楷体_GB2312"/>
          <w:b/>
          <w:color w:val="auto"/>
          <w:sz w:val="32"/>
          <w:szCs w:val="32"/>
          <w:highlight w:val="none"/>
        </w:rPr>
        <w:t>（一）机关运行经费支出情况</w:t>
      </w:r>
      <w:bookmarkEnd w:id="63"/>
    </w:p>
    <w:p w14:paraId="10F9A856">
      <w:pPr>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themeColor="text1"/>
          <w:sz w:val="32"/>
          <w:szCs w:val="32"/>
          <w14:textFill>
            <w14:solidFill>
              <w14:schemeClr w14:val="tx1"/>
            </w14:solidFill>
          </w14:textFill>
        </w:rPr>
        <w:t>茂县综合行政执法局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64.95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13.08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执法检查增多。</w:t>
      </w:r>
    </w:p>
    <w:p w14:paraId="0D61D13D">
      <w:pPr>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64" w:name="_Toc15377223"/>
      <w:r>
        <w:rPr>
          <w:rFonts w:hint="eastAsia" w:ascii="Times New Roman" w:hAnsi="Times New Roman" w:eastAsia="楷体_GB2312" w:cs="楷体_GB2312"/>
          <w:b/>
          <w:color w:val="auto"/>
          <w:sz w:val="32"/>
          <w:szCs w:val="32"/>
          <w:highlight w:val="none"/>
        </w:rPr>
        <w:t>（二）政府采购支出情况</w:t>
      </w:r>
      <w:bookmarkEnd w:id="64"/>
    </w:p>
    <w:p w14:paraId="58BDC81A">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茂县综合行政执法局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65" w:name="_Toc15377224"/>
      <w:r>
        <w:rPr>
          <w:rFonts w:hint="eastAsia" w:eastAsia="仿宋_GB2312" w:cs="仿宋_GB2312"/>
          <w:color w:val="auto"/>
          <w:kern w:val="2"/>
          <w:sz w:val="32"/>
          <w:szCs w:val="32"/>
          <w:highlight w:val="none"/>
          <w:lang w:val="en-US" w:eastAsia="zh-CN" w:bidi="ar-SA"/>
        </w:rPr>
        <w:t>。</w:t>
      </w:r>
    </w:p>
    <w:p w14:paraId="376125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65"/>
    </w:p>
    <w:p w14:paraId="68A3F7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color w:val="000000" w:themeColor="text1"/>
          <w:sz w:val="32"/>
          <w:szCs w:val="32"/>
          <w14:textFill>
            <w14:solidFill>
              <w14:schemeClr w14:val="tx1"/>
            </w14:solidFill>
          </w14:textFill>
        </w:rPr>
        <w:t>茂县综合行政执法局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7484B96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F3A4B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在2025年度，组织对制式服装购置及执法装备提升项目</w:t>
      </w:r>
      <w:r>
        <w:rPr>
          <w:rFonts w:hint="eastAsia" w:eastAsia="仿宋_GB2312" w:cs="仿宋_GB2312"/>
          <w:color w:val="auto"/>
          <w:kern w:val="2"/>
          <w:sz w:val="32"/>
          <w:szCs w:val="32"/>
          <w:highlight w:val="none"/>
          <w:lang w:val="en-US" w:eastAsia="zh-CN" w:bidi="ar-SA"/>
        </w:rPr>
        <w:t>、解决购买服务人员工资（含保险）项目、2025年省级财政市场监管专项资金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59.53</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lang w:eastAsia="zh-CN"/>
        </w:rPr>
        <w:t>组织对</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个项目开展绩效自评，绩效自评表详见第四部分附件。</w:t>
      </w:r>
    </w:p>
    <w:p w14:paraId="2C95943B">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6" w:name="_Toc15377225"/>
      <w:bookmarkStart w:id="67" w:name="_Toc29278"/>
      <w:bookmarkStart w:id="68" w:name="_Toc15396613"/>
    </w:p>
    <w:p w14:paraId="0172915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B4F9B6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A78B02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65855D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4AE593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60C0D6F">
      <w:pPr>
        <w:pStyle w:val="2"/>
        <w:rPr>
          <w:rFonts w:hint="eastAsia" w:ascii="Times New Roman" w:hAnsi="Times New Roman" w:eastAsia="黑体"/>
          <w:color w:val="auto"/>
          <w:sz w:val="44"/>
          <w:szCs w:val="44"/>
          <w:highlight w:val="none"/>
        </w:rPr>
      </w:pPr>
    </w:p>
    <w:p w14:paraId="78302A94">
      <w:pPr>
        <w:rPr>
          <w:rFonts w:hint="eastAsia" w:ascii="Times New Roman" w:hAnsi="Times New Roman" w:eastAsia="黑体"/>
          <w:color w:val="auto"/>
          <w:sz w:val="44"/>
          <w:szCs w:val="44"/>
          <w:highlight w:val="none"/>
        </w:rPr>
      </w:pPr>
    </w:p>
    <w:p w14:paraId="601C2C94">
      <w:pPr>
        <w:pStyle w:val="2"/>
        <w:rPr>
          <w:rFonts w:hint="eastAsia" w:ascii="Times New Roman" w:hAnsi="Times New Roman" w:eastAsia="黑体"/>
          <w:color w:val="auto"/>
          <w:sz w:val="44"/>
          <w:szCs w:val="44"/>
          <w:highlight w:val="none"/>
        </w:rPr>
      </w:pPr>
    </w:p>
    <w:p w14:paraId="1168A1EE">
      <w:pPr>
        <w:rPr>
          <w:rFonts w:hint="eastAsia" w:ascii="Times New Roman" w:hAnsi="Times New Roman" w:eastAsia="黑体"/>
          <w:color w:val="auto"/>
          <w:sz w:val="44"/>
          <w:szCs w:val="44"/>
          <w:highlight w:val="none"/>
        </w:rPr>
      </w:pPr>
    </w:p>
    <w:p w14:paraId="2EFDCB75">
      <w:pPr>
        <w:pStyle w:val="2"/>
        <w:rPr>
          <w:rFonts w:hint="eastAsia" w:ascii="Times New Roman" w:hAnsi="Times New Roman" w:eastAsia="黑体"/>
          <w:color w:val="auto"/>
          <w:sz w:val="44"/>
          <w:szCs w:val="44"/>
          <w:highlight w:val="none"/>
        </w:rPr>
      </w:pPr>
    </w:p>
    <w:p w14:paraId="051ED3B6">
      <w:pPr>
        <w:rPr>
          <w:rFonts w:hint="eastAsia" w:ascii="Times New Roman" w:hAnsi="Times New Roman" w:eastAsia="黑体"/>
          <w:color w:val="auto"/>
          <w:sz w:val="44"/>
          <w:szCs w:val="44"/>
          <w:highlight w:val="none"/>
        </w:rPr>
      </w:pPr>
    </w:p>
    <w:p w14:paraId="592B32B1">
      <w:pPr>
        <w:pStyle w:val="2"/>
        <w:rPr>
          <w:rFonts w:hint="eastAsia" w:ascii="Times New Roman" w:hAnsi="Times New Roman" w:eastAsia="黑体"/>
          <w:color w:val="auto"/>
          <w:sz w:val="44"/>
          <w:szCs w:val="44"/>
          <w:highlight w:val="none"/>
        </w:rPr>
      </w:pPr>
    </w:p>
    <w:p w14:paraId="3945CE68">
      <w:pPr>
        <w:rPr>
          <w:rFonts w:hint="eastAsia" w:ascii="Times New Roman" w:hAnsi="Times New Roman" w:eastAsia="黑体"/>
          <w:color w:val="auto"/>
          <w:sz w:val="44"/>
          <w:szCs w:val="44"/>
          <w:highlight w:val="none"/>
        </w:rPr>
      </w:pPr>
    </w:p>
    <w:p w14:paraId="15B4D381">
      <w:pPr>
        <w:pStyle w:val="2"/>
        <w:rPr>
          <w:rFonts w:hint="eastAsia" w:ascii="Times New Roman" w:hAnsi="Times New Roman" w:eastAsia="黑体"/>
          <w:color w:val="auto"/>
          <w:sz w:val="44"/>
          <w:szCs w:val="44"/>
          <w:highlight w:val="none"/>
        </w:rPr>
      </w:pPr>
    </w:p>
    <w:p w14:paraId="34C4EFC5">
      <w:pPr>
        <w:rPr>
          <w:rFonts w:hint="eastAsia" w:ascii="Times New Roman" w:hAnsi="Times New Roman" w:eastAsia="黑体"/>
          <w:color w:val="auto"/>
          <w:sz w:val="44"/>
          <w:szCs w:val="44"/>
          <w:highlight w:val="none"/>
        </w:rPr>
      </w:pPr>
    </w:p>
    <w:p w14:paraId="52C3C5EE">
      <w:pPr>
        <w:rPr>
          <w:rFonts w:hint="eastAsia"/>
        </w:rPr>
      </w:pPr>
    </w:p>
    <w:p w14:paraId="030697A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87905EA">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6"/>
      <w:bookmarkEnd w:id="67"/>
      <w:bookmarkEnd w:id="68"/>
    </w:p>
    <w:p w14:paraId="7B424B42">
      <w:pPr>
        <w:spacing w:line="600" w:lineRule="exact"/>
        <w:jc w:val="left"/>
        <w:rPr>
          <w:rFonts w:ascii="Times New Roman" w:hAnsi="Times New Roman"/>
          <w:b/>
          <w:color w:val="auto"/>
          <w:sz w:val="44"/>
          <w:szCs w:val="44"/>
          <w:highlight w:val="none"/>
        </w:rPr>
      </w:pPr>
    </w:p>
    <w:p w14:paraId="4814604C">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1.财政拨款收入：指单位从同级财政部门取得的财政预算资金。</w:t>
      </w:r>
    </w:p>
    <w:p w14:paraId="2FAB49B6">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2.事业收入：指事业单位开展专业业务活动及辅助活动取得的收入。</w:t>
      </w:r>
    </w:p>
    <w:p w14:paraId="6AF64314">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3.经营收入：指事业单位在专业业务活动及其辅助活动之外开展非独立核算经营活动取得的收入</w:t>
      </w:r>
    </w:p>
    <w:p w14:paraId="583EE72E">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4.其他收入：指单位取得的除上述收入以外的各项收入。</w:t>
      </w:r>
    </w:p>
    <w:p w14:paraId="6F3EAC1D">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41CD439A">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6.年初结转和结余：指以前年度尚未完成、结转到本年按有关规定继续使用的资金。 </w:t>
      </w:r>
    </w:p>
    <w:p w14:paraId="6F14D74F">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7.结余分配：指事业单位按照事业单位会计制度的规定从非财政补助结余中分配的事业基金和职工福利基金等。</w:t>
      </w:r>
    </w:p>
    <w:p w14:paraId="7D91B7A5">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8.年末结转和结余：指单位按有关规定结转到下年或以后年度继续使用的资金。</w:t>
      </w:r>
    </w:p>
    <w:p w14:paraId="2E9F9AF9">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.基本支出：指为保障机构正常运转、完成日常工作任务而发生的人员支出和公用支出。</w:t>
      </w:r>
    </w:p>
    <w:p w14:paraId="6915BCA1">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 xml:space="preserve">.项目支出：指在基本支出之外为完成特定行政任务和事业发展目标所发生的支出。 </w:t>
      </w:r>
    </w:p>
    <w:p w14:paraId="5AB3C42B">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.经营支出：指事业单位在专业业务活动及其辅助活动之外开展非独立核算经营活动发生的支出。</w:t>
      </w:r>
    </w:p>
    <w:p w14:paraId="46950C88">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2DE6252">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13</w:t>
      </w:r>
      <w:r>
        <w:rPr>
          <w:rFonts w:hint="eastAsia" w:ascii="仿宋_GB2312" w:hAnsi="仿宋_GB2312" w:eastAsia="仿宋_GB2312" w:cs="仿宋_GB2312"/>
          <w:color w:val="000000" w:themeColor="text1"/>
          <w:sz w:val="32"/>
          <w:szCs w:val="32"/>
          <w14:textFill>
            <w14:solidFill>
              <w14:schemeClr w14:val="tx1"/>
            </w14:solidFill>
          </w14:textFill>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85FFEB6">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14</w:t>
      </w:r>
      <w:r>
        <w:rPr>
          <w:rFonts w:hint="eastAsia" w:ascii="仿宋_GB2312" w:hAnsi="仿宋_GB2312" w:eastAsia="仿宋_GB2312" w:cs="仿宋_GB2312"/>
          <w:color w:val="000000" w:themeColor="text1"/>
          <w:sz w:val="32"/>
          <w:szCs w:val="32"/>
          <w14:textFill>
            <w14:solidFill>
              <w14:schemeClr w14:val="tx1"/>
            </w14:solidFill>
          </w14:textFill>
        </w:rPr>
        <w:t>.一般公共服务（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）政府办公厅（室）及相关机构事务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支出</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）行政运行（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）：反映行政单位（包括实行公务员管理的事业单位）的基本支出。</w:t>
      </w:r>
    </w:p>
    <w:p w14:paraId="358743E6">
      <w:pPr>
        <w:spacing w:line="600" w:lineRule="exact"/>
        <w:ind w:firstLine="640"/>
        <w:rPr>
          <w:rStyle w:val="2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Style w:val="21"/>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15.</w:t>
      </w:r>
      <w:r>
        <w:rPr>
          <w:rStyle w:val="21"/>
          <w:rFonts w:hint="eastAsia" w:ascii="仿宋_GB2312" w:hAnsi="仿宋_GB2312" w:eastAsia="仿宋_GB2312" w:cs="仿宋_GB2312"/>
          <w:b w:val="0"/>
          <w:bCs w:val="0"/>
          <w:color w:val="000000" w:themeColor="text1"/>
          <w:sz w:val="32"/>
          <w:szCs w:val="32"/>
          <w14:textFill>
            <w14:solidFill>
              <w14:schemeClr w14:val="tx1"/>
            </w14:solidFill>
          </w14:textFill>
        </w:rPr>
        <w:t>一般公共服务支出（类）政府办公厅（室）及相关机构事务（款）其他政府办公厅（室）及相关机构事务（项）</w:t>
      </w:r>
      <w:r>
        <w:rPr>
          <w:rStyle w:val="2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14:paraId="2D746EF2">
      <w:pPr>
        <w:spacing w:line="6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反映行政单位（包括实行公务员管理的事业单位）未单独设置项级科目的其他项目支出。</w:t>
      </w:r>
    </w:p>
    <w:p w14:paraId="6B1653EF">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.一般公共服务支出（类）市场监督管理事务（款）其他市场监督管理事务（项）：反映行政单位（包括实行公务员管理的事业单位）未单独设置项级科目的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专项</w:t>
      </w:r>
      <w:r>
        <w:rPr>
          <w:rFonts w:hint="eastAsia" w:ascii="仿宋_GB2312" w:hAnsi="仿宋_GB2312" w:eastAsia="仿宋_GB2312" w:cs="仿宋_GB2312"/>
          <w:color w:val="000000" w:themeColor="text1"/>
          <w:sz w:val="32"/>
          <w:szCs w:val="32"/>
          <w14:textFill>
            <w14:solidFill>
              <w14:schemeClr w14:val="tx1"/>
            </w14:solidFill>
          </w14:textFill>
        </w:rPr>
        <w:t>支出。</w:t>
      </w:r>
    </w:p>
    <w:p w14:paraId="1F3376E0">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.社会保障和就业支出（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）行政事业单位养老支出（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）机关事业单位基本养老保险缴费支出（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）：反映机关事业单位实施养老保险制度由单位缴纳的基本养老保险费支出。</w:t>
      </w:r>
    </w:p>
    <w:p w14:paraId="1A8DFC6D">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.社会保障和就业支出（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）行政事业单位养老支出（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）机关事业单位职业年金缴费支出（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）：反映机关事业单位实施养老保险制度由单位实际缴纳的职业年金支出。</w:t>
      </w:r>
    </w:p>
    <w:p w14:paraId="6FF22642">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.卫生健康支出（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）行政事业单位医疗（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）行政单位医疗（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）：反映财政部门安排的行政单位（包括实行公务员管理的事业单位）基本医疗保险缴费经费。</w:t>
      </w:r>
    </w:p>
    <w:p w14:paraId="23513F2E">
      <w:pPr>
        <w:spacing w:line="600" w:lineRule="exact"/>
        <w:ind w:firstLine="640" w:firstLineChars="200"/>
        <w:rPr>
          <w:rFonts w:asci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eastAsia="仿宋_GB2312" w:cs="仿宋_GB2312"/>
          <w:color w:val="000000" w:themeColor="text1"/>
          <w:sz w:val="32"/>
          <w:szCs w:val="32"/>
          <w14:textFill>
            <w14:solidFill>
              <w14:schemeClr w14:val="tx1"/>
            </w14:solidFill>
          </w14:textFill>
        </w:rPr>
        <w:t>卫生健康支出（</w:t>
      </w:r>
      <w:r>
        <w:rPr>
          <w:rFonts w:hint="eastAsia" w:asci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eastAsia="仿宋_GB2312" w:cs="仿宋_GB2312"/>
          <w:color w:val="000000" w:themeColor="text1"/>
          <w:sz w:val="32"/>
          <w:szCs w:val="32"/>
          <w14:textFill>
            <w14:solidFill>
              <w14:schemeClr w14:val="tx1"/>
            </w14:solidFill>
          </w14:textFill>
        </w:rPr>
        <w:t>）行政事业单位医疗（</w:t>
      </w:r>
      <w:r>
        <w:rPr>
          <w:rFonts w:hint="eastAsia" w:asci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eastAsia="仿宋_GB2312" w:cs="仿宋_GB2312"/>
          <w:color w:val="000000" w:themeColor="text1"/>
          <w:sz w:val="32"/>
          <w:szCs w:val="32"/>
          <w14:textFill>
            <w14:solidFill>
              <w14:schemeClr w14:val="tx1"/>
            </w14:solidFill>
          </w14:textFill>
        </w:rPr>
        <w:t>）事业单位医疗（</w:t>
      </w:r>
      <w:r>
        <w:rPr>
          <w:rFonts w:hint="eastAsia" w:asci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eastAsia="仿宋_GB2312" w:cs="仿宋_GB2312"/>
          <w:color w:val="000000" w:themeColor="text1"/>
          <w:sz w:val="32"/>
          <w:szCs w:val="32"/>
          <w14:textFill>
            <w14:solidFill>
              <w14:schemeClr w14:val="tx1"/>
            </w14:solidFill>
          </w14:textFill>
        </w:rPr>
        <w:t>）：反映财政部门安排的事业单位基本医疗保险缴费经费，未参加医疗保险的事业单位的公费医疗经费，按国家规定享受离休人员待遇的医疗经费。</w:t>
      </w:r>
    </w:p>
    <w:p w14:paraId="5F82CA8A">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21</w:t>
      </w:r>
      <w:r>
        <w:rPr>
          <w:rFonts w:hint="eastAsia" w:ascii="仿宋_GB2312" w:hAnsi="仿宋_GB2312" w:eastAsia="仿宋_GB2312" w:cs="仿宋_GB2312"/>
          <w:color w:val="000000" w:themeColor="text1"/>
          <w:sz w:val="32"/>
          <w:szCs w:val="32"/>
          <w14:textFill>
            <w14:solidFill>
              <w14:schemeClr w14:val="tx1"/>
            </w14:solidFill>
          </w14:textFill>
        </w:rPr>
        <w:t>.住房保障支出（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）住房改革支出（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）住房公积金（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）：反映行政事业单位按人力资源和社会保障部、财政部规定的基本工资和津贴补贴以及规定比例为职工缴纳的住房公积金。</w:t>
      </w:r>
    </w:p>
    <w:p w14:paraId="7BE88D7D">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22</w:t>
      </w:r>
      <w:r>
        <w:rPr>
          <w:rFonts w:hint="eastAsia" w:ascii="仿宋_GB2312" w:hAnsi="仿宋_GB2312" w:eastAsia="仿宋_GB2312" w:cs="仿宋_GB2312"/>
          <w:color w:val="000000" w:themeColor="text1"/>
          <w:sz w:val="32"/>
          <w:szCs w:val="32"/>
          <w14:textFill>
            <w14:solidFill>
              <w14:schemeClr w14:val="tx1"/>
            </w14:solidFill>
          </w14:textFill>
        </w:rPr>
        <w:t>.住房保障支出（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w:t>
      </w:r>
      <w:r>
        <w:rPr>
          <w:rFonts w:hint="eastAsia" w:ascii="仿宋_GB2312" w:hAnsi="仿宋_GB2312" w:eastAsia="仿宋_GB2312" w:cs="仿宋_GB2312"/>
          <w:color w:val="000000" w:themeColor="text1"/>
          <w:sz w:val="32"/>
          <w:szCs w:val="32"/>
          <w14:textFill>
            <w14:solidFill>
              <w14:schemeClr w14:val="tx1"/>
            </w14:solidFill>
          </w14:textFill>
        </w:rPr>
        <w:t>）住房改革支出（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款</w:t>
      </w:r>
      <w:r>
        <w:rPr>
          <w:rFonts w:hint="eastAsia" w:ascii="仿宋_GB2312" w:hAnsi="仿宋_GB2312" w:eastAsia="仿宋_GB2312" w:cs="仿宋_GB2312"/>
          <w:color w:val="000000" w:themeColor="text1"/>
          <w:sz w:val="32"/>
          <w:szCs w:val="32"/>
          <w14:textFill>
            <w14:solidFill>
              <w14:schemeClr w14:val="tx1"/>
            </w14:solidFill>
          </w14:textFill>
        </w:rPr>
        <w:t>）购房补贴（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w:t>
      </w:r>
      <w:r>
        <w:rPr>
          <w:rFonts w:hint="eastAsia" w:ascii="仿宋_GB2312" w:hAnsi="仿宋_GB2312" w:eastAsia="仿宋_GB2312" w:cs="仿宋_GB2312"/>
          <w:color w:val="000000" w:themeColor="text1"/>
          <w:sz w:val="32"/>
          <w:szCs w:val="32"/>
          <w14:textFill>
            <w14:solidFill>
              <w14:schemeClr w14:val="tx1"/>
            </w14:solidFill>
          </w14:textFill>
        </w:rPr>
        <w:t>）：反映按房改政策规定，行政事业单位向符合条件职工（含离退休人员）、军队（含武警）向转役复员离退休人员发放的用于购买住房的补贴。</w:t>
      </w:r>
    </w:p>
    <w:p w14:paraId="406BA214">
      <w:pPr>
        <w:pStyle w:val="3"/>
        <w:bidi w:val="0"/>
        <w:jc w:val="center"/>
        <w:rPr>
          <w:rFonts w:hint="eastAsia" w:ascii="方正小标宋简体" w:hAnsi="方正小标宋简体" w:eastAsia="方正小标宋简体" w:cs="方正小标宋简体"/>
          <w:b w:val="0"/>
          <w:bCs w:val="0"/>
          <w:lang w:eastAsia="zh-CN"/>
        </w:rPr>
      </w:pPr>
      <w:bookmarkStart w:id="69" w:name="_Toc15377226"/>
      <w:r>
        <w:rPr>
          <w:rFonts w:hint="eastAsia" w:ascii="Times New Roman" w:hAnsi="Times New Roman" w:eastAsia="仿宋_GB2312" w:cs="仿宋_GB2312"/>
          <w:color w:val="auto"/>
          <w:kern w:val="2"/>
          <w:szCs w:val="32"/>
          <w:highlight w:val="none"/>
          <w:lang w:val="en-US" w:eastAsia="zh-CN" w:bidi="ar-SA"/>
        </w:rPr>
        <w:br w:type="page"/>
      </w:r>
      <w:bookmarkStart w:id="70" w:name="_Toc22462"/>
      <w:bookmarkStart w:id="71" w:name="_Toc15396614"/>
      <w:r>
        <w:rPr>
          <w:rFonts w:hint="eastAsia" w:ascii="方正小标宋简体" w:hAnsi="方正小标宋简体" w:eastAsia="方正小标宋简体" w:cs="方正小标宋简体"/>
          <w:b w:val="0"/>
          <w:bCs w:val="0"/>
        </w:rPr>
        <w:t>第四部分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 xml:space="preserve"> 附件</w:t>
      </w:r>
      <w:bookmarkEnd w:id="70"/>
      <w:bookmarkEnd w:id="71"/>
    </w:p>
    <w:p w14:paraId="0A5CEFB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5775A8B">
      <w:pPr>
        <w:pStyle w:val="7"/>
        <w:bidi w:val="0"/>
        <w:rPr>
          <w:rFonts w:hint="eastAsia"/>
          <w:b/>
          <w:bCs/>
          <w:lang w:val="en-US" w:eastAsia="zh-CN"/>
        </w:rPr>
      </w:pPr>
      <w:r>
        <w:rPr>
          <w:rFonts w:hint="eastAsia"/>
          <w:b/>
          <w:bCs/>
        </w:rPr>
        <w:t>附件</w:t>
      </w:r>
      <w:r>
        <w:rPr>
          <w:rFonts w:hint="eastAsia"/>
          <w:b/>
          <w:bCs/>
          <w:lang w:val="en-US" w:eastAsia="zh-CN"/>
        </w:rPr>
        <w:t>1</w:t>
      </w:r>
    </w:p>
    <w:p w14:paraId="7131272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50F8EF3E">
      <w:pPr>
        <w:widowControl/>
        <w:spacing w:line="578" w:lineRule="exact"/>
        <w:contextualSpacing/>
        <w:jc w:val="center"/>
        <w:rPr>
          <w:rFonts w:hint="eastAsia" w:ascii="方正小标宋简体" w:hAnsi="方正小标宋简体" w:eastAsia="方正小标宋简体" w:cs="方正小标宋简体"/>
          <w:b w:val="0"/>
          <w:bCs/>
          <w:sz w:val="44"/>
          <w:szCs w:val="44"/>
          <w:shd w:val="clear" w:color="auto" w:fill="FFFFFF"/>
          <w:lang w:eastAsia="zh-CN"/>
        </w:rPr>
      </w:pPr>
      <w:r>
        <w:rPr>
          <w:rFonts w:hint="eastAsia" w:ascii="方正小标宋简体" w:hAnsi="方正小标宋简体" w:eastAsia="方正小标宋简体" w:cs="方正小标宋简体"/>
          <w:b w:val="0"/>
          <w:bCs/>
          <w:sz w:val="44"/>
          <w:szCs w:val="44"/>
          <w:shd w:val="clear" w:color="auto" w:fill="FFFFFF"/>
          <w:lang w:eastAsia="zh-CN"/>
        </w:rPr>
        <w:t>茂县综合行政执法局</w:t>
      </w:r>
    </w:p>
    <w:p w14:paraId="720047E5">
      <w:pPr>
        <w:widowControl/>
        <w:spacing w:line="578" w:lineRule="exact"/>
        <w:contextualSpacing/>
        <w:jc w:val="center"/>
        <w:rPr>
          <w:rFonts w:hint="eastAsia" w:ascii="楷体" w:hAnsi="楷体" w:eastAsia="楷体" w:cs="楷体"/>
          <w:b/>
          <w:bCs w:val="0"/>
          <w:sz w:val="44"/>
          <w:szCs w:val="44"/>
          <w:shd w:val="clear" w:color="auto" w:fill="FFFFFF"/>
        </w:rPr>
      </w:pPr>
      <w:r>
        <w:rPr>
          <w:rFonts w:hint="eastAsia" w:ascii="方正小标宋简体" w:hAnsi="方正小标宋简体" w:eastAsia="方正小标宋简体" w:cs="方正小标宋简体"/>
          <w:b w:val="0"/>
          <w:bCs/>
          <w:sz w:val="44"/>
          <w:szCs w:val="44"/>
          <w:shd w:val="clear" w:color="auto" w:fill="FFFFFF"/>
        </w:rPr>
        <w:t>部门预算绩效评价报告</w:t>
      </w:r>
    </w:p>
    <w:p w14:paraId="24176FC0">
      <w:pPr>
        <w:widowControl/>
        <w:adjustRightInd w:val="0"/>
        <w:snapToGrid w:val="0"/>
        <w:spacing w:line="578" w:lineRule="exact"/>
        <w:ind w:firstLine="480" w:firstLineChars="200"/>
        <w:contextualSpacing/>
        <w:jc w:val="left"/>
        <w:rPr>
          <w:rFonts w:ascii="Times New Roman" w:hAnsi="Times New Roman" w:eastAsia="黑体" w:cs="Times New Roman"/>
          <w:color w:val="000000"/>
          <w:kern w:val="0"/>
          <w:sz w:val="24"/>
          <w:szCs w:val="32"/>
          <w:shd w:val="clear" w:color="auto" w:fill="FFFFFF"/>
        </w:rPr>
      </w:pPr>
    </w:p>
    <w:p w14:paraId="3BFB931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618D391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eastAsia="zh-CN"/>
        </w:rPr>
        <w:t>茂县综合行政执法局</w:t>
      </w:r>
      <w:r>
        <w:rPr>
          <w:rFonts w:hint="eastAsia" w:ascii="Times New Roman" w:hAnsi="Times New Roman" w:eastAsia="仿宋_GB2312" w:cs="Times New Roman"/>
          <w:sz w:val="32"/>
          <w:szCs w:val="32"/>
          <w:lang w:val="en-US" w:eastAsia="zh-CN"/>
        </w:rPr>
        <w:t>隶属一级独立预算行政单位，主要包括办公室、案件管理和审理股、政工督查室3个内设机构。</w:t>
      </w:r>
    </w:p>
    <w:p w14:paraId="32BAC63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二</w:t>
      </w:r>
      <w:r>
        <w:rPr>
          <w:rFonts w:hint="eastAsia"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机构职能</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县综合执法局贯彻落实党中央关于综合行政执法工作的方针政策和省委、州委、县委的决策部署，在履行职责过程中坚持和加强党对综合行政执法工作的集中统一领导。主要职责是：</w:t>
      </w:r>
    </w:p>
    <w:p w14:paraId="391F8B4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贯彻执行国家、省、州、县有关综合行政执法的方针政策和法律、法规、规章；负责起草有关规范性文件草案；拟定全县综合行政执法的发展战略、中期发展规划和年度工作计划，经批准后组织实施；制定全县综合行政执法制度和规范经批准后组织实施。</w:t>
      </w:r>
    </w:p>
    <w:p w14:paraId="150ADF3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2.集中行使自然资源管理、城市管理、文化市场管理等领域法律、法规、规章规定的全部或部分行政处罚权及相应的行政检查权、行政命令权和行政强制措施权。</w:t>
      </w:r>
    </w:p>
    <w:p w14:paraId="5DA6D5F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3.负责受理职责范围内行政违法行为的举报、投诉和各种方式移送的案件线索，办理有关行政复议和行政应诉工作。</w:t>
      </w:r>
    </w:p>
    <w:p w14:paraId="2CAF381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4.牵头实施由县政府组织的有关专项整治和重大执法活动。</w:t>
      </w:r>
    </w:p>
    <w:p w14:paraId="57678C8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5.配合协助划转行政处罚权涉及的行政主管部门组织开展行业整治活动。</w:t>
      </w:r>
    </w:p>
    <w:p w14:paraId="5AD1BCD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6.指导各镇综合行政执法工作。</w:t>
      </w:r>
    </w:p>
    <w:p w14:paraId="2632C25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7.承办县委、县政府交办的其他任务。</w:t>
      </w:r>
    </w:p>
    <w:p w14:paraId="243DBD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_GB2312" w:hAnsi="Times New Roman" w:eastAsia="仿宋_GB2312" w:cs="Times New Roman"/>
          <w:sz w:val="32"/>
          <w:szCs w:val="32"/>
          <w:lang w:val="en-US"/>
        </w:rPr>
      </w:pP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三</w:t>
      </w:r>
      <w:r>
        <w:rPr>
          <w:rFonts w:hint="eastAsia"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仿宋_GB2312" w:hAnsi="Times New Roman" w:eastAsia="仿宋_GB2312" w:cs="Times New Roman"/>
          <w:sz w:val="32"/>
          <w:szCs w:val="32"/>
        </w:rPr>
        <w:t>截至</w:t>
      </w:r>
      <w:r>
        <w:rPr>
          <w:rFonts w:hint="eastAsia" w:ascii="仿宋_GB2312" w:hAnsi="Times New Roman" w:eastAsia="仿宋_GB2312" w:cs="Times New Roman"/>
          <w:sz w:val="32"/>
          <w:szCs w:val="32"/>
          <w:lang w:eastAsia="zh-CN"/>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lang w:eastAsia="zh-CN"/>
        </w:rPr>
        <w:t>年</w:t>
      </w:r>
      <w:r>
        <w:rPr>
          <w:rFonts w:hint="default" w:ascii="仿宋_GB2312" w:hAnsi="Times New Roman" w:eastAsia="仿宋_GB2312" w:cs="Times New Roman"/>
          <w:sz w:val="32"/>
          <w:szCs w:val="32"/>
        </w:rPr>
        <w:t>末</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茂县综合行政执法局编制总数95人，年末实有74人，其中行政编制4人，参照公务员法管理事业人员70人。实际财政供养人员74人，其中在职74人。单位退休人员17人。</w:t>
      </w:r>
    </w:p>
    <w:p w14:paraId="04E3E89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6023566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eastAsia" w:ascii="Times New Roman" w:hAnsi="Times New Roman" w:eastAsia="仿宋_GB2312" w:cs="Times New Roman"/>
          <w:sz w:val="32"/>
          <w:szCs w:val="32"/>
        </w:rPr>
        <w:t>年初预算收入批复数为</w:t>
      </w:r>
      <w:r>
        <w:rPr>
          <w:rFonts w:hint="eastAsia" w:ascii="Times New Roman" w:hAnsi="Times New Roman" w:eastAsia="仿宋_GB2312" w:cs="Times New Roman"/>
          <w:sz w:val="32"/>
          <w:szCs w:val="32"/>
          <w:lang w:val="en-US" w:eastAsia="zh-CN"/>
        </w:rPr>
        <w:t>1149.57万元，其中：一般公共预算拨款收入1149.57万元，占100%。2025年</w:t>
      </w:r>
      <w:r>
        <w:rPr>
          <w:rFonts w:hint="eastAsia" w:ascii="Times New Roman" w:hAnsi="Times New Roman" w:eastAsia="仿宋_GB2312" w:cs="Times New Roman"/>
          <w:sz w:val="32"/>
          <w:szCs w:val="32"/>
        </w:rPr>
        <w:t>决算收入总计</w:t>
      </w:r>
      <w:r>
        <w:rPr>
          <w:rFonts w:hint="eastAsia" w:ascii="Times New Roman" w:hAnsi="Times New Roman" w:eastAsia="仿宋_GB2312" w:cs="Times New Roman"/>
          <w:sz w:val="32"/>
          <w:szCs w:val="32"/>
          <w:lang w:val="en-US" w:eastAsia="zh-CN"/>
        </w:rPr>
        <w:t>1582.79</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其中：一般公共预算财政拨款收入为1582.79万元，占100%。</w:t>
      </w:r>
    </w:p>
    <w:p w14:paraId="780E1AA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二</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eastAsia" w:ascii="Times New Roman" w:hAnsi="Times New Roman" w:eastAsia="仿宋_GB2312" w:cs="Times New Roman"/>
          <w:sz w:val="32"/>
          <w:szCs w:val="32"/>
          <w:lang w:val="en-US" w:eastAsia="zh-CN"/>
        </w:rPr>
        <w:t>2025年年初预算支出为1149.57万元，其中：基本支出1149.57万元，占100%。2025年决算支出</w:t>
      </w:r>
      <w:r>
        <w:rPr>
          <w:rFonts w:hint="eastAsia"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1582.79万元，其中一般公共服务支出1177.68万元，社会保障和就业支出209.04万元，卫生健康支出81.56万元，住房保障支出114.51万元。其中：基本支出1523.26万元，占96%；项目支出59.23万元，占4%。</w:t>
      </w:r>
    </w:p>
    <w:p w14:paraId="148C6AE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eastAsia" w:eastAsia="楷体_GB2312" w:cs="Times New Roman"/>
          <w:b/>
          <w:sz w:val="32"/>
          <w:szCs w:val="32"/>
          <w:lang w:eastAsia="zh-CN"/>
        </w:rPr>
        <w:t>（</w:t>
      </w:r>
      <w:r>
        <w:rPr>
          <w:rFonts w:hint="eastAsia" w:eastAsia="楷体_GB2312" w:cs="Times New Roman"/>
          <w:b/>
          <w:sz w:val="32"/>
          <w:szCs w:val="32"/>
          <w:lang w:val="en-US" w:eastAsia="zh-CN"/>
        </w:rPr>
        <w:t>三</w:t>
      </w:r>
      <w:r>
        <w:rPr>
          <w:rFonts w:hint="eastAsia" w:eastAsia="楷体_GB2312" w:cs="Times New Roman"/>
          <w:b/>
          <w:sz w:val="32"/>
          <w:szCs w:val="32"/>
          <w:lang w:eastAsia="zh-CN"/>
        </w:rPr>
        <w:t>）</w:t>
      </w:r>
      <w:r>
        <w:rPr>
          <w:rFonts w:hint="default" w:ascii="Times New Roman" w:hAnsi="Times New Roman" w:eastAsia="楷体_GB2312" w:cs="Times New Roman"/>
          <w:b/>
          <w:sz w:val="32"/>
          <w:szCs w:val="32"/>
        </w:rPr>
        <w:t>结余分配和结转结余情况</w:t>
      </w:r>
      <w:r>
        <w:rPr>
          <w:rFonts w:hint="eastAsia" w:ascii="Times New Roman" w:hAnsi="Times New Roman" w:eastAsia="楷体_GB2312" w:cs="Times New Roman"/>
          <w:b/>
          <w:sz w:val="32"/>
          <w:szCs w:val="32"/>
          <w:lang w:eastAsia="zh-CN"/>
        </w:rPr>
        <w:t>。</w:t>
      </w:r>
      <w:r>
        <w:rPr>
          <w:rFonts w:hint="eastAsia" w:ascii="Times New Roman" w:hAnsi="Times New Roman" w:eastAsia="仿宋_GB2312" w:cs="Times New Roman"/>
          <w:sz w:val="32"/>
          <w:szCs w:val="32"/>
          <w:lang w:val="en-US" w:eastAsia="zh-CN"/>
        </w:rPr>
        <w:t>2025年末结转和结余资金0万元。</w:t>
      </w:r>
    </w:p>
    <w:p w14:paraId="2CE9EBA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17ACF5C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6C2621B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Times New Roman" w:eastAsia="仿宋_GB2312" w:cs="宋体"/>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1.</w:t>
      </w:r>
      <w:r>
        <w:rPr>
          <w:rFonts w:hint="eastAsia" w:ascii="楷体_GB2312" w:hAnsi="楷体_GB2312" w:eastAsia="楷体_GB2312" w:cs="楷体_GB2312"/>
          <w:color w:val="000000"/>
          <w:kern w:val="0"/>
          <w:sz w:val="32"/>
          <w:szCs w:val="32"/>
          <w:highlight w:val="none"/>
          <w:shd w:val="clear" w:color="auto" w:fill="FFFFFF"/>
          <w:lang w:val="zh-CN"/>
        </w:rPr>
        <w:t>履职效能。</w:t>
      </w:r>
      <w:r>
        <w:rPr>
          <w:rFonts w:hint="eastAsia" w:ascii="仿宋_GB2312" w:hAnsi="Times New Roman" w:eastAsia="仿宋_GB2312" w:cs="宋体"/>
          <w:color w:val="000000"/>
          <w:kern w:val="0"/>
          <w:sz w:val="32"/>
          <w:szCs w:val="32"/>
          <w:shd w:val="clear" w:color="auto" w:fill="FFFFFF"/>
          <w:lang w:val="zh-CN"/>
        </w:rPr>
        <w:t>2025年度</w:t>
      </w:r>
      <w:r>
        <w:rPr>
          <w:rFonts w:hint="eastAsia" w:ascii="仿宋_GB2312" w:hAnsi="Times New Roman" w:eastAsia="仿宋_GB2312" w:cs="宋体"/>
          <w:color w:val="000000"/>
          <w:kern w:val="0"/>
          <w:sz w:val="32"/>
          <w:szCs w:val="32"/>
          <w:shd w:val="clear" w:color="auto" w:fill="FFFFFF"/>
          <w:lang w:val="en-US" w:eastAsia="zh-CN"/>
        </w:rPr>
        <w:t>茂县综合行政执法局</w:t>
      </w:r>
      <w:r>
        <w:rPr>
          <w:rFonts w:hint="eastAsia" w:ascii="仿宋_GB2312" w:hAnsi="Times New Roman" w:eastAsia="仿宋_GB2312" w:cs="宋体"/>
          <w:color w:val="000000"/>
          <w:kern w:val="0"/>
          <w:sz w:val="32"/>
          <w:szCs w:val="32"/>
          <w:shd w:val="clear" w:color="auto" w:fill="FFFFFF"/>
          <w:lang w:val="zh-CN"/>
        </w:rPr>
        <w:t>基本全面完成了年初确定的整体支出绩效任务、从工作任务完成数量上分析完成率为100%、完成质量达标率为100%、产出时效完成率达90%以上。2025年度主要计划任务全面完成</w:t>
      </w:r>
      <w:r>
        <w:rPr>
          <w:rFonts w:hint="eastAsia" w:ascii="仿宋_GB2312" w:hAnsi="Times New Roman" w:eastAsia="仿宋_GB2312" w:cs="宋体"/>
          <w:color w:val="000000"/>
          <w:kern w:val="0"/>
          <w:sz w:val="32"/>
          <w:szCs w:val="32"/>
          <w:shd w:val="clear" w:color="auto" w:fill="FFFFFF"/>
          <w:lang w:val="en-US" w:eastAsia="zh-CN"/>
        </w:rPr>
        <w:t>,</w:t>
      </w:r>
      <w:r>
        <w:rPr>
          <w:rFonts w:hint="eastAsia" w:ascii="仿宋_GB2312" w:hAnsi="Times New Roman" w:eastAsia="仿宋_GB2312" w:cs="宋体"/>
          <w:color w:val="000000"/>
          <w:kern w:val="0"/>
          <w:sz w:val="32"/>
          <w:szCs w:val="32"/>
          <w:shd w:val="clear" w:color="auto" w:fill="FFFFFF"/>
          <w:lang w:val="zh-CN"/>
        </w:rPr>
        <w:t>基本达到了预期的绩效目标；经济效益、指标完成指标率都为100%，实现了预期的履职和绩效目标。</w:t>
      </w:r>
    </w:p>
    <w:p w14:paraId="5BB8A396">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kern w:val="0"/>
          <w:sz w:val="32"/>
          <w:szCs w:val="32"/>
          <w:lang w:val="zh-CN"/>
        </w:rPr>
      </w:pPr>
      <w:r>
        <w:rPr>
          <w:rFonts w:hint="eastAsia" w:ascii="楷体_GB2312" w:hAnsi="楷体_GB2312" w:eastAsia="楷体_GB2312" w:cs="楷体_GB2312"/>
          <w:color w:val="000000" w:themeColor="text1"/>
          <w:kern w:val="0"/>
          <w:sz w:val="32"/>
          <w:szCs w:val="32"/>
          <w:highlight w:val="none"/>
          <w:shd w:val="clear" w:color="auto" w:fill="FFFFFF"/>
          <w:lang w:val="en-US" w:eastAsia="zh-CN"/>
          <w14:textFill>
            <w14:solidFill>
              <w14:schemeClr w14:val="tx1"/>
            </w14:solidFill>
          </w14:textFill>
        </w:rPr>
        <w:t>2.</w:t>
      </w:r>
      <w:r>
        <w:rPr>
          <w:rFonts w:hint="default" w:ascii="楷体_GB2312" w:hAnsi="楷体_GB2312" w:eastAsia="楷体_GB2312" w:cs="楷体_GB2312"/>
          <w:color w:val="000000" w:themeColor="text1"/>
          <w:kern w:val="0"/>
          <w:sz w:val="32"/>
          <w:szCs w:val="32"/>
          <w:highlight w:val="none"/>
          <w:shd w:val="clear" w:color="auto" w:fill="FFFFFF"/>
          <w:lang w:val="zh-CN"/>
          <w14:textFill>
            <w14:solidFill>
              <w14:schemeClr w14:val="tx1"/>
            </w14:solidFill>
          </w14:textFill>
        </w:rPr>
        <w:t>预算管理</w:t>
      </w:r>
      <w:r>
        <w:rPr>
          <w:rFonts w:hint="eastAsia" w:ascii="楷体_GB2312" w:hAnsi="楷体_GB2312" w:eastAsia="楷体_GB2312" w:cs="楷体_GB2312"/>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仿宋_GB2312" w:cs="Times New Roman"/>
          <w:kern w:val="0"/>
          <w:sz w:val="32"/>
          <w:szCs w:val="32"/>
          <w:lang w:val="en-US" w:eastAsia="zh-CN"/>
        </w:rPr>
        <w:t>2025年预算管理紧扣提质增效、统筹管控要求，抓实绩效管控。预算编制科学规范，执行进度均衡，调整程序合规，预算完成率达98%以上，“三公”经费严格控制。</w:t>
      </w:r>
    </w:p>
    <w:p w14:paraId="16F9204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3.</w:t>
      </w:r>
      <w:r>
        <w:rPr>
          <w:rFonts w:hint="default" w:ascii="楷体_GB2312" w:hAnsi="楷体_GB2312" w:eastAsia="楷体_GB2312" w:cs="楷体_GB2312"/>
          <w:color w:val="000000"/>
          <w:kern w:val="0"/>
          <w:sz w:val="32"/>
          <w:szCs w:val="32"/>
          <w:highlight w:val="none"/>
          <w:shd w:val="clear" w:color="auto" w:fill="FFFFFF"/>
          <w:lang w:val="zh-CN"/>
        </w:rPr>
        <w:t>财务管理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制定了财务管理相关制度，各项经济业务活动严格按照制度规定执行；根据不相容岗位分离原则，设置了财务工作相关岗位，并明确职责权限；本年度资金使用规范，未发现不符合相关财务管理制度规定的情况。</w:t>
      </w:r>
    </w:p>
    <w:p w14:paraId="1F5361C3">
      <w:pPr>
        <w:widowControl/>
        <w:adjustRightInd w:val="0"/>
        <w:snapToGrid w:val="0"/>
        <w:spacing w:line="576" w:lineRule="exact"/>
        <w:ind w:firstLine="720"/>
        <w:jc w:val="left"/>
        <w:rPr>
          <w:rFonts w:hint="eastAsia" w:ascii="仿宋_GB2312" w:hAnsi="Times New Roman" w:eastAsia="仿宋_GB2312" w:cs="宋体"/>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4.</w:t>
      </w:r>
      <w:r>
        <w:rPr>
          <w:rFonts w:hint="default" w:ascii="楷体_GB2312" w:hAnsi="楷体_GB2312" w:eastAsia="楷体_GB2312" w:cs="楷体_GB2312"/>
          <w:color w:val="000000"/>
          <w:kern w:val="0"/>
          <w:sz w:val="32"/>
          <w:szCs w:val="32"/>
          <w:highlight w:val="none"/>
          <w:shd w:val="clear" w:color="auto" w:fill="FFFFFF"/>
          <w:lang w:val="zh-CN"/>
        </w:rPr>
        <w:t>资产管理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仿宋_GB2312" w:hAnsi="Times New Roman" w:eastAsia="仿宋_GB2312" w:cs="宋体"/>
          <w:color w:val="000000"/>
          <w:kern w:val="0"/>
          <w:sz w:val="32"/>
          <w:szCs w:val="32"/>
          <w:shd w:val="clear" w:color="auto" w:fill="FFFFFF"/>
          <w:lang w:val="zh-CN"/>
        </w:rPr>
        <w:t>国有资产日常管理情况：按照《茂县行政事业单位国有资产管理暂行办法》要求，严格落实国有资产清查、登记、上报制度，设置固定资产卡片、</w:t>
      </w:r>
      <w:r>
        <w:rPr>
          <w:rFonts w:hint="eastAsia" w:ascii="仿宋_GB2312" w:eastAsia="仿宋_GB2312" w:cs="宋体"/>
          <w:color w:val="000000"/>
          <w:kern w:val="0"/>
          <w:sz w:val="32"/>
          <w:szCs w:val="32"/>
          <w:shd w:val="clear" w:color="auto" w:fill="FFFFFF"/>
          <w:lang w:val="zh-CN"/>
        </w:rPr>
        <w:t>总账</w:t>
      </w:r>
      <w:bookmarkStart w:id="101" w:name="_GoBack"/>
      <w:bookmarkEnd w:id="101"/>
      <w:r>
        <w:rPr>
          <w:rFonts w:hint="eastAsia" w:ascii="仿宋_GB2312" w:hAnsi="Times New Roman" w:eastAsia="仿宋_GB2312" w:cs="宋体"/>
          <w:color w:val="000000"/>
          <w:kern w:val="0"/>
          <w:sz w:val="32"/>
          <w:szCs w:val="32"/>
          <w:shd w:val="clear" w:color="auto" w:fill="FFFFFF"/>
          <w:lang w:val="zh-CN"/>
        </w:rPr>
        <w:t>及明细账簿，并定期进行了清查盘点，及时更新国有资产管理信息系统，做到账账相符，账实相符，明确责任并履行好职责。</w:t>
      </w:r>
    </w:p>
    <w:p w14:paraId="141ED65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5.</w:t>
      </w:r>
      <w:r>
        <w:rPr>
          <w:rFonts w:hint="default" w:ascii="楷体_GB2312" w:hAnsi="楷体_GB2312" w:eastAsia="楷体_GB2312" w:cs="楷体_GB2312"/>
          <w:color w:val="000000"/>
          <w:kern w:val="0"/>
          <w:sz w:val="32"/>
          <w:szCs w:val="32"/>
          <w:highlight w:val="none"/>
          <w:shd w:val="clear" w:color="auto" w:fill="FFFFFF"/>
          <w:lang w:val="zh-CN"/>
        </w:rPr>
        <w:t>采购管理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en-US" w:eastAsia="zh-CN"/>
        </w:rPr>
        <w:t>2025年无政府采购预算和支出，政府采购预算偏离度0。</w:t>
      </w:r>
    </w:p>
    <w:p w14:paraId="467BD8F2">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322" w:leftChars="0" w:firstLine="642" w:firstLineChars="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部门预算项目绩效分析</w:t>
      </w:r>
    </w:p>
    <w:p w14:paraId="096F8645">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en-US" w:eastAsia="zh-CN"/>
        </w:rPr>
        <w:t>常年项目绩效分析。</w:t>
      </w:r>
      <w:r>
        <w:rPr>
          <w:rFonts w:hint="eastAsia" w:ascii="Times New Roman" w:hAnsi="Times New Roman" w:eastAsia="仿宋_GB2312" w:cs="Times New Roman"/>
          <w:color w:val="000000"/>
          <w:kern w:val="0"/>
          <w:sz w:val="32"/>
          <w:szCs w:val="32"/>
          <w:shd w:val="clear" w:color="auto" w:fill="FFFFFF"/>
          <w:lang w:val="zh-CN" w:eastAsia="zh-CN"/>
        </w:rPr>
        <w:t>该类项目总数</w:t>
      </w:r>
      <w:r>
        <w:rPr>
          <w:rFonts w:hint="eastAsia" w:ascii="Times New Roman" w:hAnsi="Times New Roman" w:eastAsia="仿宋_GB2312" w:cs="Times New Roman"/>
          <w:color w:val="000000"/>
          <w:kern w:val="0"/>
          <w:sz w:val="32"/>
          <w:szCs w:val="32"/>
          <w:shd w:val="clear" w:color="auto" w:fill="FFFFFF"/>
          <w:lang w:val="en-US" w:eastAsia="zh-CN"/>
        </w:rPr>
        <w:t>27</w:t>
      </w:r>
      <w:r>
        <w:rPr>
          <w:rFonts w:hint="eastAsia" w:ascii="Times New Roman" w:hAnsi="Times New Roman" w:eastAsia="仿宋_GB2312" w:cs="Times New Roman"/>
          <w:color w:val="000000"/>
          <w:kern w:val="0"/>
          <w:sz w:val="32"/>
          <w:szCs w:val="32"/>
          <w:shd w:val="clear" w:color="auto" w:fill="FFFFFF"/>
          <w:lang w:val="zh-CN" w:eastAsia="zh-CN"/>
        </w:rPr>
        <w:t>个，涉及预算总金额</w:t>
      </w:r>
      <w:r>
        <w:rPr>
          <w:rFonts w:hint="eastAsia" w:ascii="Times New Roman" w:hAnsi="Times New Roman" w:eastAsia="仿宋_GB2312" w:cs="Times New Roman"/>
          <w:color w:val="000000"/>
          <w:kern w:val="0"/>
          <w:sz w:val="32"/>
          <w:szCs w:val="32"/>
          <w:shd w:val="clear" w:color="auto" w:fill="FFFFFF"/>
          <w:lang w:val="en-US" w:eastAsia="zh-CN"/>
        </w:rPr>
        <w:t>1582.79</w:t>
      </w:r>
      <w:r>
        <w:rPr>
          <w:rFonts w:hint="eastAsia" w:ascii="Times New Roman" w:hAnsi="Times New Roman" w:eastAsia="仿宋_GB2312" w:cs="Times New Roman"/>
          <w:color w:val="000000"/>
          <w:kern w:val="0"/>
          <w:sz w:val="32"/>
          <w:szCs w:val="32"/>
          <w:shd w:val="clear" w:color="auto" w:fill="FFFFFF"/>
          <w:lang w:val="zh-CN" w:eastAsia="zh-CN"/>
        </w:rPr>
        <w:t>万元，1—1</w:t>
      </w:r>
      <w:r>
        <w:rPr>
          <w:rFonts w:hint="eastAsia" w:ascii="Times New Roman" w:hAnsi="Times New Roman" w:eastAsia="仿宋_GB2312" w:cs="Times New Roman"/>
          <w:color w:val="000000"/>
          <w:kern w:val="0"/>
          <w:sz w:val="32"/>
          <w:szCs w:val="32"/>
          <w:shd w:val="clear" w:color="auto" w:fill="FFFFFF"/>
          <w:lang w:val="en-US" w:eastAsia="zh-CN"/>
        </w:rPr>
        <w:t>2</w:t>
      </w:r>
      <w:r>
        <w:rPr>
          <w:rFonts w:hint="eastAsia" w:ascii="Times New Roman" w:hAnsi="Times New Roman" w:eastAsia="仿宋_GB2312" w:cs="Times New Roman"/>
          <w:color w:val="000000"/>
          <w:kern w:val="0"/>
          <w:sz w:val="32"/>
          <w:szCs w:val="32"/>
          <w:shd w:val="clear" w:color="auto" w:fill="FFFFFF"/>
          <w:lang w:val="zh-CN" w:eastAsia="zh-CN"/>
        </w:rPr>
        <w:t>月预算执行总体进度为</w:t>
      </w:r>
      <w:r>
        <w:rPr>
          <w:rFonts w:hint="eastAsia" w:ascii="Times New Roman" w:hAnsi="Times New Roman" w:eastAsia="仿宋_GB2312" w:cs="Times New Roman"/>
          <w:color w:val="000000"/>
          <w:kern w:val="0"/>
          <w:sz w:val="32"/>
          <w:szCs w:val="32"/>
          <w:shd w:val="clear" w:color="auto" w:fill="FFFFFF"/>
          <w:lang w:val="en-US" w:eastAsia="zh-CN"/>
        </w:rPr>
        <w:t>100</w:t>
      </w:r>
      <w:r>
        <w:rPr>
          <w:rFonts w:hint="eastAsia" w:ascii="Times New Roman" w:hAnsi="Times New Roman" w:eastAsia="仿宋_GB2312" w:cs="Times New Roman"/>
          <w:color w:val="000000"/>
          <w:kern w:val="0"/>
          <w:sz w:val="32"/>
          <w:szCs w:val="32"/>
          <w:shd w:val="clear" w:color="auto" w:fill="FFFFFF"/>
          <w:lang w:val="zh-CN" w:eastAsia="zh-CN"/>
        </w:rPr>
        <w:t>%，其中：预算结余率大于</w:t>
      </w:r>
      <w:r>
        <w:rPr>
          <w:rFonts w:hint="eastAsia" w:ascii="Times New Roman" w:hAnsi="Times New Roman" w:eastAsia="仿宋_GB2312" w:cs="Times New Roman"/>
          <w:color w:val="000000"/>
          <w:kern w:val="0"/>
          <w:sz w:val="32"/>
          <w:szCs w:val="32"/>
          <w:shd w:val="clear" w:color="auto" w:fill="FFFFFF"/>
          <w:lang w:val="en-US" w:eastAsia="zh-CN"/>
        </w:rPr>
        <w:t>10%</w:t>
      </w:r>
      <w:r>
        <w:rPr>
          <w:rFonts w:hint="eastAsia" w:ascii="Times New Roman" w:hAnsi="Times New Roman" w:eastAsia="仿宋_GB2312" w:cs="Times New Roman"/>
          <w:color w:val="000000"/>
          <w:kern w:val="0"/>
          <w:sz w:val="32"/>
          <w:szCs w:val="32"/>
          <w:shd w:val="clear" w:color="auto" w:fill="FFFFFF"/>
          <w:lang w:val="zh-CN" w:eastAsia="zh-CN"/>
        </w:rPr>
        <w:t>的项目共计</w:t>
      </w:r>
      <w:r>
        <w:rPr>
          <w:rFonts w:hint="eastAsia" w:ascii="Times New Roman" w:hAnsi="Times New Roman" w:eastAsia="仿宋_GB2312" w:cs="Times New Roman"/>
          <w:color w:val="000000"/>
          <w:kern w:val="0"/>
          <w:sz w:val="32"/>
          <w:szCs w:val="32"/>
          <w:shd w:val="clear" w:color="auto" w:fill="FFFFFF"/>
          <w:lang w:val="en-US" w:eastAsia="zh-CN"/>
        </w:rPr>
        <w:t>0</w:t>
      </w:r>
      <w:r>
        <w:rPr>
          <w:rFonts w:hint="eastAsia" w:ascii="Times New Roman" w:hAnsi="Times New Roman" w:eastAsia="仿宋_GB2312" w:cs="Times New Roman"/>
          <w:color w:val="000000"/>
          <w:kern w:val="0"/>
          <w:sz w:val="32"/>
          <w:szCs w:val="32"/>
          <w:shd w:val="clear" w:color="auto" w:fill="FFFFFF"/>
          <w:lang w:val="zh-CN" w:eastAsia="zh-CN"/>
        </w:rPr>
        <w:t>个。</w:t>
      </w:r>
    </w:p>
    <w:p w14:paraId="476AD3CA">
      <w:pPr>
        <w:adjustRightInd w:val="0"/>
        <w:snapToGrid w:val="0"/>
        <w:spacing w:line="578" w:lineRule="exact"/>
        <w:ind w:firstLine="640" w:firstLineChars="200"/>
        <w:contextualSpacing/>
        <w:jc w:val="left"/>
        <w:rPr>
          <w:rFonts w:hint="default" w:ascii="Times New Roman" w:hAnsi="Times New Roman" w:eastAsia="仿宋_GB2312" w:cs="Times New Roman"/>
          <w:color w:val="000000"/>
          <w:kern w:val="0"/>
          <w:sz w:val="32"/>
          <w:szCs w:val="32"/>
          <w:shd w:val="clear" w:color="auto" w:fill="FFFFFF"/>
          <w:lang w:val="en-US" w:eastAsia="zh-CN"/>
        </w:rPr>
      </w:pPr>
      <w:r>
        <w:rPr>
          <w:rFonts w:hint="eastAsia" w:ascii="Times New Roman" w:hAnsi="Times New Roman" w:eastAsia="仿宋_GB2312" w:cs="Times New Roman"/>
          <w:color w:val="000000"/>
          <w:kern w:val="0"/>
          <w:sz w:val="32"/>
          <w:szCs w:val="32"/>
          <w:shd w:val="clear" w:color="auto" w:fill="FFFFFF"/>
          <w:lang w:val="en-US" w:eastAsia="zh-CN"/>
        </w:rPr>
        <w:t>阶段（一次性）项目绩效分析。</w:t>
      </w:r>
      <w:r>
        <w:rPr>
          <w:rFonts w:hint="eastAsia" w:ascii="Times New Roman" w:hAnsi="Times New Roman" w:eastAsia="仿宋_GB2312" w:cs="Times New Roman"/>
          <w:color w:val="000000"/>
          <w:kern w:val="0"/>
          <w:sz w:val="32"/>
          <w:szCs w:val="32"/>
          <w:shd w:val="clear" w:color="auto" w:fill="FFFFFF"/>
          <w:lang w:val="zh-CN" w:eastAsia="zh-CN"/>
        </w:rPr>
        <w:t>该类项目总数</w:t>
      </w:r>
      <w:r>
        <w:rPr>
          <w:rFonts w:hint="eastAsia" w:ascii="Times New Roman" w:hAnsi="Times New Roman" w:eastAsia="仿宋_GB2312" w:cs="Times New Roman"/>
          <w:color w:val="000000"/>
          <w:kern w:val="0"/>
          <w:sz w:val="32"/>
          <w:szCs w:val="32"/>
          <w:shd w:val="clear" w:color="auto" w:fill="FFFFFF"/>
          <w:lang w:val="en-US" w:eastAsia="zh-CN"/>
        </w:rPr>
        <w:t>0</w:t>
      </w:r>
      <w:r>
        <w:rPr>
          <w:rFonts w:hint="eastAsia" w:ascii="Times New Roman" w:hAnsi="Times New Roman" w:eastAsia="仿宋_GB2312" w:cs="Times New Roman"/>
          <w:color w:val="000000"/>
          <w:kern w:val="0"/>
          <w:sz w:val="32"/>
          <w:szCs w:val="32"/>
          <w:shd w:val="clear" w:color="auto" w:fill="FFFFFF"/>
          <w:lang w:val="zh-CN" w:eastAsia="zh-CN"/>
        </w:rPr>
        <w:t>个，涉及预算总金额</w:t>
      </w:r>
      <w:r>
        <w:rPr>
          <w:rFonts w:hint="eastAsia" w:ascii="Times New Roman" w:hAnsi="Times New Roman" w:eastAsia="仿宋_GB2312" w:cs="Times New Roman"/>
          <w:color w:val="000000"/>
          <w:kern w:val="0"/>
          <w:sz w:val="32"/>
          <w:szCs w:val="32"/>
          <w:shd w:val="clear" w:color="auto" w:fill="FFFFFF"/>
          <w:lang w:val="en-US" w:eastAsia="zh-CN"/>
        </w:rPr>
        <w:t>0</w:t>
      </w:r>
      <w:r>
        <w:rPr>
          <w:rFonts w:hint="eastAsia" w:ascii="Times New Roman" w:hAnsi="Times New Roman" w:eastAsia="仿宋_GB2312" w:cs="Times New Roman"/>
          <w:color w:val="000000"/>
          <w:kern w:val="0"/>
          <w:sz w:val="32"/>
          <w:szCs w:val="32"/>
          <w:shd w:val="clear" w:color="auto" w:fill="FFFFFF"/>
          <w:lang w:val="zh-CN" w:eastAsia="zh-CN"/>
        </w:rPr>
        <w:t>万元，1—1</w:t>
      </w:r>
      <w:r>
        <w:rPr>
          <w:rFonts w:hint="eastAsia" w:ascii="Times New Roman" w:hAnsi="Times New Roman" w:eastAsia="仿宋_GB2312" w:cs="Times New Roman"/>
          <w:color w:val="000000"/>
          <w:kern w:val="0"/>
          <w:sz w:val="32"/>
          <w:szCs w:val="32"/>
          <w:shd w:val="clear" w:color="auto" w:fill="FFFFFF"/>
          <w:lang w:val="en-US" w:eastAsia="zh-CN"/>
        </w:rPr>
        <w:t>2</w:t>
      </w:r>
      <w:r>
        <w:rPr>
          <w:rFonts w:hint="eastAsia" w:ascii="Times New Roman" w:hAnsi="Times New Roman" w:eastAsia="仿宋_GB2312" w:cs="Times New Roman"/>
          <w:color w:val="000000"/>
          <w:kern w:val="0"/>
          <w:sz w:val="32"/>
          <w:szCs w:val="32"/>
          <w:shd w:val="clear" w:color="auto" w:fill="FFFFFF"/>
          <w:lang w:val="zh-CN" w:eastAsia="zh-CN"/>
        </w:rPr>
        <w:t>月预算执行总体进度</w:t>
      </w:r>
      <w:r>
        <w:rPr>
          <w:rFonts w:hint="eastAsia" w:ascii="Times New Roman" w:hAnsi="Times New Roman" w:eastAsia="仿宋_GB2312" w:cs="Times New Roman"/>
          <w:color w:val="000000"/>
          <w:kern w:val="0"/>
          <w:sz w:val="32"/>
          <w:szCs w:val="32"/>
          <w:shd w:val="clear" w:color="auto" w:fill="FFFFFF"/>
          <w:lang w:val="en-US" w:eastAsia="zh-CN"/>
        </w:rPr>
        <w:t>100</w:t>
      </w:r>
      <w:r>
        <w:rPr>
          <w:rFonts w:hint="eastAsia" w:ascii="Times New Roman" w:hAnsi="Times New Roman" w:eastAsia="仿宋_GB2312" w:cs="Times New Roman"/>
          <w:color w:val="000000"/>
          <w:kern w:val="0"/>
          <w:sz w:val="32"/>
          <w:szCs w:val="32"/>
          <w:shd w:val="clear" w:color="auto" w:fill="FFFFFF"/>
          <w:lang w:val="zh-CN" w:eastAsia="zh-CN"/>
        </w:rPr>
        <w:t>%，其中：预算结余率大于</w:t>
      </w:r>
      <w:r>
        <w:rPr>
          <w:rFonts w:hint="eastAsia" w:ascii="Times New Roman" w:hAnsi="Times New Roman" w:eastAsia="仿宋_GB2312" w:cs="Times New Roman"/>
          <w:color w:val="000000"/>
          <w:kern w:val="0"/>
          <w:sz w:val="32"/>
          <w:szCs w:val="32"/>
          <w:shd w:val="clear" w:color="auto" w:fill="FFFFFF"/>
          <w:lang w:val="en-US" w:eastAsia="zh-CN"/>
        </w:rPr>
        <w:t>10%</w:t>
      </w:r>
      <w:r>
        <w:rPr>
          <w:rFonts w:hint="eastAsia" w:ascii="Times New Roman" w:hAnsi="Times New Roman" w:eastAsia="仿宋_GB2312" w:cs="Times New Roman"/>
          <w:color w:val="000000"/>
          <w:kern w:val="0"/>
          <w:sz w:val="32"/>
          <w:szCs w:val="32"/>
          <w:shd w:val="clear" w:color="auto" w:fill="FFFFFF"/>
          <w:lang w:val="zh-CN" w:eastAsia="zh-CN"/>
        </w:rPr>
        <w:t>的项目共计</w:t>
      </w:r>
      <w:r>
        <w:rPr>
          <w:rFonts w:hint="eastAsia" w:ascii="Times New Roman" w:hAnsi="Times New Roman" w:eastAsia="仿宋_GB2312" w:cs="Times New Roman"/>
          <w:color w:val="000000"/>
          <w:kern w:val="0"/>
          <w:sz w:val="32"/>
          <w:szCs w:val="32"/>
          <w:shd w:val="clear" w:color="auto" w:fill="FFFFFF"/>
          <w:lang w:val="en-US" w:eastAsia="zh-CN"/>
        </w:rPr>
        <w:t>0</w:t>
      </w:r>
      <w:r>
        <w:rPr>
          <w:rFonts w:hint="eastAsia" w:ascii="Times New Roman" w:hAnsi="Times New Roman" w:eastAsia="仿宋_GB2312" w:cs="Times New Roman"/>
          <w:color w:val="000000"/>
          <w:kern w:val="0"/>
          <w:sz w:val="32"/>
          <w:szCs w:val="32"/>
          <w:shd w:val="clear" w:color="auto" w:fill="FFFFFF"/>
          <w:lang w:val="zh-CN" w:eastAsia="zh-CN"/>
        </w:rPr>
        <w:t>个。</w:t>
      </w:r>
    </w:p>
    <w:p w14:paraId="58F717F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1.</w:t>
      </w:r>
      <w:r>
        <w:rPr>
          <w:rFonts w:hint="eastAsia" w:ascii="楷体_GB2312" w:hAnsi="楷体_GB2312" w:eastAsia="楷体_GB2312" w:cs="楷体_GB2312"/>
          <w:color w:val="000000"/>
          <w:kern w:val="0"/>
          <w:sz w:val="32"/>
          <w:szCs w:val="32"/>
          <w:highlight w:val="none"/>
          <w:shd w:val="clear" w:color="auto" w:fill="FFFFFF"/>
          <w:lang w:val="zh-CN"/>
        </w:rPr>
        <w:t>项目决策</w:t>
      </w:r>
      <w:r>
        <w:rPr>
          <w:rFonts w:hint="eastAsia" w:ascii="楷体_GB2312" w:hAnsi="楷体_GB2312" w:eastAsia="楷体_GB2312" w:cs="楷体_GB2312"/>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shd w:val="clear" w:color="auto" w:fill="FFFFFF"/>
          <w:lang w:val="en-US" w:eastAsia="zh-CN"/>
        </w:rPr>
        <w:t>项目</w:t>
      </w:r>
      <w:r>
        <w:rPr>
          <w:rFonts w:hint="eastAsia" w:ascii="Times New Roman" w:hAnsi="Times New Roman" w:eastAsia="仿宋_GB2312" w:cs="Times New Roman"/>
          <w:color w:val="000000"/>
          <w:kern w:val="0"/>
          <w:sz w:val="32"/>
          <w:szCs w:val="32"/>
          <w:shd w:val="clear" w:color="auto" w:fill="FFFFFF"/>
          <w:lang w:val="zh-CN" w:eastAsia="zh-CN"/>
        </w:rPr>
        <w:t>设立</w:t>
      </w:r>
      <w:r>
        <w:rPr>
          <w:rFonts w:hint="eastAsia" w:ascii="Times New Roman" w:hAnsi="Times New Roman" w:eastAsia="仿宋_GB2312" w:cs="Times New Roman"/>
          <w:color w:val="000000"/>
          <w:kern w:val="0"/>
          <w:sz w:val="32"/>
          <w:szCs w:val="32"/>
          <w:shd w:val="clear" w:color="auto" w:fill="FFFFFF"/>
          <w:lang w:val="en-US" w:eastAsia="zh-CN"/>
        </w:rPr>
        <w:t>严格按照</w:t>
      </w:r>
      <w:r>
        <w:rPr>
          <w:rFonts w:hint="eastAsia" w:ascii="Times New Roman" w:hAnsi="Times New Roman" w:eastAsia="仿宋_GB2312" w:cs="Times New Roman"/>
          <w:color w:val="000000"/>
          <w:kern w:val="0"/>
          <w:sz w:val="32"/>
          <w:szCs w:val="32"/>
          <w:shd w:val="clear" w:color="auto" w:fill="FFFFFF"/>
          <w:lang w:val="zh-CN" w:eastAsia="zh-CN"/>
        </w:rPr>
        <w:t>规定履行评估论证，</w:t>
      </w:r>
      <w:r>
        <w:rPr>
          <w:rFonts w:hint="eastAsia" w:ascii="Times New Roman" w:hAnsi="Times New Roman" w:eastAsia="仿宋_GB2312" w:cs="Times New Roman"/>
          <w:color w:val="000000"/>
          <w:kern w:val="0"/>
          <w:sz w:val="32"/>
          <w:szCs w:val="32"/>
          <w:shd w:val="clear" w:color="auto" w:fill="FFFFFF"/>
          <w:lang w:val="en-US" w:eastAsia="zh-CN"/>
        </w:rPr>
        <w:t>并按照项目入库管理流程进行申报审核，</w:t>
      </w:r>
      <w:r>
        <w:rPr>
          <w:rFonts w:hint="eastAsia" w:ascii="Times New Roman" w:hAnsi="Times New Roman" w:eastAsia="仿宋_GB2312" w:cs="Times New Roman"/>
          <w:color w:val="000000"/>
          <w:kern w:val="0"/>
          <w:sz w:val="32"/>
          <w:szCs w:val="32"/>
          <w:shd w:val="clear" w:color="auto" w:fill="FFFFFF"/>
          <w:lang w:val="zh-CN" w:eastAsia="zh-CN"/>
        </w:rPr>
        <w:t>切实按照</w:t>
      </w:r>
      <w:r>
        <w:rPr>
          <w:rFonts w:hint="eastAsia" w:ascii="Times New Roman" w:hAnsi="Times New Roman" w:eastAsia="仿宋_GB2312" w:cs="Times New Roman"/>
          <w:color w:val="000000"/>
          <w:kern w:val="0"/>
          <w:sz w:val="32"/>
          <w:szCs w:val="32"/>
          <w:shd w:val="clear" w:color="auto" w:fill="FFFFFF"/>
          <w:lang w:val="en-US" w:eastAsia="zh-CN"/>
        </w:rPr>
        <w:t>上级部门要求</w:t>
      </w:r>
      <w:r>
        <w:rPr>
          <w:rFonts w:hint="eastAsia" w:ascii="Times New Roman" w:hAnsi="Times New Roman" w:eastAsia="仿宋_GB2312" w:cs="Times New Roman"/>
          <w:color w:val="000000"/>
          <w:kern w:val="0"/>
          <w:sz w:val="32"/>
          <w:szCs w:val="32"/>
          <w:shd w:val="clear" w:color="auto" w:fill="FFFFFF"/>
          <w:lang w:val="zh-CN" w:eastAsia="zh-CN"/>
        </w:rPr>
        <w:t>和年度重点任务制定绩效目标，编制要素科学合理、规范完整，绩效指标编制细化量化，与预算安排相匹配。预算项目</w:t>
      </w:r>
      <w:r>
        <w:rPr>
          <w:rFonts w:hint="eastAsia" w:ascii="Times New Roman" w:hAnsi="Times New Roman" w:eastAsia="仿宋_GB2312" w:cs="Times New Roman"/>
          <w:color w:val="000000"/>
          <w:kern w:val="0"/>
          <w:sz w:val="32"/>
          <w:szCs w:val="32"/>
          <w:shd w:val="clear" w:color="auto" w:fill="FFFFFF"/>
          <w:lang w:val="en-US" w:eastAsia="zh-CN"/>
        </w:rPr>
        <w:t>均在</w:t>
      </w:r>
      <w:r>
        <w:rPr>
          <w:rFonts w:hint="eastAsia" w:ascii="Times New Roman" w:hAnsi="Times New Roman" w:eastAsia="仿宋_GB2312" w:cs="Times New Roman"/>
          <w:color w:val="000000"/>
          <w:kern w:val="0"/>
          <w:sz w:val="32"/>
          <w:szCs w:val="32"/>
          <w:shd w:val="clear" w:color="auto" w:fill="FFFFFF"/>
          <w:lang w:val="zh-CN" w:eastAsia="zh-CN"/>
        </w:rPr>
        <w:t>规定时间内完成项目入库。</w:t>
      </w:r>
    </w:p>
    <w:p w14:paraId="63CE964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2.项目执行。</w:t>
      </w:r>
      <w:r>
        <w:rPr>
          <w:rFonts w:hint="eastAsia" w:ascii="Times New Roman" w:hAnsi="Times New Roman" w:eastAsia="仿宋_GB2312" w:cs="Times New Roman"/>
          <w:color w:val="000000"/>
          <w:kern w:val="0"/>
          <w:sz w:val="32"/>
          <w:szCs w:val="32"/>
          <w:shd w:val="clear" w:color="auto" w:fill="FFFFFF"/>
          <w:lang w:val="zh-CN"/>
        </w:rPr>
        <w:t>围绕年度重点工作任务，认真履职</w:t>
      </w:r>
      <w:r>
        <w:rPr>
          <w:rFonts w:hint="eastAsia" w:ascii="Times New Roman" w:hAnsi="Times New Roman" w:eastAsia="仿宋_GB2312" w:cs="Times New Roman"/>
          <w:color w:val="000000"/>
          <w:kern w:val="0"/>
          <w:sz w:val="32"/>
          <w:szCs w:val="32"/>
          <w:shd w:val="clear" w:color="auto" w:fill="FFFFFF"/>
          <w:lang w:val="en-US" w:eastAsia="zh-CN"/>
        </w:rPr>
        <w:t>，</w:t>
      </w:r>
      <w:r>
        <w:rPr>
          <w:rFonts w:hint="eastAsia" w:ascii="Times New Roman" w:hAnsi="Times New Roman" w:eastAsia="仿宋_GB2312" w:cs="Times New Roman"/>
          <w:color w:val="000000"/>
          <w:kern w:val="0"/>
          <w:sz w:val="32"/>
          <w:szCs w:val="32"/>
          <w:shd w:val="clear" w:color="auto" w:fill="FFFFFF"/>
          <w:lang w:val="zh-CN"/>
        </w:rPr>
        <w:t>部门整体支出、项目支出绩效目标均实现较好。通过扎实开展整体支出预算绩效和项目绩效运行监控分析，根据分析结果及时对相关经费进行了预算收回或科目调整。</w:t>
      </w:r>
    </w:p>
    <w:p w14:paraId="1963F51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3.</w:t>
      </w:r>
      <w:r>
        <w:rPr>
          <w:rFonts w:hint="eastAsia" w:ascii="楷体_GB2312" w:hAnsi="楷体_GB2312" w:eastAsia="楷体_GB2312" w:cs="楷体_GB2312"/>
          <w:color w:val="000000"/>
          <w:kern w:val="0"/>
          <w:sz w:val="32"/>
          <w:szCs w:val="32"/>
          <w:highlight w:val="none"/>
          <w:shd w:val="clear" w:color="auto" w:fill="FFFFFF"/>
          <w:lang w:val="zh-CN"/>
        </w:rPr>
        <w:t>目标实现。</w:t>
      </w:r>
      <w:r>
        <w:rPr>
          <w:rFonts w:hint="eastAsia" w:ascii="Times New Roman" w:hAnsi="Times New Roman" w:eastAsia="仿宋_GB2312" w:cs="Times New Roman"/>
          <w:color w:val="000000"/>
          <w:kern w:val="0"/>
          <w:sz w:val="32"/>
          <w:szCs w:val="32"/>
          <w:shd w:val="clear" w:color="auto" w:fill="FFFFFF"/>
          <w:lang w:val="zh-CN"/>
        </w:rPr>
        <w:t>围绕各项绩效目标认真履职，预算项目绩效目标数量指标基本完成，项目整体目标基本实现，未发现预算项目绩效目标数量指标实现程度与预期目标的偏离情况的情况，项目按计划实施，其各项效益指标、满意度指标均达到绩效目标预期效果。</w:t>
      </w:r>
    </w:p>
    <w:p w14:paraId="24991AD2">
      <w:pPr>
        <w:keepNext w:val="0"/>
        <w:keepLines w:val="0"/>
        <w:pageBreakBefore w:val="0"/>
        <w:widowControl w:val="0"/>
        <w:numPr>
          <w:ilvl w:val="0"/>
          <w:numId w:val="2"/>
        </w:numPr>
        <w:kinsoku/>
        <w:wordWrap/>
        <w:overflowPunct/>
        <w:topLinePunct w:val="0"/>
        <w:autoSpaceDE/>
        <w:autoSpaceDN/>
        <w:bidi w:val="0"/>
        <w:snapToGrid w:val="0"/>
        <w:spacing w:line="600" w:lineRule="exact"/>
        <w:ind w:left="-322" w:leftChars="0" w:firstLine="642" w:firstLineChars="0"/>
        <w:textAlignment w:val="auto"/>
        <w:rPr>
          <w:rFonts w:hint="eastAsia" w:ascii="Times New Roman" w:hAnsi="Times New Roman" w:eastAsia="楷体_GB2312" w:cs="Times New Roman"/>
          <w:b/>
          <w:bCs/>
          <w:sz w:val="32"/>
          <w:szCs w:val="32"/>
          <w:lang w:val="zh-CN"/>
        </w:rPr>
      </w:pPr>
      <w:r>
        <w:rPr>
          <w:rFonts w:hint="default" w:ascii="Times New Roman" w:hAnsi="Times New Roman" w:eastAsia="楷体_GB2312" w:cs="Times New Roman"/>
          <w:b/>
          <w:bCs/>
          <w:sz w:val="32"/>
          <w:szCs w:val="32"/>
          <w:lang w:val="zh-CN"/>
        </w:rPr>
        <w:t>绩效结果应用情况</w:t>
      </w:r>
    </w:p>
    <w:p w14:paraId="42543BD6">
      <w:pPr>
        <w:snapToGrid w:val="0"/>
        <w:spacing w:line="600" w:lineRule="exact"/>
        <w:ind w:firstLine="640" w:firstLineChars="200"/>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en-US" w:eastAsia="zh-CN"/>
        </w:rPr>
        <w:t>1.</w:t>
      </w:r>
      <w:r>
        <w:rPr>
          <w:rFonts w:hint="eastAsia" w:ascii="Times New Roman" w:hAnsi="Times New Roman" w:eastAsia="仿宋_GB2312" w:cs="Times New Roman"/>
          <w:color w:val="000000"/>
          <w:kern w:val="0"/>
          <w:sz w:val="32"/>
          <w:szCs w:val="32"/>
          <w:shd w:val="clear" w:color="auto" w:fill="FFFFFF"/>
          <w:lang w:val="zh-CN"/>
        </w:rPr>
        <w:t>将绩效自评纳入考核体系，建立了预算与绩效挂钩机制。</w:t>
      </w:r>
    </w:p>
    <w:p w14:paraId="70DD4079">
      <w:pPr>
        <w:snapToGrid w:val="0"/>
        <w:spacing w:line="600" w:lineRule="exact"/>
        <w:ind w:firstLine="640" w:firstLineChars="200"/>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2.信息公开情况</w:t>
      </w:r>
      <w:r>
        <w:rPr>
          <w:rFonts w:hint="eastAsia"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按照县财政局相关要求，在</w:t>
      </w:r>
      <w:r>
        <w:rPr>
          <w:rFonts w:hint="eastAsia" w:ascii="Times New Roman" w:hAnsi="Times New Roman" w:eastAsia="仿宋_GB2312" w:cs="Times New Roman"/>
          <w:color w:val="000000"/>
          <w:kern w:val="0"/>
          <w:sz w:val="32"/>
          <w:szCs w:val="32"/>
          <w:shd w:val="clear" w:color="auto" w:fill="FFFFFF"/>
          <w:lang w:val="en-US" w:eastAsia="zh-CN"/>
        </w:rPr>
        <w:t>茂县</w:t>
      </w:r>
      <w:r>
        <w:rPr>
          <w:rFonts w:hint="eastAsia" w:ascii="Times New Roman" w:hAnsi="Times New Roman" w:eastAsia="仿宋_GB2312" w:cs="Times New Roman"/>
          <w:color w:val="000000"/>
          <w:kern w:val="0"/>
          <w:sz w:val="32"/>
          <w:szCs w:val="32"/>
          <w:shd w:val="clear" w:color="auto" w:fill="FFFFFF"/>
          <w:lang w:val="zh-CN"/>
        </w:rPr>
        <w:t>人民政府门户网站上将部门整体支出绩效目标、部门预算项目绩效目标和自评情况等绩效信息随同预决算向社会公开。</w:t>
      </w:r>
    </w:p>
    <w:p w14:paraId="4C139627">
      <w:pPr>
        <w:snapToGrid w:val="0"/>
        <w:spacing w:line="600" w:lineRule="exact"/>
        <w:ind w:firstLine="640" w:firstLineChars="200"/>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3.整改反馈情况</w:t>
      </w:r>
      <w:r>
        <w:rPr>
          <w:rFonts w:hint="eastAsia"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2025年度未收到人大监督、巡视巡察、审计监督、财会监督等反馈的有关预算绩效存在的问题。</w:t>
      </w:r>
    </w:p>
    <w:p w14:paraId="38CE9B05">
      <w:pPr>
        <w:snapToGrid w:val="0"/>
        <w:spacing w:line="600" w:lineRule="exact"/>
        <w:ind w:firstLine="640" w:firstLineChars="200"/>
        <w:rPr>
          <w:rFonts w:hint="default" w:ascii="仿宋_GB2312" w:hAnsi="仿宋_GB2312" w:eastAsia="仿宋_GB2312" w:cs="仿宋_GB2312"/>
          <w:b/>
          <w:bCs w:val="0"/>
          <w:sz w:val="32"/>
          <w:szCs w:val="32"/>
        </w:rPr>
      </w:pPr>
      <w:r>
        <w:rPr>
          <w:rFonts w:hint="eastAsia" w:ascii="Times New Roman" w:hAnsi="Times New Roman" w:eastAsia="仿宋_GB2312" w:cs="Times New Roman"/>
          <w:color w:val="000000"/>
          <w:kern w:val="0"/>
          <w:sz w:val="32"/>
          <w:szCs w:val="32"/>
          <w:shd w:val="clear" w:color="auto" w:fill="FFFFFF"/>
          <w:lang w:val="zh-CN"/>
        </w:rPr>
        <w:t>根据职责分工，开展部门整体支出和部门预算项目支出绩效自评，对预算执行率不高、绩效目标未完成的项目，认真分析原因，</w:t>
      </w:r>
      <w:r>
        <w:rPr>
          <w:rFonts w:hint="eastAsia" w:ascii="Times New Roman" w:hAnsi="Times New Roman" w:eastAsia="仿宋_GB2312" w:cs="Times New Roman"/>
          <w:color w:val="000000"/>
          <w:kern w:val="0"/>
          <w:sz w:val="32"/>
          <w:szCs w:val="32"/>
          <w:shd w:val="clear" w:color="auto" w:fill="FFFFFF"/>
          <w:lang w:val="en-US" w:eastAsia="zh-CN"/>
        </w:rPr>
        <w:t>进行</w:t>
      </w:r>
      <w:r>
        <w:rPr>
          <w:rFonts w:hint="eastAsia" w:ascii="Times New Roman" w:hAnsi="Times New Roman" w:eastAsia="仿宋_GB2312" w:cs="Times New Roman"/>
          <w:color w:val="000000"/>
          <w:kern w:val="0"/>
          <w:sz w:val="32"/>
          <w:szCs w:val="32"/>
          <w:shd w:val="clear" w:color="auto" w:fill="FFFFFF"/>
          <w:lang w:val="zh-CN"/>
        </w:rPr>
        <w:t>绩效评价结果应用，将评价结果作为以后年度预算编制的重要依据。</w:t>
      </w:r>
    </w:p>
    <w:p w14:paraId="0DCDA79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02478626">
      <w:pPr>
        <w:widowControl/>
        <w:adjustRightInd w:val="0"/>
        <w:snapToGrid w:val="0"/>
        <w:spacing w:line="578" w:lineRule="exact"/>
        <w:ind w:firstLine="643" w:firstLineChars="200"/>
        <w:contextualSpacing/>
        <w:jc w:val="left"/>
        <w:rPr>
          <w:rFonts w:hint="eastAsia" w:ascii="仿宋_GB2312" w:hAnsi="Times New Roman" w:eastAsia="仿宋_GB2312" w:cs="Times New Roman"/>
          <w:sz w:val="32"/>
          <w:szCs w:val="32"/>
        </w:rPr>
      </w:pPr>
      <w:r>
        <w:rPr>
          <w:rFonts w:ascii="Times New Roman" w:hAnsi="Times New Roman" w:eastAsia="楷体_GB2312" w:cs="Times New Roman"/>
          <w:b/>
          <w:bCs/>
          <w:color w:val="000000"/>
          <w:kern w:val="0"/>
          <w:sz w:val="32"/>
          <w:szCs w:val="32"/>
          <w:shd w:val="clear" w:color="auto" w:fill="FFFFFF"/>
          <w:lang w:val="zh-CN"/>
        </w:rPr>
        <w:t>（一）评价结论。</w:t>
      </w:r>
      <w:r>
        <w:rPr>
          <w:rFonts w:hint="eastAsia" w:ascii="仿宋_GB2312" w:hAnsi="Times New Roman" w:eastAsia="楷体_GB2312" w:cs="Times New Roman"/>
          <w:sz w:val="32"/>
          <w:szCs w:val="32"/>
          <w:lang w:eastAsia="zh-CN"/>
        </w:rPr>
        <w:t>2025年</w:t>
      </w:r>
      <w:r>
        <w:rPr>
          <w:rFonts w:hint="eastAsia" w:ascii="仿宋_GB2312" w:hAnsi="Times New Roman" w:eastAsia="仿宋_GB2312" w:cs="Times New Roman"/>
          <w:sz w:val="32"/>
          <w:szCs w:val="32"/>
        </w:rPr>
        <w:t>我</w:t>
      </w:r>
      <w:r>
        <w:rPr>
          <w:rFonts w:hint="eastAsia" w:ascii="仿宋_GB2312" w:eastAsia="仿宋_GB2312" w:cs="Times New Roman"/>
          <w:sz w:val="32"/>
          <w:szCs w:val="32"/>
          <w:lang w:val="en-US" w:eastAsia="zh-CN"/>
        </w:rPr>
        <w:t>局</w:t>
      </w:r>
      <w:r>
        <w:rPr>
          <w:rFonts w:hint="eastAsia" w:ascii="仿宋_GB2312" w:hAnsi="Times New Roman" w:eastAsia="仿宋_GB2312" w:cs="Times New Roman"/>
          <w:sz w:val="32"/>
          <w:szCs w:val="32"/>
        </w:rPr>
        <w:t>部门整体支出绩效评价自查</w:t>
      </w:r>
      <w:r>
        <w:rPr>
          <w:rFonts w:hint="eastAsia" w:ascii="仿宋_GB2312" w:hAnsi="Times New Roman" w:eastAsia="仿宋_GB2312" w:cs="Times New Roman"/>
          <w:sz w:val="32"/>
          <w:szCs w:val="32"/>
          <w:lang w:val="en-US" w:eastAsia="zh-CN"/>
        </w:rPr>
        <w:t>100分，</w:t>
      </w:r>
      <w:r>
        <w:rPr>
          <w:rFonts w:hint="eastAsia" w:ascii="仿宋_GB2312" w:hAnsi="Times New Roman" w:eastAsia="仿宋_GB2312" w:cs="Times New Roman"/>
          <w:sz w:val="32"/>
          <w:szCs w:val="32"/>
        </w:rPr>
        <w:t>自评结果良好，全年基本支出保证了部门的正常运行和日常工作的正常开展，项目支出保障了重点工作的开展，达到预期绩效目标。</w:t>
      </w:r>
    </w:p>
    <w:p w14:paraId="1CDD1897">
      <w:pPr>
        <w:widowControl/>
        <w:adjustRightInd w:val="0"/>
        <w:snapToGrid w:val="0"/>
        <w:spacing w:line="578" w:lineRule="exact"/>
        <w:ind w:firstLine="643" w:firstLineChars="200"/>
        <w:contextualSpacing/>
        <w:jc w:val="left"/>
        <w:rPr>
          <w:rFonts w:hint="eastAsia" w:ascii="仿宋_GB2312" w:hAnsi="仿宋_GB2312" w:eastAsia="仿宋_GB2312" w:cs="仿宋_GB2312"/>
          <w:b w:val="0"/>
          <w:bCs w:val="0"/>
          <w:color w:val="000000" w:themeColor="text1"/>
          <w:w w:val="95"/>
          <w:kern w:val="0"/>
          <w:sz w:val="32"/>
          <w:szCs w:val="32"/>
          <w:lang w:val="en-US" w:eastAsia="zh-CN"/>
          <w14:textFill>
            <w14:solidFill>
              <w14:schemeClr w14:val="tx1"/>
            </w14:solidFill>
          </w14:textFill>
        </w:rPr>
      </w:pPr>
      <w:r>
        <w:rPr>
          <w:rFonts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（二）存在问题。</w:t>
      </w:r>
      <w:r>
        <w:rPr>
          <w:rFonts w:hint="eastAsia" w:ascii="仿宋_GB2312" w:hAnsi="仿宋_GB2312" w:eastAsia="仿宋_GB2312" w:cs="仿宋_GB2312"/>
          <w:b w:val="0"/>
          <w:bCs w:val="0"/>
          <w:color w:val="000000" w:themeColor="text1"/>
          <w:w w:val="95"/>
          <w:kern w:val="0"/>
          <w:sz w:val="32"/>
          <w:szCs w:val="32"/>
          <w:lang w:eastAsia="zh-CN"/>
          <w14:textFill>
            <w14:solidFill>
              <w14:schemeClr w14:val="tx1"/>
            </w14:solidFill>
          </w14:textFill>
        </w:rPr>
        <w:t>无</w:t>
      </w:r>
      <w:r>
        <w:rPr>
          <w:rFonts w:hint="eastAsia" w:ascii="仿宋_GB2312" w:hAnsi="仿宋_GB2312" w:eastAsia="仿宋_GB2312" w:cs="仿宋_GB2312"/>
          <w:b w:val="0"/>
          <w:bCs w:val="0"/>
          <w:color w:val="000000" w:themeColor="text1"/>
          <w:w w:val="95"/>
          <w:kern w:val="0"/>
          <w:sz w:val="32"/>
          <w:szCs w:val="32"/>
          <w:lang w:val="en-US" w:eastAsia="zh-CN"/>
          <w14:textFill>
            <w14:solidFill>
              <w14:schemeClr w14:val="tx1"/>
            </w14:solidFill>
          </w14:textFill>
        </w:rPr>
        <w:t>专项预算项目绩效自评发现的问题。</w:t>
      </w:r>
    </w:p>
    <w:p w14:paraId="2C202D8A">
      <w:pPr>
        <w:widowControl/>
        <w:adjustRightInd w:val="0"/>
        <w:snapToGrid w:val="0"/>
        <w:spacing w:line="578" w:lineRule="exact"/>
        <w:ind w:firstLine="643" w:firstLineChars="200"/>
        <w:contextualSpacing/>
        <w:jc w:val="left"/>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pPr>
      <w:r>
        <w:rPr>
          <w:rFonts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（三）改进建议。</w:t>
      </w:r>
      <w:bookmarkStart w:id="72" w:name="_Hlk110546638"/>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无专项预算项目在预算安排、完善政策、改进管理等方面的措施建议。</w:t>
      </w:r>
      <w:bookmarkEnd w:id="72"/>
    </w:p>
    <w:p w14:paraId="0BAC3479">
      <w:pPr>
        <w:pStyle w:val="2"/>
        <w:rPr>
          <w:rFonts w:hint="eastAsia"/>
          <w:lang w:val="en-US" w:eastAsia="zh-CN"/>
        </w:rPr>
      </w:pPr>
    </w:p>
    <w:tbl>
      <w:tblPr>
        <w:tblStyle w:val="19"/>
        <w:tblW w:w="48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36"/>
        <w:gridCol w:w="1296"/>
        <w:gridCol w:w="666"/>
        <w:gridCol w:w="666"/>
        <w:gridCol w:w="130"/>
        <w:gridCol w:w="999"/>
        <w:gridCol w:w="396"/>
        <w:gridCol w:w="338"/>
        <w:gridCol w:w="486"/>
        <w:gridCol w:w="384"/>
        <w:gridCol w:w="102"/>
        <w:gridCol w:w="298"/>
        <w:gridCol w:w="396"/>
        <w:gridCol w:w="659"/>
      </w:tblGrid>
      <w:tr w14:paraId="68DE1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C420BC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9140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A48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698D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51322325T000012221757-关于解决购买服务人员工资（含保险）</w:t>
            </w:r>
          </w:p>
        </w:tc>
      </w:tr>
      <w:tr w14:paraId="527E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A99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577" w:type="pct"/>
            <w:gridSpan w:val="3"/>
            <w:tcBorders>
              <w:top w:val="single" w:color="000000" w:sz="4" w:space="0"/>
              <w:left w:val="single" w:color="000000" w:sz="4" w:space="0"/>
              <w:bottom w:val="single" w:color="auto" w:sz="4" w:space="0"/>
              <w:right w:val="single" w:color="auto" w:sz="4" w:space="0"/>
            </w:tcBorders>
            <w:shd w:val="clear" w:color="auto" w:fill="auto"/>
            <w:vAlign w:val="center"/>
          </w:tcPr>
          <w:p w14:paraId="3FFE2B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w:t>
            </w:r>
          </w:p>
        </w:tc>
        <w:tc>
          <w:tcPr>
            <w:tcW w:w="1120" w:type="pct"/>
            <w:gridSpan w:val="4"/>
            <w:tcBorders>
              <w:top w:val="nil"/>
              <w:left w:val="single" w:color="auto" w:sz="4" w:space="0"/>
              <w:bottom w:val="single" w:color="auto" w:sz="4" w:space="0"/>
              <w:right w:val="nil"/>
            </w:tcBorders>
            <w:shd w:val="clear" w:color="auto" w:fill="auto"/>
            <w:vAlign w:val="center"/>
          </w:tcPr>
          <w:p w14:paraId="3B03C4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C08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茂县综合行政执法局（行政）</w:t>
            </w:r>
          </w:p>
        </w:tc>
      </w:tr>
      <w:tr w14:paraId="78012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316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679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F3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1C7D8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B688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04FD0">
            <w:pP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F2F6F">
            <w:pPr>
              <w:rPr>
                <w:rFonts w:hint="eastAsia" w:ascii="宋体" w:hAnsi="宋体" w:eastAsia="宋体" w:cs="宋体"/>
                <w:i w:val="0"/>
                <w:iCs w:val="0"/>
                <w:color w:val="000000"/>
                <w:sz w:val="18"/>
                <w:szCs w:val="18"/>
                <w:u w:val="none"/>
              </w:rPr>
            </w:pP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000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2024年保安10-12月服务费：1人，12000元。2024年辅助执法人员11-12月7人48434.4元。共计60434.4元。</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5A281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16DB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8384D">
            <w:pP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74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2B87E1C">
            <w:pPr>
              <w:rPr>
                <w:rFonts w:hint="eastAsia" w:ascii="宋体" w:hAnsi="宋体" w:eastAsia="宋体" w:cs="宋体"/>
                <w:i w:val="0"/>
                <w:iCs w:val="0"/>
                <w:color w:val="000000"/>
                <w:sz w:val="18"/>
                <w:szCs w:val="18"/>
                <w:u w:val="none"/>
              </w:rPr>
            </w:pPr>
          </w:p>
        </w:tc>
      </w:tr>
      <w:tr w14:paraId="4A56B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EE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4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4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C8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2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367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9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CE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BD3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0A5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0FD4A">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4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6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3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A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B08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85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A4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F421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565F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66E28">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6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53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D5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9D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34.56</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020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F1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95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A9BCB">
            <w:pPr>
              <w:rPr>
                <w:rFonts w:hint="eastAsia" w:ascii="黑体" w:hAnsi="黑体" w:eastAsia="黑体" w:cs="黑体"/>
                <w:i/>
                <w:iCs/>
                <w:color w:val="000000"/>
                <w:sz w:val="18"/>
                <w:szCs w:val="18"/>
                <w:u w:val="none"/>
              </w:rPr>
            </w:pPr>
          </w:p>
        </w:tc>
      </w:tr>
      <w:tr w14:paraId="2857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5759E">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4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3E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4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6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090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6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E6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FAEEF">
            <w:pPr>
              <w:rPr>
                <w:rFonts w:hint="eastAsia" w:ascii="黑体" w:hAnsi="黑体" w:eastAsia="黑体" w:cs="黑体"/>
                <w:i/>
                <w:iCs/>
                <w:color w:val="000000"/>
                <w:sz w:val="18"/>
                <w:szCs w:val="18"/>
                <w:u w:val="none"/>
              </w:rPr>
            </w:pPr>
          </w:p>
        </w:tc>
      </w:tr>
      <w:tr w14:paraId="5B0C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B07C0">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C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4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C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8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D0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AA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8B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1C357">
            <w:pPr>
              <w:rPr>
                <w:rFonts w:hint="eastAsia" w:ascii="黑体" w:hAnsi="黑体" w:eastAsia="黑体" w:cs="黑体"/>
                <w:i/>
                <w:iCs/>
                <w:color w:val="000000"/>
                <w:sz w:val="18"/>
                <w:szCs w:val="18"/>
                <w:u w:val="none"/>
              </w:rPr>
            </w:pPr>
          </w:p>
        </w:tc>
      </w:tr>
      <w:tr w14:paraId="32D33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3EAD0">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4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EBAF">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ADF71">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0040">
            <w:pPr>
              <w:jc w:val="center"/>
              <w:rPr>
                <w:rFonts w:hint="eastAsia" w:ascii="微软雅黑" w:hAnsi="微软雅黑" w:eastAsia="微软雅黑" w:cs="微软雅黑"/>
                <w:i/>
                <w:iCs/>
                <w:color w:val="000000"/>
                <w:sz w:val="16"/>
                <w:szCs w:val="16"/>
                <w:u w:val="none"/>
              </w:rPr>
            </w:pP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843D8B">
            <w:pPr>
              <w:jc w:val="center"/>
              <w:rPr>
                <w:rFonts w:hint="eastAsia" w:ascii="微软雅黑" w:hAns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C8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C7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AA153">
            <w:pPr>
              <w:rPr>
                <w:rFonts w:hint="eastAsia" w:ascii="黑体" w:hAnsi="黑体" w:eastAsia="黑体" w:cs="黑体"/>
                <w:i/>
                <w:iCs/>
                <w:color w:val="000000"/>
                <w:sz w:val="18"/>
                <w:szCs w:val="18"/>
                <w:u w:val="none"/>
              </w:rPr>
            </w:pPr>
          </w:p>
        </w:tc>
      </w:tr>
      <w:tr w14:paraId="5D88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01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AE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72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DC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37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F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D4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D7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B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CA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2A2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E9512">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45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E8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18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项目涉及保安人员数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6D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6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08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1E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25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F1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37CA">
            <w:pPr>
              <w:jc w:val="center"/>
              <w:rPr>
                <w:rFonts w:hint="eastAsia" w:ascii="微软雅黑" w:hAnsi="微软雅黑" w:eastAsia="微软雅黑" w:cs="微软雅黑"/>
                <w:i/>
                <w:iCs/>
                <w:color w:val="000000"/>
                <w:sz w:val="16"/>
                <w:szCs w:val="16"/>
                <w:u w:val="none"/>
              </w:rPr>
            </w:pPr>
          </w:p>
        </w:tc>
      </w:tr>
      <w:tr w14:paraId="4C09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3AEA3">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4873">
            <w:pPr>
              <w:jc w:val="center"/>
              <w:rPr>
                <w:rFonts w:hint="eastAsia" w:ascii="宋体" w:hAnsi="宋体" w:eastAsia="宋体" w:cs="宋体"/>
                <w:i w:val="0"/>
                <w:iCs w:val="0"/>
                <w:color w:val="000000"/>
                <w:sz w:val="18"/>
                <w:szCs w:val="18"/>
                <w:u w:val="none"/>
              </w:rPr>
            </w:pPr>
          </w:p>
        </w:tc>
        <w:tc>
          <w:tcPr>
            <w:tcW w:w="7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F26A">
            <w:pPr>
              <w:jc w:val="center"/>
              <w:rPr>
                <w:rFonts w:hint="eastAsia" w:ascii="宋体" w:hAnsi="宋体" w:eastAsia="宋体" w:cs="宋体"/>
                <w:i w:val="0"/>
                <w:iCs w:val="0"/>
                <w:color w:val="000000"/>
                <w:sz w:val="18"/>
                <w:szCs w:val="18"/>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6A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项目涉及辅助执法人员数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72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64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C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AC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BF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6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357C">
            <w:pPr>
              <w:jc w:val="center"/>
              <w:rPr>
                <w:rFonts w:hint="eastAsia" w:ascii="微软雅黑" w:hAnsi="微软雅黑" w:eastAsia="微软雅黑" w:cs="微软雅黑"/>
                <w:i/>
                <w:iCs/>
                <w:color w:val="000000"/>
                <w:sz w:val="16"/>
                <w:szCs w:val="16"/>
                <w:u w:val="none"/>
              </w:rPr>
            </w:pPr>
          </w:p>
        </w:tc>
      </w:tr>
      <w:tr w14:paraId="6534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1318D">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5AEC7">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B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8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项目完场质量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E2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A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D2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60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CD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D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1DAAF">
            <w:pPr>
              <w:jc w:val="center"/>
              <w:rPr>
                <w:rFonts w:hint="eastAsia" w:ascii="微软雅黑" w:hAnsi="微软雅黑" w:eastAsia="微软雅黑" w:cs="微软雅黑"/>
                <w:i/>
                <w:iCs/>
                <w:color w:val="000000"/>
                <w:sz w:val="16"/>
                <w:szCs w:val="16"/>
                <w:u w:val="none"/>
              </w:rPr>
            </w:pPr>
          </w:p>
        </w:tc>
      </w:tr>
      <w:tr w14:paraId="4F993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88D49">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AC799">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4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5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AA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3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1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A8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24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1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1DB7">
            <w:pPr>
              <w:jc w:val="center"/>
              <w:rPr>
                <w:rFonts w:hint="eastAsia" w:ascii="微软雅黑" w:hAnsi="微软雅黑" w:eastAsia="微软雅黑" w:cs="微软雅黑"/>
                <w:i/>
                <w:iCs/>
                <w:color w:val="000000"/>
                <w:sz w:val="16"/>
                <w:szCs w:val="16"/>
                <w:u w:val="none"/>
              </w:rPr>
            </w:pPr>
          </w:p>
        </w:tc>
      </w:tr>
      <w:tr w14:paraId="34D13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F712E">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8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9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F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增加执法力量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6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6B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优良差</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D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82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A6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4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9F63">
            <w:pPr>
              <w:jc w:val="center"/>
              <w:rPr>
                <w:rFonts w:hint="eastAsia" w:ascii="微软雅黑" w:hAnsi="微软雅黑" w:eastAsia="微软雅黑" w:cs="微软雅黑"/>
                <w:i/>
                <w:iCs/>
                <w:color w:val="000000"/>
                <w:sz w:val="16"/>
                <w:szCs w:val="16"/>
                <w:u w:val="none"/>
              </w:rPr>
            </w:pPr>
          </w:p>
        </w:tc>
      </w:tr>
      <w:tr w14:paraId="745E6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328B">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3D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A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5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购买人员是否满意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B3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D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8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B2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20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88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61C0">
            <w:pPr>
              <w:jc w:val="center"/>
              <w:rPr>
                <w:rFonts w:hint="eastAsia" w:ascii="微软雅黑" w:hAnsi="微软雅黑" w:eastAsia="微软雅黑" w:cs="微软雅黑"/>
                <w:i/>
                <w:iCs/>
                <w:color w:val="000000"/>
                <w:sz w:val="16"/>
                <w:szCs w:val="16"/>
                <w:u w:val="none"/>
              </w:rPr>
            </w:pPr>
          </w:p>
        </w:tc>
      </w:tr>
      <w:tr w14:paraId="4B8AF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EDF5">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5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A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82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预算投入金额</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20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8A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60434.4</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4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36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255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3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785B">
            <w:pPr>
              <w:jc w:val="center"/>
              <w:rPr>
                <w:rFonts w:hint="eastAsia" w:ascii="微软雅黑" w:hAnsi="微软雅黑" w:eastAsia="微软雅黑" w:cs="微软雅黑"/>
                <w:i/>
                <w:iCs/>
                <w:color w:val="000000"/>
                <w:sz w:val="16"/>
                <w:szCs w:val="16"/>
                <w:u w:val="none"/>
              </w:rPr>
            </w:pPr>
          </w:p>
        </w:tc>
      </w:tr>
      <w:tr w14:paraId="24C6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0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802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EA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42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84E2E">
            <w:pPr>
              <w:rPr>
                <w:rFonts w:hint="eastAsia" w:ascii="宋体" w:hAnsi="宋体" w:eastAsia="宋体" w:cs="宋体"/>
                <w:i w:val="0"/>
                <w:iCs w:val="0"/>
                <w:color w:val="000000"/>
                <w:sz w:val="18"/>
                <w:szCs w:val="18"/>
                <w:u w:val="none"/>
              </w:rPr>
            </w:pPr>
          </w:p>
        </w:tc>
      </w:tr>
      <w:tr w14:paraId="4CF92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64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54A4C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项目自评得分100分，项目预算执行率100%。</w:t>
            </w:r>
          </w:p>
        </w:tc>
      </w:tr>
      <w:tr w14:paraId="36537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4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D5EA0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A32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3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88691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EA3E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45" w:type="pct"/>
            <w:tcBorders>
              <w:top w:val="nil"/>
              <w:left w:val="nil"/>
              <w:bottom w:val="nil"/>
              <w:right w:val="nil"/>
            </w:tcBorders>
            <w:shd w:val="clear" w:color="auto" w:fill="auto"/>
            <w:vAlign w:val="center"/>
          </w:tcPr>
          <w:p w14:paraId="6485B610">
            <w:pPr>
              <w:rPr>
                <w:rFonts w:hint="eastAsia" w:ascii="宋体" w:hAnsi="宋体" w:eastAsia="宋体" w:cs="宋体"/>
                <w:i w:val="0"/>
                <w:iCs w:val="0"/>
                <w:color w:val="000000"/>
                <w:sz w:val="18"/>
                <w:szCs w:val="18"/>
                <w:u w:val="none"/>
              </w:rPr>
            </w:pPr>
          </w:p>
        </w:tc>
        <w:tc>
          <w:tcPr>
            <w:tcW w:w="561" w:type="pct"/>
            <w:tcBorders>
              <w:top w:val="nil"/>
              <w:left w:val="nil"/>
              <w:bottom w:val="nil"/>
              <w:right w:val="nil"/>
            </w:tcBorders>
            <w:shd w:val="clear" w:color="auto" w:fill="auto"/>
            <w:vAlign w:val="center"/>
          </w:tcPr>
          <w:p w14:paraId="0C253182">
            <w:pPr>
              <w:rPr>
                <w:rFonts w:hint="eastAsia" w:ascii="宋体" w:hAnsi="宋体" w:eastAsia="宋体" w:cs="宋体"/>
                <w:i w:val="0"/>
                <w:iCs w:val="0"/>
                <w:color w:val="000000"/>
                <w:sz w:val="18"/>
                <w:szCs w:val="18"/>
                <w:u w:val="none"/>
              </w:rPr>
            </w:pPr>
          </w:p>
          <w:p w14:paraId="5821EED9">
            <w:pPr>
              <w:rPr>
                <w:rFonts w:hint="eastAsia" w:ascii="宋体" w:hAnsi="宋体" w:eastAsia="宋体" w:cs="宋体"/>
                <w:i w:val="0"/>
                <w:iCs w:val="0"/>
                <w:color w:val="000000"/>
                <w:sz w:val="18"/>
                <w:szCs w:val="18"/>
                <w:u w:val="none"/>
              </w:rPr>
            </w:pPr>
          </w:p>
        </w:tc>
        <w:tc>
          <w:tcPr>
            <w:tcW w:w="778" w:type="pct"/>
            <w:tcBorders>
              <w:top w:val="nil"/>
              <w:left w:val="nil"/>
              <w:bottom w:val="nil"/>
              <w:right w:val="nil"/>
            </w:tcBorders>
            <w:shd w:val="clear" w:color="auto" w:fill="auto"/>
            <w:vAlign w:val="center"/>
          </w:tcPr>
          <w:p w14:paraId="667544A4">
            <w:pPr>
              <w:rPr>
                <w:rFonts w:hint="eastAsia" w:ascii="宋体" w:hAnsi="宋体" w:eastAsia="宋体" w:cs="宋体"/>
                <w:i w:val="0"/>
                <w:iCs w:val="0"/>
                <w:color w:val="000000"/>
                <w:sz w:val="18"/>
                <w:szCs w:val="18"/>
                <w:u w:val="none"/>
              </w:rPr>
            </w:pPr>
          </w:p>
        </w:tc>
        <w:tc>
          <w:tcPr>
            <w:tcW w:w="399" w:type="pct"/>
            <w:tcBorders>
              <w:top w:val="nil"/>
              <w:left w:val="nil"/>
              <w:bottom w:val="nil"/>
              <w:right w:val="nil"/>
            </w:tcBorders>
            <w:shd w:val="clear" w:color="auto" w:fill="auto"/>
            <w:vAlign w:val="center"/>
          </w:tcPr>
          <w:p w14:paraId="20C48F04">
            <w:pPr>
              <w:rPr>
                <w:rFonts w:hint="eastAsia" w:ascii="宋体" w:hAnsi="宋体" w:eastAsia="宋体" w:cs="宋体"/>
                <w:i w:val="0"/>
                <w:iCs w:val="0"/>
                <w:color w:val="000000"/>
                <w:sz w:val="18"/>
                <w:szCs w:val="18"/>
                <w:u w:val="none"/>
              </w:rPr>
            </w:pPr>
          </w:p>
        </w:tc>
        <w:tc>
          <w:tcPr>
            <w:tcW w:w="479" w:type="pct"/>
            <w:gridSpan w:val="2"/>
            <w:tcBorders>
              <w:top w:val="nil"/>
              <w:left w:val="nil"/>
              <w:bottom w:val="nil"/>
              <w:right w:val="nil"/>
            </w:tcBorders>
            <w:shd w:val="clear" w:color="auto" w:fill="auto"/>
            <w:vAlign w:val="center"/>
          </w:tcPr>
          <w:p w14:paraId="5B8F925E">
            <w:pPr>
              <w:rPr>
                <w:rFonts w:hint="eastAsia" w:ascii="宋体" w:hAnsi="宋体" w:eastAsia="宋体" w:cs="宋体"/>
                <w:i w:val="0"/>
                <w:iCs w:val="0"/>
                <w:color w:val="000000"/>
                <w:sz w:val="18"/>
                <w:szCs w:val="18"/>
                <w:u w:val="none"/>
              </w:rPr>
            </w:pPr>
          </w:p>
        </w:tc>
        <w:tc>
          <w:tcPr>
            <w:tcW w:w="601" w:type="pct"/>
            <w:tcBorders>
              <w:top w:val="nil"/>
              <w:left w:val="nil"/>
              <w:bottom w:val="nil"/>
              <w:right w:val="nil"/>
            </w:tcBorders>
            <w:shd w:val="clear" w:color="auto" w:fill="auto"/>
            <w:vAlign w:val="center"/>
          </w:tcPr>
          <w:p w14:paraId="62BD09B2">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7EE30EA7">
            <w:pPr>
              <w:rPr>
                <w:rFonts w:hint="eastAsia" w:ascii="宋体" w:hAnsi="宋体" w:eastAsia="宋体" w:cs="宋体"/>
                <w:i w:val="0"/>
                <w:iCs w:val="0"/>
                <w:color w:val="000000"/>
                <w:sz w:val="18"/>
                <w:szCs w:val="18"/>
                <w:u w:val="none"/>
              </w:rPr>
            </w:pPr>
          </w:p>
        </w:tc>
        <w:tc>
          <w:tcPr>
            <w:tcW w:w="724" w:type="pct"/>
            <w:gridSpan w:val="3"/>
            <w:tcBorders>
              <w:top w:val="nil"/>
              <w:left w:val="nil"/>
              <w:bottom w:val="nil"/>
              <w:right w:val="nil"/>
            </w:tcBorders>
            <w:shd w:val="clear" w:color="auto" w:fill="auto"/>
            <w:vAlign w:val="center"/>
          </w:tcPr>
          <w:p w14:paraId="6B1C706D">
            <w:pPr>
              <w:rPr>
                <w:rFonts w:hint="eastAsia" w:ascii="宋体" w:hAnsi="宋体" w:eastAsia="宋体" w:cs="宋体"/>
                <w:i w:val="0"/>
                <w:iCs w:val="0"/>
                <w:color w:val="000000"/>
                <w:sz w:val="18"/>
                <w:szCs w:val="18"/>
                <w:u w:val="none"/>
              </w:rPr>
            </w:pPr>
          </w:p>
        </w:tc>
        <w:tc>
          <w:tcPr>
            <w:tcW w:w="241" w:type="pct"/>
            <w:gridSpan w:val="2"/>
            <w:tcBorders>
              <w:top w:val="nil"/>
              <w:left w:val="nil"/>
              <w:bottom w:val="nil"/>
              <w:right w:val="nil"/>
            </w:tcBorders>
            <w:shd w:val="clear" w:color="auto" w:fill="auto"/>
            <w:vAlign w:val="center"/>
          </w:tcPr>
          <w:p w14:paraId="4B55BB6A">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1B8FF74B">
            <w:pPr>
              <w:rPr>
                <w:rFonts w:hint="eastAsia" w:ascii="宋体" w:hAnsi="宋体" w:eastAsia="宋体" w:cs="宋体"/>
                <w:i w:val="0"/>
                <w:iCs w:val="0"/>
                <w:color w:val="000000"/>
                <w:sz w:val="18"/>
                <w:szCs w:val="18"/>
                <w:u w:val="none"/>
              </w:rPr>
            </w:pPr>
          </w:p>
        </w:tc>
        <w:tc>
          <w:tcPr>
            <w:tcW w:w="391" w:type="pct"/>
            <w:tcBorders>
              <w:top w:val="nil"/>
              <w:left w:val="nil"/>
              <w:bottom w:val="nil"/>
              <w:right w:val="nil"/>
            </w:tcBorders>
            <w:shd w:val="clear" w:color="auto" w:fill="auto"/>
            <w:vAlign w:val="center"/>
          </w:tcPr>
          <w:p w14:paraId="47DCB3DC">
            <w:pPr>
              <w:rPr>
                <w:rFonts w:hint="eastAsia" w:ascii="宋体" w:hAnsi="宋体" w:eastAsia="宋体" w:cs="宋体"/>
                <w:i w:val="0"/>
                <w:iCs w:val="0"/>
                <w:color w:val="000000"/>
                <w:sz w:val="18"/>
                <w:szCs w:val="18"/>
                <w:u w:val="none"/>
              </w:rPr>
            </w:pPr>
          </w:p>
        </w:tc>
      </w:tr>
      <w:tr w14:paraId="2E6BF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18F7E3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9B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15C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8092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51322326T000014220843-制式服装购置及执法装备提升经费</w:t>
            </w:r>
          </w:p>
        </w:tc>
      </w:tr>
      <w:tr w14:paraId="0AD1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5E4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20C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w:t>
            </w:r>
          </w:p>
        </w:tc>
        <w:tc>
          <w:tcPr>
            <w:tcW w:w="1120" w:type="pct"/>
            <w:gridSpan w:val="4"/>
            <w:tcBorders>
              <w:top w:val="nil"/>
              <w:left w:val="nil"/>
              <w:bottom w:val="nil"/>
              <w:right w:val="nil"/>
            </w:tcBorders>
            <w:shd w:val="clear" w:color="auto" w:fill="auto"/>
            <w:vAlign w:val="center"/>
          </w:tcPr>
          <w:p w14:paraId="325B3F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F1C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茂县综合行政执法局（行政）</w:t>
            </w:r>
          </w:p>
        </w:tc>
      </w:tr>
      <w:tr w14:paraId="4B5C7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69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022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AB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A8345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03A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155DA">
            <w:pP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09B66">
            <w:pPr>
              <w:rPr>
                <w:rFonts w:hint="eastAsia" w:ascii="宋体" w:hAnsi="宋体" w:eastAsia="宋体" w:cs="宋体"/>
                <w:i w:val="0"/>
                <w:iCs w:val="0"/>
                <w:color w:val="000000"/>
                <w:sz w:val="18"/>
                <w:szCs w:val="18"/>
                <w:u w:val="none"/>
              </w:rPr>
            </w:pP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77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解决我局职工制式服装购置及执法装备提升经费共计232196元.</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41DEF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5AF1C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3B58">
            <w:pP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80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F77AA37">
            <w:pPr>
              <w:rPr>
                <w:rFonts w:hint="eastAsia" w:ascii="宋体" w:hAnsi="宋体" w:eastAsia="宋体" w:cs="宋体"/>
                <w:i w:val="0"/>
                <w:iCs w:val="0"/>
                <w:color w:val="000000"/>
                <w:sz w:val="18"/>
                <w:szCs w:val="18"/>
                <w:u w:val="none"/>
              </w:rPr>
            </w:pPr>
          </w:p>
        </w:tc>
      </w:tr>
      <w:tr w14:paraId="110BB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93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02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B7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17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54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BAE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F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E0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26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B4E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4CBEF">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8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0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E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9B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E16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A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9B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3E05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ED9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3385">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A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8A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F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4F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22.97</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AA7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3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5E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22B8E">
            <w:pPr>
              <w:rPr>
                <w:rFonts w:hint="eastAsia" w:ascii="黑体" w:hAnsi="黑体" w:eastAsia="黑体" w:cs="黑体"/>
                <w:i/>
                <w:iCs/>
                <w:color w:val="000000"/>
                <w:sz w:val="18"/>
                <w:szCs w:val="18"/>
                <w:u w:val="none"/>
              </w:rPr>
            </w:pPr>
          </w:p>
        </w:tc>
      </w:tr>
      <w:tr w14:paraId="088AD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2A1E2">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57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2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B2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C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C34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0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EC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6DEC8">
            <w:pPr>
              <w:rPr>
                <w:rFonts w:hint="eastAsia" w:ascii="黑体" w:hAnsi="黑体" w:eastAsia="黑体" w:cs="黑体"/>
                <w:i/>
                <w:iCs/>
                <w:color w:val="000000"/>
                <w:sz w:val="18"/>
                <w:szCs w:val="18"/>
                <w:u w:val="none"/>
              </w:rPr>
            </w:pPr>
          </w:p>
        </w:tc>
      </w:tr>
      <w:tr w14:paraId="3494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2B408">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1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3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3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79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D57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E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22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3712C">
            <w:pPr>
              <w:rPr>
                <w:rFonts w:hint="eastAsia" w:ascii="黑体" w:hAnsi="黑体" w:eastAsia="黑体" w:cs="黑体"/>
                <w:i/>
                <w:iCs/>
                <w:color w:val="000000"/>
                <w:sz w:val="18"/>
                <w:szCs w:val="18"/>
                <w:u w:val="none"/>
              </w:rPr>
            </w:pPr>
          </w:p>
        </w:tc>
      </w:tr>
      <w:tr w14:paraId="2824B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19E82">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3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95F8">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AA99">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FF043">
            <w:pPr>
              <w:jc w:val="center"/>
              <w:rPr>
                <w:rFonts w:hint="eastAsia" w:ascii="微软雅黑" w:hAnsi="微软雅黑" w:eastAsia="微软雅黑" w:cs="微软雅黑"/>
                <w:i/>
                <w:iCs/>
                <w:color w:val="000000"/>
                <w:sz w:val="16"/>
                <w:szCs w:val="16"/>
                <w:u w:val="none"/>
              </w:rPr>
            </w:pP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988DAE">
            <w:pPr>
              <w:jc w:val="center"/>
              <w:rPr>
                <w:rFonts w:hint="eastAsia" w:ascii="微软雅黑" w:hAns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F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3C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B9804">
            <w:pPr>
              <w:rPr>
                <w:rFonts w:hint="eastAsia" w:ascii="黑体" w:hAnsi="黑体" w:eastAsia="黑体" w:cs="黑体"/>
                <w:i/>
                <w:iCs/>
                <w:color w:val="000000"/>
                <w:sz w:val="18"/>
                <w:szCs w:val="18"/>
                <w:u w:val="none"/>
              </w:rPr>
            </w:pPr>
          </w:p>
        </w:tc>
      </w:tr>
      <w:tr w14:paraId="7610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C7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72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E0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2E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5C8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8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A8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40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D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7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0D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F2A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F0241">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1B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E3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2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采购付服装的数量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50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1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F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39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6C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D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8D593">
            <w:pPr>
              <w:jc w:val="center"/>
              <w:rPr>
                <w:rFonts w:hint="eastAsia" w:ascii="微软雅黑" w:hAnsi="微软雅黑" w:eastAsia="微软雅黑" w:cs="微软雅黑"/>
                <w:i/>
                <w:iCs/>
                <w:color w:val="000000"/>
                <w:sz w:val="16"/>
                <w:szCs w:val="16"/>
                <w:u w:val="none"/>
              </w:rPr>
            </w:pPr>
          </w:p>
        </w:tc>
      </w:tr>
      <w:tr w14:paraId="12A7E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FD573">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13F11">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9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F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采购验收合格率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F4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F0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8C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0F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12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A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40FA">
            <w:pPr>
              <w:jc w:val="center"/>
              <w:rPr>
                <w:rFonts w:hint="eastAsia" w:ascii="微软雅黑" w:hAnsi="微软雅黑" w:eastAsia="微软雅黑" w:cs="微软雅黑"/>
                <w:i/>
                <w:iCs/>
                <w:color w:val="000000"/>
                <w:sz w:val="16"/>
                <w:szCs w:val="16"/>
                <w:u w:val="none"/>
              </w:rPr>
            </w:pPr>
          </w:p>
        </w:tc>
      </w:tr>
      <w:tr w14:paraId="5EE0B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E70AC">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600F1">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64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5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3C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97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6C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F2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60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E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C01B8">
            <w:pPr>
              <w:jc w:val="center"/>
              <w:rPr>
                <w:rFonts w:hint="eastAsia" w:ascii="微软雅黑" w:hAnsi="微软雅黑" w:eastAsia="微软雅黑" w:cs="微软雅黑"/>
                <w:i/>
                <w:iCs/>
                <w:color w:val="000000"/>
                <w:sz w:val="16"/>
                <w:szCs w:val="16"/>
                <w:u w:val="none"/>
              </w:rPr>
            </w:pPr>
          </w:p>
        </w:tc>
      </w:tr>
      <w:tr w14:paraId="52BC1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6C39F">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25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B3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8F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提高工作完成质量</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DA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3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90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90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F5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5F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F152">
            <w:pPr>
              <w:jc w:val="center"/>
              <w:rPr>
                <w:rFonts w:hint="eastAsia" w:ascii="微软雅黑" w:hAnsi="微软雅黑" w:eastAsia="微软雅黑" w:cs="微软雅黑"/>
                <w:i/>
                <w:iCs/>
                <w:color w:val="000000"/>
                <w:sz w:val="16"/>
                <w:szCs w:val="16"/>
                <w:u w:val="none"/>
              </w:rPr>
            </w:pPr>
          </w:p>
        </w:tc>
      </w:tr>
      <w:tr w14:paraId="0B84B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A09A0">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06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80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A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1C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D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5C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CC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F5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B8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A12E">
            <w:pPr>
              <w:jc w:val="center"/>
              <w:rPr>
                <w:rFonts w:hint="eastAsia" w:ascii="微软雅黑" w:hAnsi="微软雅黑" w:eastAsia="微软雅黑" w:cs="微软雅黑"/>
                <w:i/>
                <w:iCs/>
                <w:color w:val="000000"/>
                <w:sz w:val="16"/>
                <w:szCs w:val="16"/>
                <w:u w:val="none"/>
              </w:rPr>
            </w:pPr>
          </w:p>
        </w:tc>
      </w:tr>
      <w:tr w14:paraId="787D7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97113">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7B730">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73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22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单位职工满意度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7C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30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2A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39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78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2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2F94E">
            <w:pPr>
              <w:jc w:val="center"/>
              <w:rPr>
                <w:rFonts w:hint="eastAsia" w:ascii="微软雅黑" w:hAnsi="微软雅黑" w:eastAsia="微软雅黑" w:cs="微软雅黑"/>
                <w:i/>
                <w:iCs/>
                <w:color w:val="000000"/>
                <w:sz w:val="16"/>
                <w:szCs w:val="16"/>
                <w:u w:val="none"/>
              </w:rPr>
            </w:pPr>
          </w:p>
        </w:tc>
      </w:tr>
      <w:tr w14:paraId="16E0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03A7F">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B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50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08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60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C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232196</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0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7EA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4C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8D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71D8">
            <w:pPr>
              <w:jc w:val="center"/>
              <w:rPr>
                <w:rFonts w:hint="eastAsia" w:ascii="微软雅黑" w:hAnsi="微软雅黑" w:eastAsia="微软雅黑" w:cs="微软雅黑"/>
                <w:i/>
                <w:iCs/>
                <w:color w:val="000000"/>
                <w:sz w:val="16"/>
                <w:szCs w:val="16"/>
                <w:u w:val="none"/>
              </w:rPr>
            </w:pPr>
          </w:p>
        </w:tc>
      </w:tr>
      <w:tr w14:paraId="1A427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360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15D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8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44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00758">
            <w:pPr>
              <w:rPr>
                <w:rFonts w:hint="eastAsia" w:ascii="宋体" w:hAnsi="宋体" w:eastAsia="宋体" w:cs="宋体"/>
                <w:i w:val="0"/>
                <w:iCs w:val="0"/>
                <w:color w:val="000000"/>
                <w:sz w:val="18"/>
                <w:szCs w:val="18"/>
                <w:u w:val="none"/>
              </w:rPr>
            </w:pPr>
          </w:p>
        </w:tc>
      </w:tr>
      <w:tr w14:paraId="52B88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E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4D86A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项目自评得分100分，项目预算执行率100%。</w:t>
            </w:r>
          </w:p>
        </w:tc>
      </w:tr>
      <w:tr w14:paraId="265B1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3F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9B052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D769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4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D33CF8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4B93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345" w:type="pct"/>
            <w:tcBorders>
              <w:top w:val="nil"/>
              <w:left w:val="nil"/>
              <w:bottom w:val="nil"/>
              <w:right w:val="nil"/>
            </w:tcBorders>
            <w:shd w:val="clear" w:color="auto" w:fill="auto"/>
            <w:vAlign w:val="center"/>
          </w:tcPr>
          <w:p w14:paraId="229D7A26">
            <w:pPr>
              <w:rPr>
                <w:rFonts w:hint="eastAsia" w:ascii="宋体" w:hAnsi="宋体" w:eastAsia="宋体" w:cs="宋体"/>
                <w:i w:val="0"/>
                <w:iCs w:val="0"/>
                <w:color w:val="000000"/>
                <w:sz w:val="18"/>
                <w:szCs w:val="18"/>
                <w:u w:val="none"/>
              </w:rPr>
            </w:pPr>
          </w:p>
        </w:tc>
        <w:tc>
          <w:tcPr>
            <w:tcW w:w="561" w:type="pct"/>
            <w:tcBorders>
              <w:top w:val="nil"/>
              <w:left w:val="nil"/>
              <w:bottom w:val="nil"/>
              <w:right w:val="nil"/>
            </w:tcBorders>
            <w:shd w:val="clear" w:color="auto" w:fill="auto"/>
            <w:vAlign w:val="center"/>
          </w:tcPr>
          <w:p w14:paraId="56BD4ED9">
            <w:pPr>
              <w:rPr>
                <w:rFonts w:hint="eastAsia" w:ascii="宋体" w:hAnsi="宋体" w:eastAsia="宋体" w:cs="宋体"/>
                <w:i w:val="0"/>
                <w:iCs w:val="0"/>
                <w:color w:val="000000"/>
                <w:sz w:val="18"/>
                <w:szCs w:val="18"/>
                <w:u w:val="none"/>
              </w:rPr>
            </w:pPr>
          </w:p>
        </w:tc>
        <w:tc>
          <w:tcPr>
            <w:tcW w:w="778" w:type="pct"/>
            <w:tcBorders>
              <w:top w:val="nil"/>
              <w:left w:val="nil"/>
              <w:bottom w:val="nil"/>
              <w:right w:val="nil"/>
            </w:tcBorders>
            <w:shd w:val="clear" w:color="auto" w:fill="auto"/>
            <w:vAlign w:val="center"/>
          </w:tcPr>
          <w:p w14:paraId="406C5A97">
            <w:pPr>
              <w:rPr>
                <w:rFonts w:hint="eastAsia" w:ascii="宋体" w:hAnsi="宋体" w:eastAsia="宋体" w:cs="宋体"/>
                <w:i w:val="0"/>
                <w:iCs w:val="0"/>
                <w:color w:val="000000"/>
                <w:sz w:val="18"/>
                <w:szCs w:val="18"/>
                <w:u w:val="none"/>
              </w:rPr>
            </w:pPr>
          </w:p>
        </w:tc>
        <w:tc>
          <w:tcPr>
            <w:tcW w:w="399" w:type="pct"/>
            <w:tcBorders>
              <w:top w:val="nil"/>
              <w:left w:val="nil"/>
              <w:bottom w:val="nil"/>
              <w:right w:val="nil"/>
            </w:tcBorders>
            <w:shd w:val="clear" w:color="auto" w:fill="auto"/>
            <w:vAlign w:val="center"/>
          </w:tcPr>
          <w:p w14:paraId="6DB936F7">
            <w:pPr>
              <w:rPr>
                <w:rFonts w:hint="eastAsia" w:ascii="宋体" w:hAnsi="宋体" w:eastAsia="宋体" w:cs="宋体"/>
                <w:i w:val="0"/>
                <w:iCs w:val="0"/>
                <w:color w:val="000000"/>
                <w:sz w:val="18"/>
                <w:szCs w:val="18"/>
                <w:u w:val="none"/>
              </w:rPr>
            </w:pPr>
          </w:p>
          <w:p w14:paraId="73CE94C9">
            <w:pPr>
              <w:rPr>
                <w:rFonts w:hint="eastAsia" w:ascii="宋体" w:hAnsi="宋体" w:eastAsia="宋体" w:cs="宋体"/>
                <w:i w:val="0"/>
                <w:iCs w:val="0"/>
                <w:color w:val="000000"/>
                <w:sz w:val="18"/>
                <w:szCs w:val="18"/>
                <w:u w:val="none"/>
              </w:rPr>
            </w:pPr>
          </w:p>
          <w:p w14:paraId="1DE71080">
            <w:pPr>
              <w:rPr>
                <w:rFonts w:hint="eastAsia" w:ascii="宋体" w:hAnsi="宋体" w:eastAsia="宋体" w:cs="宋体"/>
                <w:i w:val="0"/>
                <w:iCs w:val="0"/>
                <w:color w:val="000000"/>
                <w:sz w:val="18"/>
                <w:szCs w:val="18"/>
                <w:u w:val="none"/>
              </w:rPr>
            </w:pPr>
          </w:p>
          <w:p w14:paraId="19338426">
            <w:pPr>
              <w:rPr>
                <w:rFonts w:hint="eastAsia" w:ascii="宋体" w:hAnsi="宋体" w:eastAsia="宋体" w:cs="宋体"/>
                <w:i w:val="0"/>
                <w:iCs w:val="0"/>
                <w:color w:val="000000"/>
                <w:sz w:val="18"/>
                <w:szCs w:val="18"/>
                <w:u w:val="none"/>
              </w:rPr>
            </w:pPr>
          </w:p>
          <w:p w14:paraId="0539ED9F">
            <w:pPr>
              <w:rPr>
                <w:rFonts w:hint="eastAsia" w:ascii="宋体" w:hAnsi="宋体" w:eastAsia="宋体" w:cs="宋体"/>
                <w:i w:val="0"/>
                <w:iCs w:val="0"/>
                <w:color w:val="000000"/>
                <w:sz w:val="18"/>
                <w:szCs w:val="18"/>
                <w:u w:val="none"/>
              </w:rPr>
            </w:pPr>
          </w:p>
        </w:tc>
        <w:tc>
          <w:tcPr>
            <w:tcW w:w="479" w:type="pct"/>
            <w:gridSpan w:val="2"/>
            <w:tcBorders>
              <w:top w:val="nil"/>
              <w:left w:val="nil"/>
              <w:bottom w:val="nil"/>
              <w:right w:val="nil"/>
            </w:tcBorders>
            <w:shd w:val="clear" w:color="auto" w:fill="auto"/>
            <w:vAlign w:val="center"/>
          </w:tcPr>
          <w:p w14:paraId="0711C75F">
            <w:pPr>
              <w:rPr>
                <w:rFonts w:hint="eastAsia" w:ascii="宋体" w:hAnsi="宋体" w:eastAsia="宋体" w:cs="宋体"/>
                <w:i w:val="0"/>
                <w:iCs w:val="0"/>
                <w:color w:val="000000"/>
                <w:sz w:val="18"/>
                <w:szCs w:val="18"/>
                <w:u w:val="none"/>
              </w:rPr>
            </w:pPr>
          </w:p>
        </w:tc>
        <w:tc>
          <w:tcPr>
            <w:tcW w:w="601" w:type="pct"/>
            <w:tcBorders>
              <w:top w:val="nil"/>
              <w:left w:val="nil"/>
              <w:bottom w:val="nil"/>
              <w:right w:val="nil"/>
            </w:tcBorders>
            <w:shd w:val="clear" w:color="auto" w:fill="auto"/>
            <w:vAlign w:val="center"/>
          </w:tcPr>
          <w:p w14:paraId="00EB2EB1">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536D2CE6">
            <w:pPr>
              <w:rPr>
                <w:rFonts w:hint="eastAsia" w:ascii="宋体" w:hAnsi="宋体" w:eastAsia="宋体" w:cs="宋体"/>
                <w:i w:val="0"/>
                <w:iCs w:val="0"/>
                <w:color w:val="000000"/>
                <w:sz w:val="18"/>
                <w:szCs w:val="18"/>
                <w:u w:val="none"/>
              </w:rPr>
            </w:pPr>
          </w:p>
        </w:tc>
        <w:tc>
          <w:tcPr>
            <w:tcW w:w="724" w:type="pct"/>
            <w:gridSpan w:val="3"/>
            <w:tcBorders>
              <w:top w:val="nil"/>
              <w:left w:val="nil"/>
              <w:bottom w:val="nil"/>
              <w:right w:val="nil"/>
            </w:tcBorders>
            <w:shd w:val="clear" w:color="auto" w:fill="auto"/>
            <w:vAlign w:val="center"/>
          </w:tcPr>
          <w:p w14:paraId="47AEC2AE">
            <w:pPr>
              <w:rPr>
                <w:rFonts w:hint="eastAsia" w:ascii="宋体" w:hAnsi="宋体" w:eastAsia="宋体" w:cs="宋体"/>
                <w:i w:val="0"/>
                <w:iCs w:val="0"/>
                <w:color w:val="000000"/>
                <w:sz w:val="18"/>
                <w:szCs w:val="18"/>
                <w:u w:val="none"/>
              </w:rPr>
            </w:pPr>
          </w:p>
        </w:tc>
        <w:tc>
          <w:tcPr>
            <w:tcW w:w="241" w:type="pct"/>
            <w:gridSpan w:val="2"/>
            <w:tcBorders>
              <w:top w:val="nil"/>
              <w:left w:val="nil"/>
              <w:bottom w:val="nil"/>
              <w:right w:val="nil"/>
            </w:tcBorders>
            <w:shd w:val="clear" w:color="auto" w:fill="auto"/>
            <w:vAlign w:val="center"/>
          </w:tcPr>
          <w:p w14:paraId="45191DB0">
            <w:pPr>
              <w:rPr>
                <w:rFonts w:hint="eastAsia" w:ascii="宋体" w:hAnsi="宋体" w:eastAsia="宋体" w:cs="宋体"/>
                <w:i w:val="0"/>
                <w:iCs w:val="0"/>
                <w:color w:val="000000"/>
                <w:sz w:val="18"/>
                <w:szCs w:val="18"/>
                <w:u w:val="none"/>
              </w:rPr>
            </w:pPr>
          </w:p>
        </w:tc>
        <w:tc>
          <w:tcPr>
            <w:tcW w:w="237" w:type="pct"/>
            <w:tcBorders>
              <w:top w:val="nil"/>
              <w:left w:val="nil"/>
              <w:bottom w:val="nil"/>
              <w:right w:val="nil"/>
            </w:tcBorders>
            <w:shd w:val="clear" w:color="auto" w:fill="auto"/>
            <w:vAlign w:val="center"/>
          </w:tcPr>
          <w:p w14:paraId="5813856A">
            <w:pPr>
              <w:rPr>
                <w:rFonts w:hint="eastAsia" w:ascii="宋体" w:hAnsi="宋体" w:eastAsia="宋体" w:cs="宋体"/>
                <w:i w:val="0"/>
                <w:iCs w:val="0"/>
                <w:color w:val="000000"/>
                <w:sz w:val="18"/>
                <w:szCs w:val="18"/>
                <w:u w:val="none"/>
              </w:rPr>
            </w:pPr>
          </w:p>
        </w:tc>
        <w:tc>
          <w:tcPr>
            <w:tcW w:w="391" w:type="pct"/>
            <w:tcBorders>
              <w:top w:val="nil"/>
              <w:left w:val="nil"/>
              <w:bottom w:val="nil"/>
              <w:right w:val="nil"/>
            </w:tcBorders>
            <w:shd w:val="clear" w:color="auto" w:fill="auto"/>
            <w:vAlign w:val="center"/>
          </w:tcPr>
          <w:p w14:paraId="2D59C053">
            <w:pPr>
              <w:rPr>
                <w:rFonts w:hint="eastAsia" w:ascii="宋体" w:hAnsi="宋体" w:eastAsia="宋体" w:cs="宋体"/>
                <w:i w:val="0"/>
                <w:iCs w:val="0"/>
                <w:color w:val="000000"/>
                <w:sz w:val="18"/>
                <w:szCs w:val="18"/>
                <w:u w:val="none"/>
              </w:rPr>
            </w:pPr>
          </w:p>
        </w:tc>
      </w:tr>
      <w:tr w14:paraId="44E3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37C8E2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714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174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0B13F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51322326T000014965268-2025年省级财政市场监管专项资金</w:t>
            </w:r>
          </w:p>
        </w:tc>
      </w:tr>
      <w:tr w14:paraId="37104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2C5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5EF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w:t>
            </w:r>
          </w:p>
        </w:tc>
        <w:tc>
          <w:tcPr>
            <w:tcW w:w="1120" w:type="pct"/>
            <w:gridSpan w:val="4"/>
            <w:tcBorders>
              <w:top w:val="nil"/>
              <w:left w:val="nil"/>
              <w:bottom w:val="nil"/>
              <w:right w:val="nil"/>
            </w:tcBorders>
            <w:shd w:val="clear" w:color="auto" w:fill="auto"/>
            <w:vAlign w:val="center"/>
          </w:tcPr>
          <w:p w14:paraId="3C08AC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9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DD3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茂县综合行政执法局（行政）</w:t>
            </w:r>
          </w:p>
        </w:tc>
      </w:tr>
      <w:tr w14:paraId="1C07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A29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C2C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95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3EACF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3D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1BB28">
            <w:pP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2F26F">
            <w:pPr>
              <w:rPr>
                <w:rFonts w:hint="eastAsia" w:ascii="宋体" w:hAnsi="宋体" w:eastAsia="宋体" w:cs="宋体"/>
                <w:i w:val="0"/>
                <w:iCs w:val="0"/>
                <w:color w:val="000000"/>
                <w:sz w:val="18"/>
                <w:szCs w:val="18"/>
                <w:u w:val="none"/>
              </w:rPr>
            </w:pPr>
          </w:p>
        </w:tc>
        <w:tc>
          <w:tcPr>
            <w:tcW w:w="157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000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聚焦县域内食品、化妆品安全及重点产品质量安检等核心领域，强化县级市场监管综合行政执法大队一线执法能力，开展专项执法检查与质量抽检，提升执法人员专业素养，规范执法流程，及时查处违法违规行为，防范区域性安全风险，保障县域群众消费安全与市场秩序稳定。</w:t>
            </w:r>
          </w:p>
        </w:tc>
        <w:tc>
          <w:tcPr>
            <w:tcW w:w="251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91C4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w:t>
            </w:r>
          </w:p>
        </w:tc>
      </w:tr>
      <w:tr w14:paraId="54DEB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EADF6">
            <w:pP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84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9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4C59D3C">
            <w:pPr>
              <w:rPr>
                <w:rFonts w:hint="eastAsia" w:ascii="宋体" w:hAnsi="宋体" w:eastAsia="宋体" w:cs="宋体"/>
                <w:i w:val="0"/>
                <w:iCs w:val="0"/>
                <w:color w:val="000000"/>
                <w:sz w:val="18"/>
                <w:szCs w:val="18"/>
                <w:u w:val="none"/>
              </w:rPr>
            </w:pPr>
          </w:p>
        </w:tc>
      </w:tr>
      <w:tr w14:paraId="2B86E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AF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3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E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F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D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477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70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DA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68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1C3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5DB61">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77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8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D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6E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698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27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ED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0FEB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4F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FAA64">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C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9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9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0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9C5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A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51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EA799">
            <w:pPr>
              <w:rPr>
                <w:rFonts w:hint="eastAsia" w:ascii="黑体" w:hAnsi="黑体" w:eastAsia="黑体" w:cs="黑体"/>
                <w:i/>
                <w:iCs/>
                <w:color w:val="000000"/>
                <w:sz w:val="18"/>
                <w:szCs w:val="18"/>
                <w:u w:val="none"/>
              </w:rPr>
            </w:pPr>
          </w:p>
        </w:tc>
      </w:tr>
      <w:tr w14:paraId="7BD11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3F8DC">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AB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F6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77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C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AC6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66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94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B6F42">
            <w:pPr>
              <w:rPr>
                <w:rFonts w:hint="eastAsia" w:ascii="黑体" w:hAnsi="黑体" w:eastAsia="黑体" w:cs="黑体"/>
                <w:i/>
                <w:iCs/>
                <w:color w:val="000000"/>
                <w:sz w:val="18"/>
                <w:szCs w:val="18"/>
                <w:u w:val="none"/>
              </w:rPr>
            </w:pPr>
          </w:p>
        </w:tc>
      </w:tr>
      <w:tr w14:paraId="55E7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B883E">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68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F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8E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6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71E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C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C6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A0AEB">
            <w:pPr>
              <w:rPr>
                <w:rFonts w:hint="eastAsia" w:ascii="黑体" w:hAnsi="黑体" w:eastAsia="黑体" w:cs="黑体"/>
                <w:i/>
                <w:iCs/>
                <w:color w:val="000000"/>
                <w:sz w:val="18"/>
                <w:szCs w:val="18"/>
                <w:u w:val="none"/>
              </w:rPr>
            </w:pPr>
          </w:p>
        </w:tc>
      </w:tr>
      <w:tr w14:paraId="10B44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438E9">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C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D311">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2877">
            <w:pPr>
              <w:jc w:val="center"/>
              <w:rPr>
                <w:rFonts w:hint="eastAsia" w:ascii="微软雅黑" w:hAnsi="微软雅黑" w:eastAsia="微软雅黑" w:cs="微软雅黑"/>
                <w:i/>
                <w:iCs/>
                <w:color w:val="000000"/>
                <w:sz w:val="16"/>
                <w:szCs w:val="16"/>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037CF">
            <w:pPr>
              <w:jc w:val="center"/>
              <w:rPr>
                <w:rFonts w:hint="eastAsia" w:ascii="微软雅黑" w:hAnsi="微软雅黑" w:eastAsia="微软雅黑" w:cs="微软雅黑"/>
                <w:i/>
                <w:iCs/>
                <w:color w:val="000000"/>
                <w:sz w:val="16"/>
                <w:szCs w:val="16"/>
                <w:u w:val="none"/>
              </w:rPr>
            </w:pPr>
          </w:p>
        </w:tc>
        <w:tc>
          <w:tcPr>
            <w:tcW w:w="11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59F2D4">
            <w:pPr>
              <w:jc w:val="center"/>
              <w:rPr>
                <w:rFonts w:hint="eastAsia" w:ascii="微软雅黑" w:hAnsi="微软雅黑" w:eastAsia="微软雅黑" w:cs="微软雅黑"/>
                <w:i/>
                <w:iCs/>
                <w:color w:val="000000"/>
                <w:sz w:val="16"/>
                <w:szCs w:val="16"/>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1E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DB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B0D15">
            <w:pPr>
              <w:rPr>
                <w:rFonts w:hint="eastAsia" w:ascii="黑体" w:hAnsi="黑体" w:eastAsia="黑体" w:cs="黑体"/>
                <w:i/>
                <w:iCs/>
                <w:color w:val="000000"/>
                <w:sz w:val="18"/>
                <w:szCs w:val="18"/>
                <w:u w:val="none"/>
              </w:rPr>
            </w:pPr>
          </w:p>
        </w:tc>
      </w:tr>
      <w:tr w14:paraId="4762A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86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19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4F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0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15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E3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5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60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1D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A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A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D4C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D8301">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C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78" w:type="pct"/>
            <w:tcBorders>
              <w:top w:val="single" w:color="000000" w:sz="4" w:space="0"/>
              <w:left w:val="nil"/>
              <w:bottom w:val="single" w:color="000000" w:sz="4" w:space="0"/>
              <w:right w:val="single" w:color="000000" w:sz="4" w:space="0"/>
            </w:tcBorders>
            <w:shd w:val="clear" w:color="auto" w:fill="auto"/>
            <w:noWrap/>
            <w:vAlign w:val="center"/>
          </w:tcPr>
          <w:p w14:paraId="4D75F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9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年度监管任务完成及时率</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D9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3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BA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F4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5B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E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09B8D">
            <w:pPr>
              <w:jc w:val="center"/>
              <w:rPr>
                <w:rFonts w:hint="eastAsia" w:ascii="宋体" w:hAnsi="宋体" w:eastAsia="宋体" w:cs="宋体"/>
                <w:i w:val="0"/>
                <w:iCs w:val="0"/>
                <w:color w:val="000000"/>
                <w:sz w:val="18"/>
                <w:szCs w:val="18"/>
                <w:u w:val="none"/>
              </w:rPr>
            </w:pPr>
          </w:p>
        </w:tc>
      </w:tr>
      <w:tr w14:paraId="3B6B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ABE07">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D859">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nil"/>
              <w:bottom w:val="single" w:color="000000" w:sz="4" w:space="0"/>
              <w:right w:val="single" w:color="000000" w:sz="4" w:space="0"/>
            </w:tcBorders>
            <w:shd w:val="clear" w:color="auto" w:fill="auto"/>
            <w:noWrap/>
            <w:vAlign w:val="center"/>
          </w:tcPr>
          <w:p w14:paraId="3AE5F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5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市场监管相关培训次数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CC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C6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E7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E16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89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13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7590">
            <w:pPr>
              <w:jc w:val="center"/>
              <w:rPr>
                <w:rFonts w:hint="eastAsia" w:ascii="宋体" w:hAnsi="宋体" w:eastAsia="宋体" w:cs="宋体"/>
                <w:i w:val="0"/>
                <w:iCs w:val="0"/>
                <w:color w:val="000000"/>
                <w:sz w:val="18"/>
                <w:szCs w:val="18"/>
                <w:u w:val="none"/>
              </w:rPr>
            </w:pPr>
          </w:p>
        </w:tc>
      </w:tr>
      <w:tr w14:paraId="7D2F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7F359">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6170">
            <w:pPr>
              <w:jc w:val="center"/>
              <w:rPr>
                <w:rFonts w:hint="eastAsia" w:ascii="宋体" w:hAnsi="宋体" w:eastAsia="宋体" w:cs="宋体"/>
                <w:i w:val="0"/>
                <w:iCs w:val="0"/>
                <w:color w:val="000000"/>
                <w:sz w:val="18"/>
                <w:szCs w:val="18"/>
                <w:u w:val="none"/>
              </w:rPr>
            </w:pPr>
          </w:p>
        </w:tc>
        <w:tc>
          <w:tcPr>
            <w:tcW w:w="778" w:type="pct"/>
            <w:tcBorders>
              <w:top w:val="single" w:color="000000" w:sz="4" w:space="0"/>
              <w:left w:val="nil"/>
              <w:bottom w:val="single" w:color="000000" w:sz="4" w:space="0"/>
              <w:right w:val="single" w:color="000000" w:sz="4" w:space="0"/>
            </w:tcBorders>
            <w:shd w:val="clear" w:color="auto" w:fill="auto"/>
            <w:noWrap/>
            <w:vAlign w:val="center"/>
          </w:tcPr>
          <w:p w14:paraId="72AE4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F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重点领域监管检查家次（食品经营、化妆品销售、重点消费品生产经营单位等）</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86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7E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C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BA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31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0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D679">
            <w:pPr>
              <w:jc w:val="center"/>
              <w:rPr>
                <w:rFonts w:hint="eastAsia" w:ascii="宋体" w:hAnsi="宋体" w:eastAsia="宋体" w:cs="宋体"/>
                <w:i w:val="0"/>
                <w:iCs w:val="0"/>
                <w:color w:val="000000"/>
                <w:sz w:val="18"/>
                <w:szCs w:val="18"/>
                <w:u w:val="none"/>
              </w:rPr>
            </w:pPr>
          </w:p>
        </w:tc>
      </w:tr>
      <w:tr w14:paraId="34D8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5D7BD">
            <w:pPr>
              <w:jc w:val="center"/>
              <w:rPr>
                <w:rFonts w:hint="eastAsia" w:ascii="宋体" w:hAnsi="宋体" w:eastAsia="宋体" w:cs="宋体"/>
                <w:i w:val="0"/>
                <w:iCs w:val="0"/>
                <w:color w:val="000000"/>
                <w:sz w:val="18"/>
                <w:szCs w:val="18"/>
                <w:u w:val="none"/>
              </w:rPr>
            </w:pP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FA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7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53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1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重大食品药品安全事故发生数</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C2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8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3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92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EA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6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B979A">
            <w:pPr>
              <w:jc w:val="center"/>
              <w:rPr>
                <w:rFonts w:hint="eastAsia" w:ascii="宋体" w:hAnsi="宋体" w:eastAsia="宋体" w:cs="宋体"/>
                <w:i w:val="0"/>
                <w:iCs w:val="0"/>
                <w:color w:val="000000"/>
                <w:sz w:val="18"/>
                <w:szCs w:val="18"/>
                <w:u w:val="none"/>
              </w:rPr>
            </w:pPr>
          </w:p>
        </w:tc>
      </w:tr>
      <w:tr w14:paraId="6D96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9D6D0">
            <w:pPr>
              <w:jc w:val="center"/>
              <w:rPr>
                <w:rFonts w:hint="eastAsia" w:ascii="宋体" w:hAnsi="宋体" w:eastAsia="宋体" w:cs="宋体"/>
                <w:i w:val="0"/>
                <w:iCs w:val="0"/>
                <w:color w:val="000000"/>
                <w:sz w:val="18"/>
                <w:szCs w:val="18"/>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790B5">
            <w:pPr>
              <w:jc w:val="center"/>
              <w:rPr>
                <w:rFonts w:hint="eastAsia" w:ascii="宋体" w:hAnsi="宋体" w:eastAsia="宋体" w:cs="宋体"/>
                <w:i w:val="0"/>
                <w:iCs w:val="0"/>
                <w:color w:val="000000"/>
                <w:sz w:val="18"/>
                <w:szCs w:val="18"/>
                <w:u w:val="none"/>
              </w:rPr>
            </w:pPr>
          </w:p>
        </w:tc>
        <w:tc>
          <w:tcPr>
            <w:tcW w:w="7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97AE">
            <w:pPr>
              <w:jc w:val="center"/>
              <w:rPr>
                <w:rFonts w:hint="eastAsia" w:ascii="宋体" w:hAnsi="宋体" w:eastAsia="宋体" w:cs="宋体"/>
                <w:i w:val="0"/>
                <w:iCs w:val="0"/>
                <w:color w:val="000000"/>
                <w:sz w:val="18"/>
                <w:szCs w:val="18"/>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4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社会公众对市场环境满意度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04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F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F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04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08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3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310F">
            <w:pPr>
              <w:jc w:val="center"/>
              <w:rPr>
                <w:rFonts w:hint="eastAsia" w:ascii="宋体" w:hAnsi="宋体" w:eastAsia="宋体" w:cs="宋体"/>
                <w:i w:val="0"/>
                <w:iCs w:val="0"/>
                <w:color w:val="000000"/>
                <w:sz w:val="18"/>
                <w:szCs w:val="18"/>
                <w:u w:val="none"/>
              </w:rPr>
            </w:pPr>
          </w:p>
        </w:tc>
      </w:tr>
      <w:tr w14:paraId="3062F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62CEB">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6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A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2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市场主体对监管服务满意度</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0E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62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19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AE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57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E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E1D8">
            <w:pPr>
              <w:jc w:val="center"/>
              <w:rPr>
                <w:rFonts w:hint="eastAsia" w:ascii="宋体" w:hAnsi="宋体" w:eastAsia="宋体" w:cs="宋体"/>
                <w:i w:val="0"/>
                <w:iCs w:val="0"/>
                <w:color w:val="000000"/>
                <w:sz w:val="18"/>
                <w:szCs w:val="18"/>
                <w:u w:val="none"/>
              </w:rPr>
            </w:pPr>
          </w:p>
        </w:tc>
      </w:tr>
      <w:tr w14:paraId="19DC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6C18D">
            <w:pPr>
              <w:jc w:val="center"/>
              <w:rPr>
                <w:rFonts w:hint="eastAsia" w:ascii="宋体" w:hAnsi="宋体" w:eastAsia="宋体" w:cs="宋体"/>
                <w:i w:val="0"/>
                <w:iCs w:val="0"/>
                <w:color w:val="000000"/>
                <w:sz w:val="18"/>
                <w:szCs w:val="18"/>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B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14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8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项目总支出控制额</w:t>
            </w:r>
          </w:p>
        </w:tc>
        <w:tc>
          <w:tcPr>
            <w:tcW w:w="4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A4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9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D0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A240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65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8A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9267">
            <w:pPr>
              <w:jc w:val="center"/>
              <w:rPr>
                <w:rFonts w:hint="eastAsia" w:ascii="微软雅黑" w:hAnsi="微软雅黑" w:eastAsia="微软雅黑" w:cs="微软雅黑"/>
                <w:i/>
                <w:iCs/>
                <w:color w:val="000000"/>
                <w:sz w:val="16"/>
                <w:szCs w:val="16"/>
                <w:u w:val="none"/>
              </w:rPr>
            </w:pPr>
          </w:p>
        </w:tc>
      </w:tr>
      <w:tr w14:paraId="148DD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0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DB8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CB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DC9C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4D8F6">
            <w:pPr>
              <w:rPr>
                <w:rFonts w:hint="eastAsia" w:ascii="宋体" w:hAnsi="宋体" w:eastAsia="宋体" w:cs="宋体"/>
                <w:i w:val="0"/>
                <w:iCs w:val="0"/>
                <w:color w:val="000000"/>
                <w:sz w:val="18"/>
                <w:szCs w:val="18"/>
                <w:u w:val="none"/>
              </w:rPr>
            </w:pPr>
          </w:p>
        </w:tc>
      </w:tr>
      <w:tr w14:paraId="74ACD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89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E6E54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项目自评得分100分，项目预算执行率100%。</w:t>
            </w:r>
          </w:p>
        </w:tc>
      </w:tr>
      <w:tr w14:paraId="660E8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8B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3A9FB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5F3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3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5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6F788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bl>
    <w:p w14:paraId="33272650">
      <w:pPr>
        <w:pStyle w:val="8"/>
        <w:ind w:left="0" w:leftChars="0" w:firstLine="0" w:firstLineChars="0"/>
        <w:rPr>
          <w:rFonts w:hint="eastAsia" w:ascii="Times New Roman" w:hAnsi="Times New Roman" w:cs="宋体"/>
          <w:color w:val="FF0000"/>
          <w:kern w:val="0"/>
          <w:sz w:val="32"/>
          <w:szCs w:val="32"/>
          <w:highlight w:val="yellow"/>
          <w:shd w:val="clear" w:color="auto" w:fill="FFFFFF"/>
          <w:lang w:val="zh-CN"/>
        </w:rPr>
      </w:pPr>
    </w:p>
    <w:p w14:paraId="53D8CFE2">
      <w:pPr>
        <w:pStyle w:val="8"/>
        <w:rPr>
          <w:rFonts w:hint="eastAsia" w:ascii="Times New Roman" w:hAnsi="Times New Roman" w:cs="宋体"/>
          <w:color w:val="FF0000"/>
          <w:kern w:val="0"/>
          <w:sz w:val="32"/>
          <w:szCs w:val="32"/>
          <w:highlight w:val="yellow"/>
          <w:shd w:val="clear" w:color="auto" w:fill="FFFFFF"/>
          <w:lang w:val="zh-CN"/>
        </w:rPr>
        <w:sectPr>
          <w:footerReference r:id="rId7" w:type="default"/>
          <w:type w:val="continuous"/>
          <w:pgSz w:w="11906" w:h="16838"/>
          <w:pgMar w:top="1440" w:right="1800" w:bottom="1440" w:left="1800" w:header="851" w:footer="992" w:gutter="0"/>
          <w:pgNumType w:fmt="decimal" w:start="1"/>
          <w:cols w:space="425" w:num="1"/>
          <w:docGrid w:type="lines" w:linePitch="312" w:charSpace="0"/>
        </w:sectPr>
      </w:pPr>
    </w:p>
    <w:p w14:paraId="09931563">
      <w:pPr>
        <w:rPr>
          <w:rFonts w:hint="eastAsia" w:ascii="Times New Roman" w:hAnsi="Times New Roman" w:eastAsia="黑体"/>
          <w:color w:val="auto"/>
          <w:sz w:val="44"/>
          <w:szCs w:val="44"/>
          <w:highlight w:val="none"/>
        </w:rPr>
      </w:pPr>
      <w:bookmarkStart w:id="73" w:name="_Toc15396618"/>
    </w:p>
    <w:p w14:paraId="15DD4C50">
      <w:pPr>
        <w:pStyle w:val="2"/>
        <w:rPr>
          <w:rFonts w:hint="eastAsia" w:ascii="Times New Roman" w:hAnsi="Times New Roman" w:eastAsia="黑体"/>
          <w:color w:val="auto"/>
          <w:sz w:val="44"/>
          <w:szCs w:val="44"/>
          <w:highlight w:val="none"/>
        </w:rPr>
      </w:pPr>
    </w:p>
    <w:p w14:paraId="6CE83A5C">
      <w:pPr>
        <w:pStyle w:val="2"/>
        <w:rPr>
          <w:rFonts w:hint="eastAsia" w:ascii="Times New Roman" w:hAnsi="Times New Roman" w:eastAsia="黑体"/>
          <w:color w:val="auto"/>
          <w:sz w:val="44"/>
          <w:szCs w:val="44"/>
          <w:highlight w:val="none"/>
        </w:rPr>
      </w:pPr>
    </w:p>
    <w:p w14:paraId="31E256A4">
      <w:pPr>
        <w:rPr>
          <w:rFonts w:hint="eastAsia"/>
        </w:rPr>
      </w:pPr>
    </w:p>
    <w:p w14:paraId="7AA00CFA">
      <w:pPr>
        <w:keepNext/>
        <w:keepLines/>
        <w:widowControl w:val="0"/>
        <w:spacing w:before="280" w:after="156" w:line="377" w:lineRule="auto"/>
        <w:jc w:val="left"/>
        <w:outlineLvl w:val="4"/>
        <w:rPr>
          <w:rFonts w:hint="eastAsia" w:ascii="Times New Roman" w:hAnsi="Times New Roman" w:eastAsia="仿宋_GB2312" w:cs="Times New Roman"/>
          <w:b w:val="0"/>
          <w:bCs w:val="0"/>
          <w:kern w:val="0"/>
          <w:position w:val="0"/>
          <w:sz w:val="32"/>
          <w:szCs w:val="32"/>
          <w:highlight w:val="none"/>
          <w:lang w:val="en-US" w:eastAsia="zh-CN" w:bidi="ar-SA"/>
        </w:rPr>
      </w:pPr>
      <w:bookmarkStart w:id="74" w:name="_Toc22047"/>
      <w:r>
        <w:rPr>
          <w:rFonts w:hint="eastAsia" w:ascii="Times New Roman" w:hAnsi="Times New Roman" w:eastAsia="仿宋_GB2312" w:cs="Times New Roman"/>
          <w:b/>
          <w:bCs/>
          <w:kern w:val="0"/>
          <w:position w:val="0"/>
          <w:sz w:val="32"/>
          <w:szCs w:val="32"/>
          <w:highlight w:val="none"/>
          <w:lang w:val="en-US" w:eastAsia="zh-CN" w:bidi="ar-SA"/>
        </w:rPr>
        <w:t>附件2:</w:t>
      </w:r>
    </w:p>
    <w:p w14:paraId="0236A256">
      <w:pPr>
        <w:jc w:val="center"/>
        <w:rPr>
          <w:rFonts w:hint="eastAsia" w:ascii="方正小标宋简体" w:hAnsi="方正小标宋简体" w:eastAsia="方正小标宋简体" w:cs="方正小标宋简体"/>
          <w:b w:val="0"/>
          <w:bCs w:val="0"/>
          <w:kern w:val="0"/>
          <w:position w:val="0"/>
          <w:sz w:val="44"/>
          <w:szCs w:val="44"/>
          <w:highlight w:val="none"/>
          <w:lang w:val="en-US" w:eastAsia="zh-CN" w:bidi="ar-SA"/>
        </w:rPr>
      </w:pPr>
      <w:r>
        <w:rPr>
          <w:rFonts w:hint="eastAsia" w:ascii="方正小标宋简体" w:hAnsi="方正小标宋简体" w:eastAsia="方正小标宋简体" w:cs="方正小标宋简体"/>
          <w:b w:val="0"/>
          <w:bCs w:val="0"/>
          <w:kern w:val="0"/>
          <w:position w:val="0"/>
          <w:sz w:val="44"/>
          <w:szCs w:val="44"/>
          <w:highlight w:val="none"/>
          <w:lang w:val="en-US" w:eastAsia="zh-CN" w:bidi="ar-SA"/>
        </w:rPr>
        <w:t>专项预算项目绩效评价报告</w:t>
      </w:r>
    </w:p>
    <w:p w14:paraId="781753AF">
      <w:pPr>
        <w:jc w:val="center"/>
        <w:rPr>
          <w:rFonts w:hint="eastAsia" w:ascii="Arial" w:hAnsi="Arial" w:eastAsia="仿宋_GB2312" w:cs="Times New Roman"/>
          <w:b w:val="0"/>
          <w:bCs w:val="0"/>
          <w:kern w:val="0"/>
          <w:position w:val="0"/>
          <w:sz w:val="32"/>
          <w:szCs w:val="32"/>
          <w:highlight w:val="none"/>
          <w:lang w:val="en-US" w:eastAsia="zh-CN" w:bidi="ar-SA"/>
        </w:rPr>
      </w:pPr>
      <w:r>
        <w:rPr>
          <w:rFonts w:hint="eastAsia" w:ascii="Arial" w:hAnsi="Arial" w:eastAsia="仿宋_GB2312" w:cs="Times New Roman"/>
          <w:b w:val="0"/>
          <w:bCs w:val="0"/>
          <w:kern w:val="0"/>
          <w:position w:val="0"/>
          <w:sz w:val="32"/>
          <w:szCs w:val="32"/>
          <w:highlight w:val="none"/>
          <w:lang w:val="en-US" w:eastAsia="zh-CN" w:bidi="ar-SA"/>
        </w:rPr>
        <w:t>（本部门不涉及此类项目）</w:t>
      </w:r>
    </w:p>
    <w:p w14:paraId="51F7880B">
      <w:pPr>
        <w:pStyle w:val="2"/>
        <w:rPr>
          <w:rFonts w:hint="eastAsia" w:ascii="Arial" w:hAnsi="Arial" w:eastAsia="仿宋_GB2312" w:cs="Times New Roman"/>
          <w:b w:val="0"/>
          <w:bCs w:val="0"/>
          <w:kern w:val="0"/>
          <w:position w:val="0"/>
          <w:sz w:val="32"/>
          <w:szCs w:val="32"/>
          <w:highlight w:val="none"/>
          <w:lang w:val="en-US" w:eastAsia="zh-CN" w:bidi="ar-SA"/>
        </w:rPr>
      </w:pPr>
    </w:p>
    <w:p w14:paraId="5D2D955E">
      <w:pPr>
        <w:rPr>
          <w:rFonts w:hint="eastAsia" w:ascii="Arial" w:hAnsi="Arial" w:eastAsia="仿宋_GB2312" w:cs="Times New Roman"/>
          <w:b w:val="0"/>
          <w:bCs w:val="0"/>
          <w:kern w:val="0"/>
          <w:position w:val="0"/>
          <w:sz w:val="32"/>
          <w:szCs w:val="32"/>
          <w:highlight w:val="none"/>
          <w:lang w:val="en-US" w:eastAsia="zh-CN" w:bidi="ar-SA"/>
        </w:rPr>
      </w:pPr>
    </w:p>
    <w:p w14:paraId="052A7008">
      <w:pPr>
        <w:pStyle w:val="2"/>
        <w:rPr>
          <w:rFonts w:hint="eastAsia" w:ascii="Arial" w:hAnsi="Arial" w:eastAsia="仿宋_GB2312" w:cs="Times New Roman"/>
          <w:b w:val="0"/>
          <w:bCs w:val="0"/>
          <w:kern w:val="0"/>
          <w:position w:val="0"/>
          <w:sz w:val="32"/>
          <w:szCs w:val="32"/>
          <w:highlight w:val="none"/>
          <w:lang w:val="en-US" w:eastAsia="zh-CN" w:bidi="ar-SA"/>
        </w:rPr>
      </w:pPr>
    </w:p>
    <w:p w14:paraId="730A124B">
      <w:pPr>
        <w:rPr>
          <w:rFonts w:hint="eastAsia"/>
        </w:rPr>
      </w:pPr>
    </w:p>
    <w:p w14:paraId="7B8D657A">
      <w:pPr>
        <w:pStyle w:val="3"/>
        <w:bidi w:val="0"/>
        <w:jc w:val="center"/>
        <w:rPr>
          <w:rFonts w:hint="eastAsia" w:ascii="Times New Roman" w:hAnsi="Times New Roman" w:eastAsia="仿宋_GB2312" w:cs="仿宋_GB2312"/>
          <w:color w:val="auto"/>
          <w:sz w:val="32"/>
          <w:szCs w:val="32"/>
          <w:highlight w:val="none"/>
        </w:rPr>
      </w:pPr>
      <w:r>
        <w:rPr>
          <w:rFonts w:hint="eastAsia" w:ascii="方正小标宋简体" w:hAnsi="方正小标宋简体" w:eastAsia="方正小标宋简体" w:cs="方正小标宋简体"/>
          <w:b w:val="0"/>
          <w:bCs w:val="0"/>
        </w:rPr>
        <w:t>第五部分 附表</w:t>
      </w:r>
      <w:bookmarkEnd w:id="69"/>
      <w:bookmarkEnd w:id="73"/>
      <w:bookmarkEnd w:id="74"/>
      <w:bookmarkStart w:id="75" w:name="_Toc15396619"/>
    </w:p>
    <w:p w14:paraId="6C4B9D36">
      <w:pPr>
        <w:pStyle w:val="4"/>
        <w:bidi w:val="0"/>
        <w:ind w:firstLine="640" w:firstLineChars="200"/>
        <w:rPr>
          <w:rFonts w:hint="eastAsia" w:ascii="黑体" w:hAnsi="黑体" w:eastAsia="黑体" w:cs="黑体"/>
          <w:b w:val="0"/>
          <w:bCs w:val="0"/>
          <w:lang w:eastAsia="zh-CN"/>
        </w:rPr>
      </w:pPr>
      <w:bookmarkStart w:id="76" w:name="_Toc3630"/>
      <w:r>
        <w:rPr>
          <w:rFonts w:hint="eastAsia" w:ascii="黑体" w:hAnsi="黑体" w:eastAsia="黑体" w:cs="黑体"/>
          <w:b w:val="0"/>
          <w:bCs w:val="0"/>
          <w:lang w:eastAsia="zh-CN"/>
        </w:rPr>
        <w:t>一、收入支出决算总表</w:t>
      </w:r>
      <w:bookmarkEnd w:id="75"/>
      <w:bookmarkEnd w:id="76"/>
    </w:p>
    <w:p w14:paraId="29F57581">
      <w:pPr>
        <w:pStyle w:val="4"/>
        <w:bidi w:val="0"/>
        <w:ind w:firstLine="640" w:firstLineChars="200"/>
        <w:rPr>
          <w:rFonts w:hint="eastAsia" w:ascii="黑体" w:hAnsi="黑体" w:eastAsia="黑体" w:cs="黑体"/>
          <w:b w:val="0"/>
          <w:bCs w:val="0"/>
          <w:lang w:eastAsia="zh-CN"/>
        </w:rPr>
      </w:pPr>
      <w:bookmarkStart w:id="77" w:name="_Toc15396620"/>
      <w:bookmarkStart w:id="78" w:name="_Toc20575"/>
      <w:r>
        <w:rPr>
          <w:rFonts w:hint="eastAsia" w:ascii="黑体" w:hAnsi="黑体" w:eastAsia="黑体" w:cs="黑体"/>
          <w:b w:val="0"/>
          <w:bCs w:val="0"/>
          <w:lang w:eastAsia="zh-CN"/>
        </w:rPr>
        <w:t>二、收入决算表</w:t>
      </w:r>
      <w:bookmarkEnd w:id="77"/>
      <w:bookmarkEnd w:id="78"/>
    </w:p>
    <w:p w14:paraId="0E04DF29">
      <w:pPr>
        <w:pStyle w:val="4"/>
        <w:bidi w:val="0"/>
        <w:ind w:firstLine="640" w:firstLineChars="200"/>
        <w:rPr>
          <w:rFonts w:hint="eastAsia" w:ascii="黑体" w:hAnsi="黑体" w:eastAsia="黑体" w:cs="黑体"/>
          <w:b w:val="0"/>
          <w:bCs w:val="0"/>
          <w:lang w:eastAsia="zh-CN"/>
        </w:rPr>
      </w:pPr>
      <w:bookmarkStart w:id="79" w:name="_Toc32479"/>
      <w:bookmarkStart w:id="80" w:name="_Toc15396621"/>
      <w:r>
        <w:rPr>
          <w:rFonts w:hint="eastAsia" w:ascii="黑体" w:hAnsi="黑体" w:eastAsia="黑体" w:cs="黑体"/>
          <w:b w:val="0"/>
          <w:bCs w:val="0"/>
          <w:lang w:eastAsia="zh-CN"/>
        </w:rPr>
        <w:t>三、支出决算表</w:t>
      </w:r>
      <w:bookmarkEnd w:id="79"/>
      <w:bookmarkEnd w:id="80"/>
    </w:p>
    <w:p w14:paraId="6375DA4A">
      <w:pPr>
        <w:pStyle w:val="4"/>
        <w:bidi w:val="0"/>
        <w:ind w:firstLine="640" w:firstLineChars="200"/>
        <w:rPr>
          <w:rFonts w:hint="eastAsia" w:ascii="黑体" w:hAnsi="黑体" w:eastAsia="黑体" w:cs="黑体"/>
          <w:b w:val="0"/>
          <w:bCs w:val="0"/>
          <w:lang w:eastAsia="zh-CN"/>
        </w:rPr>
      </w:pPr>
      <w:bookmarkStart w:id="81" w:name="_Toc14231"/>
      <w:bookmarkStart w:id="82" w:name="_Toc15396622"/>
      <w:r>
        <w:rPr>
          <w:rFonts w:hint="eastAsia" w:ascii="黑体" w:hAnsi="黑体" w:eastAsia="黑体" w:cs="黑体"/>
          <w:b w:val="0"/>
          <w:bCs w:val="0"/>
          <w:lang w:eastAsia="zh-CN"/>
        </w:rPr>
        <w:t>四、财政拨款收入支出决算总表</w:t>
      </w:r>
      <w:bookmarkEnd w:id="81"/>
      <w:bookmarkEnd w:id="82"/>
    </w:p>
    <w:p w14:paraId="5EA56DD2">
      <w:pPr>
        <w:pStyle w:val="4"/>
        <w:bidi w:val="0"/>
        <w:ind w:firstLine="640" w:firstLineChars="200"/>
        <w:rPr>
          <w:rFonts w:hint="eastAsia" w:ascii="黑体" w:hAnsi="黑体" w:eastAsia="黑体" w:cs="黑体"/>
          <w:b w:val="0"/>
          <w:bCs w:val="0"/>
          <w:lang w:eastAsia="zh-CN"/>
        </w:rPr>
      </w:pPr>
      <w:bookmarkStart w:id="83" w:name="_Toc5746"/>
      <w:bookmarkStart w:id="84" w:name="_Toc15396623"/>
      <w:r>
        <w:rPr>
          <w:rFonts w:hint="eastAsia" w:ascii="黑体" w:hAnsi="黑体" w:eastAsia="黑体" w:cs="黑体"/>
          <w:b w:val="0"/>
          <w:bCs w:val="0"/>
          <w:lang w:eastAsia="zh-CN"/>
        </w:rPr>
        <w:t>五、财政拨款支出决算明细表</w:t>
      </w:r>
      <w:bookmarkEnd w:id="83"/>
      <w:bookmarkEnd w:id="84"/>
      <w:bookmarkStart w:id="85" w:name="_Toc15396624"/>
    </w:p>
    <w:p w14:paraId="60B2E877">
      <w:pPr>
        <w:pStyle w:val="4"/>
        <w:bidi w:val="0"/>
        <w:ind w:firstLine="640" w:firstLineChars="200"/>
        <w:rPr>
          <w:rFonts w:hint="eastAsia" w:ascii="黑体" w:hAnsi="黑体" w:eastAsia="黑体" w:cs="黑体"/>
          <w:b w:val="0"/>
          <w:bCs w:val="0"/>
          <w:lang w:eastAsia="zh-CN"/>
        </w:rPr>
      </w:pPr>
      <w:bookmarkStart w:id="86" w:name="_Toc7625"/>
      <w:r>
        <w:rPr>
          <w:rFonts w:hint="eastAsia" w:ascii="黑体" w:hAnsi="黑体" w:eastAsia="黑体" w:cs="黑体"/>
          <w:b w:val="0"/>
          <w:bCs w:val="0"/>
          <w:lang w:eastAsia="zh-CN"/>
        </w:rPr>
        <w:t>六、一般公共预算财政拨款支出决算表</w:t>
      </w:r>
      <w:bookmarkEnd w:id="85"/>
      <w:bookmarkEnd w:id="86"/>
    </w:p>
    <w:p w14:paraId="460EC54D">
      <w:pPr>
        <w:pStyle w:val="4"/>
        <w:bidi w:val="0"/>
        <w:ind w:firstLine="640" w:firstLineChars="200"/>
        <w:rPr>
          <w:rFonts w:hint="eastAsia" w:ascii="黑体" w:hAnsi="黑体" w:eastAsia="黑体" w:cs="黑体"/>
          <w:b w:val="0"/>
          <w:bCs w:val="0"/>
          <w:lang w:eastAsia="zh-CN"/>
        </w:rPr>
      </w:pPr>
      <w:bookmarkStart w:id="87" w:name="_Toc15396625"/>
      <w:bookmarkStart w:id="88" w:name="_Toc8000"/>
      <w:r>
        <w:rPr>
          <w:rFonts w:hint="eastAsia" w:ascii="黑体" w:hAnsi="黑体" w:eastAsia="黑体" w:cs="黑体"/>
          <w:b w:val="0"/>
          <w:bCs w:val="0"/>
          <w:lang w:eastAsia="zh-CN"/>
        </w:rPr>
        <w:t>七、一般公共预算财政拨款支出决算明细表</w:t>
      </w:r>
      <w:bookmarkEnd w:id="87"/>
      <w:bookmarkEnd w:id="88"/>
    </w:p>
    <w:p w14:paraId="49E27059">
      <w:pPr>
        <w:pStyle w:val="4"/>
        <w:bidi w:val="0"/>
        <w:ind w:firstLine="640" w:firstLineChars="200"/>
        <w:rPr>
          <w:rFonts w:hint="eastAsia" w:ascii="黑体" w:hAnsi="黑体" w:eastAsia="黑体" w:cs="黑体"/>
          <w:b w:val="0"/>
          <w:bCs w:val="0"/>
          <w:lang w:eastAsia="zh-CN"/>
        </w:rPr>
      </w:pPr>
      <w:bookmarkStart w:id="89" w:name="_Toc15396626"/>
      <w:bookmarkStart w:id="90" w:name="_Toc2778"/>
      <w:r>
        <w:rPr>
          <w:rFonts w:hint="eastAsia" w:ascii="黑体" w:hAnsi="黑体" w:eastAsia="黑体" w:cs="黑体"/>
          <w:b w:val="0"/>
          <w:bCs w:val="0"/>
          <w:lang w:eastAsia="zh-CN"/>
        </w:rPr>
        <w:t>八、一般公共预算财政拨款基本支出决算表</w:t>
      </w:r>
      <w:bookmarkEnd w:id="89"/>
      <w:bookmarkEnd w:id="90"/>
    </w:p>
    <w:p w14:paraId="2FD2B161">
      <w:pPr>
        <w:pStyle w:val="4"/>
        <w:bidi w:val="0"/>
        <w:ind w:firstLine="640" w:firstLineChars="200"/>
        <w:rPr>
          <w:rFonts w:hint="eastAsia" w:ascii="黑体" w:hAnsi="黑体" w:eastAsia="黑体" w:cs="黑体"/>
          <w:b w:val="0"/>
          <w:bCs w:val="0"/>
          <w:lang w:eastAsia="zh-CN"/>
        </w:rPr>
      </w:pPr>
      <w:bookmarkStart w:id="91" w:name="_Toc15396627"/>
      <w:bookmarkStart w:id="92" w:name="_Toc5310"/>
      <w:r>
        <w:rPr>
          <w:rFonts w:hint="eastAsia" w:ascii="黑体" w:hAnsi="黑体" w:eastAsia="黑体" w:cs="黑体"/>
          <w:b w:val="0"/>
          <w:bCs w:val="0"/>
          <w:lang w:eastAsia="zh-CN"/>
        </w:rPr>
        <w:t>九、一般公共预算财政拨款项目支出决算表</w:t>
      </w:r>
      <w:bookmarkEnd w:id="91"/>
      <w:bookmarkEnd w:id="92"/>
    </w:p>
    <w:p w14:paraId="563E56B8">
      <w:pPr>
        <w:pStyle w:val="4"/>
        <w:bidi w:val="0"/>
        <w:ind w:firstLine="640" w:firstLineChars="200"/>
        <w:rPr>
          <w:rFonts w:hint="eastAsia" w:ascii="黑体" w:hAnsi="黑体" w:eastAsia="黑体" w:cs="黑体"/>
          <w:b w:val="0"/>
          <w:bCs w:val="0"/>
          <w:lang w:eastAsia="zh-CN"/>
        </w:rPr>
      </w:pPr>
      <w:bookmarkStart w:id="93" w:name="_Toc15396628"/>
      <w:bookmarkStart w:id="94" w:name="_Toc31467"/>
      <w:r>
        <w:rPr>
          <w:rFonts w:hint="eastAsia" w:ascii="黑体" w:hAnsi="黑体" w:eastAsia="黑体" w:cs="黑体"/>
          <w:b w:val="0"/>
          <w:bCs w:val="0"/>
          <w:lang w:eastAsia="zh-CN"/>
        </w:rPr>
        <w:t>十、</w:t>
      </w:r>
      <w:bookmarkEnd w:id="93"/>
      <w:r>
        <w:rPr>
          <w:rFonts w:hint="eastAsia" w:ascii="黑体" w:hAnsi="黑体" w:eastAsia="黑体" w:cs="黑体"/>
          <w:b w:val="0"/>
          <w:bCs w:val="0"/>
          <w:lang w:eastAsia="zh-CN"/>
        </w:rPr>
        <w:t>政府性基金预算财政拨款收入支出决算表</w:t>
      </w:r>
      <w:bookmarkEnd w:id="94"/>
    </w:p>
    <w:p w14:paraId="2D691D7B">
      <w:pPr>
        <w:pStyle w:val="4"/>
        <w:bidi w:val="0"/>
        <w:ind w:firstLine="640" w:firstLineChars="200"/>
        <w:rPr>
          <w:rFonts w:hint="eastAsia" w:ascii="黑体" w:hAnsi="黑体" w:eastAsia="黑体" w:cs="黑体"/>
          <w:b w:val="0"/>
          <w:bCs w:val="0"/>
          <w:lang w:eastAsia="zh-CN"/>
        </w:rPr>
      </w:pPr>
      <w:bookmarkStart w:id="95" w:name="_Toc15396629"/>
      <w:bookmarkStart w:id="96" w:name="_Toc16133"/>
      <w:r>
        <w:rPr>
          <w:rFonts w:hint="eastAsia" w:ascii="黑体" w:hAnsi="黑体" w:eastAsia="黑体" w:cs="黑体"/>
          <w:b w:val="0"/>
          <w:bCs w:val="0"/>
          <w:lang w:eastAsia="zh-CN"/>
        </w:rPr>
        <w:t>十一、</w:t>
      </w:r>
      <w:bookmarkEnd w:id="95"/>
      <w:r>
        <w:rPr>
          <w:rFonts w:hint="eastAsia" w:ascii="黑体" w:hAnsi="黑体" w:eastAsia="黑体" w:cs="黑体"/>
          <w:b w:val="0"/>
          <w:bCs w:val="0"/>
          <w:lang w:eastAsia="zh-CN"/>
        </w:rPr>
        <w:t>国有资本经营预算财政拨款收入支出决算表</w:t>
      </w:r>
      <w:bookmarkEnd w:id="96"/>
    </w:p>
    <w:p w14:paraId="387F817F">
      <w:pPr>
        <w:pStyle w:val="4"/>
        <w:bidi w:val="0"/>
        <w:ind w:firstLine="640" w:firstLineChars="200"/>
        <w:rPr>
          <w:rFonts w:hint="eastAsia" w:ascii="黑体" w:hAnsi="黑体" w:eastAsia="黑体" w:cs="黑体"/>
          <w:b w:val="0"/>
          <w:bCs w:val="0"/>
          <w:lang w:eastAsia="zh-CN"/>
        </w:rPr>
      </w:pPr>
      <w:bookmarkStart w:id="97" w:name="_Toc15396630"/>
      <w:bookmarkStart w:id="98" w:name="_Toc18504"/>
      <w:r>
        <w:rPr>
          <w:rFonts w:hint="eastAsia" w:ascii="黑体" w:hAnsi="黑体" w:eastAsia="黑体" w:cs="黑体"/>
          <w:b w:val="0"/>
          <w:bCs w:val="0"/>
          <w:lang w:eastAsia="zh-CN"/>
        </w:rPr>
        <w:t>十二、</w:t>
      </w:r>
      <w:bookmarkEnd w:id="97"/>
      <w:r>
        <w:rPr>
          <w:rFonts w:hint="eastAsia" w:ascii="黑体" w:hAnsi="黑体" w:eastAsia="黑体" w:cs="黑体"/>
          <w:b w:val="0"/>
          <w:bCs w:val="0"/>
          <w:lang w:eastAsia="zh-CN"/>
        </w:rPr>
        <w:t>国有资本经营预算财政拨款支出决算表</w:t>
      </w:r>
      <w:bookmarkEnd w:id="98"/>
    </w:p>
    <w:p w14:paraId="3700079E">
      <w:pPr>
        <w:pStyle w:val="4"/>
        <w:bidi w:val="0"/>
        <w:ind w:firstLine="640" w:firstLineChars="200"/>
        <w:rPr>
          <w:rFonts w:hint="eastAsia" w:ascii="黑体" w:hAnsi="黑体" w:eastAsia="黑体" w:cs="黑体"/>
          <w:b w:val="0"/>
          <w:bCs w:val="0"/>
          <w:lang w:eastAsia="zh-CN"/>
        </w:rPr>
      </w:pPr>
      <w:bookmarkStart w:id="99" w:name="_Toc15396631"/>
      <w:bookmarkStart w:id="100" w:name="_Toc16251"/>
      <w:r>
        <w:rPr>
          <w:rFonts w:hint="eastAsia" w:ascii="黑体" w:hAnsi="黑体" w:eastAsia="黑体" w:cs="黑体"/>
          <w:b w:val="0"/>
          <w:bCs w:val="0"/>
          <w:lang w:eastAsia="zh-CN"/>
        </w:rPr>
        <w:t>十三、</w:t>
      </w:r>
      <w:bookmarkEnd w:id="99"/>
      <w:r>
        <w:rPr>
          <w:rFonts w:hint="eastAsia" w:ascii="黑体" w:hAnsi="黑体" w:eastAsia="黑体" w:cs="黑体"/>
          <w:b w:val="0"/>
          <w:bCs w:val="0"/>
          <w:lang w:eastAsia="zh-CN"/>
        </w:rPr>
        <w:t>财政拨款“三公”经费支出决算表</w:t>
      </w:r>
      <w:bookmarkEnd w:id="100"/>
    </w:p>
    <w:p w14:paraId="1D4A14F9">
      <w:pPr>
        <w:pStyle w:val="4"/>
        <w:bidi w:val="0"/>
        <w:ind w:firstLine="640" w:firstLineChars="200"/>
        <w:rPr>
          <w:rFonts w:hint="eastAsia" w:ascii="黑体" w:hAnsi="黑体" w:eastAsia="黑体" w:cs="黑体"/>
          <w:b w:val="0"/>
          <w:bCs w:val="0"/>
          <w:lang w:eastAsia="zh-CN"/>
        </w:rPr>
      </w:pPr>
    </w:p>
    <w:sectPr>
      <w:type w:val="continuous"/>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84387">
    <w:pPr>
      <w:pStyle w:val="13"/>
      <w:jc w:val="center"/>
    </w:pPr>
  </w:p>
  <w:p w14:paraId="1CC3ED22">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45A59">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98EC69">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C98EC69">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81FDC">
    <w:pPr>
      <w:pStyle w:val="13"/>
      <w:jc w:val="center"/>
    </w:pPr>
  </w:p>
  <w:p w14:paraId="3AA9EF2F">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2E3E7">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475C1">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2DA475C1">
                    <w:pPr>
                      <w:pStyle w:val="13"/>
                    </w:pPr>
                    <w:r>
                      <w:fldChar w:fldCharType="begin"/>
                    </w:r>
                    <w:r>
                      <w:instrText xml:space="preserve"> PAGE  \* MERGEFORMAT </w:instrText>
                    </w:r>
                    <w:r>
                      <w:fldChar w:fldCharType="separate"/>
                    </w:r>
                    <w:r>
                      <w:t>1</w:t>
                    </w:r>
                    <w:r>
                      <w:fldChar w:fldCharType="end"/>
                    </w:r>
                  </w:p>
                </w:txbxContent>
              </v:textbox>
            </v:shape>
          </w:pict>
        </mc:Fallback>
      </mc:AlternateContent>
    </w:r>
  </w:p>
  <w:p w14:paraId="00499C0F">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C486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1">
    <w:nsid w:val="77B9C9C4"/>
    <w:multiLevelType w:val="singleLevel"/>
    <w:tmpl w:val="77B9C9C4"/>
    <w:lvl w:ilvl="0" w:tentative="0">
      <w:start w:val="2"/>
      <w:numFmt w:val="chineseCounting"/>
      <w:suff w:val="nothing"/>
      <w:lvlText w:val="（%1）"/>
      <w:lvlJc w:val="left"/>
      <w:pPr>
        <w:ind w:left="-32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791"/>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64C4"/>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752C8"/>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088A"/>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5D4B"/>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5857"/>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E7797"/>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D79DA"/>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17F69"/>
    <w:rsid w:val="01377491"/>
    <w:rsid w:val="014632E9"/>
    <w:rsid w:val="015975B8"/>
    <w:rsid w:val="017309D2"/>
    <w:rsid w:val="017D31AE"/>
    <w:rsid w:val="018C519F"/>
    <w:rsid w:val="01E4322D"/>
    <w:rsid w:val="01FB0577"/>
    <w:rsid w:val="01FB2F91"/>
    <w:rsid w:val="01FF1E15"/>
    <w:rsid w:val="020C62E0"/>
    <w:rsid w:val="02317B1B"/>
    <w:rsid w:val="024912E2"/>
    <w:rsid w:val="0261662C"/>
    <w:rsid w:val="029702A0"/>
    <w:rsid w:val="0297204E"/>
    <w:rsid w:val="02A66735"/>
    <w:rsid w:val="02BE582C"/>
    <w:rsid w:val="02BF77F6"/>
    <w:rsid w:val="02CF4893"/>
    <w:rsid w:val="02E97F00"/>
    <w:rsid w:val="02F30F60"/>
    <w:rsid w:val="02FEBE30"/>
    <w:rsid w:val="03404493"/>
    <w:rsid w:val="03962305"/>
    <w:rsid w:val="03AF786B"/>
    <w:rsid w:val="03F07987"/>
    <w:rsid w:val="046643CE"/>
    <w:rsid w:val="047D34C5"/>
    <w:rsid w:val="04893C18"/>
    <w:rsid w:val="04AC51BF"/>
    <w:rsid w:val="04C74740"/>
    <w:rsid w:val="056D7096"/>
    <w:rsid w:val="057228FE"/>
    <w:rsid w:val="05791EDF"/>
    <w:rsid w:val="057B7A05"/>
    <w:rsid w:val="05A50F26"/>
    <w:rsid w:val="06127C3D"/>
    <w:rsid w:val="061614DB"/>
    <w:rsid w:val="061E35DE"/>
    <w:rsid w:val="062E0F1B"/>
    <w:rsid w:val="062F07EF"/>
    <w:rsid w:val="064F49ED"/>
    <w:rsid w:val="065344DE"/>
    <w:rsid w:val="065701C8"/>
    <w:rsid w:val="066E0107"/>
    <w:rsid w:val="074C4BA7"/>
    <w:rsid w:val="0781151E"/>
    <w:rsid w:val="07996F6E"/>
    <w:rsid w:val="07DFD8BA"/>
    <w:rsid w:val="07ED44BE"/>
    <w:rsid w:val="08204893"/>
    <w:rsid w:val="0822060B"/>
    <w:rsid w:val="08634780"/>
    <w:rsid w:val="086E55FF"/>
    <w:rsid w:val="08752E31"/>
    <w:rsid w:val="08BE2B46"/>
    <w:rsid w:val="08DB07E4"/>
    <w:rsid w:val="08F5187C"/>
    <w:rsid w:val="08FC70AE"/>
    <w:rsid w:val="091066B6"/>
    <w:rsid w:val="09867E8F"/>
    <w:rsid w:val="09972933"/>
    <w:rsid w:val="09C53944"/>
    <w:rsid w:val="09E16598"/>
    <w:rsid w:val="0A073D6E"/>
    <w:rsid w:val="0A122902"/>
    <w:rsid w:val="0A2032A3"/>
    <w:rsid w:val="0A283ED3"/>
    <w:rsid w:val="0A2A19F9"/>
    <w:rsid w:val="0A342878"/>
    <w:rsid w:val="0A374116"/>
    <w:rsid w:val="0A4707FD"/>
    <w:rsid w:val="0A6462CF"/>
    <w:rsid w:val="0A83110A"/>
    <w:rsid w:val="0AB37C41"/>
    <w:rsid w:val="0AC41E4E"/>
    <w:rsid w:val="0AE41BA8"/>
    <w:rsid w:val="0AFF4C34"/>
    <w:rsid w:val="0B04049C"/>
    <w:rsid w:val="0B161F7E"/>
    <w:rsid w:val="0B185CF6"/>
    <w:rsid w:val="0B3C7C36"/>
    <w:rsid w:val="0B505490"/>
    <w:rsid w:val="0B5807E8"/>
    <w:rsid w:val="0B81389B"/>
    <w:rsid w:val="0B892750"/>
    <w:rsid w:val="0BA16207"/>
    <w:rsid w:val="0BC36379"/>
    <w:rsid w:val="0BDA2FAB"/>
    <w:rsid w:val="0BE04A65"/>
    <w:rsid w:val="0BEF4CA9"/>
    <w:rsid w:val="0C030754"/>
    <w:rsid w:val="0C0544CC"/>
    <w:rsid w:val="0C394176"/>
    <w:rsid w:val="0C591F54"/>
    <w:rsid w:val="0C6C4794"/>
    <w:rsid w:val="0C9D165E"/>
    <w:rsid w:val="0CA8290A"/>
    <w:rsid w:val="0CEC743A"/>
    <w:rsid w:val="0D132C19"/>
    <w:rsid w:val="0D251794"/>
    <w:rsid w:val="0D350DE1"/>
    <w:rsid w:val="0D35B1ED"/>
    <w:rsid w:val="0D5A65D7"/>
    <w:rsid w:val="0DE07E2B"/>
    <w:rsid w:val="0E527771"/>
    <w:rsid w:val="0E7C659C"/>
    <w:rsid w:val="0E83792A"/>
    <w:rsid w:val="0EAA3109"/>
    <w:rsid w:val="0EAF071F"/>
    <w:rsid w:val="0EF56A7A"/>
    <w:rsid w:val="0F1F0848"/>
    <w:rsid w:val="0F98263C"/>
    <w:rsid w:val="0FAB0EE6"/>
    <w:rsid w:val="0FC1070A"/>
    <w:rsid w:val="0FE4264A"/>
    <w:rsid w:val="101860EC"/>
    <w:rsid w:val="103709CC"/>
    <w:rsid w:val="10463305"/>
    <w:rsid w:val="105D7981"/>
    <w:rsid w:val="10855BDB"/>
    <w:rsid w:val="10C055FF"/>
    <w:rsid w:val="10ED3781"/>
    <w:rsid w:val="110E3C53"/>
    <w:rsid w:val="111E1B8C"/>
    <w:rsid w:val="113969C6"/>
    <w:rsid w:val="11477335"/>
    <w:rsid w:val="11772AA4"/>
    <w:rsid w:val="117A5014"/>
    <w:rsid w:val="118107EC"/>
    <w:rsid w:val="11996E96"/>
    <w:rsid w:val="11B147AE"/>
    <w:rsid w:val="11EB4164"/>
    <w:rsid w:val="11FD5C45"/>
    <w:rsid w:val="11FD79F3"/>
    <w:rsid w:val="123553DF"/>
    <w:rsid w:val="12371157"/>
    <w:rsid w:val="12543AB7"/>
    <w:rsid w:val="125C471A"/>
    <w:rsid w:val="12AD31C8"/>
    <w:rsid w:val="12B72298"/>
    <w:rsid w:val="12E110C3"/>
    <w:rsid w:val="12F42BA4"/>
    <w:rsid w:val="12F9465F"/>
    <w:rsid w:val="135D4BEE"/>
    <w:rsid w:val="139E0D62"/>
    <w:rsid w:val="13AC7923"/>
    <w:rsid w:val="13C63F15"/>
    <w:rsid w:val="13D50BC4"/>
    <w:rsid w:val="13F015BE"/>
    <w:rsid w:val="14022904"/>
    <w:rsid w:val="140C03C2"/>
    <w:rsid w:val="144D4C62"/>
    <w:rsid w:val="145558C5"/>
    <w:rsid w:val="146B158C"/>
    <w:rsid w:val="14987A67"/>
    <w:rsid w:val="14E07884"/>
    <w:rsid w:val="15013364"/>
    <w:rsid w:val="15155054"/>
    <w:rsid w:val="152F2A07"/>
    <w:rsid w:val="156758B0"/>
    <w:rsid w:val="157306F8"/>
    <w:rsid w:val="157955E3"/>
    <w:rsid w:val="159266A5"/>
    <w:rsid w:val="15AE1730"/>
    <w:rsid w:val="162E0AC3"/>
    <w:rsid w:val="16421E79"/>
    <w:rsid w:val="16585B40"/>
    <w:rsid w:val="165E0673"/>
    <w:rsid w:val="165E3157"/>
    <w:rsid w:val="16BB723D"/>
    <w:rsid w:val="16C805D0"/>
    <w:rsid w:val="16DB47A7"/>
    <w:rsid w:val="16E178E4"/>
    <w:rsid w:val="16F70EB5"/>
    <w:rsid w:val="16FC64CC"/>
    <w:rsid w:val="17011D34"/>
    <w:rsid w:val="17045380"/>
    <w:rsid w:val="1743234C"/>
    <w:rsid w:val="174C7453"/>
    <w:rsid w:val="176302F9"/>
    <w:rsid w:val="17A60604"/>
    <w:rsid w:val="17C3523B"/>
    <w:rsid w:val="17D80CE7"/>
    <w:rsid w:val="17E01949"/>
    <w:rsid w:val="180C6BE2"/>
    <w:rsid w:val="181B1DAD"/>
    <w:rsid w:val="186504BB"/>
    <w:rsid w:val="1938089F"/>
    <w:rsid w:val="19A445FC"/>
    <w:rsid w:val="19C72DC1"/>
    <w:rsid w:val="19D96F98"/>
    <w:rsid w:val="19DB061A"/>
    <w:rsid w:val="1A2A3350"/>
    <w:rsid w:val="1A9D6217"/>
    <w:rsid w:val="1AD52AE7"/>
    <w:rsid w:val="1AFB4802"/>
    <w:rsid w:val="1B097409"/>
    <w:rsid w:val="1B4462C8"/>
    <w:rsid w:val="1B5A7C65"/>
    <w:rsid w:val="1B7D550C"/>
    <w:rsid w:val="1B8A75E4"/>
    <w:rsid w:val="1BC03F6C"/>
    <w:rsid w:val="1BE834C2"/>
    <w:rsid w:val="1BE8440E"/>
    <w:rsid w:val="1BEE0ACC"/>
    <w:rsid w:val="1C0E4336"/>
    <w:rsid w:val="1C321B2D"/>
    <w:rsid w:val="1C5B5A42"/>
    <w:rsid w:val="1C646FED"/>
    <w:rsid w:val="1CC17F9B"/>
    <w:rsid w:val="1CC7641A"/>
    <w:rsid w:val="1CF57C45"/>
    <w:rsid w:val="1D061E52"/>
    <w:rsid w:val="1D155CEE"/>
    <w:rsid w:val="1D4D5CD3"/>
    <w:rsid w:val="1D813BCE"/>
    <w:rsid w:val="1DAD0520"/>
    <w:rsid w:val="1DBB0E8E"/>
    <w:rsid w:val="1DF24184"/>
    <w:rsid w:val="1E0C16EA"/>
    <w:rsid w:val="1E2C58E8"/>
    <w:rsid w:val="1E2C7696"/>
    <w:rsid w:val="1E4A3FC0"/>
    <w:rsid w:val="1E630076"/>
    <w:rsid w:val="1E6F1C79"/>
    <w:rsid w:val="1E7120FC"/>
    <w:rsid w:val="1E740ACF"/>
    <w:rsid w:val="1E890F8D"/>
    <w:rsid w:val="1E9F255E"/>
    <w:rsid w:val="1ED815CC"/>
    <w:rsid w:val="1EDD6BE3"/>
    <w:rsid w:val="1EE03162"/>
    <w:rsid w:val="1F1F71FB"/>
    <w:rsid w:val="1F413615"/>
    <w:rsid w:val="1F9C6A9E"/>
    <w:rsid w:val="1FF35744"/>
    <w:rsid w:val="1FF6BC77"/>
    <w:rsid w:val="201900EE"/>
    <w:rsid w:val="202820DF"/>
    <w:rsid w:val="2079293B"/>
    <w:rsid w:val="208F6602"/>
    <w:rsid w:val="20A26336"/>
    <w:rsid w:val="20F12E19"/>
    <w:rsid w:val="216D5D97"/>
    <w:rsid w:val="21962A9E"/>
    <w:rsid w:val="219739C1"/>
    <w:rsid w:val="21997739"/>
    <w:rsid w:val="21AE7C77"/>
    <w:rsid w:val="21AF5D06"/>
    <w:rsid w:val="21BE719F"/>
    <w:rsid w:val="21D20555"/>
    <w:rsid w:val="220B3A67"/>
    <w:rsid w:val="22356D36"/>
    <w:rsid w:val="2246271F"/>
    <w:rsid w:val="22765384"/>
    <w:rsid w:val="2288155B"/>
    <w:rsid w:val="22A5210D"/>
    <w:rsid w:val="22BC3C41"/>
    <w:rsid w:val="22C00CF5"/>
    <w:rsid w:val="23527E42"/>
    <w:rsid w:val="237B69CA"/>
    <w:rsid w:val="23860B96"/>
    <w:rsid w:val="23A45F21"/>
    <w:rsid w:val="23F24EDE"/>
    <w:rsid w:val="23FB7503"/>
    <w:rsid w:val="240371BF"/>
    <w:rsid w:val="2409047A"/>
    <w:rsid w:val="243F5C4A"/>
    <w:rsid w:val="244119C2"/>
    <w:rsid w:val="24480FA2"/>
    <w:rsid w:val="24523BCF"/>
    <w:rsid w:val="24863878"/>
    <w:rsid w:val="248C6D6D"/>
    <w:rsid w:val="24C543A1"/>
    <w:rsid w:val="24E54A43"/>
    <w:rsid w:val="25164BFC"/>
    <w:rsid w:val="251F61A7"/>
    <w:rsid w:val="253B28B5"/>
    <w:rsid w:val="256911D0"/>
    <w:rsid w:val="25951FC5"/>
    <w:rsid w:val="25AD01C7"/>
    <w:rsid w:val="25B305EA"/>
    <w:rsid w:val="25F72C80"/>
    <w:rsid w:val="260F557C"/>
    <w:rsid w:val="261C702C"/>
    <w:rsid w:val="26234EE0"/>
    <w:rsid w:val="263B1CAD"/>
    <w:rsid w:val="265C0D35"/>
    <w:rsid w:val="26647BE9"/>
    <w:rsid w:val="266D4CF0"/>
    <w:rsid w:val="26797B39"/>
    <w:rsid w:val="269404CF"/>
    <w:rsid w:val="26BE08C7"/>
    <w:rsid w:val="26C24F24"/>
    <w:rsid w:val="26D905D7"/>
    <w:rsid w:val="26F64CE5"/>
    <w:rsid w:val="270F224B"/>
    <w:rsid w:val="27893DAB"/>
    <w:rsid w:val="27982240"/>
    <w:rsid w:val="27BB7CDD"/>
    <w:rsid w:val="281178FD"/>
    <w:rsid w:val="281408E2"/>
    <w:rsid w:val="2818512F"/>
    <w:rsid w:val="288F53F1"/>
    <w:rsid w:val="28CF4308"/>
    <w:rsid w:val="290851A4"/>
    <w:rsid w:val="29183639"/>
    <w:rsid w:val="293D6BFB"/>
    <w:rsid w:val="2940493E"/>
    <w:rsid w:val="29524F49"/>
    <w:rsid w:val="29763EBB"/>
    <w:rsid w:val="2987431B"/>
    <w:rsid w:val="29B15BAA"/>
    <w:rsid w:val="29B449E4"/>
    <w:rsid w:val="29C410CB"/>
    <w:rsid w:val="29DC3DF4"/>
    <w:rsid w:val="29FD04D3"/>
    <w:rsid w:val="2A1536D4"/>
    <w:rsid w:val="2A1F09F7"/>
    <w:rsid w:val="2A81520E"/>
    <w:rsid w:val="2ABC7FF4"/>
    <w:rsid w:val="2B07458A"/>
    <w:rsid w:val="2B1E480B"/>
    <w:rsid w:val="2B535728"/>
    <w:rsid w:val="2B726905"/>
    <w:rsid w:val="2B7B1C5D"/>
    <w:rsid w:val="2BD17ACF"/>
    <w:rsid w:val="2BFF7BC6"/>
    <w:rsid w:val="2C1C51EE"/>
    <w:rsid w:val="2C212804"/>
    <w:rsid w:val="2C3047F5"/>
    <w:rsid w:val="2C6705BD"/>
    <w:rsid w:val="2C7C5C8D"/>
    <w:rsid w:val="2C7F752B"/>
    <w:rsid w:val="2C8A61B5"/>
    <w:rsid w:val="2C950AFD"/>
    <w:rsid w:val="2CAB6572"/>
    <w:rsid w:val="2CC9092A"/>
    <w:rsid w:val="2CDD4252"/>
    <w:rsid w:val="2D047A30"/>
    <w:rsid w:val="2D1E4F96"/>
    <w:rsid w:val="2D2E01CF"/>
    <w:rsid w:val="2D334B69"/>
    <w:rsid w:val="2D957F46"/>
    <w:rsid w:val="2DC007B4"/>
    <w:rsid w:val="2DC773DC"/>
    <w:rsid w:val="2DCE076A"/>
    <w:rsid w:val="2DF04E50"/>
    <w:rsid w:val="2E0E4B9C"/>
    <w:rsid w:val="2E3D31FA"/>
    <w:rsid w:val="2E440A2C"/>
    <w:rsid w:val="2E5F4766"/>
    <w:rsid w:val="2E67471B"/>
    <w:rsid w:val="2E7F39BA"/>
    <w:rsid w:val="2E8B0409"/>
    <w:rsid w:val="2E9545B0"/>
    <w:rsid w:val="2EFE0BDB"/>
    <w:rsid w:val="2F040D46"/>
    <w:rsid w:val="2F154177"/>
    <w:rsid w:val="2F2B5748"/>
    <w:rsid w:val="2F324D29"/>
    <w:rsid w:val="2F762E67"/>
    <w:rsid w:val="2F7B66D0"/>
    <w:rsid w:val="2F82362D"/>
    <w:rsid w:val="2FAA2B11"/>
    <w:rsid w:val="2FAE5751"/>
    <w:rsid w:val="2FB1A395"/>
    <w:rsid w:val="2FD61B58"/>
    <w:rsid w:val="2FD9A7D8"/>
    <w:rsid w:val="2FDB53C0"/>
    <w:rsid w:val="2FFD5337"/>
    <w:rsid w:val="30332B06"/>
    <w:rsid w:val="30422D49"/>
    <w:rsid w:val="305F38FB"/>
    <w:rsid w:val="3097418D"/>
    <w:rsid w:val="30B05F05"/>
    <w:rsid w:val="30B5507D"/>
    <w:rsid w:val="31097D0B"/>
    <w:rsid w:val="312D57A8"/>
    <w:rsid w:val="319C292D"/>
    <w:rsid w:val="319F7F4E"/>
    <w:rsid w:val="31A93643"/>
    <w:rsid w:val="321B2544"/>
    <w:rsid w:val="324C7EAF"/>
    <w:rsid w:val="3260395B"/>
    <w:rsid w:val="32C65EB4"/>
    <w:rsid w:val="32EE518C"/>
    <w:rsid w:val="3304709D"/>
    <w:rsid w:val="333A41AC"/>
    <w:rsid w:val="333C7F24"/>
    <w:rsid w:val="336D27D3"/>
    <w:rsid w:val="33A51F6D"/>
    <w:rsid w:val="33AF6948"/>
    <w:rsid w:val="33B62074"/>
    <w:rsid w:val="33C323F3"/>
    <w:rsid w:val="34281836"/>
    <w:rsid w:val="349D6851"/>
    <w:rsid w:val="34B306BA"/>
    <w:rsid w:val="34EF0FC6"/>
    <w:rsid w:val="34F32864"/>
    <w:rsid w:val="34FD1935"/>
    <w:rsid w:val="35123632"/>
    <w:rsid w:val="35131158"/>
    <w:rsid w:val="35325A82"/>
    <w:rsid w:val="35610116"/>
    <w:rsid w:val="35845BB2"/>
    <w:rsid w:val="35BA6CAF"/>
    <w:rsid w:val="363B2715"/>
    <w:rsid w:val="364D14C1"/>
    <w:rsid w:val="36681030"/>
    <w:rsid w:val="368A544A"/>
    <w:rsid w:val="36AA5135"/>
    <w:rsid w:val="36BE0DA7"/>
    <w:rsid w:val="36E83F1F"/>
    <w:rsid w:val="37054AD1"/>
    <w:rsid w:val="376B6AA6"/>
    <w:rsid w:val="376D39B2"/>
    <w:rsid w:val="3776777C"/>
    <w:rsid w:val="3781684D"/>
    <w:rsid w:val="37991DE9"/>
    <w:rsid w:val="37A02291"/>
    <w:rsid w:val="37B23AF9"/>
    <w:rsid w:val="37C93D50"/>
    <w:rsid w:val="37E16F03"/>
    <w:rsid w:val="37F53A3B"/>
    <w:rsid w:val="381C20D2"/>
    <w:rsid w:val="38211DDE"/>
    <w:rsid w:val="382F0057"/>
    <w:rsid w:val="384F06F9"/>
    <w:rsid w:val="389B6C89"/>
    <w:rsid w:val="38AC16A8"/>
    <w:rsid w:val="38D469F0"/>
    <w:rsid w:val="391B4A7F"/>
    <w:rsid w:val="393D46F1"/>
    <w:rsid w:val="39627CCD"/>
    <w:rsid w:val="397BAF1F"/>
    <w:rsid w:val="39893797"/>
    <w:rsid w:val="39A44A75"/>
    <w:rsid w:val="39AE72B7"/>
    <w:rsid w:val="39BD1693"/>
    <w:rsid w:val="39ED01CA"/>
    <w:rsid w:val="3A3C4CAD"/>
    <w:rsid w:val="3A571AE7"/>
    <w:rsid w:val="3A59760D"/>
    <w:rsid w:val="3A8B1791"/>
    <w:rsid w:val="3A976388"/>
    <w:rsid w:val="3AB79AF3"/>
    <w:rsid w:val="3AB94550"/>
    <w:rsid w:val="3B234D20"/>
    <w:rsid w:val="3B36794F"/>
    <w:rsid w:val="3B7EF35A"/>
    <w:rsid w:val="3B9FDB6C"/>
    <w:rsid w:val="3BCC2061"/>
    <w:rsid w:val="3BD333EF"/>
    <w:rsid w:val="3BF5BC2F"/>
    <w:rsid w:val="3BFA7034"/>
    <w:rsid w:val="3C595690"/>
    <w:rsid w:val="3C746980"/>
    <w:rsid w:val="3CB11983"/>
    <w:rsid w:val="3CEBA265"/>
    <w:rsid w:val="3D1D0DC6"/>
    <w:rsid w:val="3D211F38"/>
    <w:rsid w:val="3D3305EA"/>
    <w:rsid w:val="3D3659E4"/>
    <w:rsid w:val="3D4A76E1"/>
    <w:rsid w:val="3D78424E"/>
    <w:rsid w:val="3D98207C"/>
    <w:rsid w:val="3D9B0D99"/>
    <w:rsid w:val="3DA037A5"/>
    <w:rsid w:val="3DAB63D2"/>
    <w:rsid w:val="3DD516A1"/>
    <w:rsid w:val="3DEE7CF3"/>
    <w:rsid w:val="3DF02244"/>
    <w:rsid w:val="3DF17B5D"/>
    <w:rsid w:val="3E043D34"/>
    <w:rsid w:val="3E0C2BE9"/>
    <w:rsid w:val="3E330175"/>
    <w:rsid w:val="3E524A9F"/>
    <w:rsid w:val="3E78745D"/>
    <w:rsid w:val="3E8D5AD7"/>
    <w:rsid w:val="3EC7548D"/>
    <w:rsid w:val="3EC7661E"/>
    <w:rsid w:val="3EC84D62"/>
    <w:rsid w:val="3ED25BE0"/>
    <w:rsid w:val="3F0666C8"/>
    <w:rsid w:val="3F402B4A"/>
    <w:rsid w:val="3F450160"/>
    <w:rsid w:val="3F4563B2"/>
    <w:rsid w:val="3F636838"/>
    <w:rsid w:val="3FB8126D"/>
    <w:rsid w:val="3FE45BCB"/>
    <w:rsid w:val="3FE931E1"/>
    <w:rsid w:val="3FEC2CD2"/>
    <w:rsid w:val="3FF4CAE0"/>
    <w:rsid w:val="3FF7B227"/>
    <w:rsid w:val="40112738"/>
    <w:rsid w:val="40153FD6"/>
    <w:rsid w:val="401F6C03"/>
    <w:rsid w:val="402E32EA"/>
    <w:rsid w:val="40385F17"/>
    <w:rsid w:val="403D352D"/>
    <w:rsid w:val="406063DD"/>
    <w:rsid w:val="407B4DD5"/>
    <w:rsid w:val="407C22A8"/>
    <w:rsid w:val="408353E4"/>
    <w:rsid w:val="40865D95"/>
    <w:rsid w:val="40972C3D"/>
    <w:rsid w:val="40AF61D9"/>
    <w:rsid w:val="40B90F2A"/>
    <w:rsid w:val="40BE641C"/>
    <w:rsid w:val="40E54C45"/>
    <w:rsid w:val="40E85247"/>
    <w:rsid w:val="40F40090"/>
    <w:rsid w:val="40FC63F3"/>
    <w:rsid w:val="415B010F"/>
    <w:rsid w:val="41B415CD"/>
    <w:rsid w:val="41FD2F74"/>
    <w:rsid w:val="425D1C65"/>
    <w:rsid w:val="42672AE3"/>
    <w:rsid w:val="426D0DA2"/>
    <w:rsid w:val="427B7839"/>
    <w:rsid w:val="42935686"/>
    <w:rsid w:val="42984A4B"/>
    <w:rsid w:val="429C453B"/>
    <w:rsid w:val="42AB6E74"/>
    <w:rsid w:val="42BF022A"/>
    <w:rsid w:val="43106CD7"/>
    <w:rsid w:val="43185992"/>
    <w:rsid w:val="4374370A"/>
    <w:rsid w:val="438374A9"/>
    <w:rsid w:val="43A407DF"/>
    <w:rsid w:val="43CC52F4"/>
    <w:rsid w:val="43D877F5"/>
    <w:rsid w:val="43F32881"/>
    <w:rsid w:val="44515BEA"/>
    <w:rsid w:val="44663053"/>
    <w:rsid w:val="449C6A74"/>
    <w:rsid w:val="44A678F3"/>
    <w:rsid w:val="44B00772"/>
    <w:rsid w:val="44C22253"/>
    <w:rsid w:val="44DE52DF"/>
    <w:rsid w:val="44E268DA"/>
    <w:rsid w:val="45336CAD"/>
    <w:rsid w:val="45392515"/>
    <w:rsid w:val="453F7E5B"/>
    <w:rsid w:val="45C2075D"/>
    <w:rsid w:val="45F60406"/>
    <w:rsid w:val="463D7DE3"/>
    <w:rsid w:val="46601D24"/>
    <w:rsid w:val="46777349"/>
    <w:rsid w:val="46C10A14"/>
    <w:rsid w:val="46FA3F26"/>
    <w:rsid w:val="471D19C3"/>
    <w:rsid w:val="472D286B"/>
    <w:rsid w:val="473E02B7"/>
    <w:rsid w:val="475063D8"/>
    <w:rsid w:val="477E6905"/>
    <w:rsid w:val="478F28C0"/>
    <w:rsid w:val="47B16CDB"/>
    <w:rsid w:val="481B6721"/>
    <w:rsid w:val="481E3C44"/>
    <w:rsid w:val="482B7039"/>
    <w:rsid w:val="48442155"/>
    <w:rsid w:val="486A6C7A"/>
    <w:rsid w:val="488066AD"/>
    <w:rsid w:val="488D56D5"/>
    <w:rsid w:val="48C20A74"/>
    <w:rsid w:val="49176D9B"/>
    <w:rsid w:val="4968786D"/>
    <w:rsid w:val="49726F4F"/>
    <w:rsid w:val="499B7313"/>
    <w:rsid w:val="49AB59AC"/>
    <w:rsid w:val="4A627F82"/>
    <w:rsid w:val="4A630CF5"/>
    <w:rsid w:val="4A6C513B"/>
    <w:rsid w:val="4A8E50B1"/>
    <w:rsid w:val="4A9D3546"/>
    <w:rsid w:val="4AB440F1"/>
    <w:rsid w:val="4AE747C1"/>
    <w:rsid w:val="4AEC002A"/>
    <w:rsid w:val="4AF47395"/>
    <w:rsid w:val="4AFF1B0B"/>
    <w:rsid w:val="4B0E749A"/>
    <w:rsid w:val="4B3009DE"/>
    <w:rsid w:val="4B414B3C"/>
    <w:rsid w:val="4B4F25DA"/>
    <w:rsid w:val="4B7818BD"/>
    <w:rsid w:val="4BA91A77"/>
    <w:rsid w:val="4BAB3A41"/>
    <w:rsid w:val="4BB70638"/>
    <w:rsid w:val="4BDA0CFB"/>
    <w:rsid w:val="4BDE5BC4"/>
    <w:rsid w:val="4BE068DB"/>
    <w:rsid w:val="4C4874E2"/>
    <w:rsid w:val="4C650094"/>
    <w:rsid w:val="4CAF01DD"/>
    <w:rsid w:val="4CFB27A6"/>
    <w:rsid w:val="4D185106"/>
    <w:rsid w:val="4D197E75"/>
    <w:rsid w:val="4D3A1520"/>
    <w:rsid w:val="4D3C0CCC"/>
    <w:rsid w:val="4D445EFB"/>
    <w:rsid w:val="4D577224"/>
    <w:rsid w:val="4D754306"/>
    <w:rsid w:val="4D8B3B2A"/>
    <w:rsid w:val="4DAD1CF2"/>
    <w:rsid w:val="4DB0533F"/>
    <w:rsid w:val="4DB50BA7"/>
    <w:rsid w:val="4DBF1CEB"/>
    <w:rsid w:val="4DD03C33"/>
    <w:rsid w:val="4DD51249"/>
    <w:rsid w:val="4DFC4A28"/>
    <w:rsid w:val="4E161FCA"/>
    <w:rsid w:val="4E1E499E"/>
    <w:rsid w:val="4E411E87"/>
    <w:rsid w:val="4E8011B5"/>
    <w:rsid w:val="4E8C7B5A"/>
    <w:rsid w:val="4EAB630A"/>
    <w:rsid w:val="4ECE2238"/>
    <w:rsid w:val="4ED11A10"/>
    <w:rsid w:val="4EE5726A"/>
    <w:rsid w:val="4F0C7024"/>
    <w:rsid w:val="4F29184C"/>
    <w:rsid w:val="4F833267"/>
    <w:rsid w:val="4F840831"/>
    <w:rsid w:val="4FE9BD67"/>
    <w:rsid w:val="4FFB052F"/>
    <w:rsid w:val="503009B9"/>
    <w:rsid w:val="5055171C"/>
    <w:rsid w:val="505F4DFA"/>
    <w:rsid w:val="507D0D21"/>
    <w:rsid w:val="508D5E0B"/>
    <w:rsid w:val="50B60EBE"/>
    <w:rsid w:val="50C17863"/>
    <w:rsid w:val="50CA4969"/>
    <w:rsid w:val="51182B81"/>
    <w:rsid w:val="51501312"/>
    <w:rsid w:val="517308B7"/>
    <w:rsid w:val="51A96CBC"/>
    <w:rsid w:val="51B66656"/>
    <w:rsid w:val="51E14DA1"/>
    <w:rsid w:val="526112FD"/>
    <w:rsid w:val="52721A5F"/>
    <w:rsid w:val="52762C05"/>
    <w:rsid w:val="52AD62F0"/>
    <w:rsid w:val="52D03D8D"/>
    <w:rsid w:val="53083A92"/>
    <w:rsid w:val="530F6FAB"/>
    <w:rsid w:val="5339717F"/>
    <w:rsid w:val="5349426B"/>
    <w:rsid w:val="536A45EB"/>
    <w:rsid w:val="537E6D0A"/>
    <w:rsid w:val="538452A3"/>
    <w:rsid w:val="539F032F"/>
    <w:rsid w:val="53AF27A2"/>
    <w:rsid w:val="53B13BBE"/>
    <w:rsid w:val="53B55B42"/>
    <w:rsid w:val="53D17DBD"/>
    <w:rsid w:val="53F74C96"/>
    <w:rsid w:val="543C16DA"/>
    <w:rsid w:val="543C792C"/>
    <w:rsid w:val="545B2183"/>
    <w:rsid w:val="546155E5"/>
    <w:rsid w:val="548D4512"/>
    <w:rsid w:val="549D256F"/>
    <w:rsid w:val="54AD4386"/>
    <w:rsid w:val="54CD2C7A"/>
    <w:rsid w:val="54DB0C8F"/>
    <w:rsid w:val="554C1DF1"/>
    <w:rsid w:val="55550B88"/>
    <w:rsid w:val="557B26D6"/>
    <w:rsid w:val="55A7171D"/>
    <w:rsid w:val="55D54A04"/>
    <w:rsid w:val="56486A5C"/>
    <w:rsid w:val="565C2507"/>
    <w:rsid w:val="566D64C3"/>
    <w:rsid w:val="569A3030"/>
    <w:rsid w:val="56B60B9C"/>
    <w:rsid w:val="56E47B74"/>
    <w:rsid w:val="573945F7"/>
    <w:rsid w:val="573B211D"/>
    <w:rsid w:val="576D604E"/>
    <w:rsid w:val="57BD3DD4"/>
    <w:rsid w:val="57D8693C"/>
    <w:rsid w:val="57EE53E1"/>
    <w:rsid w:val="581B1F4E"/>
    <w:rsid w:val="5829466B"/>
    <w:rsid w:val="587305AA"/>
    <w:rsid w:val="5886386C"/>
    <w:rsid w:val="58A12453"/>
    <w:rsid w:val="58B57CAD"/>
    <w:rsid w:val="591F781C"/>
    <w:rsid w:val="592B7F6F"/>
    <w:rsid w:val="59464DA9"/>
    <w:rsid w:val="59A55F73"/>
    <w:rsid w:val="59D625D1"/>
    <w:rsid w:val="5A225816"/>
    <w:rsid w:val="5A767910"/>
    <w:rsid w:val="5AAE6BFF"/>
    <w:rsid w:val="5AEE1D63"/>
    <w:rsid w:val="5AF92295"/>
    <w:rsid w:val="5AFA22EF"/>
    <w:rsid w:val="5B04316E"/>
    <w:rsid w:val="5B1A1E2F"/>
    <w:rsid w:val="5B1F58B2"/>
    <w:rsid w:val="5B296730"/>
    <w:rsid w:val="5B61236E"/>
    <w:rsid w:val="5BDD79E6"/>
    <w:rsid w:val="5BF561CA"/>
    <w:rsid w:val="5BFF5DFC"/>
    <w:rsid w:val="5C1318BA"/>
    <w:rsid w:val="5C1D44E7"/>
    <w:rsid w:val="5C381321"/>
    <w:rsid w:val="5C9D73D6"/>
    <w:rsid w:val="5CC20BEA"/>
    <w:rsid w:val="5CD71FC4"/>
    <w:rsid w:val="5D1F11B5"/>
    <w:rsid w:val="5D616655"/>
    <w:rsid w:val="5D6B1282"/>
    <w:rsid w:val="5DAE1B18"/>
    <w:rsid w:val="5DB04EE7"/>
    <w:rsid w:val="5DB91FED"/>
    <w:rsid w:val="5DE352BC"/>
    <w:rsid w:val="5DE7D9E5"/>
    <w:rsid w:val="5E18031F"/>
    <w:rsid w:val="5E5835B4"/>
    <w:rsid w:val="5E5B4E53"/>
    <w:rsid w:val="5E7423B8"/>
    <w:rsid w:val="5E8D2343"/>
    <w:rsid w:val="5EB56C59"/>
    <w:rsid w:val="5ECEC941"/>
    <w:rsid w:val="5EDC2437"/>
    <w:rsid w:val="5F0059FA"/>
    <w:rsid w:val="5F04373C"/>
    <w:rsid w:val="5F0C518E"/>
    <w:rsid w:val="5F493CB7"/>
    <w:rsid w:val="5F6C2999"/>
    <w:rsid w:val="5F7E34EF"/>
    <w:rsid w:val="5F942D12"/>
    <w:rsid w:val="5FA666FE"/>
    <w:rsid w:val="5FAA6092"/>
    <w:rsid w:val="5FBF9FF3"/>
    <w:rsid w:val="5FC133DB"/>
    <w:rsid w:val="5FCD4E2C"/>
    <w:rsid w:val="5FD15F49"/>
    <w:rsid w:val="5FD92698"/>
    <w:rsid w:val="5FEF394A"/>
    <w:rsid w:val="5FF45827"/>
    <w:rsid w:val="5FF67715"/>
    <w:rsid w:val="5FFF5CB2"/>
    <w:rsid w:val="6044257D"/>
    <w:rsid w:val="605424A1"/>
    <w:rsid w:val="60636240"/>
    <w:rsid w:val="606A75CF"/>
    <w:rsid w:val="60795A64"/>
    <w:rsid w:val="607A471F"/>
    <w:rsid w:val="60830691"/>
    <w:rsid w:val="60A07495"/>
    <w:rsid w:val="60C72C73"/>
    <w:rsid w:val="612E2CF2"/>
    <w:rsid w:val="613D4CE3"/>
    <w:rsid w:val="619A3EE4"/>
    <w:rsid w:val="61AD3C17"/>
    <w:rsid w:val="61C2296E"/>
    <w:rsid w:val="61DA0784"/>
    <w:rsid w:val="61F1723C"/>
    <w:rsid w:val="62081A71"/>
    <w:rsid w:val="62261C1B"/>
    <w:rsid w:val="62500A46"/>
    <w:rsid w:val="62712E97"/>
    <w:rsid w:val="628250A4"/>
    <w:rsid w:val="628726BA"/>
    <w:rsid w:val="62886432"/>
    <w:rsid w:val="62A50D92"/>
    <w:rsid w:val="62B80AC5"/>
    <w:rsid w:val="62BF3928"/>
    <w:rsid w:val="62CC4571"/>
    <w:rsid w:val="62DA2113"/>
    <w:rsid w:val="62F35FA1"/>
    <w:rsid w:val="63276DF7"/>
    <w:rsid w:val="634B7B8C"/>
    <w:rsid w:val="635602B1"/>
    <w:rsid w:val="63585C51"/>
    <w:rsid w:val="63770981"/>
    <w:rsid w:val="637A5D7B"/>
    <w:rsid w:val="63BF7C32"/>
    <w:rsid w:val="63DD630A"/>
    <w:rsid w:val="63E678B4"/>
    <w:rsid w:val="63F35B2D"/>
    <w:rsid w:val="641536A9"/>
    <w:rsid w:val="644E03A0"/>
    <w:rsid w:val="646709F5"/>
    <w:rsid w:val="646B7DB9"/>
    <w:rsid w:val="647F5392"/>
    <w:rsid w:val="64803865"/>
    <w:rsid w:val="64AC465A"/>
    <w:rsid w:val="64BB664B"/>
    <w:rsid w:val="65605444"/>
    <w:rsid w:val="65A73073"/>
    <w:rsid w:val="65AC068A"/>
    <w:rsid w:val="65C14135"/>
    <w:rsid w:val="65C9550E"/>
    <w:rsid w:val="65E816C2"/>
    <w:rsid w:val="663A3EE7"/>
    <w:rsid w:val="663A5C95"/>
    <w:rsid w:val="664B1C51"/>
    <w:rsid w:val="664B1D71"/>
    <w:rsid w:val="66A23F66"/>
    <w:rsid w:val="66BA7F3D"/>
    <w:rsid w:val="66BC48FC"/>
    <w:rsid w:val="66DB1226"/>
    <w:rsid w:val="66F75934"/>
    <w:rsid w:val="6717419F"/>
    <w:rsid w:val="671D35ED"/>
    <w:rsid w:val="673E6826"/>
    <w:rsid w:val="674D79C1"/>
    <w:rsid w:val="67542D87"/>
    <w:rsid w:val="67AA3209"/>
    <w:rsid w:val="67ED7463"/>
    <w:rsid w:val="680500FC"/>
    <w:rsid w:val="681C4F0D"/>
    <w:rsid w:val="689A2A1B"/>
    <w:rsid w:val="68AF4719"/>
    <w:rsid w:val="68BD2B07"/>
    <w:rsid w:val="68CF6B69"/>
    <w:rsid w:val="68FA1082"/>
    <w:rsid w:val="69046D0F"/>
    <w:rsid w:val="694D7A8E"/>
    <w:rsid w:val="69564B94"/>
    <w:rsid w:val="696C43B8"/>
    <w:rsid w:val="69794D27"/>
    <w:rsid w:val="698D0931"/>
    <w:rsid w:val="69D63F27"/>
    <w:rsid w:val="69DD52B6"/>
    <w:rsid w:val="6A2C3B47"/>
    <w:rsid w:val="6A2E78BF"/>
    <w:rsid w:val="6A3D5D54"/>
    <w:rsid w:val="6A723C50"/>
    <w:rsid w:val="6A993CED"/>
    <w:rsid w:val="6AAB7162"/>
    <w:rsid w:val="6ACB7804"/>
    <w:rsid w:val="6ADF0BB9"/>
    <w:rsid w:val="6AF64881"/>
    <w:rsid w:val="6B030D4C"/>
    <w:rsid w:val="6B053271"/>
    <w:rsid w:val="6B0C26E9"/>
    <w:rsid w:val="6B1C1E0E"/>
    <w:rsid w:val="6B2036AC"/>
    <w:rsid w:val="6B207439"/>
    <w:rsid w:val="6B272C8C"/>
    <w:rsid w:val="6B3929BF"/>
    <w:rsid w:val="6B513865"/>
    <w:rsid w:val="6B5477F9"/>
    <w:rsid w:val="6B607F4C"/>
    <w:rsid w:val="6B767770"/>
    <w:rsid w:val="6BB12556"/>
    <w:rsid w:val="6BB81B36"/>
    <w:rsid w:val="6BCE6674"/>
    <w:rsid w:val="6BD10E4A"/>
    <w:rsid w:val="6BEF0E44"/>
    <w:rsid w:val="6C0134DD"/>
    <w:rsid w:val="6C272818"/>
    <w:rsid w:val="6C4A05C8"/>
    <w:rsid w:val="6C675CD0"/>
    <w:rsid w:val="6C6F7E9C"/>
    <w:rsid w:val="6C8742B8"/>
    <w:rsid w:val="6C8A170F"/>
    <w:rsid w:val="6CB54609"/>
    <w:rsid w:val="6D3723B5"/>
    <w:rsid w:val="6D7F6F34"/>
    <w:rsid w:val="6DBB76BC"/>
    <w:rsid w:val="6DBF5E93"/>
    <w:rsid w:val="6DCA5B51"/>
    <w:rsid w:val="6DFF077E"/>
    <w:rsid w:val="6E5F098F"/>
    <w:rsid w:val="6E7E3605"/>
    <w:rsid w:val="6E7F4B8D"/>
    <w:rsid w:val="6E7FDCC7"/>
    <w:rsid w:val="6E91041D"/>
    <w:rsid w:val="6ED6A62E"/>
    <w:rsid w:val="6EDF387E"/>
    <w:rsid w:val="6EE00B15"/>
    <w:rsid w:val="6EFD4726"/>
    <w:rsid w:val="6F03756C"/>
    <w:rsid w:val="6F2F210F"/>
    <w:rsid w:val="6F544B20"/>
    <w:rsid w:val="6F5778B8"/>
    <w:rsid w:val="6F6FB3EB"/>
    <w:rsid w:val="6F784160"/>
    <w:rsid w:val="6F8731EA"/>
    <w:rsid w:val="6F8F7052"/>
    <w:rsid w:val="6F973D20"/>
    <w:rsid w:val="6FCE6052"/>
    <w:rsid w:val="6FD26F3F"/>
    <w:rsid w:val="6FD57C00"/>
    <w:rsid w:val="6FE27182"/>
    <w:rsid w:val="6FEE1FCA"/>
    <w:rsid w:val="6FEFFFD8"/>
    <w:rsid w:val="6FF5CC65"/>
    <w:rsid w:val="6FFB47EC"/>
    <w:rsid w:val="6FFF034A"/>
    <w:rsid w:val="700C06A3"/>
    <w:rsid w:val="701557A9"/>
    <w:rsid w:val="70496804"/>
    <w:rsid w:val="7065127C"/>
    <w:rsid w:val="706E7F9D"/>
    <w:rsid w:val="70804E40"/>
    <w:rsid w:val="70893D25"/>
    <w:rsid w:val="70974410"/>
    <w:rsid w:val="70C96594"/>
    <w:rsid w:val="7103668C"/>
    <w:rsid w:val="710D46D2"/>
    <w:rsid w:val="711D57E5"/>
    <w:rsid w:val="711E068D"/>
    <w:rsid w:val="712A28F1"/>
    <w:rsid w:val="7141612A"/>
    <w:rsid w:val="715C0E4B"/>
    <w:rsid w:val="7161057A"/>
    <w:rsid w:val="71934DC7"/>
    <w:rsid w:val="71940950"/>
    <w:rsid w:val="71A617A0"/>
    <w:rsid w:val="71B40FF2"/>
    <w:rsid w:val="71D97FC7"/>
    <w:rsid w:val="71EF153B"/>
    <w:rsid w:val="71FC02A3"/>
    <w:rsid w:val="721D6B97"/>
    <w:rsid w:val="72233669"/>
    <w:rsid w:val="724D0AFE"/>
    <w:rsid w:val="725707BA"/>
    <w:rsid w:val="72734D90"/>
    <w:rsid w:val="72C9287B"/>
    <w:rsid w:val="73090EC9"/>
    <w:rsid w:val="7332FE48"/>
    <w:rsid w:val="73351CBE"/>
    <w:rsid w:val="73497518"/>
    <w:rsid w:val="734B5983"/>
    <w:rsid w:val="73813156"/>
    <w:rsid w:val="73851E28"/>
    <w:rsid w:val="739F538A"/>
    <w:rsid w:val="73AA26AC"/>
    <w:rsid w:val="73AB61DA"/>
    <w:rsid w:val="73AD73D5"/>
    <w:rsid w:val="73B6EB34"/>
    <w:rsid w:val="73FA497D"/>
    <w:rsid w:val="740578E3"/>
    <w:rsid w:val="744731E5"/>
    <w:rsid w:val="74527205"/>
    <w:rsid w:val="7463285B"/>
    <w:rsid w:val="7479612F"/>
    <w:rsid w:val="74AC7D5E"/>
    <w:rsid w:val="74BBD01D"/>
    <w:rsid w:val="74BF5767"/>
    <w:rsid w:val="74DD37CB"/>
    <w:rsid w:val="74E41BEE"/>
    <w:rsid w:val="74ED5379"/>
    <w:rsid w:val="74FC2395"/>
    <w:rsid w:val="75063912"/>
    <w:rsid w:val="750E27C7"/>
    <w:rsid w:val="7524023C"/>
    <w:rsid w:val="753D30AC"/>
    <w:rsid w:val="75A4312B"/>
    <w:rsid w:val="75BC0475"/>
    <w:rsid w:val="75DEEEC2"/>
    <w:rsid w:val="75ED062E"/>
    <w:rsid w:val="762E1BFC"/>
    <w:rsid w:val="76342701"/>
    <w:rsid w:val="764D37C3"/>
    <w:rsid w:val="767E1BCE"/>
    <w:rsid w:val="76913C02"/>
    <w:rsid w:val="76946CFC"/>
    <w:rsid w:val="76962A74"/>
    <w:rsid w:val="76B33626"/>
    <w:rsid w:val="76E3355F"/>
    <w:rsid w:val="76FD0D45"/>
    <w:rsid w:val="76FF5125"/>
    <w:rsid w:val="770B16B4"/>
    <w:rsid w:val="77100A78"/>
    <w:rsid w:val="771A1486"/>
    <w:rsid w:val="776F6FFA"/>
    <w:rsid w:val="77862AE9"/>
    <w:rsid w:val="778769C8"/>
    <w:rsid w:val="77A6318B"/>
    <w:rsid w:val="77B84C6C"/>
    <w:rsid w:val="77BC650A"/>
    <w:rsid w:val="77C35511"/>
    <w:rsid w:val="77DC22F5"/>
    <w:rsid w:val="77DE46D3"/>
    <w:rsid w:val="789C2C49"/>
    <w:rsid w:val="78A551F0"/>
    <w:rsid w:val="79086DAD"/>
    <w:rsid w:val="7918007B"/>
    <w:rsid w:val="79382508"/>
    <w:rsid w:val="79626335"/>
    <w:rsid w:val="797F5A41"/>
    <w:rsid w:val="79974F09"/>
    <w:rsid w:val="79D7FD79"/>
    <w:rsid w:val="79E461EC"/>
    <w:rsid w:val="79E93803"/>
    <w:rsid w:val="79EE5BA4"/>
    <w:rsid w:val="79F53F55"/>
    <w:rsid w:val="7A1F0FD2"/>
    <w:rsid w:val="7A28432B"/>
    <w:rsid w:val="7A5C3FD5"/>
    <w:rsid w:val="7A894339"/>
    <w:rsid w:val="7AA339B1"/>
    <w:rsid w:val="7AA42131"/>
    <w:rsid w:val="7AE244DA"/>
    <w:rsid w:val="7AFF7572"/>
    <w:rsid w:val="7B000E04"/>
    <w:rsid w:val="7B0A57DF"/>
    <w:rsid w:val="7B4A02D1"/>
    <w:rsid w:val="7B615D46"/>
    <w:rsid w:val="7B6C7DFB"/>
    <w:rsid w:val="7B6E5D6D"/>
    <w:rsid w:val="7B9559F0"/>
    <w:rsid w:val="7BBFBED0"/>
    <w:rsid w:val="7BC3E394"/>
    <w:rsid w:val="7C1F3737"/>
    <w:rsid w:val="7C574A54"/>
    <w:rsid w:val="7CA67789"/>
    <w:rsid w:val="7CBFC87B"/>
    <w:rsid w:val="7CC85951"/>
    <w:rsid w:val="7CCD740C"/>
    <w:rsid w:val="7CED53B8"/>
    <w:rsid w:val="7CF16265"/>
    <w:rsid w:val="7CF624BE"/>
    <w:rsid w:val="7CF84488"/>
    <w:rsid w:val="7CFE0F48"/>
    <w:rsid w:val="7D050953"/>
    <w:rsid w:val="7D07647A"/>
    <w:rsid w:val="7D43322A"/>
    <w:rsid w:val="7D7EC23E"/>
    <w:rsid w:val="7D916348"/>
    <w:rsid w:val="7DFC1D56"/>
    <w:rsid w:val="7E260B81"/>
    <w:rsid w:val="7E464D80"/>
    <w:rsid w:val="7E8ADEBF"/>
    <w:rsid w:val="7EC34622"/>
    <w:rsid w:val="7EEF11D3"/>
    <w:rsid w:val="7F0971A6"/>
    <w:rsid w:val="7F2C666B"/>
    <w:rsid w:val="7F2D5F40"/>
    <w:rsid w:val="7F337740"/>
    <w:rsid w:val="7F345520"/>
    <w:rsid w:val="7F3F679B"/>
    <w:rsid w:val="7F4FC4EF"/>
    <w:rsid w:val="7F5E4D54"/>
    <w:rsid w:val="7F6851CA"/>
    <w:rsid w:val="7F6E0135"/>
    <w:rsid w:val="7F855D7C"/>
    <w:rsid w:val="7FA30C79"/>
    <w:rsid w:val="7FAF8ABF"/>
    <w:rsid w:val="7FB7269E"/>
    <w:rsid w:val="7FBC53A6"/>
    <w:rsid w:val="7FBF128D"/>
    <w:rsid w:val="7FC96657"/>
    <w:rsid w:val="7FCC39AA"/>
    <w:rsid w:val="7FDA9588"/>
    <w:rsid w:val="7FDF220F"/>
    <w:rsid w:val="7FEDC5F7"/>
    <w:rsid w:val="7FEDD9DE"/>
    <w:rsid w:val="7FF16F6D"/>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line="560" w:lineRule="exact"/>
      <w:outlineLvl w:val="1"/>
    </w:pPr>
    <w:rPr>
      <w:rFonts w:asciiTheme="majorAscii" w:hAnsiTheme="majorAsci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paragraph" w:styleId="6">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7">
    <w:name w:val="Body Text"/>
    <w:basedOn w:val="1"/>
    <w:next w:val="8"/>
    <w:link w:val="28"/>
    <w:qFormat/>
    <w:uiPriority w:val="99"/>
    <w:pPr>
      <w:spacing w:beforeLines="30"/>
    </w:pPr>
    <w:rPr>
      <w:rFonts w:ascii="仿宋_GB2312" w:eastAsia="仿宋_GB2312"/>
      <w:kern w:val="0"/>
      <w:sz w:val="30"/>
    </w:rPr>
  </w:style>
  <w:style w:type="paragraph" w:styleId="8">
    <w:name w:val="Body Text First Indent"/>
    <w:basedOn w:val="7"/>
    <w:unhideWhenUsed/>
    <w:qFormat/>
    <w:uiPriority w:val="0"/>
    <w:pPr>
      <w:tabs>
        <w:tab w:val="left" w:pos="2160"/>
      </w:tabs>
      <w:ind w:firstLine="420" w:firstLineChars="100"/>
    </w:pPr>
    <w:rPr>
      <w:rFonts w:ascii="Times New Roman" w:hAnsi="Times New Roman"/>
      <w:kern w:val="0"/>
      <w:sz w:val="18"/>
      <w:szCs w:val="18"/>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next w:val="1"/>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4"/>
    <w:semiHidden/>
    <w:unhideWhenUsed/>
    <w:qFormat/>
    <w:uiPriority w:val="99"/>
    <w:rPr>
      <w:sz w:val="18"/>
      <w:szCs w:val="18"/>
    </w:rPr>
  </w:style>
  <w:style w:type="paragraph" w:styleId="13">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able of figures"/>
    <w:next w:val="1"/>
    <w:qFormat/>
    <w:uiPriority w:val="0"/>
    <w:pPr>
      <w:widowControl w:val="0"/>
      <w:ind w:left="200" w:leftChars="200" w:hanging="200" w:hangingChars="200"/>
      <w:jc w:val="both"/>
    </w:pPr>
    <w:rPr>
      <w:rFonts w:ascii="Times New Roman" w:hAnsi="Times New Roman" w:eastAsia="仿宋_GB2312" w:cs="Times New Roman"/>
      <w:kern w:val="2"/>
      <w:sz w:val="32"/>
      <w:szCs w:val="24"/>
      <w:lang w:val="en-US" w:eastAsia="zh-CN" w:bidi="ar-SA"/>
    </w:rPr>
  </w:style>
  <w:style w:type="paragraph" w:styleId="18">
    <w:name w:val="toc 2"/>
    <w:basedOn w:val="1"/>
    <w:next w:val="1"/>
    <w:unhideWhenUsed/>
    <w:qFormat/>
    <w:uiPriority w:val="39"/>
    <w:pPr>
      <w:tabs>
        <w:tab w:val="right" w:leader="dot" w:pos="8296"/>
      </w:tabs>
      <w:ind w:left="420" w:leftChars="200"/>
    </w:p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4"/>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3"/>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Ascii" w:hAnsiTheme="majorAsci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2"/>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a:t>
            </a:r>
          </a:p>
        </c:rich>
      </c:tx>
      <c:layout>
        <c:manualLayout>
          <c:xMode val="edge"/>
          <c:yMode val="edge"/>
          <c:x val="0.268663928485141"/>
          <c:y val="0.034211644708882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Lbl>
              <c:idx val="0"/>
              <c:layout>
                <c:manualLayout>
                  <c:x val="-0.0263348634935975"/>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46702101956994"/>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1589.72</c:v>
                </c:pt>
                <c:pt idx="1">
                  <c:v>1589.72</c:v>
                </c:pt>
              </c:numCache>
            </c:numRef>
          </c:val>
        </c:ser>
        <c:ser>
          <c:idx val="1"/>
          <c:order val="1"/>
          <c:tx>
            <c:strRef>
              <c:f>Sheet1!$C$1</c:f>
              <c:strCache>
                <c:ptCount val="1"/>
                <c:pt idx="0">
                  <c:v>2024年</c:v>
                </c:pt>
              </c:strCache>
            </c:strRef>
          </c:tx>
          <c:spPr>
            <a:solidFill>
              <a:schemeClr val="accent2"/>
            </a:solidFill>
            <a:ln>
              <a:noFill/>
            </a:ln>
            <a:effectLst/>
          </c:spPr>
          <c:invertIfNegative val="0"/>
          <c:dLbls>
            <c:dLbl>
              <c:idx val="0"/>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1382.11万元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1382.11万元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1382.11</c:v>
                </c:pt>
                <c:pt idx="1">
                  <c:v>1382.11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总收入</c:v>
                </c:pt>
                <c:pt idx="1">
                  <c:v>总支出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90404301"/>
        <c:axId val="491554123"/>
      </c:barChart>
      <c:catAx>
        <c:axId val="5904043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554123"/>
        <c:crosses val="autoZero"/>
        <c:auto val="1"/>
        <c:lblAlgn val="ctr"/>
        <c:lblOffset val="100"/>
        <c:noMultiLvlLbl val="0"/>
      </c:catAx>
      <c:valAx>
        <c:axId val="49155412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404301"/>
        <c:crosses val="autoZero"/>
        <c:crossBetween val="between"/>
      </c:valA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7aa3335-1105-447e-9ef8-0ff0c95f47d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c:v>
                </c:pt>
              </c:strCache>
            </c:strRef>
          </c:tx>
          <c:spPr/>
          <c:explosion val="0"/>
          <c:dPt>
            <c:idx val="0"/>
            <c:bubble3D val="0"/>
            <c:spPr>
              <a:solidFill>
                <a:schemeClr val="accent1"/>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1382.11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edf6c7-351c-458e-9225-4f10bc405867}"/>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453159519145828"/>
                  <c:y val="-0.22528983517235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1523.26</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39803047334305"/>
                  <c:y val="0.017161059866887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59.53</a:t>
                    </a:r>
                    <a:r>
                      <a:t>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1523.26</c:v>
                </c:pt>
                <c:pt idx="1">
                  <c:v>59.53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c3eaec4-b626-4000-91da-7b5c89574936}"/>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268663928485141"/>
          <c:y val="0.034211644708882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manualLayout>
                  <c:x val="-0.0263348634935975"/>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1382.11</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46702101956994"/>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1382.11</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1382.11</c:v>
                </c:pt>
                <c:pt idx="1">
                  <c:v>1382.11</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8115486832568"/>
                  <c:y val="-0.002974925626859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1582.79</c:v>
                </c:pt>
                <c:pt idx="1">
                  <c:v>1582.79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总收入</c:v>
                </c:pt>
                <c:pt idx="1">
                  <c:v>总支出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90404301"/>
        <c:axId val="491554123"/>
      </c:barChart>
      <c:catAx>
        <c:axId val="5904043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554123"/>
        <c:crosses val="autoZero"/>
        <c:auto val="1"/>
        <c:lblAlgn val="ctr"/>
        <c:lblOffset val="100"/>
        <c:noMultiLvlLbl val="0"/>
      </c:catAx>
      <c:valAx>
        <c:axId val="49155412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404301"/>
        <c:crosses val="autoZero"/>
        <c:crossBetween val="between"/>
      </c:valA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73a537e-a0a6-4d3c-a808-fba3d565bd6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1382.11</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总支出</c:v>
                </c:pt>
              </c:strCache>
            </c:strRef>
          </c:cat>
          <c:val>
            <c:numRef>
              <c:f>Sheet1!$B$2</c:f>
              <c:numCache>
                <c:formatCode>General</c:formatCode>
                <c:ptCount val="1"/>
                <c:pt idx="0">
                  <c:v>1382.11</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1582.79</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总支出</c:v>
                </c:pt>
              </c:strCache>
            </c:strRef>
          </c:cat>
          <c:val>
            <c:numRef>
              <c:f>Sheet1!$C$2</c:f>
              <c:numCache>
                <c:formatCode>General</c:formatCode>
                <c:ptCount val="1"/>
                <c:pt idx="0">
                  <c:v>1582.79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总支出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958322751"/>
        <c:axId val="260383338"/>
      </c:barChart>
      <c:catAx>
        <c:axId val="9583227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383338"/>
        <c:crosses val="autoZero"/>
        <c:auto val="1"/>
        <c:lblAlgn val="ctr"/>
        <c:lblOffset val="100"/>
        <c:noMultiLvlLbl val="0"/>
      </c:catAx>
      <c:valAx>
        <c:axId val="26038333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322751"/>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a61f5be-c3e1-4950-b8d4-d3e64e09f5c3}"/>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1177.68</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209.04</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81.56</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a:t>
                    </a:r>
                    <a:r>
                      <a:rPr lang="en-US" altLang="zh-CN"/>
                      <a:t>14.51</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1177.68</c:v>
                </c:pt>
                <c:pt idx="1">
                  <c:v>209.04</c:v>
                </c:pt>
                <c:pt idx="2">
                  <c:v>81.56</c:v>
                </c:pt>
                <c:pt idx="3">
                  <c:v>114.51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3155351534187"/>
          <c:y val="0.14619634509137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7a46123-3d22-4572-96c4-b2aa1601a57d}"/>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8.6</a:t>
                    </a:r>
                    <a:r>
                      <a:t>万元</a:t>
                    </a:r>
                  </a:p>
                </c:rich>
              </c:tx>
              <c:dLblPos val="in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
</c:v>
                </c:pt>
                <c:pt idx="1">
                  <c:v>接待费</c:v>
                </c:pt>
                <c:pt idx="2">
                  <c:v>因公出国（境）</c:v>
                </c:pt>
              </c:strCache>
            </c:strRef>
          </c:cat>
          <c:val>
            <c:numRef>
              <c:f>Sheet1!$B$2:$B$4</c:f>
              <c:numCache>
                <c:formatCode>General</c:formatCode>
                <c:ptCount val="3"/>
                <c:pt idx="0">
                  <c:v>10.6</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04a734-4abb-4415-9580-ade6a087254e}"/>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1014</Words>
  <Characters>1045</Characters>
  <Lines>61</Lines>
  <Paragraphs>17</Paragraphs>
  <TotalTime>61</TotalTime>
  <ScaleCrop>false</ScaleCrop>
  <LinksUpToDate>false</LinksUpToDate>
  <CharactersWithSpaces>1146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永恒的爱</cp:lastModifiedBy>
  <cp:lastPrinted>2026-09-02T07:34:00Z</cp:lastPrinted>
  <dcterms:modified xsi:type="dcterms:W3CDTF">2026-09-03T01:33:05Z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3BF536824C220DA3E40E8B68BA118B1C_42</vt:lpwstr>
  </property>
  <property fmtid="{D5CDD505-2E9C-101B-9397-08002B2CF9AE}" pid="4" name="KSOTemplateDocerSaveRecord">
    <vt:lpwstr>eyJoZGlkIjoiOTg3NmZhOTBhZjA4MmExM2JhM2ZmMjFjNzU5YzIwYzkiLCJ1c2VySWQiOiIyNDI2MzYwODAifQ==</vt:lpwstr>
  </property>
</Properties>
</file>