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F9A9E9">
      <w:pPr>
        <w:pStyle w:val="2"/>
        <w:jc w:val="center"/>
        <w:rPr>
          <w:rFonts w:ascii="方正小标宋简体" w:hAnsi="宋体" w:eastAsia="方正小标宋简体"/>
          <w:sz w:val="44"/>
          <w:szCs w:val="44"/>
        </w:rPr>
      </w:pPr>
    </w:p>
    <w:p w14:paraId="46B0B886">
      <w:pPr>
        <w:pStyle w:val="2"/>
        <w:jc w:val="center"/>
        <w:rPr>
          <w:rFonts w:hint="eastAsia" w:ascii="方正小标宋简体" w:hAnsi="宋体" w:eastAsia="方正小标宋简体"/>
          <w:sz w:val="44"/>
          <w:szCs w:val="44"/>
        </w:rPr>
      </w:pPr>
      <w:r>
        <w:rPr>
          <w:rFonts w:hint="eastAsia" w:ascii="方正小标宋简体" w:hAnsi="宋体" w:eastAsia="方正小标宋简体"/>
          <w:sz w:val="44"/>
          <w:szCs w:val="44"/>
          <w:lang w:eastAsia="zh-CN"/>
        </w:rPr>
        <w:t>202</w:t>
      </w:r>
      <w:r>
        <w:rPr>
          <w:rFonts w:hint="eastAsia" w:ascii="方正小标宋简体" w:hAnsi="宋体" w:eastAsia="方正小标宋简体"/>
          <w:sz w:val="44"/>
          <w:szCs w:val="44"/>
          <w:lang w:val="en-US" w:eastAsia="zh-CN"/>
        </w:rPr>
        <w:t>5</w:t>
      </w:r>
      <w:r>
        <w:rPr>
          <w:rFonts w:hint="eastAsia" w:ascii="方正小标宋简体" w:hAnsi="宋体" w:eastAsia="方正小标宋简体"/>
          <w:sz w:val="44"/>
          <w:szCs w:val="44"/>
          <w:lang w:eastAsia="zh-CN"/>
        </w:rPr>
        <w:t>年</w:t>
      </w:r>
      <w:r>
        <w:rPr>
          <w:rFonts w:hint="eastAsia" w:ascii="方正小标宋简体" w:hAnsi="宋体" w:eastAsia="方正小标宋简体"/>
          <w:sz w:val="44"/>
          <w:szCs w:val="44"/>
        </w:rPr>
        <w:t>度四川省阿坝州</w:t>
      </w:r>
    </w:p>
    <w:p w14:paraId="724B839C">
      <w:pPr>
        <w:pStyle w:val="2"/>
        <w:jc w:val="center"/>
        <w:rPr>
          <w:rFonts w:ascii="方正小标宋简体" w:hAnsi="宋体" w:eastAsia="方正小标宋简体"/>
          <w:sz w:val="44"/>
          <w:szCs w:val="44"/>
        </w:rPr>
      </w:pPr>
      <w:r>
        <w:rPr>
          <w:rFonts w:hint="eastAsia" w:ascii="方正小标宋简体" w:hAnsi="宋体" w:eastAsia="方正小标宋简体"/>
          <w:sz w:val="44"/>
          <w:szCs w:val="44"/>
        </w:rPr>
        <w:t>茂县综合行政执法局（本级）决算</w:t>
      </w:r>
    </w:p>
    <w:p w14:paraId="52B5AE12">
      <w:pPr>
        <w:pStyle w:val="18"/>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14:paraId="5F031258">
      <w:pPr>
        <w:widowControl/>
        <w:jc w:val="center"/>
        <w:rPr>
          <w:rFonts w:hint="eastAsia" w:ascii="Times New Roman" w:hAnsi="Times New Roman" w:eastAsia="黑体"/>
          <w:color w:val="auto"/>
          <w:sz w:val="48"/>
          <w:szCs w:val="48"/>
          <w:highlight w:val="none"/>
        </w:rPr>
      </w:pPr>
    </w:p>
    <w:p w14:paraId="4562D5F5">
      <w:pPr>
        <w:widowControl/>
        <w:jc w:val="center"/>
        <w:rPr>
          <w:rFonts w:hint="eastAsia" w:ascii="Times New Roman" w:hAnsi="Times New Roman" w:eastAsia="黑体"/>
          <w:color w:val="auto"/>
          <w:sz w:val="48"/>
          <w:szCs w:val="48"/>
          <w:highlight w:val="none"/>
        </w:rPr>
      </w:pPr>
    </w:p>
    <w:p w14:paraId="0B870B61">
      <w:pPr>
        <w:widowControl/>
        <w:jc w:val="center"/>
        <w:rPr>
          <w:rFonts w:hint="eastAsia" w:ascii="Times New Roman" w:hAnsi="Times New Roman" w:eastAsia="黑体"/>
          <w:color w:val="auto"/>
          <w:sz w:val="48"/>
          <w:szCs w:val="48"/>
          <w:highlight w:val="none"/>
        </w:rPr>
      </w:pPr>
    </w:p>
    <w:p w14:paraId="189C5A87">
      <w:pPr>
        <w:widowControl/>
        <w:jc w:val="center"/>
        <w:rPr>
          <w:rFonts w:hint="eastAsia" w:ascii="Times New Roman" w:hAnsi="Times New Roman" w:eastAsia="黑体"/>
          <w:color w:val="auto"/>
          <w:sz w:val="48"/>
          <w:szCs w:val="48"/>
          <w:highlight w:val="none"/>
        </w:rPr>
      </w:pPr>
    </w:p>
    <w:p w14:paraId="052F3055">
      <w:pPr>
        <w:widowControl/>
        <w:jc w:val="center"/>
        <w:rPr>
          <w:rFonts w:hint="eastAsia" w:ascii="Times New Roman" w:hAnsi="Times New Roman" w:eastAsia="黑体"/>
          <w:color w:val="auto"/>
          <w:sz w:val="48"/>
          <w:szCs w:val="48"/>
          <w:highlight w:val="none"/>
        </w:rPr>
      </w:pPr>
    </w:p>
    <w:p w14:paraId="0FAE10D0">
      <w:pPr>
        <w:widowControl/>
        <w:jc w:val="center"/>
        <w:rPr>
          <w:rFonts w:hint="eastAsia" w:ascii="Times New Roman" w:hAnsi="Times New Roman" w:eastAsia="黑体"/>
          <w:color w:val="auto"/>
          <w:sz w:val="48"/>
          <w:szCs w:val="48"/>
          <w:highlight w:val="none"/>
        </w:rPr>
      </w:pPr>
    </w:p>
    <w:p w14:paraId="74668806">
      <w:pPr>
        <w:widowControl/>
        <w:jc w:val="center"/>
        <w:rPr>
          <w:rFonts w:hint="eastAsia" w:ascii="Times New Roman" w:hAnsi="Times New Roman" w:eastAsia="黑体"/>
          <w:color w:val="auto"/>
          <w:sz w:val="48"/>
          <w:szCs w:val="48"/>
          <w:highlight w:val="none"/>
        </w:rPr>
      </w:pPr>
    </w:p>
    <w:p w14:paraId="09BD8EB1">
      <w:pPr>
        <w:widowControl/>
        <w:jc w:val="center"/>
        <w:rPr>
          <w:rFonts w:hint="eastAsia" w:ascii="Times New Roman" w:hAnsi="Times New Roman" w:eastAsia="黑体"/>
          <w:color w:val="auto"/>
          <w:sz w:val="48"/>
          <w:szCs w:val="48"/>
          <w:highlight w:val="none"/>
        </w:rPr>
      </w:pPr>
    </w:p>
    <w:p w14:paraId="2D27D5F9">
      <w:pPr>
        <w:widowControl/>
        <w:jc w:val="center"/>
        <w:rPr>
          <w:rFonts w:hint="eastAsia" w:ascii="Times New Roman" w:hAnsi="Times New Roman" w:eastAsia="黑体"/>
          <w:color w:val="auto"/>
          <w:sz w:val="48"/>
          <w:szCs w:val="48"/>
          <w:highlight w:val="none"/>
        </w:rPr>
      </w:pPr>
    </w:p>
    <w:p w14:paraId="60ECA700">
      <w:pPr>
        <w:widowControl/>
        <w:jc w:val="center"/>
        <w:rPr>
          <w:rFonts w:hint="eastAsia" w:ascii="Times New Roman" w:hAnsi="Times New Roman" w:eastAsia="黑体"/>
          <w:color w:val="auto"/>
          <w:sz w:val="48"/>
          <w:szCs w:val="48"/>
          <w:highlight w:val="none"/>
        </w:rPr>
      </w:pPr>
    </w:p>
    <w:p w14:paraId="2938E81F">
      <w:pPr>
        <w:widowControl/>
        <w:jc w:val="center"/>
        <w:rPr>
          <w:rFonts w:hint="eastAsia" w:ascii="Times New Roman" w:hAnsi="Times New Roman" w:eastAsia="黑体"/>
          <w:color w:val="auto"/>
          <w:sz w:val="48"/>
          <w:szCs w:val="48"/>
          <w:highlight w:val="none"/>
        </w:rPr>
      </w:pPr>
    </w:p>
    <w:p w14:paraId="58DC3D57">
      <w:pPr>
        <w:widowControl/>
        <w:jc w:val="center"/>
        <w:rPr>
          <w:rFonts w:hint="eastAsia" w:ascii="Times New Roman" w:hAnsi="Times New Roman" w:eastAsia="黑体"/>
          <w:color w:val="auto"/>
          <w:sz w:val="48"/>
          <w:szCs w:val="48"/>
          <w:highlight w:val="none"/>
        </w:rPr>
      </w:pPr>
    </w:p>
    <w:p w14:paraId="443875B9">
      <w:pPr>
        <w:widowControl/>
        <w:jc w:val="center"/>
        <w:rPr>
          <w:rFonts w:hint="eastAsia" w:ascii="Times New Roman" w:hAnsi="Times New Roman" w:eastAsia="黑体"/>
          <w:color w:val="auto"/>
          <w:sz w:val="48"/>
          <w:szCs w:val="48"/>
          <w:highlight w:val="none"/>
        </w:rPr>
      </w:pPr>
    </w:p>
    <w:p w14:paraId="60333513">
      <w:pPr>
        <w:widowControl/>
        <w:jc w:val="center"/>
        <w:rPr>
          <w:rFonts w:hint="eastAsia" w:ascii="Times New Roman" w:hAnsi="Times New Roman" w:eastAsia="黑体"/>
          <w:color w:val="auto"/>
          <w:sz w:val="48"/>
          <w:szCs w:val="48"/>
          <w:highlight w:val="none"/>
        </w:rPr>
      </w:pPr>
    </w:p>
    <w:p w14:paraId="0B4CC3EA">
      <w:pPr>
        <w:widowControl/>
        <w:jc w:val="center"/>
        <w:rPr>
          <w:rFonts w:hint="eastAsia" w:ascii="Times New Roman" w:hAnsi="Times New Roman" w:eastAsia="黑体"/>
          <w:color w:val="auto"/>
          <w:sz w:val="48"/>
          <w:szCs w:val="48"/>
          <w:highlight w:val="none"/>
        </w:rPr>
      </w:pPr>
      <w:bookmarkStart w:id="86" w:name="_GoBack"/>
      <w:bookmarkEnd w:id="86"/>
    </w:p>
    <w:p w14:paraId="29E3752F">
      <w:pPr>
        <w:widowControl/>
        <w:jc w:val="center"/>
        <w:rPr>
          <w:rFonts w:hint="eastAsia" w:ascii="Times New Roman" w:hAnsi="Times New Roman" w:eastAsia="黑体"/>
          <w:color w:val="auto"/>
          <w:sz w:val="48"/>
          <w:szCs w:val="48"/>
          <w:highlight w:val="none"/>
        </w:rPr>
      </w:pPr>
    </w:p>
    <w:p w14:paraId="3A5130DD">
      <w:pPr>
        <w:widowControl/>
        <w:jc w:val="center"/>
        <w:rPr>
          <w:rFonts w:hint="eastAsia" w:ascii="Times New Roman" w:hAnsi="Times New Roman" w:eastAsia="黑体"/>
          <w:color w:val="auto"/>
          <w:sz w:val="48"/>
          <w:szCs w:val="48"/>
          <w:highlight w:val="none"/>
        </w:rPr>
      </w:pPr>
    </w:p>
    <w:p w14:paraId="368670D6">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35248942">
      <w:pPr>
        <w:widowControl/>
        <w:tabs>
          <w:tab w:val="left" w:pos="6783"/>
        </w:tabs>
        <w:jc w:val="left"/>
        <w:rPr>
          <w:rFonts w:hint="eastAsia" w:ascii="Times New Roman" w:hAnsi="Times New Roman" w:eastAsia="黑体" w:cstheme="minorBidi"/>
          <w:color w:val="auto"/>
          <w:sz w:val="28"/>
          <w:szCs w:val="28"/>
          <w:highlight w:val="none"/>
          <w:lang w:eastAsia="zh-CN"/>
        </w:rPr>
      </w:pPr>
      <w:r>
        <w:rPr>
          <w:rFonts w:hint="eastAsia" w:eastAsia="黑体" w:cstheme="minorBidi"/>
          <w:color w:val="auto"/>
          <w:sz w:val="28"/>
          <w:szCs w:val="28"/>
          <w:highlight w:val="none"/>
          <w:lang w:eastAsia="zh-CN"/>
        </w:rPr>
        <w:tab/>
      </w:r>
    </w:p>
    <w:p w14:paraId="7DE6DC70">
      <w:pPr>
        <w:pStyle w:val="15"/>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日</w:t>
      </w:r>
    </w:p>
    <w:p w14:paraId="27FD14AF">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80494"/>
        <w15:color w:val="DBDBDB"/>
        <w:docPartObj>
          <w:docPartGallery w:val="Table of Contents"/>
          <w:docPartUnique/>
        </w:docPartObj>
      </w:sdtPr>
      <w:sdtEndPr>
        <w:rPr>
          <w:rFonts w:hint="eastAsia" w:ascii="仿宋_GB2312" w:hAnsi="仿宋_GB2312" w:eastAsia="仿宋_GB2312" w:cs="仿宋_GB2312"/>
          <w:kern w:val="2"/>
          <w:sz w:val="32"/>
          <w:szCs w:val="32"/>
          <w:lang w:val="en-US" w:eastAsia="zh-CN" w:bidi="ar-SA"/>
        </w:rPr>
      </w:sdtEndPr>
      <w:sdtContent>
        <w:p w14:paraId="479A36AA">
          <w:pPr>
            <w:spacing w:before="0" w:beforeLines="0" w:after="0" w:afterLines="0" w:line="240" w:lineRule="auto"/>
            <w:ind w:left="0" w:leftChars="0" w:right="0" w:rightChars="0" w:firstLine="0" w:firstLineChars="0"/>
            <w:jc w:val="center"/>
          </w:pPr>
        </w:p>
        <w:p w14:paraId="28121043">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"1-2" \h \u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_Toc24287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第一部分</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单位</w:t>
          </w:r>
          <w:r>
            <w:rPr>
              <w:rFonts w:hint="eastAsia" w:ascii="仿宋_GB2312" w:hAnsi="仿宋_GB2312" w:eastAsia="仿宋_GB2312" w:cs="仿宋_GB2312"/>
              <w:bCs w:val="0"/>
              <w:sz w:val="32"/>
              <w:szCs w:val="32"/>
              <w:highlight w:val="none"/>
            </w:rPr>
            <w:t>概况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_Toc24287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00764D4">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_Toc10895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sz w:val="32"/>
              <w:szCs w:val="32"/>
              <w:highlight w:val="none"/>
              <w:lang w:val="en-US" w:eastAsia="zh-CN"/>
            </w:rPr>
            <w:t>主要</w:t>
          </w:r>
          <w:r>
            <w:rPr>
              <w:rFonts w:hint="eastAsia" w:ascii="仿宋_GB2312" w:hAnsi="仿宋_GB2312" w:eastAsia="仿宋_GB2312" w:cs="仿宋_GB2312"/>
              <w:sz w:val="32"/>
              <w:szCs w:val="32"/>
              <w:highlight w:val="none"/>
              <w:lang w:eastAsia="zh-CN"/>
            </w:rPr>
            <w:t>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_Toc10895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D7A0386">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_Toc16349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二、机</w:t>
          </w:r>
          <w:r>
            <w:rPr>
              <w:rFonts w:hint="eastAsia" w:ascii="仿宋_GB2312" w:hAnsi="仿宋_GB2312" w:eastAsia="仿宋_GB2312" w:cs="仿宋_GB2312"/>
              <w:bCs w:val="0"/>
              <w:sz w:val="32"/>
              <w:szCs w:val="32"/>
              <w:highlight w:val="none"/>
            </w:rPr>
            <w:t>构设置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_Toc16349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CC75D36">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_Toc10501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第二部分</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2025年度单位</w:t>
          </w:r>
          <w:r>
            <w:rPr>
              <w:rFonts w:hint="eastAsia" w:ascii="仿宋_GB2312" w:hAnsi="仿宋_GB2312" w:eastAsia="仿宋_GB2312" w:cs="仿宋_GB2312"/>
              <w:sz w:val="32"/>
              <w:szCs w:val="32"/>
              <w:highlight w:val="none"/>
            </w:rPr>
            <w:t>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_Toc10501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D3E5F1B">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_Toc31683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_Toc31683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B110375">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_Toc31898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二、收入决算情况说明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_Toc31898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BCBE963">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_Toc25554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三、支出决算情况说明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_Toc25554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2D059B9">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_Toc12830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四、财政拨款收入支出决算总体情况说明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_Toc12830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F19FD3F">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_Toc14287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五、一般公共预算财政拨款支出决算情况说明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_Toc14287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8B0A0CC">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_Toc8115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kern w:val="2"/>
              <w:sz w:val="32"/>
              <w:szCs w:val="32"/>
              <w:lang w:val="en-US" w:eastAsia="zh-CN" w:bidi="ar-SA"/>
            </w:rPr>
            <w:t>六、一般公共预算财政拨款基本支出决算情况说明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_Toc8115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5E26596">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_Toc23824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七、财政拨款“三公”经费支出决算情况说明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_Toc23824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E5AFC22">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_Toc26121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八、政府性基金预算支出决算情况说明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_Toc26121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B14E04E">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_Toc26460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九、国有资本经营预算支出决算情况说明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_Toc26460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E61DC6F">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_Toc12382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十、其他重要事项的情况说明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_Toc12382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3CC7A5B">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_Toc18778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第</w:t>
          </w:r>
          <w:r>
            <w:rPr>
              <w:rFonts w:hint="eastAsia" w:ascii="仿宋_GB2312" w:hAnsi="仿宋_GB2312" w:eastAsia="仿宋_GB2312" w:cs="仿宋_GB2312"/>
              <w:bCs w:val="0"/>
              <w:sz w:val="32"/>
              <w:szCs w:val="32"/>
              <w:lang w:eastAsia="zh-CN"/>
            </w:rPr>
            <w:t>三</w:t>
          </w:r>
          <w:r>
            <w:rPr>
              <w:rFonts w:hint="eastAsia" w:ascii="仿宋_GB2312" w:hAnsi="仿宋_GB2312" w:eastAsia="仿宋_GB2312" w:cs="仿宋_GB2312"/>
              <w:bCs w:val="0"/>
              <w:sz w:val="32"/>
              <w:szCs w:val="32"/>
            </w:rPr>
            <w:t>部分</w:t>
          </w:r>
          <w:r>
            <w:rPr>
              <w:rFonts w:hint="eastAsia" w:ascii="仿宋_GB2312" w:hAnsi="仿宋_GB2312" w:eastAsia="仿宋_GB2312" w:cs="仿宋_GB2312"/>
              <w:bCs w:val="0"/>
              <w:sz w:val="32"/>
              <w:szCs w:val="32"/>
              <w:lang w:val="en-US" w:eastAsia="zh-CN"/>
            </w:rPr>
            <w:t xml:space="preserve">  </w:t>
          </w:r>
          <w:r>
            <w:rPr>
              <w:rFonts w:hint="eastAsia" w:ascii="仿宋_GB2312" w:hAnsi="仿宋_GB2312" w:eastAsia="仿宋_GB2312" w:cs="仿宋_GB2312"/>
              <w:bCs w:val="0"/>
              <w:sz w:val="32"/>
              <w:szCs w:val="32"/>
            </w:rPr>
            <w:t>名词解释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_Toc18778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AFD6904">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_Toc20880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第四部分</w:t>
          </w:r>
          <w:r>
            <w:rPr>
              <w:rFonts w:hint="eastAsia" w:ascii="仿宋_GB2312" w:hAnsi="仿宋_GB2312" w:eastAsia="仿宋_GB2312" w:cs="仿宋_GB2312"/>
              <w:bCs w:val="0"/>
              <w:sz w:val="32"/>
              <w:szCs w:val="32"/>
              <w:lang w:val="en-US" w:eastAsia="zh-CN"/>
            </w:rPr>
            <w:t xml:space="preserve"> </w:t>
          </w:r>
          <w:r>
            <w:rPr>
              <w:rFonts w:hint="eastAsia" w:ascii="仿宋_GB2312" w:hAnsi="仿宋_GB2312" w:eastAsia="仿宋_GB2312" w:cs="仿宋_GB2312"/>
              <w:bCs w:val="0"/>
              <w:sz w:val="32"/>
              <w:szCs w:val="32"/>
            </w:rPr>
            <w:t xml:space="preserve"> 附件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_Toc20880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5FBF4D3">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_Toc29150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第五部分 附表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_Toc29150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C22B157">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_Toc3790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一、收入支出决算总表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_Toc3790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9DF24B4">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_Toc1125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二、收入决算表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_Toc1125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4459C6F">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_Toc11421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三、支出决算表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_Toc11421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67A047B">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_Toc3690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四、财政拨款收入支出决算总表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_Toc3690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8DAB0EC">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_Toc14679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五、财政拨款支出决算明细表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_Toc14679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C492260">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_Toc26756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六、一般公共预算财政拨款支出决算表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_Toc26756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6469118">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_Toc10317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七、一般公共预算财政拨款支出决算明细表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_Toc10317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B39E9C4">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_Toc10613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八、一般公共预算财政拨款基本支出决算表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_Toc10613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52807B5">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_Toc11046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九、一般公共预算财政拨款项目支出决算表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_Toc11046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EA982B6">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_Toc645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十、政府性基金预算财政拨款收入支出决算表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_Toc645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058B53A">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_Toc25413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十一、国有资本经营预算财政拨款收入支出决算表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_Toc25413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9371F2E">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_Toc22495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十二、国有资本经营预算财政拨款支出决算表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_Toc22495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CC0E67C">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_Toc4912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十三、财政拨款“三公”经费支出决算表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_Toc4912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F7F6D99">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end"/>
          </w:r>
        </w:p>
      </w:sdtContent>
    </w:sdt>
    <w:p w14:paraId="7379623A">
      <w:pPr>
        <w:tabs>
          <w:tab w:val="left" w:pos="5298"/>
        </w:tabs>
        <w:bidi w:val="0"/>
        <w:jc w:val="left"/>
        <w:rPr>
          <w:rFonts w:hint="eastAsia" w:ascii="仿宋_GB2312" w:hAnsi="仿宋_GB2312" w:eastAsia="仿宋_GB2312" w:cs="仿宋_GB2312"/>
          <w:sz w:val="32"/>
          <w:szCs w:val="32"/>
          <w:lang w:eastAsia="zh-CN"/>
        </w:rPr>
        <w:sectPr>
          <w:footerReference r:id="rId4" w:type="first"/>
          <w:footerReference r:id="rId3" w:type="default"/>
          <w:pgSz w:w="11906" w:h="16838"/>
          <w:pgMar w:top="1440" w:right="1800" w:bottom="1440" w:left="1800" w:header="851" w:footer="992" w:gutter="0"/>
          <w:pgNumType w:fmt="decimal" w:start="1"/>
          <w:cols w:space="0" w:num="1"/>
          <w:rtlGutter w:val="0"/>
          <w:docGrid w:type="lines" w:linePitch="312" w:charSpace="0"/>
        </w:sectPr>
      </w:pPr>
    </w:p>
    <w:p w14:paraId="1E5D1D93">
      <w:pPr>
        <w:pStyle w:val="4"/>
        <w:jc w:val="center"/>
        <w:rPr>
          <w:rStyle w:val="33"/>
          <w:rFonts w:hint="eastAsia" w:ascii="Times New Roman" w:hAnsi="Times New Roman" w:eastAsia="方正小标宋简体" w:cs="方正小标宋简体"/>
          <w:b/>
          <w:bCs w:val="0"/>
          <w:color w:val="auto"/>
          <w:highlight w:val="none"/>
        </w:rPr>
      </w:pPr>
      <w:bookmarkStart w:id="0" w:name="_Toc24287"/>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单位</w:t>
      </w:r>
      <w:r>
        <w:rPr>
          <w:rStyle w:val="33"/>
          <w:rFonts w:hint="eastAsia" w:ascii="Times New Roman" w:hAnsi="Times New Roman" w:eastAsia="方正小标宋简体" w:cs="方正小标宋简体"/>
          <w:b w:val="0"/>
          <w:bCs w:val="0"/>
          <w:color w:val="auto"/>
          <w:highlight w:val="none"/>
        </w:rPr>
        <w:t>概况</w:t>
      </w:r>
      <w:bookmarkEnd w:id="0"/>
    </w:p>
    <w:p w14:paraId="12A405A5">
      <w:pPr>
        <w:widowControl/>
        <w:jc w:val="left"/>
        <w:rPr>
          <w:rFonts w:ascii="Times New Roman" w:hAnsi="Times New Roman" w:eastAsia="黑体"/>
          <w:color w:val="auto"/>
          <w:sz w:val="32"/>
          <w:szCs w:val="32"/>
          <w:highlight w:val="none"/>
        </w:rPr>
      </w:pPr>
    </w:p>
    <w:p w14:paraId="5F1F040B">
      <w:pPr>
        <w:pStyle w:val="5"/>
        <w:rPr>
          <w:rFonts w:hint="eastAsia" w:ascii="Times New Roman" w:hAnsi="Times New Roman" w:eastAsia="黑体"/>
          <w:b w:val="0"/>
          <w:color w:val="auto"/>
          <w:highlight w:val="none"/>
          <w:lang w:eastAsia="zh-CN"/>
        </w:rPr>
      </w:pPr>
      <w:bookmarkStart w:id="1" w:name="_Toc15377197"/>
      <w:bookmarkStart w:id="2" w:name="_Toc15396600"/>
      <w:bookmarkStart w:id="3" w:name="_Toc10895"/>
      <w:r>
        <w:rPr>
          <w:rFonts w:hint="eastAsia" w:ascii="Times New Roman" w:hAnsi="Times New Roman" w:eastAsia="黑体"/>
          <w:b w:val="0"/>
          <w:color w:val="auto"/>
          <w:highlight w:val="none"/>
        </w:rPr>
        <w:t>一、</w:t>
      </w:r>
      <w:bookmarkEnd w:id="1"/>
      <w:bookmarkEnd w:id="2"/>
      <w:r>
        <w:rPr>
          <w:rFonts w:hint="eastAsia" w:ascii="Times New Roman" w:hAnsi="Times New Roman" w:eastAsia="黑体"/>
          <w:b w:val="0"/>
          <w:color w:val="auto"/>
          <w:highlight w:val="none"/>
          <w:lang w:val="en-US" w:eastAsia="zh-CN"/>
        </w:rPr>
        <w:t>主要</w:t>
      </w:r>
      <w:r>
        <w:rPr>
          <w:rFonts w:hint="eastAsia" w:ascii="Times New Roman" w:hAnsi="Times New Roman" w:eastAsia="黑体"/>
          <w:b w:val="0"/>
          <w:color w:val="auto"/>
          <w:highlight w:val="none"/>
          <w:lang w:eastAsia="zh-CN"/>
        </w:rPr>
        <w:t>职责</w:t>
      </w:r>
      <w:bookmarkEnd w:id="3"/>
    </w:p>
    <w:p w14:paraId="7B4A8367">
      <w:pPr>
        <w:spacing w:line="560" w:lineRule="exact"/>
        <w:ind w:firstLine="640" w:firstLineChars="200"/>
        <w:outlineLvl w:val="9"/>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1.贯彻执行国家、省、州、县有关综合行政执法的方针政策和法律、法规、规章；负责起草有关规范性文件草案；拟定全县综合行政执法的发展战略、中期发展规划和年度工作计划，经批准后组织实施；制定全县综合行政执法制度和规范经批准后组织实施。</w:t>
      </w:r>
    </w:p>
    <w:p w14:paraId="3BC23FFC">
      <w:pPr>
        <w:spacing w:line="560" w:lineRule="exact"/>
        <w:ind w:firstLine="640" w:firstLineChars="200"/>
        <w:outlineLvl w:val="9"/>
        <w:rPr>
          <w:rFonts w:hint="eastAsia" w:ascii="仿宋_GB2312" w:hAnsi="仿宋_GB2312" w:eastAsia="仿宋_GB2312" w:cs="仿宋_GB2312"/>
          <w:b/>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2.集中行使自然资源管理、城市管理、文化市场管理等领域法律、法规、规章规定的全部或部分行政处罚权及相应的行政检查权、行政命令权和行政强制措施权。具体包括：</w:t>
      </w:r>
    </w:p>
    <w:p w14:paraId="50E011A5">
      <w:pPr>
        <w:spacing w:line="560" w:lineRule="exact"/>
        <w:ind w:firstLine="640" w:firstLineChars="200"/>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（1）行使土地、矿产资源及城乡规划管理方面法律、法规、规章规定的行政处罚权；</w:t>
      </w:r>
    </w:p>
    <w:p w14:paraId="039E867B">
      <w:pPr>
        <w:spacing w:line="560" w:lineRule="exact"/>
        <w:ind w:firstLine="640" w:firstLineChars="200"/>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（2）行使文化(文物)、广播影视、新闻出版（版权)、体育管理方面法律、法规、规章规定的行政处罚权；</w:t>
      </w:r>
    </w:p>
    <w:p w14:paraId="416BD491">
      <w:pPr>
        <w:spacing w:line="560" w:lineRule="exact"/>
        <w:ind w:firstLine="640" w:firstLineChars="200"/>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（3）行使城市管理方面法律、法规、规章规定的行政处罚权。</w:t>
      </w:r>
    </w:p>
    <w:p w14:paraId="67EA3EB4">
      <w:pPr>
        <w:spacing w:line="560" w:lineRule="exact"/>
        <w:ind w:firstLine="640" w:firstLineChars="200"/>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上述行政处罚权及行政检查、行政命令和行政强制权中，与行政管理联系紧密的提供报表资料、费用缴纳、资质资格管理、招投标管理、合同管理等方面法律、法规、规章规定的相关职权仍由原行政主管部门行使。</w:t>
      </w:r>
    </w:p>
    <w:p w14:paraId="479D8EB6">
      <w:pPr>
        <w:spacing w:line="560" w:lineRule="exact"/>
        <w:ind w:firstLine="640" w:firstLineChars="200"/>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除上述行政执法职责外，对省、州有关文件规定应予划转的行政执法职责，将结合县内实际，逐步将相关部门的行政执法职责划入县综合执法局。</w:t>
      </w:r>
    </w:p>
    <w:p w14:paraId="0C7CAD7A">
      <w:pPr>
        <w:spacing w:line="560" w:lineRule="exact"/>
        <w:ind w:firstLine="640" w:firstLineChars="200"/>
        <w:outlineLvl w:val="9"/>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3.负责受理职责范围内行政违法行为的举报、投诉和各种方式移送的案件线索，办理有关行政复议和行政应诉工作。</w:t>
      </w:r>
    </w:p>
    <w:p w14:paraId="2AC15112">
      <w:pPr>
        <w:spacing w:line="560" w:lineRule="exact"/>
        <w:ind w:firstLine="640" w:firstLineChars="200"/>
        <w:outlineLvl w:val="9"/>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4.牵头实施由县政府组织的有关专项整治和重大执法活动。</w:t>
      </w:r>
    </w:p>
    <w:p w14:paraId="4FFBBF4F">
      <w:pPr>
        <w:spacing w:line="560" w:lineRule="exact"/>
        <w:ind w:firstLine="640" w:firstLineChars="200"/>
        <w:outlineLvl w:val="9"/>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5.配合协助划转行政处罚权涉及的行政主管部门组织开展行业整治活动。</w:t>
      </w:r>
    </w:p>
    <w:p w14:paraId="579149BE">
      <w:pPr>
        <w:spacing w:line="560" w:lineRule="exact"/>
        <w:ind w:firstLine="640" w:firstLineChars="200"/>
        <w:outlineLvl w:val="9"/>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6.指导</w:t>
      </w:r>
      <w:r>
        <w:rPr>
          <w:rFonts w:hint="eastAsia" w:ascii="仿宋_GB2312" w:hAnsi="仿宋_GB2312" w:eastAsia="仿宋_GB2312" w:cs="仿宋_GB2312"/>
          <w:color w:val="000000" w:themeColor="text1"/>
          <w:sz w:val="32"/>
          <w:lang w:val="en-US" w:eastAsia="zh-CN"/>
          <w14:textFill>
            <w14:solidFill>
              <w14:schemeClr w14:val="tx1"/>
            </w14:solidFill>
          </w14:textFill>
        </w:rPr>
        <w:t>各镇</w:t>
      </w:r>
      <w:r>
        <w:rPr>
          <w:rFonts w:hint="eastAsia" w:ascii="仿宋_GB2312" w:hAnsi="仿宋_GB2312" w:eastAsia="仿宋_GB2312" w:cs="仿宋_GB2312"/>
          <w:color w:val="000000" w:themeColor="text1"/>
          <w:sz w:val="32"/>
          <w14:textFill>
            <w14:solidFill>
              <w14:schemeClr w14:val="tx1"/>
            </w14:solidFill>
          </w14:textFill>
        </w:rPr>
        <w:t xml:space="preserve">综合行政执法工作。   </w:t>
      </w:r>
    </w:p>
    <w:p w14:paraId="41FDDCDF">
      <w:pPr>
        <w:ind w:firstLine="640" w:firstLineChars="200"/>
        <w:rPr>
          <w:rFonts w:hint="eastAsia"/>
          <w:lang w:eastAsia="zh-CN"/>
        </w:rPr>
      </w:pPr>
      <w:r>
        <w:rPr>
          <w:rFonts w:hint="eastAsia" w:ascii="仿宋_GB2312" w:hAnsi="仿宋_GB2312" w:eastAsia="仿宋_GB2312" w:cs="仿宋_GB2312"/>
          <w:color w:val="000000" w:themeColor="text1"/>
          <w:sz w:val="32"/>
          <w14:textFill>
            <w14:solidFill>
              <w14:schemeClr w14:val="tx1"/>
            </w14:solidFill>
          </w14:textFill>
        </w:rPr>
        <w:t>7.承办县委、县政府交办的其他任务。</w:t>
      </w:r>
    </w:p>
    <w:p w14:paraId="058BEF8A">
      <w:pPr>
        <w:pStyle w:val="5"/>
        <w:rPr>
          <w:rStyle w:val="23"/>
          <w:rFonts w:ascii="Times New Roman" w:hAnsi="Times New Roman"/>
          <w:b w:val="0"/>
          <w:bCs w:val="0"/>
          <w:color w:val="auto"/>
          <w:highlight w:val="none"/>
        </w:rPr>
      </w:pPr>
      <w:bookmarkStart w:id="4" w:name="_Toc15396601"/>
      <w:bookmarkStart w:id="5" w:name="_Toc15377200"/>
      <w:bookmarkStart w:id="6" w:name="_Toc16349"/>
      <w:r>
        <w:rPr>
          <w:rFonts w:hint="eastAsia" w:ascii="Times New Roman" w:hAnsi="Times New Roman" w:eastAsia="黑体"/>
          <w:b w:val="0"/>
          <w:color w:val="auto"/>
          <w:highlight w:val="none"/>
        </w:rPr>
        <w:t>二、机</w:t>
      </w:r>
      <w:r>
        <w:rPr>
          <w:rStyle w:val="23"/>
          <w:rFonts w:hint="eastAsia" w:ascii="Times New Roman" w:hAnsi="Times New Roman" w:eastAsia="黑体"/>
          <w:b w:val="0"/>
          <w:bCs w:val="0"/>
          <w:color w:val="auto"/>
          <w:highlight w:val="none"/>
        </w:rPr>
        <w:t>构设置</w:t>
      </w:r>
      <w:bookmarkEnd w:id="4"/>
      <w:bookmarkEnd w:id="5"/>
      <w:bookmarkEnd w:id="6"/>
    </w:p>
    <w:p w14:paraId="664024CA">
      <w:pPr>
        <w:ind w:firstLine="640" w:firstLineChars="200"/>
        <w:rPr>
          <w:rStyle w:val="33"/>
          <w:rFonts w:hint="eastAsia" w:ascii="黑体" w:hAnsi="黑体" w:eastAsia="黑体"/>
          <w:b w:val="0"/>
          <w:bCs w:val="0"/>
        </w:rPr>
      </w:pPr>
      <w:bookmarkStart w:id="7" w:name="_Toc15377204"/>
      <w:bookmarkStart w:id="8" w:name="_Toc15396602"/>
      <w:r>
        <w:rPr>
          <w:rFonts w:hint="eastAsia" w:ascii="仿宋_GB2312" w:hAnsi="仿宋_GB2312" w:eastAsia="仿宋_GB2312" w:cs="仿宋_GB2312"/>
          <w:sz w:val="32"/>
          <w:szCs w:val="32"/>
        </w:rPr>
        <w:t>内设机构：办公室、案件管理和审理股、政工督查股；执法大队：茂县城市管理综合行政执法大队、茂县市场监管综合行政执法大队、茂县文化市场综合行政执法大队、茂县交通运输综合行政执法大队、茂县农业综合行政执法大队</w:t>
      </w:r>
      <w:r>
        <w:rPr>
          <w:rFonts w:hint="eastAsia" w:ascii="仿宋_GB2312" w:hAnsi="仿宋_GB2312" w:eastAsia="仿宋_GB2312" w:cs="仿宋_GB2312"/>
          <w:sz w:val="32"/>
          <w:szCs w:val="32"/>
          <w:lang w:eastAsia="zh-CN"/>
        </w:rPr>
        <w:t>。</w:t>
      </w:r>
    </w:p>
    <w:p w14:paraId="0BE081A4">
      <w:pPr>
        <w:pStyle w:val="4"/>
        <w:jc w:val="center"/>
        <w:rPr>
          <w:rFonts w:hint="eastAsia" w:ascii="Times New Roman" w:hAnsi="Times New Roman" w:eastAsia="方正小标宋简体" w:cs="方正小标宋简体"/>
          <w:b w:val="0"/>
          <w:color w:val="auto"/>
          <w:highlight w:val="none"/>
        </w:rPr>
      </w:pPr>
    </w:p>
    <w:p w14:paraId="73190442">
      <w:pPr>
        <w:rPr>
          <w:rFonts w:hint="eastAsia" w:ascii="Times New Roman" w:hAnsi="Times New Roman" w:eastAsia="方正小标宋简体" w:cs="方正小标宋简体"/>
          <w:b w:val="0"/>
          <w:color w:val="auto"/>
          <w:highlight w:val="none"/>
        </w:rPr>
      </w:pPr>
    </w:p>
    <w:p w14:paraId="240BB976">
      <w:pPr>
        <w:pStyle w:val="2"/>
        <w:rPr>
          <w:rFonts w:hint="eastAsia" w:ascii="Times New Roman" w:hAnsi="Times New Roman" w:eastAsia="方正小标宋简体" w:cs="方正小标宋简体"/>
          <w:b w:val="0"/>
          <w:color w:val="auto"/>
          <w:highlight w:val="none"/>
        </w:rPr>
      </w:pPr>
    </w:p>
    <w:p w14:paraId="56A8CA13">
      <w:pPr>
        <w:pStyle w:val="3"/>
        <w:rPr>
          <w:rFonts w:hint="eastAsia" w:ascii="Times New Roman" w:hAnsi="Times New Roman" w:eastAsia="方正小标宋简体" w:cs="方正小标宋简体"/>
          <w:b w:val="0"/>
          <w:color w:val="auto"/>
          <w:highlight w:val="none"/>
        </w:rPr>
      </w:pPr>
    </w:p>
    <w:p w14:paraId="13C1C0CA">
      <w:pPr>
        <w:pStyle w:val="3"/>
        <w:rPr>
          <w:rFonts w:hint="eastAsia" w:ascii="Times New Roman" w:hAnsi="Times New Roman" w:eastAsia="方正小标宋简体" w:cs="方正小标宋简体"/>
          <w:b w:val="0"/>
          <w:color w:val="auto"/>
          <w:highlight w:val="none"/>
        </w:rPr>
      </w:pPr>
    </w:p>
    <w:p w14:paraId="5CBB243B">
      <w:pPr>
        <w:pStyle w:val="3"/>
        <w:rPr>
          <w:rFonts w:hint="eastAsia"/>
        </w:rPr>
      </w:pPr>
    </w:p>
    <w:p w14:paraId="45C5620A">
      <w:pPr>
        <w:pStyle w:val="4"/>
        <w:jc w:val="center"/>
        <w:rPr>
          <w:rFonts w:hint="eastAsia" w:ascii="Times New Roman" w:hAnsi="Times New Roman" w:eastAsia="方正小标宋简体" w:cs="方正小标宋简体"/>
          <w:b w:val="0"/>
          <w:color w:val="auto"/>
          <w:highlight w:val="none"/>
        </w:rPr>
      </w:pPr>
      <w:bookmarkStart w:id="9" w:name="_Toc10501"/>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2025年度单位</w:t>
      </w:r>
      <w:r>
        <w:rPr>
          <w:rFonts w:hint="eastAsia" w:ascii="Times New Roman" w:hAnsi="Times New Roman" w:eastAsia="方正小标宋简体" w:cs="方正小标宋简体"/>
          <w:b w:val="0"/>
          <w:color w:val="auto"/>
          <w:highlight w:val="none"/>
        </w:rPr>
        <w:t>决算情况说明</w:t>
      </w:r>
      <w:bookmarkEnd w:id="7"/>
      <w:bookmarkEnd w:id="8"/>
      <w:bookmarkEnd w:id="9"/>
    </w:p>
    <w:p w14:paraId="7AC42FF1">
      <w:pPr>
        <w:rPr>
          <w:rFonts w:ascii="Times New Roman" w:hAnsi="Times New Roman"/>
          <w:color w:val="auto"/>
          <w:highlight w:val="none"/>
        </w:rPr>
      </w:pPr>
    </w:p>
    <w:p w14:paraId="04973758">
      <w:pPr>
        <w:pStyle w:val="3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3"/>
          <w:rFonts w:hint="eastAsia" w:ascii="Times New Roman" w:hAnsi="Times New Roman" w:eastAsia="黑体"/>
          <w:b w:val="0"/>
          <w:color w:val="auto"/>
          <w:highlight w:val="none"/>
        </w:rPr>
      </w:pPr>
      <w:bookmarkStart w:id="10" w:name="_Toc15377205"/>
      <w:bookmarkStart w:id="11" w:name="_Toc31683"/>
      <w:bookmarkStart w:id="12"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3"/>
          <w:rFonts w:hint="eastAsia" w:ascii="Times New Roman" w:hAnsi="Times New Roman" w:eastAsia="黑体"/>
          <w:b w:val="0"/>
          <w:color w:val="auto"/>
          <w:highlight w:val="none"/>
        </w:rPr>
        <w:t>入支出决算总体情况说明</w:t>
      </w:r>
      <w:bookmarkEnd w:id="10"/>
      <w:bookmarkEnd w:id="11"/>
      <w:bookmarkEnd w:id="12"/>
    </w:p>
    <w:p w14:paraId="3570B3FC">
      <w:pPr>
        <w:pStyle w:val="2"/>
        <w:bidi w:val="0"/>
        <w:ind w:firstLine="640" w:firstLineChars="200"/>
        <w:rPr>
          <w:rFonts w:hint="eastAsia"/>
          <w:sz w:val="32"/>
          <w:szCs w:val="32"/>
          <w:lang w:eastAsia="zh-CN"/>
        </w:rPr>
      </w:pPr>
      <w:r>
        <w:rPr>
          <w:rFonts w:hint="eastAsia"/>
          <w:sz w:val="32"/>
          <w:szCs w:val="32"/>
          <w:lang w:eastAsia="zh-CN"/>
        </w:rPr>
        <w:t>2025年度收入</w:t>
      </w:r>
      <w:r>
        <w:rPr>
          <w:rFonts w:hint="eastAsia"/>
          <w:sz w:val="32"/>
          <w:szCs w:val="32"/>
        </w:rPr>
        <w:t>、</w:t>
      </w:r>
      <w:r>
        <w:rPr>
          <w:rFonts w:hint="eastAsia"/>
          <w:sz w:val="32"/>
          <w:szCs w:val="32"/>
          <w:lang w:eastAsia="zh-CN"/>
        </w:rPr>
        <w:t>支出</w:t>
      </w:r>
      <w:r>
        <w:rPr>
          <w:rFonts w:hint="eastAsia"/>
          <w:sz w:val="32"/>
          <w:szCs w:val="32"/>
        </w:rPr>
        <w:t>总计</w:t>
      </w:r>
      <w:r>
        <w:rPr>
          <w:rFonts w:hint="eastAsia"/>
          <w:sz w:val="32"/>
          <w:szCs w:val="32"/>
          <w:lang w:eastAsia="zh-CN"/>
        </w:rPr>
        <w:t>均为1582.79</w:t>
      </w:r>
      <w:r>
        <w:rPr>
          <w:rFonts w:hint="eastAsia"/>
          <w:sz w:val="32"/>
          <w:szCs w:val="32"/>
        </w:rPr>
        <w:t>万元。与</w:t>
      </w:r>
      <w:r>
        <w:rPr>
          <w:rFonts w:hint="eastAsia"/>
          <w:sz w:val="32"/>
          <w:szCs w:val="32"/>
          <w:lang w:eastAsia="zh-CN"/>
        </w:rPr>
        <w:t>上</w:t>
      </w:r>
      <w:r>
        <w:rPr>
          <w:rFonts w:hint="eastAsia"/>
          <w:sz w:val="32"/>
          <w:szCs w:val="32"/>
        </w:rPr>
        <w:t>年</w:t>
      </w:r>
      <w:r>
        <w:rPr>
          <w:rFonts w:hint="eastAsia"/>
          <w:sz w:val="32"/>
          <w:szCs w:val="32"/>
          <w:lang w:eastAsia="zh-CN"/>
        </w:rPr>
        <w:t>度</w:t>
      </w:r>
      <w:r>
        <w:rPr>
          <w:rFonts w:hint="eastAsia"/>
          <w:sz w:val="32"/>
          <w:szCs w:val="32"/>
        </w:rPr>
        <w:t>相比，</w:t>
      </w:r>
      <w:r>
        <w:rPr>
          <w:rFonts w:hint="eastAsia"/>
          <w:sz w:val="32"/>
          <w:szCs w:val="32"/>
          <w:lang w:eastAsia="zh-CN"/>
        </w:rPr>
        <w:t>收入</w:t>
      </w:r>
      <w:r>
        <w:rPr>
          <w:rFonts w:hint="eastAsia"/>
          <w:sz w:val="32"/>
          <w:szCs w:val="32"/>
        </w:rPr>
        <w:t>、</w:t>
      </w:r>
      <w:r>
        <w:rPr>
          <w:rFonts w:hint="eastAsia"/>
          <w:sz w:val="32"/>
          <w:szCs w:val="32"/>
          <w:lang w:eastAsia="zh-CN"/>
        </w:rPr>
        <w:t>支出</w:t>
      </w:r>
      <w:r>
        <w:rPr>
          <w:rFonts w:hint="eastAsia"/>
          <w:sz w:val="32"/>
          <w:szCs w:val="32"/>
        </w:rPr>
        <w:t>总计各增加</w:t>
      </w:r>
      <w:r>
        <w:rPr>
          <w:rFonts w:hint="eastAsia"/>
          <w:sz w:val="32"/>
          <w:szCs w:val="32"/>
          <w:lang w:val="en-US" w:eastAsia="zh-CN"/>
        </w:rPr>
        <w:t>200.68</w:t>
      </w:r>
      <w:r>
        <w:rPr>
          <w:rFonts w:hint="eastAsia"/>
          <w:sz w:val="32"/>
          <w:szCs w:val="32"/>
        </w:rPr>
        <w:t>万元，增长</w:t>
      </w:r>
      <w:r>
        <w:rPr>
          <w:rFonts w:hint="eastAsia"/>
          <w:sz w:val="32"/>
          <w:szCs w:val="32"/>
          <w:lang w:val="en-US" w:eastAsia="zh-CN"/>
        </w:rPr>
        <w:t>14.5</w:t>
      </w:r>
      <w:r>
        <w:rPr>
          <w:rFonts w:hint="eastAsia"/>
          <w:sz w:val="32"/>
          <w:szCs w:val="32"/>
        </w:rPr>
        <w:t>%。</w:t>
      </w:r>
      <w:r>
        <w:rPr>
          <w:rFonts w:hint="eastAsia"/>
          <w:sz w:val="32"/>
          <w:szCs w:val="32"/>
          <w:lang w:eastAsia="zh-CN"/>
        </w:rPr>
        <w:t>主要变动原因是：</w:t>
      </w:r>
      <w:r>
        <w:rPr>
          <w:rFonts w:hint="eastAsia"/>
          <w:sz w:val="32"/>
          <w:szCs w:val="32"/>
        </w:rPr>
        <w:t>单位职工增加、工资保险变动</w:t>
      </w:r>
      <w:r>
        <w:rPr>
          <w:rFonts w:hint="eastAsia"/>
          <w:sz w:val="32"/>
          <w:szCs w:val="32"/>
          <w:lang w:eastAsia="zh-CN"/>
        </w:rPr>
        <w:t>。</w:t>
      </w:r>
    </w:p>
    <w:p w14:paraId="7088E2E9">
      <w:pPr>
        <w:pStyle w:val="2"/>
        <w:bidi w:val="0"/>
        <w:rPr>
          <w:rFonts w:hint="eastAsia"/>
          <w:lang w:eastAsia="zh-CN"/>
        </w:rPr>
      </w:pPr>
      <w:r>
        <w:rPr>
          <w:rFonts w:hint="eastAsia"/>
        </w:rPr>
        <w:drawing>
          <wp:inline distT="0" distB="0" distL="114300" distR="114300">
            <wp:extent cx="5256530" cy="3734435"/>
            <wp:effectExtent l="4445" t="4445" r="15875" b="1397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C4B1601">
      <w:pPr>
        <w:pStyle w:val="5"/>
        <w:bidi w:val="0"/>
        <w:ind w:firstLine="640" w:firstLineChars="200"/>
        <w:rPr>
          <w:rFonts w:hint="eastAsia" w:ascii="黑体" w:hAnsi="黑体" w:eastAsia="黑体" w:cs="黑体"/>
          <w:b w:val="0"/>
          <w:bCs w:val="0"/>
          <w:lang w:eastAsia="zh-CN"/>
        </w:rPr>
      </w:pPr>
      <w:bookmarkStart w:id="13" w:name="_Toc15377206"/>
      <w:bookmarkStart w:id="14" w:name="_Toc15396604"/>
      <w:bookmarkStart w:id="15" w:name="_Toc31898"/>
      <w:r>
        <w:rPr>
          <w:rFonts w:hint="eastAsia" w:ascii="黑体" w:hAnsi="黑体" w:eastAsia="黑体" w:cs="黑体"/>
          <w:b w:val="0"/>
          <w:bCs w:val="0"/>
          <w:lang w:eastAsia="zh-CN"/>
        </w:rPr>
        <w:t>二、收入决算情况说明</w:t>
      </w:r>
      <w:bookmarkEnd w:id="13"/>
      <w:bookmarkEnd w:id="14"/>
      <w:bookmarkEnd w:id="15"/>
    </w:p>
    <w:p w14:paraId="659C8E90">
      <w:pPr>
        <w:pStyle w:val="2"/>
        <w:bidi w:val="0"/>
        <w:ind w:firstLine="640" w:firstLineChars="200"/>
        <w:rPr>
          <w:rFonts w:hint="eastAsia"/>
          <w:sz w:val="32"/>
          <w:szCs w:val="32"/>
          <w:lang w:eastAsia="zh-CN"/>
        </w:rPr>
      </w:pPr>
      <w:r>
        <w:rPr>
          <w:rFonts w:hint="eastAsia"/>
          <w:sz w:val="32"/>
          <w:szCs w:val="32"/>
          <w:lang w:eastAsia="zh-CN"/>
        </w:rPr>
        <w:t>2025年度本年收入合计</w:t>
      </w:r>
      <w:r>
        <w:rPr>
          <w:rFonts w:hint="eastAsia"/>
          <w:sz w:val="32"/>
          <w:szCs w:val="32"/>
          <w:lang w:val="en-US" w:eastAsia="zh-CN"/>
        </w:rPr>
        <w:t>1582.79</w:t>
      </w:r>
      <w:r>
        <w:rPr>
          <w:rFonts w:hint="eastAsia"/>
          <w:sz w:val="32"/>
          <w:szCs w:val="32"/>
          <w:lang w:eastAsia="zh-CN"/>
        </w:rPr>
        <w:t>万元，其中：一般公共预算财政拨款收入</w:t>
      </w:r>
      <w:r>
        <w:rPr>
          <w:rFonts w:hint="eastAsia"/>
          <w:sz w:val="32"/>
          <w:szCs w:val="32"/>
          <w:lang w:val="en-US" w:eastAsia="zh-CN"/>
        </w:rPr>
        <w:t>1582.79</w:t>
      </w:r>
      <w:r>
        <w:rPr>
          <w:rFonts w:hint="eastAsia"/>
          <w:sz w:val="32"/>
          <w:szCs w:val="32"/>
          <w:lang w:eastAsia="zh-CN"/>
        </w:rPr>
        <w:t>万元，占</w:t>
      </w:r>
      <w:r>
        <w:rPr>
          <w:rFonts w:hint="eastAsia"/>
          <w:sz w:val="32"/>
          <w:szCs w:val="32"/>
          <w:lang w:val="en-US" w:eastAsia="zh-CN"/>
        </w:rPr>
        <w:t>100</w:t>
      </w:r>
      <w:r>
        <w:rPr>
          <w:rFonts w:hint="eastAsia"/>
          <w:sz w:val="32"/>
          <w:szCs w:val="32"/>
          <w:lang w:eastAsia="zh-CN"/>
        </w:rPr>
        <w:t>%。</w:t>
      </w:r>
    </w:p>
    <w:p w14:paraId="3CF47E03">
      <w:pPr>
        <w:pStyle w:val="2"/>
        <w:bidi w:val="0"/>
        <w:rPr>
          <w:rFonts w:hint="eastAsia"/>
          <w:lang w:eastAsia="zh-CN"/>
        </w:rPr>
      </w:pPr>
      <w:r>
        <w:rPr>
          <w:rFonts w:hint="eastAsia"/>
          <w:lang w:eastAsia="zh-CN"/>
        </w:rPr>
        <w:drawing>
          <wp:inline distT="0" distB="0" distL="114300" distR="114300">
            <wp:extent cx="5256530" cy="3136265"/>
            <wp:effectExtent l="4445" t="4445" r="15875" b="2159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A17E8C6">
      <w:pPr>
        <w:pStyle w:val="5"/>
        <w:bidi w:val="0"/>
        <w:ind w:firstLine="640" w:firstLineChars="200"/>
        <w:rPr>
          <w:rFonts w:hint="eastAsia" w:ascii="黑体" w:hAnsi="黑体" w:eastAsia="黑体" w:cs="黑体"/>
          <w:b w:val="0"/>
          <w:bCs w:val="0"/>
          <w:lang w:eastAsia="zh-CN"/>
        </w:rPr>
      </w:pPr>
      <w:bookmarkStart w:id="16" w:name="_Toc25554"/>
      <w:bookmarkStart w:id="17" w:name="_Toc15396605"/>
      <w:bookmarkStart w:id="18" w:name="_Toc15377207"/>
      <w:r>
        <w:rPr>
          <w:rFonts w:hint="eastAsia" w:ascii="黑体" w:hAnsi="黑体" w:eastAsia="黑体" w:cs="黑体"/>
          <w:b w:val="0"/>
          <w:bCs w:val="0"/>
          <w:lang w:eastAsia="zh-CN"/>
        </w:rPr>
        <w:t>三、支出决算情况说明</w:t>
      </w:r>
      <w:bookmarkEnd w:id="16"/>
      <w:bookmarkEnd w:id="17"/>
      <w:bookmarkEnd w:id="18"/>
    </w:p>
    <w:p w14:paraId="436D2E6F">
      <w:pPr>
        <w:pStyle w:val="2"/>
        <w:bidi w:val="0"/>
        <w:ind w:firstLine="640" w:firstLineChars="200"/>
        <w:rPr>
          <w:rFonts w:hint="eastAsia"/>
          <w:lang w:eastAsia="zh-CN"/>
        </w:rPr>
      </w:pPr>
      <w:r>
        <w:rPr>
          <w:rFonts w:hint="eastAsia"/>
          <w:sz w:val="32"/>
          <w:szCs w:val="32"/>
          <w:lang w:eastAsia="zh-CN"/>
        </w:rPr>
        <w:t>2025年度本年支出合计</w:t>
      </w:r>
      <w:r>
        <w:rPr>
          <w:rFonts w:hint="eastAsia"/>
          <w:sz w:val="32"/>
          <w:szCs w:val="32"/>
          <w:lang w:val="en-US" w:eastAsia="zh-CN"/>
        </w:rPr>
        <w:t>1582.79</w:t>
      </w:r>
      <w:r>
        <w:rPr>
          <w:rFonts w:hint="eastAsia"/>
          <w:sz w:val="32"/>
          <w:szCs w:val="32"/>
          <w:lang w:eastAsia="zh-CN"/>
        </w:rPr>
        <w:t>万元，其中：基本支出</w:t>
      </w:r>
      <w:r>
        <w:rPr>
          <w:rFonts w:hint="eastAsia"/>
          <w:sz w:val="32"/>
          <w:szCs w:val="32"/>
          <w:lang w:val="en-US" w:eastAsia="zh-CN"/>
        </w:rPr>
        <w:t>1523.26</w:t>
      </w:r>
      <w:r>
        <w:rPr>
          <w:rFonts w:hint="eastAsia"/>
          <w:sz w:val="32"/>
          <w:szCs w:val="32"/>
          <w:lang w:eastAsia="zh-CN"/>
        </w:rPr>
        <w:t>万元，占</w:t>
      </w:r>
      <w:r>
        <w:rPr>
          <w:rFonts w:hint="eastAsia"/>
          <w:sz w:val="32"/>
          <w:szCs w:val="32"/>
          <w:lang w:val="en-US" w:eastAsia="zh-CN"/>
        </w:rPr>
        <w:t>96.2</w:t>
      </w:r>
      <w:r>
        <w:rPr>
          <w:rFonts w:hint="eastAsia"/>
          <w:sz w:val="32"/>
          <w:szCs w:val="32"/>
          <w:lang w:eastAsia="zh-CN"/>
        </w:rPr>
        <w:t>%；项目支出</w:t>
      </w:r>
      <w:r>
        <w:rPr>
          <w:rFonts w:hint="eastAsia"/>
          <w:sz w:val="32"/>
          <w:szCs w:val="32"/>
          <w:lang w:val="en-US" w:eastAsia="zh-CN"/>
        </w:rPr>
        <w:t>59.53</w:t>
      </w:r>
      <w:r>
        <w:rPr>
          <w:rFonts w:hint="eastAsia"/>
          <w:sz w:val="32"/>
          <w:szCs w:val="32"/>
          <w:lang w:eastAsia="zh-CN"/>
        </w:rPr>
        <w:t>万元，占</w:t>
      </w:r>
      <w:r>
        <w:rPr>
          <w:rFonts w:hint="eastAsia"/>
          <w:sz w:val="32"/>
          <w:szCs w:val="32"/>
          <w:lang w:val="en-US" w:eastAsia="zh-CN"/>
        </w:rPr>
        <w:t>3.8</w:t>
      </w:r>
      <w:r>
        <w:rPr>
          <w:rFonts w:hint="eastAsia"/>
          <w:sz w:val="32"/>
          <w:szCs w:val="32"/>
          <w:lang w:eastAsia="zh-CN"/>
        </w:rPr>
        <w:t>%。</w:t>
      </w:r>
    </w:p>
    <w:p w14:paraId="26FE0090">
      <w:pPr>
        <w:pStyle w:val="2"/>
        <w:bidi w:val="0"/>
        <w:jc w:val="center"/>
        <w:rPr>
          <w:rFonts w:hint="eastAsia" w:ascii="Times New Roman" w:hAnsi="Times New Roman" w:eastAsia="仿宋_GB2312" w:cs="仿宋_GB2312"/>
          <w:color w:val="auto"/>
          <w:sz w:val="32"/>
          <w:szCs w:val="32"/>
          <w:highlight w:val="none"/>
          <w:lang w:eastAsia="zh-CN"/>
        </w:rPr>
      </w:pPr>
      <w:r>
        <w:rPr>
          <w:rFonts w:hint="eastAsia"/>
          <w:lang w:eastAsia="zh-CN"/>
        </w:rPr>
        <w:drawing>
          <wp:inline distT="0" distB="0" distL="114300" distR="114300">
            <wp:extent cx="5256530" cy="2988310"/>
            <wp:effectExtent l="5080" t="4445" r="1524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9F65963">
      <w:pPr>
        <w:pStyle w:val="5"/>
        <w:bidi w:val="0"/>
        <w:ind w:firstLine="640" w:firstLineChars="200"/>
        <w:rPr>
          <w:rFonts w:hint="eastAsia" w:ascii="黑体" w:hAnsi="黑体" w:eastAsia="黑体" w:cs="黑体"/>
          <w:b w:val="0"/>
          <w:bCs w:val="0"/>
          <w:lang w:eastAsia="zh-CN"/>
        </w:rPr>
      </w:pPr>
      <w:bookmarkStart w:id="19" w:name="_Toc15396606"/>
      <w:bookmarkStart w:id="20" w:name="_Toc15377208"/>
      <w:bookmarkStart w:id="21" w:name="_Toc12830"/>
      <w:r>
        <w:rPr>
          <w:rFonts w:hint="eastAsia" w:ascii="黑体" w:hAnsi="黑体" w:eastAsia="黑体" w:cs="黑体"/>
          <w:b w:val="0"/>
          <w:bCs w:val="0"/>
          <w:lang w:eastAsia="zh-CN"/>
        </w:rPr>
        <w:t>四、财政拨款收入支出决算总体情况说明</w:t>
      </w:r>
      <w:bookmarkEnd w:id="19"/>
      <w:bookmarkEnd w:id="20"/>
      <w:bookmarkEnd w:id="21"/>
    </w:p>
    <w:p w14:paraId="4E6FFD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1582.79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200.68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14.5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主要变动原因是：</w:t>
      </w:r>
      <w:r>
        <w:rPr>
          <w:rFonts w:hint="eastAsia" w:ascii="仿宋" w:hAnsi="仿宋" w:eastAsia="仿宋"/>
          <w:color w:val="000000" w:themeColor="text1"/>
          <w:sz w:val="32"/>
          <w:szCs w:val="32"/>
          <w14:textFill>
            <w14:solidFill>
              <w14:schemeClr w14:val="tx1"/>
            </w14:solidFill>
          </w14:textFill>
        </w:rPr>
        <w:t>单位职工增加、工资保险变动</w:t>
      </w:r>
      <w:r>
        <w:rPr>
          <w:rFonts w:hint="eastAsia" w:ascii="仿宋" w:hAnsi="仿宋" w:eastAsia="仿宋"/>
          <w:color w:val="000000" w:themeColor="text1"/>
          <w:sz w:val="32"/>
          <w:szCs w:val="32"/>
          <w:lang w:eastAsia="zh-CN"/>
          <w14:textFill>
            <w14:solidFill>
              <w14:schemeClr w14:val="tx1"/>
            </w14:solidFill>
          </w14:textFill>
        </w:rPr>
        <w:t>。</w:t>
      </w:r>
    </w:p>
    <w:p w14:paraId="6F784C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000000" w:themeColor="text1"/>
          <w:sz w:val="32"/>
          <w:szCs w:val="32"/>
          <w:highlight w:val="none"/>
          <w14:textFill>
            <w14:solidFill>
              <w14:schemeClr w14:val="tx1"/>
            </w14:solidFill>
          </w14:textFill>
        </w:rPr>
        <w:drawing>
          <wp:inline distT="0" distB="0" distL="114300" distR="114300">
            <wp:extent cx="5256530" cy="3698240"/>
            <wp:effectExtent l="4445" t="4445" r="15875" b="1206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B31E71D">
      <w:pPr>
        <w:pStyle w:val="5"/>
        <w:bidi w:val="0"/>
        <w:ind w:firstLine="640" w:firstLineChars="200"/>
        <w:rPr>
          <w:rFonts w:hint="eastAsia" w:ascii="黑体" w:hAnsi="黑体" w:eastAsia="黑体" w:cs="黑体"/>
          <w:b w:val="0"/>
          <w:bCs w:val="0"/>
          <w:lang w:eastAsia="zh-CN"/>
        </w:rPr>
      </w:pPr>
      <w:bookmarkStart w:id="22" w:name="_Toc15377209"/>
      <w:bookmarkStart w:id="23" w:name="_Toc15396607"/>
      <w:bookmarkStart w:id="24" w:name="_Toc14287"/>
      <w:r>
        <w:rPr>
          <w:rFonts w:hint="eastAsia" w:ascii="黑体" w:hAnsi="黑体" w:eastAsia="黑体" w:cs="黑体"/>
          <w:b w:val="0"/>
          <w:bCs w:val="0"/>
          <w:lang w:eastAsia="zh-CN"/>
        </w:rPr>
        <w:t>五、一般公共预算财政拨款支出决算情况说明</w:t>
      </w:r>
      <w:bookmarkEnd w:id="22"/>
      <w:bookmarkEnd w:id="23"/>
      <w:bookmarkEnd w:id="24"/>
    </w:p>
    <w:p w14:paraId="0838685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5"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5"/>
    </w:p>
    <w:p w14:paraId="40A865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1582.79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200.68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14.5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主要变动原因是：</w:t>
      </w:r>
      <w:r>
        <w:rPr>
          <w:rFonts w:hint="eastAsia" w:ascii="仿宋" w:hAnsi="仿宋" w:eastAsia="仿宋"/>
          <w:color w:val="000000" w:themeColor="text1"/>
          <w:sz w:val="32"/>
          <w:szCs w:val="32"/>
          <w14:textFill>
            <w14:solidFill>
              <w14:schemeClr w14:val="tx1"/>
            </w14:solidFill>
          </w14:textFill>
        </w:rPr>
        <w:t>单位职工增加、工资保险变动</w:t>
      </w:r>
      <w:r>
        <w:rPr>
          <w:rFonts w:hint="eastAsia" w:ascii="仿宋" w:hAnsi="仿宋" w:eastAsia="仿宋"/>
          <w:color w:val="000000" w:themeColor="text1"/>
          <w:sz w:val="32"/>
          <w:szCs w:val="32"/>
          <w:lang w:eastAsia="zh-CN"/>
          <w14:textFill>
            <w14:solidFill>
              <w14:schemeClr w14:val="tx1"/>
            </w14:solidFill>
          </w14:textFill>
        </w:rPr>
        <w:t>。</w:t>
      </w:r>
    </w:p>
    <w:p w14:paraId="3B2005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drawing>
          <wp:inline distT="0" distB="0" distL="114300" distR="114300">
            <wp:extent cx="5256530" cy="2988310"/>
            <wp:effectExtent l="5080" t="4445" r="1524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379295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6"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6"/>
    </w:p>
    <w:p w14:paraId="6A235352">
      <w:pPr>
        <w:spacing w:line="600" w:lineRule="exact"/>
        <w:ind w:firstLine="640"/>
        <w:rPr>
          <w:rFonts w:hint="default"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1582.79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一般公共服务支出1177.68万元，占</w:t>
      </w:r>
      <w:r>
        <w:rPr>
          <w:rFonts w:hint="eastAsia" w:eastAsia="仿宋_GB2312" w:cs="仿宋_GB2312"/>
          <w:color w:val="auto"/>
          <w:kern w:val="2"/>
          <w:sz w:val="32"/>
          <w:szCs w:val="32"/>
          <w:highlight w:val="none"/>
          <w:lang w:val="en-US" w:eastAsia="zh-CN" w:bidi="ar-SA"/>
        </w:rPr>
        <w:t>74.4</w:t>
      </w:r>
      <w:r>
        <w:rPr>
          <w:rFonts w:hint="eastAsia" w:ascii="Times New Roman" w:hAnsi="Times New Roman" w:eastAsia="仿宋_GB2312" w:cs="仿宋_GB2312"/>
          <w:color w:val="auto"/>
          <w:kern w:val="2"/>
          <w:sz w:val="32"/>
          <w:szCs w:val="32"/>
          <w:highlight w:val="none"/>
          <w:lang w:val="en-US" w:eastAsia="zh-CN" w:bidi="ar-SA"/>
        </w:rPr>
        <w:t>%；社会保障和就业支出209.04万元，占</w:t>
      </w:r>
      <w:r>
        <w:rPr>
          <w:rFonts w:hint="eastAsia" w:eastAsia="仿宋_GB2312" w:cs="仿宋_GB2312"/>
          <w:color w:val="auto"/>
          <w:kern w:val="2"/>
          <w:sz w:val="32"/>
          <w:szCs w:val="32"/>
          <w:highlight w:val="none"/>
          <w:lang w:val="en-US" w:eastAsia="zh-CN" w:bidi="ar-SA"/>
        </w:rPr>
        <w:t>13.2</w:t>
      </w:r>
      <w:r>
        <w:rPr>
          <w:rFonts w:hint="eastAsia" w:ascii="Times New Roman" w:hAnsi="Times New Roman" w:eastAsia="仿宋_GB2312" w:cs="仿宋_GB2312"/>
          <w:color w:val="auto"/>
          <w:kern w:val="2"/>
          <w:sz w:val="32"/>
          <w:szCs w:val="32"/>
          <w:highlight w:val="none"/>
          <w:lang w:val="en-US" w:eastAsia="zh-CN" w:bidi="ar-SA"/>
        </w:rPr>
        <w:t>%；卫生健康支出81.56万元，占</w:t>
      </w:r>
      <w:r>
        <w:rPr>
          <w:rFonts w:hint="eastAsia" w:eastAsia="仿宋_GB2312" w:cs="仿宋_GB2312"/>
          <w:color w:val="auto"/>
          <w:kern w:val="2"/>
          <w:sz w:val="32"/>
          <w:szCs w:val="32"/>
          <w:highlight w:val="none"/>
          <w:lang w:val="en-US" w:eastAsia="zh-CN" w:bidi="ar-SA"/>
        </w:rPr>
        <w:t>5.2</w:t>
      </w:r>
      <w:r>
        <w:rPr>
          <w:rFonts w:hint="eastAsia" w:ascii="Times New Roman" w:hAnsi="Times New Roman" w:eastAsia="仿宋_GB2312" w:cs="仿宋_GB2312"/>
          <w:color w:val="auto"/>
          <w:kern w:val="2"/>
          <w:sz w:val="32"/>
          <w:szCs w:val="32"/>
          <w:highlight w:val="none"/>
          <w:lang w:val="en-US" w:eastAsia="zh-CN" w:bidi="ar-SA"/>
        </w:rPr>
        <w:t>%；住房保障支出114.51万元，占</w:t>
      </w:r>
      <w:r>
        <w:rPr>
          <w:rFonts w:hint="eastAsia" w:eastAsia="仿宋_GB2312" w:cs="仿宋_GB2312"/>
          <w:color w:val="auto"/>
          <w:kern w:val="2"/>
          <w:sz w:val="32"/>
          <w:szCs w:val="32"/>
          <w:highlight w:val="none"/>
          <w:lang w:val="en-US" w:eastAsia="zh-CN" w:bidi="ar-SA"/>
        </w:rPr>
        <w:t>7.2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1401D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drawing>
          <wp:inline distT="0" distB="0" distL="114300" distR="114300">
            <wp:extent cx="5256530" cy="2926080"/>
            <wp:effectExtent l="4445" t="4445" r="15875" b="2222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159C21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7"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7"/>
    </w:p>
    <w:p w14:paraId="3B75CA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8" w:name="_Toc15377213"/>
      <w:bookmarkStart w:id="29" w:name="_Toc15377444"/>
      <w:bookmarkStart w:id="30"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1582.79万元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8"/>
      <w:bookmarkEnd w:id="29"/>
      <w:bookmarkEnd w:id="30"/>
    </w:p>
    <w:p w14:paraId="65385A87">
      <w:pPr>
        <w:spacing w:line="600" w:lineRule="exact"/>
        <w:ind w:firstLine="643" w:firstLineChars="200"/>
        <w:rPr>
          <w:rFonts w:hint="eastAsia" w:ascii="仿宋_GB2312" w:hAnsi="仿宋_GB2312" w:eastAsia="仿宋_GB2312" w:cs="仿宋_GB2312"/>
          <w:color w:val="000000" w:themeColor="text1"/>
          <w14:textFill>
            <w14:solidFill>
              <w14:schemeClr w14:val="tx1"/>
            </w14:solidFill>
          </w14:textFill>
        </w:rPr>
      </w:pPr>
      <w:r>
        <w:rPr>
          <w:rStyle w:val="21"/>
          <w:rFonts w:hint="eastAsia" w:ascii="仿宋_GB2312" w:hAnsi="仿宋_GB2312" w:eastAsia="仿宋_GB2312" w:cs="仿宋_GB2312"/>
          <w:bCs/>
          <w:color w:val="000000" w:themeColor="text1"/>
          <w:sz w:val="32"/>
          <w:szCs w:val="32"/>
          <w14:textFill>
            <w14:solidFill>
              <w14:schemeClr w14:val="tx1"/>
            </w14:solidFill>
          </w14:textFill>
        </w:rPr>
        <w:t>1.一般公共服务</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支出</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类</w:t>
      </w:r>
      <w:r>
        <w:rPr>
          <w:rStyle w:val="21"/>
          <w:rFonts w:hint="eastAsia" w:ascii="仿宋_GB2312" w:hAnsi="仿宋_GB2312" w:eastAsia="仿宋_GB2312" w:cs="仿宋_GB2312"/>
          <w:bCs/>
          <w:color w:val="000000" w:themeColor="text1"/>
          <w:sz w:val="32"/>
          <w:szCs w:val="32"/>
          <w14:textFill>
            <w14:solidFill>
              <w14:schemeClr w14:val="tx1"/>
            </w14:solidFill>
          </w14:textFill>
        </w:rPr>
        <w:t>）政府办公厅（室）及相关机构事务（</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款</w:t>
      </w:r>
      <w:r>
        <w:rPr>
          <w:rStyle w:val="21"/>
          <w:rFonts w:hint="eastAsia" w:ascii="仿宋_GB2312" w:hAnsi="仿宋_GB2312" w:eastAsia="仿宋_GB2312" w:cs="仿宋_GB2312"/>
          <w:bCs/>
          <w:color w:val="000000" w:themeColor="text1"/>
          <w:sz w:val="32"/>
          <w:szCs w:val="32"/>
          <w14:textFill>
            <w14:solidFill>
              <w14:schemeClr w14:val="tx1"/>
            </w14:solidFill>
          </w14:textFill>
        </w:rPr>
        <w:t>）行政运行（</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项</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 w:val="0"/>
          <w:bCs/>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支出决算为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1118.15</w:t>
      </w:r>
      <w:r>
        <w:rPr>
          <w:rFonts w:hint="eastAsia" w:ascii="仿宋_GB2312" w:hAnsi="仿宋_GB2312" w:eastAsia="仿宋_GB2312" w:cs="仿宋_GB2312"/>
          <w:color w:val="000000" w:themeColor="text1"/>
          <w:sz w:val="32"/>
          <w:szCs w:val="32"/>
          <w14:textFill>
            <w14:solidFill>
              <w14:schemeClr w14:val="tx1"/>
            </w14:solidFill>
          </w14:textFill>
        </w:rPr>
        <w:t>万元，完成预算100%，决算数等于预算数。</w:t>
      </w:r>
    </w:p>
    <w:p w14:paraId="37ABE974">
      <w:pPr>
        <w:spacing w:line="600" w:lineRule="exact"/>
        <w:ind w:firstLine="643" w:firstLineChars="200"/>
        <w:rPr>
          <w:rStyle w:val="21"/>
          <w:rFonts w:hint="eastAsia" w:ascii="仿宋_GB2312" w:hAnsi="仿宋_GB2312" w:eastAsia="仿宋_GB2312" w:cs="仿宋_GB2312"/>
          <w:b w:val="0"/>
          <w:bCs/>
          <w:color w:val="000000" w:themeColor="text1"/>
          <w:sz w:val="32"/>
          <w:szCs w:val="32"/>
          <w14:textFill>
            <w14:solidFill>
              <w14:schemeClr w14:val="tx1"/>
            </w14:solidFill>
          </w14:textFill>
        </w:rPr>
      </w:pP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2.</w:t>
      </w:r>
      <w:r>
        <w:rPr>
          <w:rStyle w:val="21"/>
          <w:rFonts w:hint="eastAsia" w:ascii="仿宋_GB2312" w:hAnsi="仿宋_GB2312" w:eastAsia="仿宋_GB2312" w:cs="仿宋_GB2312"/>
          <w:bCs/>
          <w:color w:val="000000" w:themeColor="text1"/>
          <w:sz w:val="32"/>
          <w:szCs w:val="32"/>
          <w14:textFill>
            <w14:solidFill>
              <w14:schemeClr w14:val="tx1"/>
            </w14:solidFill>
          </w14:textFill>
        </w:rPr>
        <w:t>一般公共服务</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支出</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类</w:t>
      </w:r>
      <w:r>
        <w:rPr>
          <w:rStyle w:val="21"/>
          <w:rFonts w:hint="eastAsia" w:ascii="仿宋_GB2312" w:hAnsi="仿宋_GB2312" w:eastAsia="仿宋_GB2312" w:cs="仿宋_GB2312"/>
          <w:bCs/>
          <w:color w:val="000000" w:themeColor="text1"/>
          <w:sz w:val="32"/>
          <w:szCs w:val="32"/>
          <w14:textFill>
            <w14:solidFill>
              <w14:schemeClr w14:val="tx1"/>
            </w14:solidFill>
          </w14:textFill>
        </w:rPr>
        <w:t>）政府办公厅（室）及相关机构事务（</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款</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其他</w:t>
      </w:r>
      <w:r>
        <w:rPr>
          <w:rStyle w:val="21"/>
          <w:rFonts w:hint="eastAsia" w:ascii="仿宋_GB2312" w:hAnsi="仿宋_GB2312" w:eastAsia="仿宋_GB2312" w:cs="仿宋_GB2312"/>
          <w:bCs/>
          <w:color w:val="000000" w:themeColor="text1"/>
          <w:sz w:val="32"/>
          <w:szCs w:val="32"/>
          <w14:textFill>
            <w14:solidFill>
              <w14:schemeClr w14:val="tx1"/>
            </w14:solidFill>
          </w14:textFill>
        </w:rPr>
        <w:t>政府办公厅（室）及相关机构事务（</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项</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 w:val="0"/>
          <w:bCs/>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支出决算为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57.53</w:t>
      </w:r>
      <w:r>
        <w:rPr>
          <w:rFonts w:hint="eastAsia" w:ascii="仿宋_GB2312" w:hAnsi="仿宋_GB2312" w:eastAsia="仿宋_GB2312" w:cs="仿宋_GB2312"/>
          <w:color w:val="000000" w:themeColor="text1"/>
          <w:sz w:val="32"/>
          <w:szCs w:val="32"/>
          <w14:textFill>
            <w14:solidFill>
              <w14:schemeClr w14:val="tx1"/>
            </w14:solidFill>
          </w14:textFill>
        </w:rPr>
        <w:t>万元，完成预算100%，决算数等于预算数。</w:t>
      </w:r>
    </w:p>
    <w:p w14:paraId="36DC044E">
      <w:pPr>
        <w:spacing w:line="600" w:lineRule="exact"/>
        <w:ind w:firstLine="643" w:firstLineChars="200"/>
        <w:rPr>
          <w:rStyle w:val="21"/>
          <w:rFonts w:hint="eastAsia" w:ascii="仿宋_GB2312" w:hAnsi="仿宋_GB2312" w:eastAsia="仿宋_GB2312" w:cs="仿宋_GB2312"/>
          <w:b w:val="0"/>
          <w:bCs/>
          <w:color w:val="000000" w:themeColor="text1"/>
          <w:sz w:val="32"/>
          <w:szCs w:val="32"/>
          <w14:textFill>
            <w14:solidFill>
              <w14:schemeClr w14:val="tx1"/>
            </w14:solidFill>
          </w14:textFill>
        </w:rPr>
      </w:pP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3</w:t>
      </w:r>
      <w:r>
        <w:rPr>
          <w:rStyle w:val="21"/>
          <w:rFonts w:hint="eastAsia" w:ascii="仿宋_GB2312" w:hAnsi="仿宋_GB2312" w:eastAsia="仿宋_GB2312" w:cs="仿宋_GB2312"/>
          <w:bCs/>
          <w:color w:val="000000" w:themeColor="text1"/>
          <w:sz w:val="32"/>
          <w:szCs w:val="32"/>
          <w14:textFill>
            <w14:solidFill>
              <w14:schemeClr w14:val="tx1"/>
            </w14:solidFill>
          </w14:textFill>
        </w:rPr>
        <w:t>.一般公共服务</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支出</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类</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市场监督管理事务</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款</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其他市场监督管理事务</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项</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 w:val="0"/>
          <w:bCs/>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支出决算为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万元，完成预算100%，决算数等于预算数。</w:t>
      </w:r>
    </w:p>
    <w:p w14:paraId="14D55E9A">
      <w:pPr>
        <w:spacing w:line="60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4</w:t>
      </w:r>
      <w:r>
        <w:rPr>
          <w:rStyle w:val="21"/>
          <w:rFonts w:hint="eastAsia" w:ascii="仿宋_GB2312" w:hAnsi="仿宋_GB2312" w:eastAsia="仿宋_GB2312" w:cs="仿宋_GB2312"/>
          <w:bCs/>
          <w:color w:val="000000" w:themeColor="text1"/>
          <w:sz w:val="32"/>
          <w:szCs w:val="32"/>
          <w14:textFill>
            <w14:solidFill>
              <w14:schemeClr w14:val="tx1"/>
            </w14:solidFill>
          </w14:textFill>
        </w:rPr>
        <w:t>.社会保障和就业</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支出</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类</w:t>
      </w:r>
      <w:r>
        <w:rPr>
          <w:rStyle w:val="21"/>
          <w:rFonts w:hint="eastAsia" w:ascii="仿宋_GB2312" w:hAnsi="仿宋_GB2312" w:eastAsia="仿宋_GB2312" w:cs="仿宋_GB2312"/>
          <w:bCs/>
          <w:color w:val="000000" w:themeColor="text1"/>
          <w:sz w:val="32"/>
          <w:szCs w:val="32"/>
          <w14:textFill>
            <w14:solidFill>
              <w14:schemeClr w14:val="tx1"/>
            </w14:solidFill>
          </w14:textFill>
        </w:rPr>
        <w:t>）行政事业单位养老支出（</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款</w:t>
      </w:r>
      <w:r>
        <w:rPr>
          <w:rStyle w:val="21"/>
          <w:rFonts w:hint="eastAsia" w:ascii="仿宋_GB2312" w:hAnsi="仿宋_GB2312" w:eastAsia="仿宋_GB2312" w:cs="仿宋_GB2312"/>
          <w:bCs/>
          <w:color w:val="000000" w:themeColor="text1"/>
          <w:sz w:val="32"/>
          <w:szCs w:val="32"/>
          <w14:textFill>
            <w14:solidFill>
              <w14:schemeClr w14:val="tx1"/>
            </w14:solidFill>
          </w14:textFill>
        </w:rPr>
        <w:t>）机关事业单位</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基本</w:t>
      </w:r>
      <w:r>
        <w:rPr>
          <w:rStyle w:val="21"/>
          <w:rFonts w:hint="eastAsia" w:ascii="仿宋_GB2312" w:hAnsi="仿宋_GB2312" w:eastAsia="仿宋_GB2312" w:cs="仿宋_GB2312"/>
          <w:bCs/>
          <w:color w:val="000000" w:themeColor="text1"/>
          <w:sz w:val="32"/>
          <w:szCs w:val="32"/>
          <w14:textFill>
            <w14:solidFill>
              <w14:schemeClr w14:val="tx1"/>
            </w14:solidFill>
          </w14:textFill>
        </w:rPr>
        <w:t>养老保险缴费支出（</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项</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 w:val="0"/>
          <w:bCs/>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支出决算为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139.4</w:t>
      </w:r>
      <w:r>
        <w:rPr>
          <w:rFonts w:hint="eastAsia" w:ascii="仿宋_GB2312" w:hAnsi="仿宋_GB2312" w:eastAsia="仿宋_GB2312" w:cs="仿宋_GB2312"/>
          <w:color w:val="000000" w:themeColor="text1"/>
          <w:sz w:val="32"/>
          <w:szCs w:val="32"/>
          <w14:textFill>
            <w14:solidFill>
              <w14:schemeClr w14:val="tx1"/>
            </w14:solidFill>
          </w14:textFill>
        </w:rPr>
        <w:t>万元，完成预算100%，决算等于预算数。</w:t>
      </w:r>
    </w:p>
    <w:p w14:paraId="7F310D00">
      <w:pPr>
        <w:spacing w:line="60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5</w:t>
      </w:r>
      <w:r>
        <w:rPr>
          <w:rStyle w:val="21"/>
          <w:rFonts w:hint="eastAsia" w:ascii="仿宋_GB2312" w:hAnsi="仿宋_GB2312" w:eastAsia="仿宋_GB2312" w:cs="仿宋_GB2312"/>
          <w:bCs/>
          <w:color w:val="000000" w:themeColor="text1"/>
          <w:sz w:val="32"/>
          <w:szCs w:val="32"/>
          <w14:textFill>
            <w14:solidFill>
              <w14:schemeClr w14:val="tx1"/>
            </w14:solidFill>
          </w14:textFill>
        </w:rPr>
        <w:t>.社会保障和就业</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支出</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类</w:t>
      </w:r>
      <w:r>
        <w:rPr>
          <w:rStyle w:val="21"/>
          <w:rFonts w:hint="eastAsia" w:ascii="仿宋_GB2312" w:hAnsi="仿宋_GB2312" w:eastAsia="仿宋_GB2312" w:cs="仿宋_GB2312"/>
          <w:bCs/>
          <w:color w:val="000000" w:themeColor="text1"/>
          <w:sz w:val="32"/>
          <w:szCs w:val="32"/>
          <w14:textFill>
            <w14:solidFill>
              <w14:schemeClr w14:val="tx1"/>
            </w14:solidFill>
          </w14:textFill>
        </w:rPr>
        <w:t>）行政事业单位职业年金支出（</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款</w:t>
      </w:r>
      <w:r>
        <w:rPr>
          <w:rStyle w:val="21"/>
          <w:rFonts w:hint="eastAsia" w:ascii="仿宋_GB2312" w:hAnsi="仿宋_GB2312" w:eastAsia="仿宋_GB2312" w:cs="仿宋_GB2312"/>
          <w:bCs/>
          <w:color w:val="000000" w:themeColor="text1"/>
          <w:sz w:val="32"/>
          <w:szCs w:val="32"/>
          <w14:textFill>
            <w14:solidFill>
              <w14:schemeClr w14:val="tx1"/>
            </w14:solidFill>
          </w14:textFill>
        </w:rPr>
        <w:t>）机关事业单位职业年金缴费支出（</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项</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 w:val="0"/>
          <w:bCs/>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支出决算为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69.64</w:t>
      </w:r>
      <w:r>
        <w:rPr>
          <w:rFonts w:hint="eastAsia" w:ascii="仿宋_GB2312" w:hAnsi="仿宋_GB2312" w:eastAsia="仿宋_GB2312" w:cs="仿宋_GB2312"/>
          <w:color w:val="000000" w:themeColor="text1"/>
          <w:sz w:val="32"/>
          <w:szCs w:val="32"/>
          <w14:textFill>
            <w14:solidFill>
              <w14:schemeClr w14:val="tx1"/>
            </w14:solidFill>
          </w14:textFill>
        </w:rPr>
        <w:t>万元，完成预算100%，决算等于预算数。</w:t>
      </w:r>
    </w:p>
    <w:p w14:paraId="2787DF34">
      <w:pPr>
        <w:spacing w:line="600" w:lineRule="exact"/>
        <w:ind w:firstLine="643" w:firstLineChars="200"/>
        <w:rPr>
          <w:rFonts w:hint="eastAsia" w:ascii="仿宋_GB2312" w:hAnsi="仿宋_GB2312" w:eastAsia="仿宋_GB2312" w:cs="仿宋_GB2312"/>
          <w:b/>
          <w:color w:val="000000" w:themeColor="text1"/>
          <w:sz w:val="32"/>
          <w:szCs w:val="32"/>
          <w14:textFill>
            <w14:solidFill>
              <w14:schemeClr w14:val="tx1"/>
            </w14:solidFill>
          </w14:textFill>
        </w:rPr>
      </w:pP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6</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color w:val="000000" w:themeColor="text1"/>
          <w:sz w:val="32"/>
          <w:szCs w:val="32"/>
          <w14:textFill>
            <w14:solidFill>
              <w14:schemeClr w14:val="tx1"/>
            </w14:solidFill>
          </w14:textFill>
        </w:rPr>
        <w:t>卫生健康</w:t>
      </w:r>
      <w:r>
        <w:rPr>
          <w:rStyle w:val="21"/>
          <w:rFonts w:hint="eastAsia" w:ascii="仿宋_GB2312" w:hAnsi="仿宋_GB2312" w:eastAsia="仿宋_GB2312" w:cs="仿宋_GB2312"/>
          <w:color w:val="000000" w:themeColor="text1"/>
          <w:sz w:val="32"/>
          <w:szCs w:val="32"/>
          <w:lang w:val="en-US" w:eastAsia="zh-CN"/>
          <w14:textFill>
            <w14:solidFill>
              <w14:schemeClr w14:val="tx1"/>
            </w14:solidFill>
          </w14:textFill>
        </w:rPr>
        <w:t>支出</w:t>
      </w:r>
      <w:r>
        <w:rPr>
          <w:rStyle w:val="21"/>
          <w:rFonts w:hint="eastAsia" w:ascii="仿宋_GB2312" w:hAnsi="仿宋_GB2312" w:eastAsia="仿宋_GB2312" w:cs="仿宋_GB2312"/>
          <w:color w:val="000000" w:themeColor="text1"/>
          <w:sz w:val="32"/>
          <w:szCs w:val="32"/>
          <w14:textFill>
            <w14:solidFill>
              <w14:schemeClr w14:val="tx1"/>
            </w14:solidFill>
          </w14:textFill>
        </w:rPr>
        <w:t>（</w:t>
      </w:r>
      <w:r>
        <w:rPr>
          <w:rStyle w:val="21"/>
          <w:rFonts w:hint="eastAsia" w:ascii="仿宋_GB2312" w:hAnsi="仿宋_GB2312" w:eastAsia="仿宋_GB2312" w:cs="仿宋_GB2312"/>
          <w:color w:val="000000" w:themeColor="text1"/>
          <w:sz w:val="32"/>
          <w:szCs w:val="32"/>
          <w:lang w:val="en-US" w:eastAsia="zh-CN"/>
          <w14:textFill>
            <w14:solidFill>
              <w14:schemeClr w14:val="tx1"/>
            </w14:solidFill>
          </w14:textFill>
        </w:rPr>
        <w:t>类</w:t>
      </w:r>
      <w:r>
        <w:rPr>
          <w:rStyle w:val="21"/>
          <w:rFonts w:hint="eastAsia" w:ascii="仿宋_GB2312" w:hAnsi="仿宋_GB2312" w:eastAsia="仿宋_GB2312" w:cs="仿宋_GB2312"/>
          <w:color w:val="000000" w:themeColor="text1"/>
          <w:sz w:val="32"/>
          <w:szCs w:val="32"/>
          <w14:textFill>
            <w14:solidFill>
              <w14:schemeClr w14:val="tx1"/>
            </w14:solidFill>
          </w14:textFill>
        </w:rPr>
        <w:t>）行政事业单位医疗（</w:t>
      </w:r>
      <w:r>
        <w:rPr>
          <w:rStyle w:val="21"/>
          <w:rFonts w:hint="eastAsia" w:ascii="仿宋_GB2312" w:hAnsi="仿宋_GB2312" w:eastAsia="仿宋_GB2312" w:cs="仿宋_GB2312"/>
          <w:color w:val="000000" w:themeColor="text1"/>
          <w:sz w:val="32"/>
          <w:szCs w:val="32"/>
          <w:lang w:val="en-US" w:eastAsia="zh-CN"/>
          <w14:textFill>
            <w14:solidFill>
              <w14:schemeClr w14:val="tx1"/>
            </w14:solidFill>
          </w14:textFill>
        </w:rPr>
        <w:t>款</w:t>
      </w:r>
      <w:r>
        <w:rPr>
          <w:rStyle w:val="21"/>
          <w:rFonts w:hint="eastAsia" w:ascii="仿宋_GB2312" w:hAnsi="仿宋_GB2312" w:eastAsia="仿宋_GB2312" w:cs="仿宋_GB2312"/>
          <w:color w:val="000000" w:themeColor="text1"/>
          <w:sz w:val="32"/>
          <w:szCs w:val="32"/>
          <w14:textFill>
            <w14:solidFill>
              <w14:schemeClr w14:val="tx1"/>
            </w14:solidFill>
          </w14:textFill>
        </w:rPr>
        <w:t>）行政单位医疗（</w:t>
      </w:r>
      <w:r>
        <w:rPr>
          <w:rStyle w:val="21"/>
          <w:rFonts w:hint="eastAsia" w:ascii="仿宋_GB2312" w:hAnsi="仿宋_GB2312" w:eastAsia="仿宋_GB2312" w:cs="仿宋_GB2312"/>
          <w:color w:val="000000" w:themeColor="text1"/>
          <w:sz w:val="32"/>
          <w:szCs w:val="32"/>
          <w:lang w:val="en-US" w:eastAsia="zh-CN"/>
          <w14:textFill>
            <w14:solidFill>
              <w14:schemeClr w14:val="tx1"/>
            </w14:solidFill>
          </w14:textFill>
        </w:rPr>
        <w:t>项</w:t>
      </w:r>
      <w:r>
        <w:rPr>
          <w:rStyle w:val="21"/>
          <w:rFonts w:hint="eastAsia" w:ascii="仿宋_GB2312" w:hAnsi="仿宋_GB2312" w:eastAsia="仿宋_GB2312" w:cs="仿宋_GB2312"/>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支出决算为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81.56</w:t>
      </w:r>
      <w:r>
        <w:rPr>
          <w:rFonts w:hint="eastAsia" w:ascii="仿宋_GB2312" w:hAnsi="仿宋_GB2312" w:eastAsia="仿宋_GB2312" w:cs="仿宋_GB2312"/>
          <w:color w:val="000000" w:themeColor="text1"/>
          <w:sz w:val="32"/>
          <w:szCs w:val="32"/>
          <w14:textFill>
            <w14:solidFill>
              <w14:schemeClr w14:val="tx1"/>
            </w14:solidFill>
          </w14:textFill>
        </w:rPr>
        <w:t>万元，完成预算100%，决算数等于预算数。</w:t>
      </w:r>
    </w:p>
    <w:p w14:paraId="080CE4BB">
      <w:pPr>
        <w:spacing w:line="600" w:lineRule="exact"/>
        <w:ind w:firstLine="643" w:firstLineChars="200"/>
        <w:rPr>
          <w:rStyle w:val="21"/>
          <w:rFonts w:hint="eastAsia" w:ascii="仿宋_GB2312" w:hAnsi="仿宋_GB2312" w:eastAsia="仿宋_GB2312" w:cs="仿宋_GB2312"/>
          <w:b w:val="0"/>
          <w:bCs/>
          <w:color w:val="000000" w:themeColor="text1"/>
          <w:sz w:val="32"/>
          <w:szCs w:val="32"/>
          <w14:textFill>
            <w14:solidFill>
              <w14:schemeClr w14:val="tx1"/>
            </w14:solidFill>
          </w14:textFill>
        </w:rPr>
      </w:pP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7</w:t>
      </w:r>
      <w:r>
        <w:rPr>
          <w:rStyle w:val="21"/>
          <w:rFonts w:hint="eastAsia" w:ascii="仿宋_GB2312" w:hAnsi="仿宋_GB2312" w:eastAsia="仿宋_GB2312" w:cs="仿宋_GB2312"/>
          <w:bCs/>
          <w:color w:val="000000" w:themeColor="text1"/>
          <w:sz w:val="32"/>
          <w:szCs w:val="32"/>
          <w14:textFill>
            <w14:solidFill>
              <w14:schemeClr w14:val="tx1"/>
            </w14:solidFill>
          </w14:textFill>
        </w:rPr>
        <w:t>.住房保障</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支出</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类</w:t>
      </w:r>
      <w:r>
        <w:rPr>
          <w:rStyle w:val="21"/>
          <w:rFonts w:hint="eastAsia" w:ascii="仿宋_GB2312" w:hAnsi="仿宋_GB2312" w:eastAsia="仿宋_GB2312" w:cs="仿宋_GB2312"/>
          <w:bCs/>
          <w:color w:val="000000" w:themeColor="text1"/>
          <w:sz w:val="32"/>
          <w:szCs w:val="32"/>
          <w14:textFill>
            <w14:solidFill>
              <w14:schemeClr w14:val="tx1"/>
            </w14:solidFill>
          </w14:textFill>
        </w:rPr>
        <w:t>）住房改革支出（</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款</w:t>
      </w:r>
      <w:r>
        <w:rPr>
          <w:rStyle w:val="21"/>
          <w:rFonts w:hint="eastAsia" w:ascii="仿宋_GB2312" w:hAnsi="仿宋_GB2312" w:eastAsia="仿宋_GB2312" w:cs="仿宋_GB2312"/>
          <w:bCs/>
          <w:color w:val="000000" w:themeColor="text1"/>
          <w:sz w:val="32"/>
          <w:szCs w:val="32"/>
          <w14:textFill>
            <w14:solidFill>
              <w14:schemeClr w14:val="tx1"/>
            </w14:solidFill>
          </w14:textFill>
        </w:rPr>
        <w:t>）住房公积金（</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项</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color w:val="000000" w:themeColor="text1"/>
          <w:sz w:val="32"/>
          <w:szCs w:val="32"/>
          <w14:textFill>
            <w14:solidFill>
              <w14:schemeClr w14:val="tx1"/>
            </w14:solidFill>
          </w14:textFill>
        </w:rPr>
        <w:t>:</w:t>
      </w:r>
      <w:r>
        <w:rPr>
          <w:rStyle w:val="21"/>
          <w:rFonts w:hint="eastAsia" w:ascii="仿宋_GB2312" w:hAnsi="仿宋_GB2312" w:eastAsia="仿宋_GB2312" w:cs="仿宋_GB2312"/>
          <w:b w:val="0"/>
          <w:bCs/>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支出决算为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113.31</w:t>
      </w:r>
      <w:r>
        <w:rPr>
          <w:rFonts w:hint="eastAsia" w:ascii="仿宋_GB2312" w:hAnsi="仿宋_GB2312" w:eastAsia="仿宋_GB2312" w:cs="仿宋_GB2312"/>
          <w:color w:val="000000" w:themeColor="text1"/>
          <w:sz w:val="32"/>
          <w:szCs w:val="32"/>
          <w14:textFill>
            <w14:solidFill>
              <w14:schemeClr w14:val="tx1"/>
            </w14:solidFill>
          </w14:textFill>
        </w:rPr>
        <w:t>万元，完成预算100%，决算数等于预算数。</w:t>
      </w:r>
    </w:p>
    <w:p w14:paraId="4695AED7">
      <w:pPr>
        <w:spacing w:line="576"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Style w:val="21"/>
          <w:rFonts w:hint="eastAsia" w:ascii="仿宋_GB2312" w:hAnsi="仿宋_GB2312" w:eastAsia="仿宋_GB2312" w:cs="仿宋_GB2312"/>
          <w:color w:val="000000" w:themeColor="text1"/>
          <w:sz w:val="32"/>
          <w:szCs w:val="32"/>
          <w:lang w:val="en-US" w:eastAsia="zh-CN"/>
          <w14:textFill>
            <w14:solidFill>
              <w14:schemeClr w14:val="tx1"/>
            </w14:solidFill>
          </w14:textFill>
        </w:rPr>
        <w:t>8</w:t>
      </w:r>
      <w:r>
        <w:rPr>
          <w:rStyle w:val="21"/>
          <w:rFonts w:hint="eastAsia" w:ascii="仿宋_GB2312" w:hAnsi="仿宋_GB2312" w:eastAsia="仿宋_GB2312" w:cs="仿宋_GB2312"/>
          <w:color w:val="000000" w:themeColor="text1"/>
          <w:sz w:val="32"/>
          <w:szCs w:val="32"/>
          <w14:textFill>
            <w14:solidFill>
              <w14:schemeClr w14:val="tx1"/>
            </w14:solidFill>
          </w14:textFill>
        </w:rPr>
        <w:t>.住房保障</w:t>
      </w:r>
      <w:r>
        <w:rPr>
          <w:rStyle w:val="21"/>
          <w:rFonts w:hint="eastAsia" w:ascii="仿宋_GB2312" w:hAnsi="仿宋_GB2312" w:eastAsia="仿宋_GB2312" w:cs="仿宋_GB2312"/>
          <w:color w:val="000000" w:themeColor="text1"/>
          <w:sz w:val="32"/>
          <w:szCs w:val="32"/>
          <w:lang w:val="en-US" w:eastAsia="zh-CN"/>
          <w14:textFill>
            <w14:solidFill>
              <w14:schemeClr w14:val="tx1"/>
            </w14:solidFill>
          </w14:textFill>
        </w:rPr>
        <w:t>支出</w:t>
      </w:r>
      <w:r>
        <w:rPr>
          <w:rStyle w:val="21"/>
          <w:rFonts w:hint="eastAsia" w:ascii="仿宋_GB2312" w:hAnsi="仿宋_GB2312" w:eastAsia="仿宋_GB2312" w:cs="仿宋_GB2312"/>
          <w:color w:val="000000" w:themeColor="text1"/>
          <w:sz w:val="32"/>
          <w:szCs w:val="32"/>
          <w14:textFill>
            <w14:solidFill>
              <w14:schemeClr w14:val="tx1"/>
            </w14:solidFill>
          </w14:textFill>
        </w:rPr>
        <w:t>（</w:t>
      </w:r>
      <w:r>
        <w:rPr>
          <w:rStyle w:val="21"/>
          <w:rFonts w:hint="eastAsia" w:ascii="仿宋_GB2312" w:hAnsi="仿宋_GB2312" w:eastAsia="仿宋_GB2312" w:cs="仿宋_GB2312"/>
          <w:color w:val="000000" w:themeColor="text1"/>
          <w:sz w:val="32"/>
          <w:szCs w:val="32"/>
          <w:lang w:val="en-US" w:eastAsia="zh-CN"/>
          <w14:textFill>
            <w14:solidFill>
              <w14:schemeClr w14:val="tx1"/>
            </w14:solidFill>
          </w14:textFill>
        </w:rPr>
        <w:t>类</w:t>
      </w:r>
      <w:r>
        <w:rPr>
          <w:rStyle w:val="21"/>
          <w:rFonts w:hint="eastAsia" w:ascii="仿宋_GB2312" w:hAnsi="仿宋_GB2312" w:eastAsia="仿宋_GB2312" w:cs="仿宋_GB2312"/>
          <w:color w:val="000000" w:themeColor="text1"/>
          <w:sz w:val="32"/>
          <w:szCs w:val="32"/>
          <w14:textFill>
            <w14:solidFill>
              <w14:schemeClr w14:val="tx1"/>
            </w14:solidFill>
          </w14:textFill>
        </w:rPr>
        <w:t>）住房改革支出（</w:t>
      </w:r>
      <w:r>
        <w:rPr>
          <w:rStyle w:val="21"/>
          <w:rFonts w:hint="eastAsia" w:ascii="仿宋_GB2312" w:hAnsi="仿宋_GB2312" w:eastAsia="仿宋_GB2312" w:cs="仿宋_GB2312"/>
          <w:color w:val="000000" w:themeColor="text1"/>
          <w:sz w:val="32"/>
          <w:szCs w:val="32"/>
          <w:lang w:val="en-US" w:eastAsia="zh-CN"/>
          <w14:textFill>
            <w14:solidFill>
              <w14:schemeClr w14:val="tx1"/>
            </w14:solidFill>
          </w14:textFill>
        </w:rPr>
        <w:t>款</w:t>
      </w:r>
      <w:r>
        <w:rPr>
          <w:rStyle w:val="21"/>
          <w:rFonts w:hint="eastAsia" w:ascii="仿宋_GB2312" w:hAnsi="仿宋_GB2312" w:eastAsia="仿宋_GB2312" w:cs="仿宋_GB2312"/>
          <w:color w:val="000000" w:themeColor="text1"/>
          <w:sz w:val="32"/>
          <w:szCs w:val="32"/>
          <w14:textFill>
            <w14:solidFill>
              <w14:schemeClr w14:val="tx1"/>
            </w14:solidFill>
          </w14:textFill>
        </w:rPr>
        <w:t>）购房补贴（</w:t>
      </w:r>
      <w:r>
        <w:rPr>
          <w:rStyle w:val="21"/>
          <w:rFonts w:hint="eastAsia" w:ascii="仿宋_GB2312" w:hAnsi="仿宋_GB2312" w:eastAsia="仿宋_GB2312" w:cs="仿宋_GB2312"/>
          <w:color w:val="000000" w:themeColor="text1"/>
          <w:sz w:val="32"/>
          <w:szCs w:val="32"/>
          <w:lang w:val="en-US" w:eastAsia="zh-CN"/>
          <w14:textFill>
            <w14:solidFill>
              <w14:schemeClr w14:val="tx1"/>
            </w14:solidFill>
          </w14:textFill>
        </w:rPr>
        <w:t>项</w:t>
      </w:r>
      <w:r>
        <w:rPr>
          <w:rStyle w:val="21"/>
          <w:rFonts w:hint="eastAsia" w:ascii="仿宋_GB2312" w:hAnsi="仿宋_GB2312" w:eastAsia="仿宋_GB2312" w:cs="仿宋_GB2312"/>
          <w:color w:val="000000" w:themeColor="text1"/>
          <w:sz w:val="32"/>
          <w:szCs w:val="32"/>
          <w14:textFill>
            <w14:solidFill>
              <w14:schemeClr w14:val="tx1"/>
            </w14:solidFill>
          </w14:textFill>
        </w:rPr>
        <w:t>）:</w:t>
      </w:r>
      <w:r>
        <w:rPr>
          <w:rStyle w:val="21"/>
          <w:rFonts w:hint="eastAsia" w:ascii="仿宋_GB2312" w:hAnsi="仿宋_GB2312" w:eastAsia="仿宋_GB2312" w:cs="仿宋_GB2312"/>
          <w:b w:val="0"/>
          <w:bCs/>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支出决算为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1.2</w:t>
      </w:r>
      <w:r>
        <w:rPr>
          <w:rFonts w:hint="eastAsia" w:ascii="仿宋_GB2312" w:hAnsi="仿宋_GB2312" w:eastAsia="仿宋_GB2312" w:cs="仿宋_GB2312"/>
          <w:color w:val="000000" w:themeColor="text1"/>
          <w:sz w:val="32"/>
          <w:szCs w:val="32"/>
          <w14:textFill>
            <w14:solidFill>
              <w14:schemeClr w14:val="tx1"/>
            </w14:solidFill>
          </w14:textFill>
        </w:rPr>
        <w:t>万元，完成预算100%，决算数等于预算数。</w:t>
      </w:r>
    </w:p>
    <w:p w14:paraId="145F6001">
      <w:pPr>
        <w:pStyle w:val="5"/>
        <w:bidi w:val="0"/>
        <w:ind w:firstLine="640" w:firstLineChars="200"/>
        <w:rPr>
          <w:rStyle w:val="23"/>
          <w:rFonts w:ascii="Times New Roman" w:hAnsi="Times New Roman"/>
          <w:b/>
          <w:bCs/>
          <w:color w:val="auto"/>
          <w:highlight w:val="none"/>
        </w:rPr>
      </w:pPr>
      <w:bookmarkStart w:id="31" w:name="_Toc15396608"/>
      <w:bookmarkStart w:id="32" w:name="_Toc15377214"/>
      <w:bookmarkStart w:id="33" w:name="_Toc8115"/>
      <w:r>
        <w:rPr>
          <w:rFonts w:hint="eastAsia" w:ascii="黑体" w:hAnsi="黑体" w:eastAsia="黑体" w:cs="黑体"/>
          <w:b w:val="0"/>
          <w:bCs w:val="0"/>
          <w:kern w:val="2"/>
          <w:sz w:val="32"/>
          <w:szCs w:val="32"/>
          <w:lang w:val="en-US" w:eastAsia="zh-CN" w:bidi="ar-SA"/>
        </w:rPr>
        <w:t>六、一般公共预算财政拨款基本支出决算情况说明</w:t>
      </w:r>
      <w:bookmarkEnd w:id="31"/>
      <w:bookmarkEnd w:id="32"/>
      <w:bookmarkEnd w:id="33"/>
      <w:r>
        <w:rPr>
          <w:rStyle w:val="23"/>
          <w:rFonts w:ascii="Times New Roman" w:hAnsi="Times New Roman" w:eastAsia="黑体"/>
          <w:b w:val="0"/>
          <w:bCs/>
          <w:color w:val="auto"/>
          <w:highlight w:val="none"/>
        </w:rPr>
        <w:tab/>
      </w:r>
    </w:p>
    <w:p w14:paraId="4681A08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1523.26</w:t>
      </w:r>
      <w:r>
        <w:rPr>
          <w:rFonts w:hint="eastAsia" w:ascii="Times New Roman" w:hAnsi="Times New Roman" w:eastAsia="仿宋_GB2312" w:cs="仿宋_GB2312"/>
          <w:color w:val="auto"/>
          <w:kern w:val="2"/>
          <w:sz w:val="32"/>
          <w:szCs w:val="32"/>
          <w:highlight w:val="none"/>
          <w:lang w:val="en-US" w:eastAsia="zh-CN" w:bidi="ar-SA"/>
        </w:rPr>
        <w:t>万元，其中：</w:t>
      </w:r>
    </w:p>
    <w:p w14:paraId="575EDDBC">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1458.31</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绩效工资、机关事业单位基本养老保险缴费、职业年金缴费、其他社会保障缴费、其他工资福利支出、退休费、生活补助、医疗费补助、奖励金、住房公积金、其他对个人和家庭的补助支出等。</w:t>
      </w:r>
    </w:p>
    <w:p w14:paraId="785DA8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公用经费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64.95</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万</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元，主要包括：</w:t>
      </w:r>
      <w:r>
        <w:rPr>
          <w:rFonts w:hint="eastAsia" w:ascii="Times New Roman" w:hAnsi="Times New Roman" w:eastAsia="仿宋_GB2312" w:cs="仿宋_GB2312"/>
          <w:color w:val="auto"/>
          <w:kern w:val="2"/>
          <w:sz w:val="32"/>
          <w:szCs w:val="32"/>
          <w:highlight w:val="none"/>
          <w:lang w:val="en-US" w:eastAsia="zh-CN" w:bidi="ar-SA"/>
        </w:rPr>
        <w:t>办公费、手续费、水费、电费、邮电费、差旅费、培训费、公务用车运行维护费等。</w:t>
      </w:r>
    </w:p>
    <w:p w14:paraId="50B7C056">
      <w:pPr>
        <w:pStyle w:val="5"/>
        <w:bidi w:val="0"/>
        <w:ind w:firstLine="640" w:firstLineChars="200"/>
        <w:rPr>
          <w:rFonts w:hint="eastAsia" w:ascii="黑体" w:hAnsi="黑体" w:eastAsia="黑体" w:cs="黑体"/>
          <w:b w:val="0"/>
          <w:bCs w:val="0"/>
          <w:lang w:eastAsia="zh-CN"/>
        </w:rPr>
      </w:pPr>
      <w:bookmarkStart w:id="34" w:name="_Toc15377215"/>
      <w:bookmarkStart w:id="35" w:name="_Toc15396609"/>
      <w:bookmarkStart w:id="36" w:name="_Toc23824"/>
      <w:r>
        <w:rPr>
          <w:rFonts w:hint="eastAsia" w:ascii="黑体" w:hAnsi="黑体" w:eastAsia="黑体" w:cs="黑体"/>
          <w:b w:val="0"/>
          <w:bCs w:val="0"/>
          <w:lang w:eastAsia="zh-CN"/>
        </w:rPr>
        <w:t>七、财政拨款“三公”经费支出决算情况说明</w:t>
      </w:r>
      <w:bookmarkEnd w:id="34"/>
      <w:bookmarkEnd w:id="35"/>
      <w:bookmarkEnd w:id="36"/>
    </w:p>
    <w:p w14:paraId="546E9DC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7"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7"/>
    </w:p>
    <w:p w14:paraId="24432E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8.6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与上年度比较</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18.9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主要原因是：厉行节俭。</w:t>
      </w:r>
    </w:p>
    <w:p w14:paraId="0D8B61A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8"/>
    </w:p>
    <w:p w14:paraId="046D08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万元；公务用车购置及运行维护费支出决算</w:t>
      </w:r>
      <w:r>
        <w:rPr>
          <w:rFonts w:hint="eastAsia" w:eastAsia="仿宋_GB2312" w:cs="仿宋_GB2312"/>
          <w:color w:val="auto"/>
          <w:kern w:val="2"/>
          <w:sz w:val="32"/>
          <w:szCs w:val="32"/>
          <w:highlight w:val="none"/>
          <w:lang w:val="en-US" w:eastAsia="zh-CN" w:bidi="ar-SA"/>
        </w:rPr>
        <w:t>8.6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万元。具体情况如下：</w:t>
      </w:r>
    </w:p>
    <w:p w14:paraId="47CE0C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000000" w:themeColor="text1"/>
          <w:sz w:val="32"/>
          <w:szCs w:val="32"/>
          <w14:textFill>
            <w14:solidFill>
              <w14:schemeClr w14:val="tx1"/>
            </w14:solidFill>
          </w14:textFill>
        </w:rPr>
        <w:drawing>
          <wp:inline distT="0" distB="0" distL="114300" distR="114300">
            <wp:extent cx="5256530" cy="2988310"/>
            <wp:effectExtent l="5080" t="4445" r="15240" b="1714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05847D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w:t>
      </w:r>
    </w:p>
    <w:p w14:paraId="0969C68F">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8.6</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与上年度比较</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18.9</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：厉行节俭。</w:t>
      </w:r>
    </w:p>
    <w:p w14:paraId="4C440516">
      <w:pPr>
        <w:spacing w:line="600" w:lineRule="exact"/>
        <w:ind w:firstLine="640" w:firstLineChars="200"/>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r>
        <w:rPr>
          <w:rFonts w:hint="eastAsia" w:ascii="仿宋_GB2312" w:hAnsi="仿宋_GB2312" w:eastAsia="仿宋_GB2312" w:cs="仿宋_GB2312"/>
          <w:b w:val="0"/>
          <w:bCs/>
          <w:color w:val="000000" w:themeColor="text1"/>
          <w:sz w:val="32"/>
          <w:szCs w:val="32"/>
          <w14:textFill>
            <w14:solidFill>
              <w14:schemeClr w14:val="tx1"/>
            </w14:solidFill>
          </w14:textFill>
        </w:rPr>
        <w:t>执法车辆</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b w:val="0"/>
          <w:bCs/>
          <w:color w:val="000000" w:themeColor="text1"/>
          <w:sz w:val="32"/>
          <w:szCs w:val="32"/>
          <w14:textFill>
            <w14:solidFill>
              <w14:schemeClr w14:val="tx1"/>
            </w14:solidFill>
          </w14:textFill>
        </w:rPr>
        <w:t>辆，全部属于资产划拨。</w:t>
      </w:r>
    </w:p>
    <w:p w14:paraId="656F0E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8.6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执法检查等</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13D3B802">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p>
    <w:p w14:paraId="4726F7CD">
      <w:pPr>
        <w:spacing w:line="60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国内公务接待支出</w:t>
      </w:r>
      <w:r>
        <w:rPr>
          <w:rFonts w:hint="eastAsia" w:ascii="仿宋_GB2312" w:hAnsi="仿宋_GB2312" w:eastAsia="仿宋_GB2312" w:cs="仿宋_GB2312"/>
          <w:color w:val="000000" w:themeColor="text1"/>
          <w:sz w:val="32"/>
          <w:szCs w:val="32"/>
          <w:lang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万元。</w:t>
      </w:r>
    </w:p>
    <w:p w14:paraId="51896997">
      <w:pPr>
        <w:spacing w:line="60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外事接待支出</w:t>
      </w:r>
      <w:r>
        <w:rPr>
          <w:rFonts w:hint="eastAsia" w:ascii="仿宋_GB2312" w:hAnsi="仿宋_GB2312" w:eastAsia="仿宋_GB2312" w:cs="仿宋_GB2312"/>
          <w:color w:val="000000" w:themeColor="text1"/>
          <w:sz w:val="32"/>
          <w:szCs w:val="32"/>
          <w:lang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万元。</w:t>
      </w:r>
      <w:bookmarkStart w:id="39" w:name="_Toc15396610"/>
      <w:bookmarkStart w:id="40" w:name="_Toc15377218"/>
      <w:bookmarkStart w:id="41" w:name="_Toc26121"/>
    </w:p>
    <w:p w14:paraId="504F4A87">
      <w:pPr>
        <w:pStyle w:val="5"/>
        <w:bidi w:val="0"/>
        <w:ind w:firstLine="640" w:firstLineChars="200"/>
        <w:rPr>
          <w:rFonts w:hint="eastAsia" w:ascii="黑体" w:hAnsi="黑体" w:eastAsia="黑体" w:cs="黑体"/>
          <w:b w:val="0"/>
          <w:bCs w:val="0"/>
          <w:lang w:eastAsia="zh-CN"/>
        </w:rPr>
      </w:pPr>
      <w:r>
        <w:rPr>
          <w:rFonts w:hint="eastAsia" w:ascii="黑体" w:hAnsi="黑体" w:eastAsia="黑体" w:cs="黑体"/>
          <w:b w:val="0"/>
          <w:bCs w:val="0"/>
          <w:lang w:eastAsia="zh-CN"/>
        </w:rPr>
        <w:t>八、政府性基金预算支出决算情况说明</w:t>
      </w:r>
      <w:bookmarkEnd w:id="39"/>
      <w:bookmarkEnd w:id="40"/>
      <w:bookmarkEnd w:id="41"/>
    </w:p>
    <w:p w14:paraId="6AF627E8">
      <w:pPr>
        <w:pStyle w:val="2"/>
        <w:bidi w:val="0"/>
        <w:ind w:firstLine="640" w:firstLineChars="200"/>
        <w:rPr>
          <w:rFonts w:hint="default"/>
          <w:sz w:val="32"/>
          <w:szCs w:val="32"/>
          <w:lang w:val="en-US" w:eastAsia="zh-CN"/>
        </w:rPr>
      </w:pPr>
      <w:bookmarkStart w:id="42" w:name="_Toc30581"/>
      <w:bookmarkStart w:id="43" w:name="_Toc15377219"/>
      <w:bookmarkStart w:id="44" w:name="_Toc15396611"/>
      <w:r>
        <w:rPr>
          <w:rFonts w:hint="default"/>
          <w:sz w:val="32"/>
          <w:szCs w:val="32"/>
          <w:lang w:val="en-US" w:eastAsia="zh-CN"/>
        </w:rPr>
        <w:t>2025年度政府性基金预算财政拨款支出0万元。</w:t>
      </w:r>
      <w:bookmarkEnd w:id="42"/>
    </w:p>
    <w:p w14:paraId="7FB87307">
      <w:pPr>
        <w:pStyle w:val="5"/>
        <w:bidi w:val="0"/>
        <w:ind w:firstLine="640" w:firstLineChars="200"/>
        <w:rPr>
          <w:rFonts w:hint="eastAsia" w:ascii="黑体" w:hAnsi="黑体" w:eastAsia="黑体" w:cs="黑体"/>
          <w:b w:val="0"/>
          <w:bCs w:val="0"/>
          <w:lang w:eastAsia="zh-CN"/>
        </w:rPr>
      </w:pPr>
      <w:bookmarkStart w:id="45" w:name="_Toc26460"/>
      <w:r>
        <w:rPr>
          <w:rFonts w:hint="eastAsia" w:ascii="黑体" w:hAnsi="黑体" w:eastAsia="黑体" w:cs="黑体"/>
          <w:b w:val="0"/>
          <w:bCs w:val="0"/>
          <w:lang w:eastAsia="zh-CN"/>
        </w:rPr>
        <w:t>九、国有资本经营预算支出决算情况说明</w:t>
      </w:r>
      <w:bookmarkEnd w:id="43"/>
      <w:bookmarkEnd w:id="44"/>
      <w:bookmarkEnd w:id="45"/>
    </w:p>
    <w:p w14:paraId="0B6B4535">
      <w:pPr>
        <w:pageBreakBefore w:val="0"/>
        <w:kinsoku/>
        <w:wordWrap/>
        <w:overflowPunct/>
        <w:topLinePunct w:val="0"/>
        <w:bidi w:val="0"/>
        <w:spacing w:line="576"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bookmarkStart w:id="46" w:name="_Toc15377221"/>
      <w:bookmarkStart w:id="47" w:name="_Toc15396612"/>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2025年度国有资本经营预算财政拨款支出0万元。</w:t>
      </w:r>
    </w:p>
    <w:p w14:paraId="52633C2D">
      <w:pPr>
        <w:pStyle w:val="5"/>
        <w:bidi w:val="0"/>
        <w:ind w:firstLine="640" w:firstLineChars="200"/>
        <w:rPr>
          <w:rFonts w:hint="eastAsia" w:ascii="黑体" w:hAnsi="黑体" w:eastAsia="黑体" w:cs="黑体"/>
          <w:b w:val="0"/>
          <w:bCs w:val="0"/>
          <w:lang w:eastAsia="zh-CN"/>
        </w:rPr>
      </w:pPr>
      <w:bookmarkStart w:id="48" w:name="_Toc12382"/>
      <w:r>
        <w:rPr>
          <w:rFonts w:hint="eastAsia" w:ascii="黑体" w:hAnsi="黑体" w:eastAsia="黑体" w:cs="黑体"/>
          <w:b w:val="0"/>
          <w:bCs w:val="0"/>
          <w:lang w:eastAsia="zh-CN"/>
        </w:rPr>
        <w:t>十、其他重要事项的情况说明</w:t>
      </w:r>
      <w:bookmarkEnd w:id="46"/>
      <w:bookmarkEnd w:id="47"/>
      <w:bookmarkEnd w:id="48"/>
    </w:p>
    <w:p w14:paraId="279F501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22"/>
      <w:r>
        <w:rPr>
          <w:rFonts w:hint="eastAsia" w:ascii="Times New Roman" w:hAnsi="Times New Roman" w:eastAsia="楷体_GB2312" w:cs="楷体_GB2312"/>
          <w:b/>
          <w:color w:val="auto"/>
          <w:sz w:val="32"/>
          <w:szCs w:val="32"/>
          <w:highlight w:val="none"/>
        </w:rPr>
        <w:t>（一）机关运行经费支出情况</w:t>
      </w:r>
      <w:bookmarkEnd w:id="49"/>
    </w:p>
    <w:p w14:paraId="10F9A8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000000" w:themeColor="text1"/>
          <w:sz w:val="32"/>
          <w:szCs w:val="32"/>
          <w14:textFill>
            <w14:solidFill>
              <w14:schemeClr w14:val="tx1"/>
            </w14:solidFill>
          </w14:textFill>
        </w:rPr>
        <w:t>茂县综合行政执法局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64.95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与上年度比较</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13.08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25.2</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执法检查增多。</w:t>
      </w:r>
    </w:p>
    <w:p w14:paraId="0D61D13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23"/>
      <w:r>
        <w:rPr>
          <w:rFonts w:hint="eastAsia" w:ascii="Times New Roman" w:hAnsi="Times New Roman" w:eastAsia="楷体_GB2312" w:cs="楷体_GB2312"/>
          <w:b/>
          <w:color w:val="auto"/>
          <w:sz w:val="32"/>
          <w:szCs w:val="32"/>
          <w:highlight w:val="none"/>
        </w:rPr>
        <w:t>（二）政府采购支出情况</w:t>
      </w:r>
      <w:bookmarkEnd w:id="50"/>
    </w:p>
    <w:p w14:paraId="58BDC81A">
      <w:pPr>
        <w:spacing w:line="600" w:lineRule="exact"/>
        <w:ind w:firstLine="640" w:firstLineChars="200"/>
        <w:outlineLvl w:val="2"/>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茂县综合行政执法局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51" w:name="_Toc15377224"/>
      <w:r>
        <w:rPr>
          <w:rFonts w:hint="eastAsia" w:eastAsia="仿宋_GB2312" w:cs="仿宋_GB2312"/>
          <w:color w:val="auto"/>
          <w:kern w:val="2"/>
          <w:sz w:val="32"/>
          <w:szCs w:val="32"/>
          <w:highlight w:val="none"/>
          <w:lang w:val="en-US" w:eastAsia="zh-CN" w:bidi="ar-SA"/>
        </w:rPr>
        <w:t>。</w:t>
      </w:r>
    </w:p>
    <w:p w14:paraId="3761256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51"/>
    </w:p>
    <w:p w14:paraId="68A3F7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color w:val="000000" w:themeColor="text1"/>
          <w:sz w:val="32"/>
          <w:szCs w:val="32"/>
          <w14:textFill>
            <w14:solidFill>
              <w14:schemeClr w14:val="tx1"/>
            </w14:solidFill>
          </w14:textFill>
        </w:rPr>
        <w:t>茂县综合行政执法局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7484B96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F3A4B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本部门</w:t>
      </w:r>
      <w:r>
        <w:rPr>
          <w:rFonts w:hint="eastAsia" w:ascii="Times New Roman" w:hAnsi="Times New Roman" w:eastAsia="仿宋_GB2312" w:cs="仿宋_GB2312"/>
          <w:color w:val="auto"/>
          <w:kern w:val="2"/>
          <w:sz w:val="32"/>
          <w:szCs w:val="32"/>
          <w:highlight w:val="none"/>
          <w:lang w:val="en-US" w:eastAsia="zh-CN" w:bidi="ar-SA"/>
        </w:rPr>
        <w:t>在2025年度，组织对制式服装购置及执法装备提升项目</w:t>
      </w:r>
      <w:r>
        <w:rPr>
          <w:rFonts w:hint="eastAsia" w:eastAsia="仿宋_GB2312" w:cs="仿宋_GB2312"/>
          <w:color w:val="auto"/>
          <w:kern w:val="2"/>
          <w:sz w:val="32"/>
          <w:szCs w:val="32"/>
          <w:highlight w:val="none"/>
          <w:lang w:val="en-US" w:eastAsia="zh-CN" w:bidi="ar-SA"/>
        </w:rPr>
        <w:t>、解决购买服务人员工资（含保险）项目、2025年省级财政市场监管专项资金</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59.53</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个项目开展绩效监控</w:t>
      </w:r>
      <w:r>
        <w:rPr>
          <w:rFonts w:hint="eastAsia"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color w:val="auto"/>
          <w:sz w:val="32"/>
          <w:szCs w:val="32"/>
          <w:highlight w:val="none"/>
          <w:lang w:eastAsia="zh-CN"/>
        </w:rPr>
        <w:t>组织对</w:t>
      </w: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val="en-US" w:eastAsia="zh-CN"/>
        </w:rPr>
        <w:t>个项目开展绩效自评，绩效自评表详见第四部分附件。</w:t>
      </w:r>
    </w:p>
    <w:p w14:paraId="2C95943B">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2" w:name="_Toc15377225"/>
      <w:bookmarkStart w:id="53" w:name="_Toc15396613"/>
    </w:p>
    <w:p w14:paraId="0172915B">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B4F9B6A">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5A78B022">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465855D9">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30697AA">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2C897DE0">
      <w:pPr>
        <w:pStyle w:val="2"/>
        <w:rPr>
          <w:rFonts w:hint="eastAsia"/>
        </w:rPr>
      </w:pPr>
    </w:p>
    <w:p w14:paraId="07F6AA7E">
      <w:pPr>
        <w:pStyle w:val="3"/>
        <w:rPr>
          <w:rFonts w:hint="eastAsia"/>
        </w:rPr>
      </w:pPr>
    </w:p>
    <w:p w14:paraId="4076B632">
      <w:pPr>
        <w:pStyle w:val="3"/>
        <w:rPr>
          <w:rFonts w:hint="eastAsia"/>
        </w:rPr>
      </w:pPr>
    </w:p>
    <w:p w14:paraId="0F6F42E6">
      <w:pPr>
        <w:pStyle w:val="3"/>
        <w:rPr>
          <w:rFonts w:hint="eastAsia"/>
        </w:rPr>
      </w:pPr>
    </w:p>
    <w:p w14:paraId="3D5576EF">
      <w:pPr>
        <w:pStyle w:val="3"/>
        <w:rPr>
          <w:rFonts w:hint="eastAsia"/>
        </w:rPr>
      </w:pPr>
    </w:p>
    <w:p w14:paraId="0B135A4C">
      <w:pPr>
        <w:pStyle w:val="3"/>
        <w:rPr>
          <w:rFonts w:hint="eastAsia"/>
        </w:rPr>
      </w:pPr>
    </w:p>
    <w:p w14:paraId="2F9EB9A1">
      <w:pPr>
        <w:pStyle w:val="3"/>
        <w:rPr>
          <w:rFonts w:hint="eastAsia"/>
        </w:rPr>
      </w:pPr>
    </w:p>
    <w:p w14:paraId="29643294">
      <w:pPr>
        <w:pStyle w:val="3"/>
        <w:rPr>
          <w:rFonts w:hint="eastAsia"/>
        </w:rPr>
      </w:pPr>
    </w:p>
    <w:p w14:paraId="09D1F7F0">
      <w:pPr>
        <w:pStyle w:val="3"/>
        <w:rPr>
          <w:rFonts w:hint="eastAsia"/>
        </w:rPr>
      </w:pPr>
    </w:p>
    <w:p w14:paraId="0AC7A3B2">
      <w:pPr>
        <w:pStyle w:val="3"/>
        <w:rPr>
          <w:rFonts w:hint="eastAsia"/>
        </w:rPr>
      </w:pPr>
    </w:p>
    <w:p w14:paraId="4F48C710">
      <w:pPr>
        <w:pStyle w:val="3"/>
        <w:rPr>
          <w:rFonts w:hint="eastAsia"/>
        </w:rPr>
      </w:pPr>
    </w:p>
    <w:p w14:paraId="18C9349A">
      <w:pPr>
        <w:pStyle w:val="3"/>
        <w:rPr>
          <w:rFonts w:hint="eastAsia"/>
        </w:rPr>
      </w:pPr>
    </w:p>
    <w:p w14:paraId="38905255">
      <w:pPr>
        <w:pStyle w:val="3"/>
        <w:rPr>
          <w:rFonts w:hint="eastAsia"/>
        </w:rPr>
      </w:pPr>
    </w:p>
    <w:p w14:paraId="413CDE20">
      <w:pPr>
        <w:pStyle w:val="3"/>
        <w:rPr>
          <w:rFonts w:hint="eastAsia"/>
        </w:rPr>
      </w:pPr>
    </w:p>
    <w:p w14:paraId="754ED2E1">
      <w:pPr>
        <w:pStyle w:val="3"/>
        <w:rPr>
          <w:rFonts w:hint="eastAsia"/>
        </w:rPr>
      </w:pPr>
    </w:p>
    <w:p w14:paraId="01770A37">
      <w:pPr>
        <w:pStyle w:val="3"/>
        <w:rPr>
          <w:rFonts w:hint="eastAsia"/>
        </w:rPr>
      </w:pPr>
    </w:p>
    <w:p w14:paraId="75697627">
      <w:pPr>
        <w:pStyle w:val="3"/>
        <w:rPr>
          <w:rFonts w:hint="eastAsia"/>
        </w:rPr>
      </w:pPr>
    </w:p>
    <w:p w14:paraId="287905EA">
      <w:pPr>
        <w:pStyle w:val="4"/>
        <w:bidi w:val="0"/>
        <w:jc w:val="center"/>
        <w:rPr>
          <w:rFonts w:hint="eastAsia" w:ascii="方正小标宋简体" w:hAnsi="方正小标宋简体" w:eastAsia="方正小标宋简体" w:cs="方正小标宋简体"/>
          <w:b w:val="0"/>
          <w:bCs w:val="0"/>
        </w:rPr>
      </w:pPr>
      <w:bookmarkStart w:id="54" w:name="_Toc18778"/>
      <w:r>
        <w:rPr>
          <w:rFonts w:hint="eastAsia" w:ascii="方正小标宋简体" w:hAnsi="方正小标宋简体" w:eastAsia="方正小标宋简体" w:cs="方正小标宋简体"/>
          <w:b w:val="0"/>
          <w:bCs w:val="0"/>
        </w:rPr>
        <w:t>第</w:t>
      </w:r>
      <w:r>
        <w:rPr>
          <w:rFonts w:hint="eastAsia" w:ascii="方正小标宋简体" w:hAnsi="方正小标宋简体" w:eastAsia="方正小标宋简体" w:cs="方正小标宋简体"/>
          <w:b w:val="0"/>
          <w:bCs w:val="0"/>
          <w:lang w:eastAsia="zh-CN"/>
        </w:rPr>
        <w:t>三</w:t>
      </w:r>
      <w:r>
        <w:rPr>
          <w:rFonts w:hint="eastAsia" w:ascii="方正小标宋简体" w:hAnsi="方正小标宋简体" w:eastAsia="方正小标宋简体" w:cs="方正小标宋简体"/>
          <w:b w:val="0"/>
          <w:bCs w:val="0"/>
        </w:rPr>
        <w:t>部分</w:t>
      </w:r>
      <w:r>
        <w:rPr>
          <w:rFonts w:hint="eastAsia" w:ascii="方正小标宋简体" w:hAnsi="方正小标宋简体" w:eastAsia="方正小标宋简体" w:cs="方正小标宋简体"/>
          <w:b w:val="0"/>
          <w:bCs w:val="0"/>
          <w:lang w:val="en-US" w:eastAsia="zh-CN"/>
        </w:rPr>
        <w:t xml:space="preserve">  </w:t>
      </w:r>
      <w:r>
        <w:rPr>
          <w:rFonts w:hint="eastAsia" w:ascii="方正小标宋简体" w:hAnsi="方正小标宋简体" w:eastAsia="方正小标宋简体" w:cs="方正小标宋简体"/>
          <w:b w:val="0"/>
          <w:bCs w:val="0"/>
        </w:rPr>
        <w:t>名词解释</w:t>
      </w:r>
      <w:bookmarkEnd w:id="52"/>
      <w:bookmarkEnd w:id="53"/>
      <w:bookmarkEnd w:id="54"/>
    </w:p>
    <w:p w14:paraId="7B424B42">
      <w:pPr>
        <w:spacing w:line="600" w:lineRule="exact"/>
        <w:jc w:val="left"/>
        <w:rPr>
          <w:rFonts w:ascii="Times New Roman" w:hAnsi="Times New Roman"/>
          <w:b/>
          <w:color w:val="auto"/>
          <w:sz w:val="44"/>
          <w:szCs w:val="44"/>
          <w:highlight w:val="none"/>
        </w:rPr>
      </w:pPr>
    </w:p>
    <w:p w14:paraId="4814604C">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1.财政拨款收入：指单位从同级财政部门取得的财政预算资金。</w:t>
      </w:r>
    </w:p>
    <w:p w14:paraId="2FAB49B6">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2.事业收入：指事业单位开展专业业务活动及辅助活动取得的收入。</w:t>
      </w:r>
    </w:p>
    <w:p w14:paraId="6AF64314">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3.经营收入：指事业单位在专业业务活动及其辅助活动之外开展非独立核算经营活动取得的收入</w:t>
      </w:r>
    </w:p>
    <w:p w14:paraId="583EE72E">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4.其他收入：指单位取得的除上述收入以外的各项收入。</w:t>
      </w:r>
    </w:p>
    <w:p w14:paraId="6F3EAC1D">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41CD439A">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6.年初结转和结余：指以前年度尚未完成、结转到本年按有关规定继续使用的资金。 </w:t>
      </w:r>
    </w:p>
    <w:p w14:paraId="6F14D74F">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7.结余分配：指事业单位按照事业单位会计制度的规定从非财政补助结余中分配的事业基金和职工福利基金等。</w:t>
      </w:r>
    </w:p>
    <w:p w14:paraId="7D91B7A5">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8.年末结转和结余：指单位按有关规定结转到下年或以后年度继续使用的资金。</w:t>
      </w:r>
    </w:p>
    <w:p w14:paraId="2E9F9AF9">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14:textFill>
            <w14:solidFill>
              <w14:schemeClr w14:val="tx1"/>
            </w14:solidFill>
          </w14:textFill>
        </w:rPr>
        <w:t>.基本支出：指为保障机构正常运转、完成日常工作任务而发生的人员支出和公用支出。</w:t>
      </w:r>
    </w:p>
    <w:p w14:paraId="6915BCA1">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14:textFill>
            <w14:solidFill>
              <w14:schemeClr w14:val="tx1"/>
            </w14:solidFill>
          </w14:textFill>
        </w:rPr>
        <w:t xml:space="preserve">.项目支出：指在基本支出之外为完成特定行政任务和事业发展目标所发生的支出。 </w:t>
      </w:r>
    </w:p>
    <w:p w14:paraId="5AB3C42B">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14:textFill>
            <w14:solidFill>
              <w14:schemeClr w14:val="tx1"/>
            </w14:solidFill>
          </w14:textFill>
        </w:rPr>
        <w:t>.经营支出：指事业单位在专业业务活动及其辅助活动之外开展非独立核算经营活动发生的支出。</w:t>
      </w:r>
    </w:p>
    <w:p w14:paraId="46950C88">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12</w:t>
      </w:r>
      <w:r>
        <w:rPr>
          <w:rFonts w:hint="eastAsia" w:ascii="仿宋_GB2312" w:hAnsi="仿宋_GB2312" w:eastAsia="仿宋_GB2312" w:cs="仿宋_GB2312"/>
          <w:color w:val="000000" w:themeColor="text1"/>
          <w:sz w:val="32"/>
          <w:szCs w:val="32"/>
          <w14:textFill>
            <w14:solidFill>
              <w14:schemeClr w14:val="tx1"/>
            </w14:solidFill>
          </w14:textFill>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2DE6252">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13</w:t>
      </w:r>
      <w:r>
        <w:rPr>
          <w:rFonts w:hint="eastAsia" w:ascii="仿宋_GB2312" w:hAnsi="仿宋_GB2312" w:eastAsia="仿宋_GB2312" w:cs="仿宋_GB2312"/>
          <w:color w:val="000000" w:themeColor="text1"/>
          <w:sz w:val="32"/>
          <w:szCs w:val="32"/>
          <w14:textFill>
            <w14:solidFill>
              <w14:schemeClr w14:val="tx1"/>
            </w14:solidFill>
          </w14:textFill>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84D1406">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14</w:t>
      </w:r>
      <w:r>
        <w:rPr>
          <w:rFonts w:hint="eastAsia" w:ascii="仿宋_GB2312" w:hAnsi="仿宋_GB2312" w:eastAsia="仿宋_GB2312" w:cs="仿宋_GB2312"/>
          <w:color w:val="000000" w:themeColor="text1"/>
          <w:sz w:val="32"/>
          <w:szCs w:val="32"/>
          <w14:textFill>
            <w14:solidFill>
              <w14:schemeClr w14:val="tx1"/>
            </w14:solidFill>
          </w14:textFill>
        </w:rPr>
        <w:t>.一般公共服务（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类</w:t>
      </w:r>
      <w:r>
        <w:rPr>
          <w:rFonts w:hint="eastAsia" w:ascii="仿宋_GB2312" w:hAnsi="仿宋_GB2312" w:eastAsia="仿宋_GB2312" w:cs="仿宋_GB2312"/>
          <w:color w:val="000000" w:themeColor="text1"/>
          <w:sz w:val="32"/>
          <w:szCs w:val="32"/>
          <w14:textFill>
            <w14:solidFill>
              <w14:schemeClr w14:val="tx1"/>
            </w14:solidFill>
          </w14:textFill>
        </w:rPr>
        <w:t>）政府办公厅（室）及相关机构事务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支出</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款</w:t>
      </w:r>
      <w:r>
        <w:rPr>
          <w:rFonts w:hint="eastAsia" w:ascii="仿宋_GB2312" w:hAnsi="仿宋_GB2312" w:eastAsia="仿宋_GB2312" w:cs="仿宋_GB2312"/>
          <w:color w:val="000000" w:themeColor="text1"/>
          <w:sz w:val="32"/>
          <w:szCs w:val="32"/>
          <w14:textFill>
            <w14:solidFill>
              <w14:schemeClr w14:val="tx1"/>
            </w14:solidFill>
          </w14:textFill>
        </w:rPr>
        <w:t>）行政运行（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w:t>
      </w:r>
      <w:r>
        <w:rPr>
          <w:rFonts w:hint="eastAsia" w:ascii="仿宋_GB2312" w:hAnsi="仿宋_GB2312" w:eastAsia="仿宋_GB2312" w:cs="仿宋_GB2312"/>
          <w:color w:val="000000" w:themeColor="text1"/>
          <w:sz w:val="32"/>
          <w:szCs w:val="32"/>
          <w14:textFill>
            <w14:solidFill>
              <w14:schemeClr w14:val="tx1"/>
            </w14:solidFill>
          </w14:textFill>
        </w:rPr>
        <w:t>）：反映行政单位（包括实行公务员管理的事业单位）的基本支出。</w:t>
      </w:r>
    </w:p>
    <w:p w14:paraId="1BFB728B">
      <w:pPr>
        <w:spacing w:line="600" w:lineRule="exact"/>
        <w:ind w:firstLine="640"/>
        <w:rPr>
          <w:rStyle w:val="21"/>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pPr>
      <w:r>
        <w:rPr>
          <w:rStyle w:val="21"/>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15.</w:t>
      </w:r>
      <w:r>
        <w:rPr>
          <w:rStyle w:val="21"/>
          <w:rFonts w:hint="eastAsia" w:ascii="仿宋_GB2312" w:hAnsi="仿宋_GB2312" w:eastAsia="仿宋_GB2312" w:cs="仿宋_GB2312"/>
          <w:b w:val="0"/>
          <w:bCs w:val="0"/>
          <w:color w:val="000000" w:themeColor="text1"/>
          <w:sz w:val="32"/>
          <w:szCs w:val="32"/>
          <w14:textFill>
            <w14:solidFill>
              <w14:schemeClr w14:val="tx1"/>
            </w14:solidFill>
          </w14:textFill>
        </w:rPr>
        <w:t>一般公共服务支出（类）政府办公厅（室）及相关机构事务（款）其他政府办公厅（室）及相关机构事务（项）</w:t>
      </w:r>
      <w:r>
        <w:rPr>
          <w:rStyle w:val="21"/>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p>
    <w:p w14:paraId="2D746EF2">
      <w:pPr>
        <w:spacing w:line="600" w:lineRule="exac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反映行政单位（包括实行公务员管理的事业单位）未单独设置项级科目的其他项目支出。</w:t>
      </w:r>
    </w:p>
    <w:p w14:paraId="11F1B051">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.一般公共服务支出（类）市场监督管理事务（款）其他市场监督管理事务（项）：反映行政单位（包括实行公务员管理的事业单位）未单独设置项级科目的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专项</w:t>
      </w:r>
      <w:r>
        <w:rPr>
          <w:rFonts w:hint="eastAsia" w:ascii="仿宋_GB2312" w:hAnsi="仿宋_GB2312" w:eastAsia="仿宋_GB2312" w:cs="仿宋_GB2312"/>
          <w:color w:val="000000" w:themeColor="text1"/>
          <w:sz w:val="32"/>
          <w:szCs w:val="32"/>
          <w14:textFill>
            <w14:solidFill>
              <w14:schemeClr w14:val="tx1"/>
            </w14:solidFill>
          </w14:textFill>
        </w:rPr>
        <w:t>支出。</w:t>
      </w:r>
    </w:p>
    <w:p w14:paraId="1F3376E0">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14:textFill>
            <w14:solidFill>
              <w14:schemeClr w14:val="tx1"/>
            </w14:solidFill>
          </w14:textFill>
        </w:rPr>
        <w:t>.社会保障和就业支出（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类</w:t>
      </w:r>
      <w:r>
        <w:rPr>
          <w:rFonts w:hint="eastAsia" w:ascii="仿宋_GB2312" w:hAnsi="仿宋_GB2312" w:eastAsia="仿宋_GB2312" w:cs="仿宋_GB2312"/>
          <w:color w:val="000000" w:themeColor="text1"/>
          <w:sz w:val="32"/>
          <w:szCs w:val="32"/>
          <w14:textFill>
            <w14:solidFill>
              <w14:schemeClr w14:val="tx1"/>
            </w14:solidFill>
          </w14:textFill>
        </w:rPr>
        <w:t>）行政事业单位养老支出（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款</w:t>
      </w:r>
      <w:r>
        <w:rPr>
          <w:rFonts w:hint="eastAsia" w:ascii="仿宋_GB2312" w:hAnsi="仿宋_GB2312" w:eastAsia="仿宋_GB2312" w:cs="仿宋_GB2312"/>
          <w:color w:val="000000" w:themeColor="text1"/>
          <w:sz w:val="32"/>
          <w:szCs w:val="32"/>
          <w14:textFill>
            <w14:solidFill>
              <w14:schemeClr w14:val="tx1"/>
            </w14:solidFill>
          </w14:textFill>
        </w:rPr>
        <w:t>）机关事业单位基本养老保险缴费支出（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w:t>
      </w:r>
      <w:r>
        <w:rPr>
          <w:rFonts w:hint="eastAsia" w:ascii="仿宋_GB2312" w:hAnsi="仿宋_GB2312" w:eastAsia="仿宋_GB2312" w:cs="仿宋_GB2312"/>
          <w:color w:val="000000" w:themeColor="text1"/>
          <w:sz w:val="32"/>
          <w:szCs w:val="32"/>
          <w14:textFill>
            <w14:solidFill>
              <w14:schemeClr w14:val="tx1"/>
            </w14:solidFill>
          </w14:textFill>
        </w:rPr>
        <w:t>）：反映机关事业单位实施养老保险制度由单位缴纳的基本养老保险费支出。</w:t>
      </w:r>
    </w:p>
    <w:p w14:paraId="1A8DFC6D">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14:textFill>
            <w14:solidFill>
              <w14:schemeClr w14:val="tx1"/>
            </w14:solidFill>
          </w14:textFill>
        </w:rPr>
        <w:t>.社会保障和就业支出（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类</w:t>
      </w:r>
      <w:r>
        <w:rPr>
          <w:rFonts w:hint="eastAsia" w:ascii="仿宋_GB2312" w:hAnsi="仿宋_GB2312" w:eastAsia="仿宋_GB2312" w:cs="仿宋_GB2312"/>
          <w:color w:val="000000" w:themeColor="text1"/>
          <w:sz w:val="32"/>
          <w:szCs w:val="32"/>
          <w14:textFill>
            <w14:solidFill>
              <w14:schemeClr w14:val="tx1"/>
            </w14:solidFill>
          </w14:textFill>
        </w:rPr>
        <w:t>）行政事业单位养老支出（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款</w:t>
      </w:r>
      <w:r>
        <w:rPr>
          <w:rFonts w:hint="eastAsia" w:ascii="仿宋_GB2312" w:hAnsi="仿宋_GB2312" w:eastAsia="仿宋_GB2312" w:cs="仿宋_GB2312"/>
          <w:color w:val="000000" w:themeColor="text1"/>
          <w:sz w:val="32"/>
          <w:szCs w:val="32"/>
          <w14:textFill>
            <w14:solidFill>
              <w14:schemeClr w14:val="tx1"/>
            </w14:solidFill>
          </w14:textFill>
        </w:rPr>
        <w:t>）机关事业单位职业年金缴费支出（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w:t>
      </w:r>
      <w:r>
        <w:rPr>
          <w:rFonts w:hint="eastAsia" w:ascii="仿宋_GB2312" w:hAnsi="仿宋_GB2312" w:eastAsia="仿宋_GB2312" w:cs="仿宋_GB2312"/>
          <w:color w:val="000000" w:themeColor="text1"/>
          <w:sz w:val="32"/>
          <w:szCs w:val="32"/>
          <w14:textFill>
            <w14:solidFill>
              <w14:schemeClr w14:val="tx1"/>
            </w14:solidFill>
          </w14:textFill>
        </w:rPr>
        <w:t>）：反映机关事业单位实施养老保险制度由单位实际缴纳的职业年金支出。</w:t>
      </w:r>
    </w:p>
    <w:p w14:paraId="6FF22642">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14:textFill>
            <w14:solidFill>
              <w14:schemeClr w14:val="tx1"/>
            </w14:solidFill>
          </w14:textFill>
        </w:rPr>
        <w:t>.卫生健康支出（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类</w:t>
      </w:r>
      <w:r>
        <w:rPr>
          <w:rFonts w:hint="eastAsia" w:ascii="仿宋_GB2312" w:hAnsi="仿宋_GB2312" w:eastAsia="仿宋_GB2312" w:cs="仿宋_GB2312"/>
          <w:color w:val="000000" w:themeColor="text1"/>
          <w:sz w:val="32"/>
          <w:szCs w:val="32"/>
          <w14:textFill>
            <w14:solidFill>
              <w14:schemeClr w14:val="tx1"/>
            </w14:solidFill>
          </w14:textFill>
        </w:rPr>
        <w:t>）行政事业单位医疗（</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款</w:t>
      </w:r>
      <w:r>
        <w:rPr>
          <w:rFonts w:hint="eastAsia" w:ascii="仿宋_GB2312" w:hAnsi="仿宋_GB2312" w:eastAsia="仿宋_GB2312" w:cs="仿宋_GB2312"/>
          <w:color w:val="000000" w:themeColor="text1"/>
          <w:sz w:val="32"/>
          <w:szCs w:val="32"/>
          <w14:textFill>
            <w14:solidFill>
              <w14:schemeClr w14:val="tx1"/>
            </w14:solidFill>
          </w14:textFill>
        </w:rPr>
        <w:t>）行政单位医疗（</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w:t>
      </w:r>
      <w:r>
        <w:rPr>
          <w:rFonts w:hint="eastAsia" w:ascii="仿宋_GB2312" w:hAnsi="仿宋_GB2312" w:eastAsia="仿宋_GB2312" w:cs="仿宋_GB2312"/>
          <w:color w:val="000000" w:themeColor="text1"/>
          <w:sz w:val="32"/>
          <w:szCs w:val="32"/>
          <w14:textFill>
            <w14:solidFill>
              <w14:schemeClr w14:val="tx1"/>
            </w14:solidFill>
          </w14:textFill>
        </w:rPr>
        <w:t>）：反映财政部门安排的行政单位（包括实行公务员管理的事业单位）基本医疗保险缴费经费。</w:t>
      </w:r>
    </w:p>
    <w:p w14:paraId="23513F2E">
      <w:pPr>
        <w:spacing w:line="600" w:lineRule="exact"/>
        <w:ind w:firstLine="640" w:firstLineChars="200"/>
        <w:rPr>
          <w:rFonts w:asci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w:t>
      </w:r>
      <w:r>
        <w:rPr>
          <w:rFonts w:hint="eastAsia" w:ascii="仿宋_GB2312" w:eastAsia="仿宋_GB2312" w:cs="仿宋_GB2312"/>
          <w:color w:val="000000" w:themeColor="text1"/>
          <w:sz w:val="32"/>
          <w:szCs w:val="32"/>
          <w14:textFill>
            <w14:solidFill>
              <w14:schemeClr w14:val="tx1"/>
            </w14:solidFill>
          </w14:textFill>
        </w:rPr>
        <w:t>卫生健康支出（</w:t>
      </w:r>
      <w:r>
        <w:rPr>
          <w:rFonts w:hint="eastAsia" w:ascii="仿宋_GB2312" w:eastAsia="仿宋_GB2312" w:cs="仿宋_GB2312"/>
          <w:color w:val="000000" w:themeColor="text1"/>
          <w:sz w:val="32"/>
          <w:szCs w:val="32"/>
          <w:lang w:val="en-US" w:eastAsia="zh-CN"/>
          <w14:textFill>
            <w14:solidFill>
              <w14:schemeClr w14:val="tx1"/>
            </w14:solidFill>
          </w14:textFill>
        </w:rPr>
        <w:t>类</w:t>
      </w:r>
      <w:r>
        <w:rPr>
          <w:rFonts w:hint="eastAsia" w:ascii="仿宋_GB2312" w:eastAsia="仿宋_GB2312" w:cs="仿宋_GB2312"/>
          <w:color w:val="000000" w:themeColor="text1"/>
          <w:sz w:val="32"/>
          <w:szCs w:val="32"/>
          <w14:textFill>
            <w14:solidFill>
              <w14:schemeClr w14:val="tx1"/>
            </w14:solidFill>
          </w14:textFill>
        </w:rPr>
        <w:t>）行政事业单位医疗（</w:t>
      </w:r>
      <w:r>
        <w:rPr>
          <w:rFonts w:hint="eastAsia" w:ascii="仿宋_GB2312" w:eastAsia="仿宋_GB2312" w:cs="仿宋_GB2312"/>
          <w:color w:val="000000" w:themeColor="text1"/>
          <w:sz w:val="32"/>
          <w:szCs w:val="32"/>
          <w:lang w:val="en-US" w:eastAsia="zh-CN"/>
          <w14:textFill>
            <w14:solidFill>
              <w14:schemeClr w14:val="tx1"/>
            </w14:solidFill>
          </w14:textFill>
        </w:rPr>
        <w:t>款</w:t>
      </w:r>
      <w:r>
        <w:rPr>
          <w:rFonts w:hint="eastAsia" w:ascii="仿宋_GB2312" w:eastAsia="仿宋_GB2312" w:cs="仿宋_GB2312"/>
          <w:color w:val="000000" w:themeColor="text1"/>
          <w:sz w:val="32"/>
          <w:szCs w:val="32"/>
          <w14:textFill>
            <w14:solidFill>
              <w14:schemeClr w14:val="tx1"/>
            </w14:solidFill>
          </w14:textFill>
        </w:rPr>
        <w:t>）事业单位医疗（</w:t>
      </w:r>
      <w:r>
        <w:rPr>
          <w:rFonts w:hint="eastAsia" w:ascii="仿宋_GB2312" w:eastAsia="仿宋_GB2312" w:cs="仿宋_GB2312"/>
          <w:color w:val="000000" w:themeColor="text1"/>
          <w:sz w:val="32"/>
          <w:szCs w:val="32"/>
          <w:lang w:val="en-US" w:eastAsia="zh-CN"/>
          <w14:textFill>
            <w14:solidFill>
              <w14:schemeClr w14:val="tx1"/>
            </w14:solidFill>
          </w14:textFill>
        </w:rPr>
        <w:t>项</w:t>
      </w:r>
      <w:r>
        <w:rPr>
          <w:rFonts w:hint="eastAsia" w:ascii="仿宋_GB2312" w:eastAsia="仿宋_GB2312" w:cs="仿宋_GB2312"/>
          <w:color w:val="000000" w:themeColor="text1"/>
          <w:sz w:val="32"/>
          <w:szCs w:val="32"/>
          <w14:textFill>
            <w14:solidFill>
              <w14:schemeClr w14:val="tx1"/>
            </w14:solidFill>
          </w14:textFill>
        </w:rPr>
        <w:t>）：反映财政部门安排的事业单位基本医疗保险缴费经费，未参加医疗保险的事业单位的公费医疗经费，按国家规定享受离休人员待遇的医疗经费。</w:t>
      </w:r>
    </w:p>
    <w:p w14:paraId="5F82CA8A">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21</w:t>
      </w:r>
      <w:r>
        <w:rPr>
          <w:rFonts w:hint="eastAsia" w:ascii="仿宋_GB2312" w:hAnsi="仿宋_GB2312" w:eastAsia="仿宋_GB2312" w:cs="仿宋_GB2312"/>
          <w:color w:val="000000" w:themeColor="text1"/>
          <w:sz w:val="32"/>
          <w:szCs w:val="32"/>
          <w14:textFill>
            <w14:solidFill>
              <w14:schemeClr w14:val="tx1"/>
            </w14:solidFill>
          </w14:textFill>
        </w:rPr>
        <w:t>.住房保障支出（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类</w:t>
      </w:r>
      <w:r>
        <w:rPr>
          <w:rFonts w:hint="eastAsia" w:ascii="仿宋_GB2312" w:hAnsi="仿宋_GB2312" w:eastAsia="仿宋_GB2312" w:cs="仿宋_GB2312"/>
          <w:color w:val="000000" w:themeColor="text1"/>
          <w:sz w:val="32"/>
          <w:szCs w:val="32"/>
          <w14:textFill>
            <w14:solidFill>
              <w14:schemeClr w14:val="tx1"/>
            </w14:solidFill>
          </w14:textFill>
        </w:rPr>
        <w:t>）住房改革支出（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款</w:t>
      </w:r>
      <w:r>
        <w:rPr>
          <w:rFonts w:hint="eastAsia" w:ascii="仿宋_GB2312" w:hAnsi="仿宋_GB2312" w:eastAsia="仿宋_GB2312" w:cs="仿宋_GB2312"/>
          <w:color w:val="000000" w:themeColor="text1"/>
          <w:sz w:val="32"/>
          <w:szCs w:val="32"/>
          <w14:textFill>
            <w14:solidFill>
              <w14:schemeClr w14:val="tx1"/>
            </w14:solidFill>
          </w14:textFill>
        </w:rPr>
        <w:t>）住房公积金（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w:t>
      </w:r>
      <w:r>
        <w:rPr>
          <w:rFonts w:hint="eastAsia" w:ascii="仿宋_GB2312" w:hAnsi="仿宋_GB2312" w:eastAsia="仿宋_GB2312" w:cs="仿宋_GB2312"/>
          <w:color w:val="000000" w:themeColor="text1"/>
          <w:sz w:val="32"/>
          <w:szCs w:val="32"/>
          <w14:textFill>
            <w14:solidFill>
              <w14:schemeClr w14:val="tx1"/>
            </w14:solidFill>
          </w14:textFill>
        </w:rPr>
        <w:t>）：反映行政事业单位按人力资源和社会保障部、财政部规定的基本工资和津贴补贴以及规定比例为职工缴纳的住房公积金。</w:t>
      </w:r>
    </w:p>
    <w:p w14:paraId="7BE88D7D">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22</w:t>
      </w:r>
      <w:r>
        <w:rPr>
          <w:rFonts w:hint="eastAsia" w:ascii="仿宋_GB2312" w:hAnsi="仿宋_GB2312" w:eastAsia="仿宋_GB2312" w:cs="仿宋_GB2312"/>
          <w:color w:val="000000" w:themeColor="text1"/>
          <w:sz w:val="32"/>
          <w:szCs w:val="32"/>
          <w14:textFill>
            <w14:solidFill>
              <w14:schemeClr w14:val="tx1"/>
            </w14:solidFill>
          </w14:textFill>
        </w:rPr>
        <w:t>.住房保障支出（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类</w:t>
      </w:r>
      <w:r>
        <w:rPr>
          <w:rFonts w:hint="eastAsia" w:ascii="仿宋_GB2312" w:hAnsi="仿宋_GB2312" w:eastAsia="仿宋_GB2312" w:cs="仿宋_GB2312"/>
          <w:color w:val="000000" w:themeColor="text1"/>
          <w:sz w:val="32"/>
          <w:szCs w:val="32"/>
          <w14:textFill>
            <w14:solidFill>
              <w14:schemeClr w14:val="tx1"/>
            </w14:solidFill>
          </w14:textFill>
        </w:rPr>
        <w:t>）住房改革支出（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款</w:t>
      </w:r>
      <w:r>
        <w:rPr>
          <w:rFonts w:hint="eastAsia" w:ascii="仿宋_GB2312" w:hAnsi="仿宋_GB2312" w:eastAsia="仿宋_GB2312" w:cs="仿宋_GB2312"/>
          <w:color w:val="000000" w:themeColor="text1"/>
          <w:sz w:val="32"/>
          <w:szCs w:val="32"/>
          <w14:textFill>
            <w14:solidFill>
              <w14:schemeClr w14:val="tx1"/>
            </w14:solidFill>
          </w14:textFill>
        </w:rPr>
        <w:t>）购房补贴（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w:t>
      </w:r>
      <w:r>
        <w:rPr>
          <w:rFonts w:hint="eastAsia" w:ascii="仿宋_GB2312" w:hAnsi="仿宋_GB2312" w:eastAsia="仿宋_GB2312" w:cs="仿宋_GB2312"/>
          <w:color w:val="000000" w:themeColor="text1"/>
          <w:sz w:val="32"/>
          <w:szCs w:val="32"/>
          <w14:textFill>
            <w14:solidFill>
              <w14:schemeClr w14:val="tx1"/>
            </w14:solidFill>
          </w14:textFill>
        </w:rPr>
        <w:t>）：反映按房改政策规定，行政事业单位向符合条件职工（含离退休人员）、军队（含武警）向转役复员离退休人员发放的用于购买住房的补贴。</w:t>
      </w:r>
    </w:p>
    <w:p w14:paraId="0C6959A3">
      <w:pPr>
        <w:pStyle w:val="4"/>
        <w:bidi w:val="0"/>
        <w:jc w:val="center"/>
        <w:rPr>
          <w:rFonts w:hint="eastAsia" w:ascii="Times New Roman" w:hAnsi="Times New Roman" w:eastAsia="仿宋_GB2312" w:cs="仿宋_GB2312"/>
          <w:color w:val="auto"/>
          <w:kern w:val="2"/>
          <w:szCs w:val="32"/>
          <w:highlight w:val="none"/>
          <w:lang w:val="en-US" w:eastAsia="zh-CN" w:bidi="ar-SA"/>
        </w:rPr>
      </w:pPr>
      <w:bookmarkStart w:id="55" w:name="_Toc15377226"/>
      <w:r>
        <w:rPr>
          <w:rFonts w:hint="eastAsia" w:ascii="Times New Roman" w:hAnsi="Times New Roman" w:eastAsia="仿宋_GB2312" w:cs="仿宋_GB2312"/>
          <w:color w:val="auto"/>
          <w:kern w:val="2"/>
          <w:szCs w:val="32"/>
          <w:highlight w:val="none"/>
          <w:lang w:val="en-US" w:eastAsia="zh-CN" w:bidi="ar-SA"/>
        </w:rPr>
        <w:br w:type="page"/>
      </w:r>
      <w:bookmarkStart w:id="56" w:name="_Toc15396614"/>
    </w:p>
    <w:p w14:paraId="6D43191F">
      <w:pPr>
        <w:pStyle w:val="4"/>
        <w:tabs>
          <w:tab w:val="left" w:pos="579"/>
        </w:tabs>
        <w:bidi w:val="0"/>
        <w:jc w:val="left"/>
        <w:rPr>
          <w:rFonts w:hint="eastAsia" w:eastAsia="仿宋_GB2312" w:cs="仿宋_GB2312"/>
          <w:color w:val="auto"/>
          <w:kern w:val="2"/>
          <w:szCs w:val="32"/>
          <w:highlight w:val="none"/>
          <w:lang w:val="en-US" w:eastAsia="zh-CN" w:bidi="ar-SA"/>
        </w:rPr>
        <w:sectPr>
          <w:footerReference r:id="rId5" w:type="default"/>
          <w:pgSz w:w="11906" w:h="16838"/>
          <w:pgMar w:top="1440" w:right="1800" w:bottom="1440" w:left="1800" w:header="851" w:footer="992" w:gutter="0"/>
          <w:pgNumType w:fmt="decimal" w:start="1"/>
          <w:cols w:space="0" w:num="1"/>
          <w:rtlGutter w:val="0"/>
          <w:docGrid w:type="lines" w:linePitch="312" w:charSpace="0"/>
        </w:sectPr>
      </w:pPr>
    </w:p>
    <w:p w14:paraId="1F1AA5FF">
      <w:pPr>
        <w:rPr>
          <w:rFonts w:hint="eastAsia"/>
          <w:lang w:val="en-US" w:eastAsia="zh-CN"/>
        </w:rPr>
      </w:pPr>
    </w:p>
    <w:p w14:paraId="406BA214">
      <w:pPr>
        <w:pStyle w:val="4"/>
        <w:bidi w:val="0"/>
        <w:jc w:val="center"/>
        <w:rPr>
          <w:rFonts w:hint="eastAsia" w:ascii="方正小标宋简体" w:hAnsi="方正小标宋简体" w:eastAsia="方正小标宋简体" w:cs="方正小标宋简体"/>
          <w:b w:val="0"/>
          <w:bCs w:val="0"/>
          <w:lang w:eastAsia="zh-CN"/>
        </w:rPr>
      </w:pPr>
      <w:bookmarkStart w:id="57" w:name="_Toc20880"/>
      <w:r>
        <w:rPr>
          <w:rFonts w:hint="eastAsia" w:ascii="方正小标宋简体" w:hAnsi="方正小标宋简体" w:eastAsia="方正小标宋简体" w:cs="方正小标宋简体"/>
          <w:b w:val="0"/>
          <w:bCs w:val="0"/>
        </w:rPr>
        <w:t>第四部分</w:t>
      </w:r>
      <w:r>
        <w:rPr>
          <w:rFonts w:hint="eastAsia" w:ascii="方正小标宋简体" w:hAnsi="方正小标宋简体" w:eastAsia="方正小标宋简体" w:cs="方正小标宋简体"/>
          <w:b w:val="0"/>
          <w:bCs w:val="0"/>
          <w:lang w:val="en-US" w:eastAsia="zh-CN"/>
        </w:rPr>
        <w:t xml:space="preserve"> </w:t>
      </w:r>
      <w:r>
        <w:rPr>
          <w:rFonts w:hint="eastAsia" w:ascii="方正小标宋简体" w:hAnsi="方正小标宋简体" w:eastAsia="方正小标宋简体" w:cs="方正小标宋简体"/>
          <w:b w:val="0"/>
          <w:bCs w:val="0"/>
        </w:rPr>
        <w:t xml:space="preserve"> 附件</w:t>
      </w:r>
      <w:bookmarkEnd w:id="56"/>
      <w:bookmarkEnd w:id="57"/>
    </w:p>
    <w:p w14:paraId="0C150DC1">
      <w:pPr>
        <w:keepNext w:val="0"/>
        <w:keepLines w:val="0"/>
        <w:widowControl/>
        <w:suppressLineNumbers w:val="0"/>
        <w:jc w:val="center"/>
        <w:textAlignment w:val="center"/>
        <w:rPr>
          <w:rFonts w:hint="eastAsia"/>
          <w:lang w:val="en-US" w:eastAsia="zh-CN"/>
        </w:rPr>
        <w:sectPr>
          <w:type w:val="continuous"/>
          <w:pgSz w:w="11906" w:h="16838"/>
          <w:pgMar w:top="1440" w:right="1800" w:bottom="1440" w:left="1800" w:header="851" w:footer="992" w:gutter="0"/>
          <w:pgNumType w:fmt="decimal"/>
          <w:cols w:space="0" w:num="1"/>
          <w:rtlGutter w:val="0"/>
          <w:docGrid w:type="lines" w:linePitch="312" w:charSpace="0"/>
        </w:sectPr>
      </w:pPr>
    </w:p>
    <w:p w14:paraId="2C202D8A">
      <w:pPr>
        <w:pStyle w:val="24"/>
        <w:rPr>
          <w:rFonts w:hint="eastAsia"/>
          <w:lang w:val="en-US" w:eastAsia="zh-CN"/>
        </w:rPr>
      </w:pPr>
    </w:p>
    <w:tbl>
      <w:tblPr>
        <w:tblStyle w:val="19"/>
        <w:tblW w:w="488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936"/>
        <w:gridCol w:w="1296"/>
        <w:gridCol w:w="666"/>
        <w:gridCol w:w="666"/>
        <w:gridCol w:w="130"/>
        <w:gridCol w:w="999"/>
        <w:gridCol w:w="396"/>
        <w:gridCol w:w="338"/>
        <w:gridCol w:w="486"/>
        <w:gridCol w:w="384"/>
        <w:gridCol w:w="102"/>
        <w:gridCol w:w="298"/>
        <w:gridCol w:w="396"/>
        <w:gridCol w:w="659"/>
      </w:tblGrid>
      <w:tr w14:paraId="68DE1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2C420BC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9140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3A48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92"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5698D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51322325T000012221757-关于解决购买服务人员工资（含保险）</w:t>
            </w:r>
          </w:p>
        </w:tc>
      </w:tr>
      <w:tr w14:paraId="527EF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DA99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577" w:type="pct"/>
            <w:gridSpan w:val="3"/>
            <w:tcBorders>
              <w:top w:val="single" w:color="000000" w:sz="4" w:space="0"/>
              <w:left w:val="single" w:color="000000" w:sz="4" w:space="0"/>
              <w:bottom w:val="single" w:color="auto" w:sz="4" w:space="0"/>
              <w:right w:val="single" w:color="auto" w:sz="4" w:space="0"/>
            </w:tcBorders>
            <w:shd w:val="clear" w:color="auto" w:fill="auto"/>
            <w:vAlign w:val="center"/>
          </w:tcPr>
          <w:p w14:paraId="3FFE2B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茂县综合行政执法局</w:t>
            </w:r>
          </w:p>
        </w:tc>
        <w:tc>
          <w:tcPr>
            <w:tcW w:w="1120" w:type="pct"/>
            <w:gridSpan w:val="4"/>
            <w:tcBorders>
              <w:top w:val="nil"/>
              <w:left w:val="single" w:color="auto" w:sz="4" w:space="0"/>
              <w:bottom w:val="single" w:color="auto" w:sz="4" w:space="0"/>
              <w:right w:val="nil"/>
            </w:tcBorders>
            <w:shd w:val="clear" w:color="auto" w:fill="auto"/>
            <w:vAlign w:val="center"/>
          </w:tcPr>
          <w:p w14:paraId="3B03C4B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9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C08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茂县综合行政执法局（行政）</w:t>
            </w:r>
          </w:p>
        </w:tc>
      </w:tr>
      <w:tr w14:paraId="78012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F316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7679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157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0F3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1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1C7D8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B688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04FD0">
            <w:pP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F2F6F">
            <w:pPr>
              <w:rPr>
                <w:rFonts w:hint="eastAsia" w:ascii="宋体" w:hAnsi="宋体" w:eastAsia="宋体" w:cs="宋体"/>
                <w:i w:val="0"/>
                <w:iCs w:val="0"/>
                <w:color w:val="000000"/>
                <w:sz w:val="18"/>
                <w:szCs w:val="18"/>
                <w:u w:val="none"/>
              </w:rPr>
            </w:pPr>
          </w:p>
        </w:tc>
        <w:tc>
          <w:tcPr>
            <w:tcW w:w="157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0000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2024年保安10-12月服务费：1人，12000元。2024年辅助执法人员11-12月7人48434.4元。共计60434.4元。</w:t>
            </w:r>
          </w:p>
        </w:tc>
        <w:tc>
          <w:tcPr>
            <w:tcW w:w="251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5A281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w:t>
            </w:r>
          </w:p>
        </w:tc>
      </w:tr>
      <w:tr w14:paraId="16DBD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8384D">
            <w:pP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874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92"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2B87E1C">
            <w:pPr>
              <w:rPr>
                <w:rFonts w:hint="eastAsia" w:ascii="宋体" w:hAnsi="宋体" w:eastAsia="宋体" w:cs="宋体"/>
                <w:i w:val="0"/>
                <w:iCs w:val="0"/>
                <w:color w:val="000000"/>
                <w:sz w:val="18"/>
                <w:szCs w:val="18"/>
                <w:u w:val="none"/>
              </w:rPr>
            </w:pPr>
          </w:p>
        </w:tc>
      </w:tr>
      <w:tr w14:paraId="4A56B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EE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54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84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C8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62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367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99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0CE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BD3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0A56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0FD4A">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346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66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33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34.56</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1A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34.56</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B084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85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A4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8F421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565F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66E28">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C62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53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D5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34.56</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9D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34.56</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020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F1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995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A9BCB">
            <w:pPr>
              <w:rPr>
                <w:rFonts w:hint="eastAsia" w:ascii="黑体" w:hAnsi="黑体" w:eastAsia="黑体" w:cs="黑体"/>
                <w:i/>
                <w:iCs/>
                <w:color w:val="000000"/>
                <w:sz w:val="18"/>
                <w:szCs w:val="18"/>
                <w:u w:val="none"/>
              </w:rPr>
            </w:pPr>
          </w:p>
        </w:tc>
      </w:tr>
      <w:tr w14:paraId="28576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5759E">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4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3E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B4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E6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090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268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8E6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FAEEF">
            <w:pPr>
              <w:rPr>
                <w:rFonts w:hint="eastAsia" w:ascii="黑体" w:hAnsi="黑体" w:eastAsia="黑体" w:cs="黑体"/>
                <w:i/>
                <w:iCs/>
                <w:color w:val="000000"/>
                <w:sz w:val="18"/>
                <w:szCs w:val="18"/>
                <w:u w:val="none"/>
              </w:rPr>
            </w:pPr>
          </w:p>
        </w:tc>
      </w:tr>
      <w:tr w14:paraId="5B0C3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B07C0">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BC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A4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5C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08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2D0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AA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58B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1C357">
            <w:pPr>
              <w:rPr>
                <w:rFonts w:hint="eastAsia" w:ascii="黑体" w:hAnsi="黑体" w:eastAsia="黑体" w:cs="黑体"/>
                <w:i/>
                <w:iCs/>
                <w:color w:val="000000"/>
                <w:sz w:val="18"/>
                <w:szCs w:val="18"/>
                <w:u w:val="none"/>
              </w:rPr>
            </w:pPr>
          </w:p>
        </w:tc>
      </w:tr>
      <w:tr w14:paraId="32D33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3EAD0">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84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2EBAF">
            <w:pPr>
              <w:jc w:val="center"/>
              <w:rPr>
                <w:rFonts w:hint="eastAsia" w:ascii="微软雅黑" w:hAnsi="微软雅黑" w:eastAsia="微软雅黑" w:cs="微软雅黑"/>
                <w:i/>
                <w:iCs/>
                <w:color w:val="000000"/>
                <w:sz w:val="16"/>
                <w:szCs w:val="16"/>
                <w:u w:val="none"/>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ADF71">
            <w:pPr>
              <w:jc w:val="center"/>
              <w:rPr>
                <w:rFonts w:hint="eastAsia" w:ascii="微软雅黑" w:hAnsi="微软雅黑" w:eastAsia="微软雅黑" w:cs="微软雅黑"/>
                <w:i/>
                <w:iCs/>
                <w:color w:val="000000"/>
                <w:sz w:val="16"/>
                <w:szCs w:val="16"/>
                <w:u w:val="none"/>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50040">
            <w:pPr>
              <w:jc w:val="center"/>
              <w:rPr>
                <w:rFonts w:hint="eastAsia" w:ascii="微软雅黑" w:hAnsi="微软雅黑" w:eastAsia="微软雅黑" w:cs="微软雅黑"/>
                <w:i/>
                <w:iCs/>
                <w:color w:val="000000"/>
                <w:sz w:val="16"/>
                <w:szCs w:val="16"/>
                <w:u w:val="none"/>
              </w:rPr>
            </w:pP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843D8B">
            <w:pPr>
              <w:jc w:val="center"/>
              <w:rPr>
                <w:rFonts w:hint="eastAsia" w:ascii="微软雅黑" w:hAns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C8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DC7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AA153">
            <w:pPr>
              <w:rPr>
                <w:rFonts w:hint="eastAsia" w:ascii="黑体" w:hAnsi="黑体" w:eastAsia="黑体" w:cs="黑体"/>
                <w:i/>
                <w:iCs/>
                <w:color w:val="000000"/>
                <w:sz w:val="18"/>
                <w:szCs w:val="18"/>
                <w:u w:val="none"/>
              </w:rPr>
            </w:pPr>
          </w:p>
        </w:tc>
      </w:tr>
      <w:tr w14:paraId="5D880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701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AE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72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DC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A37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A7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FF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1D4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FD7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DB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CA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12A2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E9512">
            <w:pPr>
              <w:jc w:val="center"/>
              <w:rPr>
                <w:rFonts w:hint="eastAsia" w:ascii="宋体" w:hAnsi="宋体" w:eastAsia="宋体" w:cs="宋体"/>
                <w:i w:val="0"/>
                <w:iCs w:val="0"/>
                <w:color w:val="000000"/>
                <w:sz w:val="18"/>
                <w:szCs w:val="18"/>
                <w:u w:val="none"/>
              </w:rPr>
            </w:pPr>
          </w:p>
        </w:tc>
        <w:tc>
          <w:tcPr>
            <w:tcW w:w="5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D45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9E8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18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项目涉及保安人员数</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A6D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66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08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A1E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425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F1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037CA">
            <w:pPr>
              <w:jc w:val="center"/>
              <w:rPr>
                <w:rFonts w:hint="eastAsia" w:ascii="微软雅黑" w:hAnsi="微软雅黑" w:eastAsia="微软雅黑" w:cs="微软雅黑"/>
                <w:i/>
                <w:iCs/>
                <w:color w:val="000000"/>
                <w:sz w:val="16"/>
                <w:szCs w:val="16"/>
                <w:u w:val="none"/>
              </w:rPr>
            </w:pPr>
          </w:p>
        </w:tc>
      </w:tr>
      <w:tr w14:paraId="4C098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3AEA3">
            <w:pPr>
              <w:jc w:val="cente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E4873">
            <w:pPr>
              <w:jc w:val="center"/>
              <w:rPr>
                <w:rFonts w:hint="eastAsia" w:ascii="宋体" w:hAnsi="宋体" w:eastAsia="宋体" w:cs="宋体"/>
                <w:i w:val="0"/>
                <w:iCs w:val="0"/>
                <w:color w:val="000000"/>
                <w:sz w:val="18"/>
                <w:szCs w:val="18"/>
                <w:u w:val="none"/>
              </w:rPr>
            </w:pPr>
          </w:p>
        </w:tc>
        <w:tc>
          <w:tcPr>
            <w:tcW w:w="7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2F26A">
            <w:pPr>
              <w:jc w:val="center"/>
              <w:rPr>
                <w:rFonts w:hint="eastAsia" w:ascii="宋体" w:hAnsi="宋体" w:eastAsia="宋体" w:cs="宋体"/>
                <w:i w:val="0"/>
                <w:iCs w:val="0"/>
                <w:color w:val="000000"/>
                <w:sz w:val="18"/>
                <w:szCs w:val="18"/>
                <w:u w:val="none"/>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6A2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项目涉及辅助执法人员数</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872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64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EC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4AC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ABF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46C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E357C">
            <w:pPr>
              <w:jc w:val="center"/>
              <w:rPr>
                <w:rFonts w:hint="eastAsia" w:ascii="微软雅黑" w:hAnsi="微软雅黑" w:eastAsia="微软雅黑" w:cs="微软雅黑"/>
                <w:i/>
                <w:iCs/>
                <w:color w:val="000000"/>
                <w:sz w:val="16"/>
                <w:szCs w:val="16"/>
                <w:u w:val="none"/>
              </w:rPr>
            </w:pPr>
          </w:p>
        </w:tc>
      </w:tr>
      <w:tr w14:paraId="65345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1318D">
            <w:pPr>
              <w:jc w:val="cente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5AEC7">
            <w:pPr>
              <w:jc w:val="center"/>
              <w:rPr>
                <w:rFonts w:hint="eastAsia" w:ascii="宋体" w:hAnsi="宋体" w:eastAsia="宋体" w:cs="宋体"/>
                <w:i w:val="0"/>
                <w:iCs w:val="0"/>
                <w:color w:val="000000"/>
                <w:sz w:val="18"/>
                <w:szCs w:val="18"/>
                <w:u w:val="none"/>
              </w:rPr>
            </w:pP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6B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F8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项目完场质量</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E2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BA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D2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C608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ACD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DD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1DAAF">
            <w:pPr>
              <w:jc w:val="center"/>
              <w:rPr>
                <w:rFonts w:hint="eastAsia" w:ascii="微软雅黑" w:hAnsi="微软雅黑" w:eastAsia="微软雅黑" w:cs="微软雅黑"/>
                <w:i/>
                <w:iCs/>
                <w:color w:val="000000"/>
                <w:sz w:val="16"/>
                <w:szCs w:val="16"/>
                <w:u w:val="none"/>
              </w:rPr>
            </w:pPr>
          </w:p>
        </w:tc>
      </w:tr>
      <w:tr w14:paraId="4F993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88D49">
            <w:pPr>
              <w:jc w:val="cente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AC799">
            <w:pPr>
              <w:jc w:val="center"/>
              <w:rPr>
                <w:rFonts w:hint="eastAsia" w:ascii="宋体" w:hAnsi="宋体" w:eastAsia="宋体" w:cs="宋体"/>
                <w:i w:val="0"/>
                <w:iCs w:val="0"/>
                <w:color w:val="000000"/>
                <w:sz w:val="18"/>
                <w:szCs w:val="18"/>
                <w:u w:val="none"/>
              </w:rPr>
            </w:pP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543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F5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1AA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43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11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4A8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24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21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31DB7">
            <w:pPr>
              <w:jc w:val="center"/>
              <w:rPr>
                <w:rFonts w:hint="eastAsia" w:ascii="微软雅黑" w:hAnsi="微软雅黑" w:eastAsia="微软雅黑" w:cs="微软雅黑"/>
                <w:i/>
                <w:iCs/>
                <w:color w:val="000000"/>
                <w:sz w:val="16"/>
                <w:szCs w:val="16"/>
                <w:u w:val="none"/>
              </w:rPr>
            </w:pPr>
          </w:p>
        </w:tc>
      </w:tr>
      <w:tr w14:paraId="34D13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F712E">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78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39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FF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增加执法力量</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66F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6B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优良差</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1D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282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CA6A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44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49F63">
            <w:pPr>
              <w:jc w:val="center"/>
              <w:rPr>
                <w:rFonts w:hint="eastAsia" w:ascii="微软雅黑" w:hAnsi="微软雅黑" w:eastAsia="微软雅黑" w:cs="微软雅黑"/>
                <w:i/>
                <w:iCs/>
                <w:color w:val="000000"/>
                <w:sz w:val="16"/>
                <w:szCs w:val="16"/>
                <w:u w:val="none"/>
              </w:rPr>
            </w:pPr>
          </w:p>
        </w:tc>
      </w:tr>
      <w:tr w14:paraId="745E6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4328B">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3DF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DA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C5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购买人员是否满意</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5B3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3D4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68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0B2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420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88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761C0">
            <w:pPr>
              <w:jc w:val="center"/>
              <w:rPr>
                <w:rFonts w:hint="eastAsia" w:ascii="微软雅黑" w:hAnsi="微软雅黑" w:eastAsia="微软雅黑" w:cs="微软雅黑"/>
                <w:i/>
                <w:iCs/>
                <w:color w:val="000000"/>
                <w:sz w:val="16"/>
                <w:szCs w:val="16"/>
                <w:u w:val="none"/>
              </w:rPr>
            </w:pPr>
          </w:p>
        </w:tc>
      </w:tr>
      <w:tr w14:paraId="4B8AF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5EDF5">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65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1A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82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预算投入金额</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320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8A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60434.4</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44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536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255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D3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D785B">
            <w:pPr>
              <w:jc w:val="center"/>
              <w:rPr>
                <w:rFonts w:hint="eastAsia" w:ascii="微软雅黑" w:hAnsi="微软雅黑" w:eastAsia="微软雅黑" w:cs="微软雅黑"/>
                <w:i/>
                <w:iCs/>
                <w:color w:val="000000"/>
                <w:sz w:val="16"/>
                <w:szCs w:val="16"/>
                <w:u w:val="none"/>
              </w:rPr>
            </w:pPr>
          </w:p>
        </w:tc>
      </w:tr>
      <w:tr w14:paraId="24C6B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60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D802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EA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D42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F84E2E">
            <w:pPr>
              <w:rPr>
                <w:rFonts w:hint="eastAsia" w:ascii="宋体" w:hAnsi="宋体" w:eastAsia="宋体" w:cs="宋体"/>
                <w:i w:val="0"/>
                <w:iCs w:val="0"/>
                <w:color w:val="000000"/>
                <w:sz w:val="18"/>
                <w:szCs w:val="18"/>
                <w:u w:val="none"/>
              </w:rPr>
            </w:pPr>
          </w:p>
        </w:tc>
      </w:tr>
      <w:tr w14:paraId="4CF92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9"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64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5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54A4C0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项目自评得分100分，项目预算执行率100%。</w:t>
            </w:r>
          </w:p>
        </w:tc>
      </w:tr>
      <w:tr w14:paraId="36537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9"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64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5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D5EA03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BA32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83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5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886914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EA3E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45" w:type="pct"/>
            <w:tcBorders>
              <w:top w:val="nil"/>
              <w:left w:val="nil"/>
              <w:bottom w:val="nil"/>
              <w:right w:val="nil"/>
            </w:tcBorders>
            <w:shd w:val="clear" w:color="auto" w:fill="auto"/>
            <w:vAlign w:val="center"/>
          </w:tcPr>
          <w:p w14:paraId="6485B610">
            <w:pPr>
              <w:rPr>
                <w:rFonts w:hint="eastAsia" w:ascii="宋体" w:hAnsi="宋体" w:eastAsia="宋体" w:cs="宋体"/>
                <w:i w:val="0"/>
                <w:iCs w:val="0"/>
                <w:color w:val="000000"/>
                <w:sz w:val="18"/>
                <w:szCs w:val="18"/>
                <w:u w:val="none"/>
              </w:rPr>
            </w:pPr>
          </w:p>
        </w:tc>
        <w:tc>
          <w:tcPr>
            <w:tcW w:w="561" w:type="pct"/>
            <w:tcBorders>
              <w:top w:val="nil"/>
              <w:left w:val="nil"/>
              <w:bottom w:val="nil"/>
              <w:right w:val="nil"/>
            </w:tcBorders>
            <w:shd w:val="clear" w:color="auto" w:fill="auto"/>
            <w:vAlign w:val="center"/>
          </w:tcPr>
          <w:p w14:paraId="0C253182">
            <w:pPr>
              <w:rPr>
                <w:rFonts w:hint="eastAsia" w:ascii="宋体" w:hAnsi="宋体" w:eastAsia="宋体" w:cs="宋体"/>
                <w:i w:val="0"/>
                <w:iCs w:val="0"/>
                <w:color w:val="000000"/>
                <w:sz w:val="18"/>
                <w:szCs w:val="18"/>
                <w:u w:val="none"/>
              </w:rPr>
            </w:pPr>
          </w:p>
          <w:p w14:paraId="5821EED9">
            <w:pPr>
              <w:rPr>
                <w:rFonts w:hint="eastAsia" w:ascii="宋体" w:hAnsi="宋体" w:eastAsia="宋体" w:cs="宋体"/>
                <w:i w:val="0"/>
                <w:iCs w:val="0"/>
                <w:color w:val="000000"/>
                <w:sz w:val="18"/>
                <w:szCs w:val="18"/>
                <w:u w:val="none"/>
              </w:rPr>
            </w:pPr>
          </w:p>
          <w:p w14:paraId="545450CF">
            <w:pPr>
              <w:pStyle w:val="2"/>
              <w:rPr>
                <w:rFonts w:hint="eastAsia" w:ascii="宋体" w:hAnsi="宋体" w:eastAsia="宋体" w:cs="宋体"/>
                <w:i w:val="0"/>
                <w:iCs w:val="0"/>
                <w:color w:val="000000"/>
                <w:sz w:val="18"/>
                <w:szCs w:val="18"/>
                <w:u w:val="none"/>
              </w:rPr>
            </w:pPr>
          </w:p>
          <w:p w14:paraId="638126E8">
            <w:pPr>
              <w:pStyle w:val="3"/>
              <w:rPr>
                <w:rFonts w:hint="eastAsia"/>
              </w:rPr>
            </w:pPr>
          </w:p>
        </w:tc>
        <w:tc>
          <w:tcPr>
            <w:tcW w:w="778" w:type="pct"/>
            <w:tcBorders>
              <w:top w:val="nil"/>
              <w:left w:val="nil"/>
              <w:bottom w:val="nil"/>
              <w:right w:val="nil"/>
            </w:tcBorders>
            <w:shd w:val="clear" w:color="auto" w:fill="auto"/>
            <w:vAlign w:val="center"/>
          </w:tcPr>
          <w:p w14:paraId="667544A4">
            <w:pPr>
              <w:rPr>
                <w:rFonts w:hint="eastAsia" w:ascii="宋体" w:hAnsi="宋体" w:eastAsia="宋体" w:cs="宋体"/>
                <w:i w:val="0"/>
                <w:iCs w:val="0"/>
                <w:color w:val="000000"/>
                <w:sz w:val="18"/>
                <w:szCs w:val="18"/>
                <w:u w:val="none"/>
              </w:rPr>
            </w:pPr>
          </w:p>
        </w:tc>
        <w:tc>
          <w:tcPr>
            <w:tcW w:w="399" w:type="pct"/>
            <w:tcBorders>
              <w:top w:val="nil"/>
              <w:left w:val="nil"/>
              <w:bottom w:val="nil"/>
              <w:right w:val="nil"/>
            </w:tcBorders>
            <w:shd w:val="clear" w:color="auto" w:fill="auto"/>
            <w:vAlign w:val="center"/>
          </w:tcPr>
          <w:p w14:paraId="20C48F04">
            <w:pPr>
              <w:rPr>
                <w:rFonts w:hint="eastAsia" w:ascii="宋体" w:hAnsi="宋体" w:eastAsia="宋体" w:cs="宋体"/>
                <w:i w:val="0"/>
                <w:iCs w:val="0"/>
                <w:color w:val="000000"/>
                <w:sz w:val="18"/>
                <w:szCs w:val="18"/>
                <w:u w:val="none"/>
              </w:rPr>
            </w:pPr>
          </w:p>
        </w:tc>
        <w:tc>
          <w:tcPr>
            <w:tcW w:w="479" w:type="pct"/>
            <w:gridSpan w:val="2"/>
            <w:tcBorders>
              <w:top w:val="nil"/>
              <w:left w:val="nil"/>
              <w:bottom w:val="nil"/>
              <w:right w:val="nil"/>
            </w:tcBorders>
            <w:shd w:val="clear" w:color="auto" w:fill="auto"/>
            <w:vAlign w:val="center"/>
          </w:tcPr>
          <w:p w14:paraId="5B8F925E">
            <w:pPr>
              <w:rPr>
                <w:rFonts w:hint="eastAsia" w:ascii="宋体" w:hAnsi="宋体" w:eastAsia="宋体" w:cs="宋体"/>
                <w:i w:val="0"/>
                <w:iCs w:val="0"/>
                <w:color w:val="000000"/>
                <w:sz w:val="18"/>
                <w:szCs w:val="18"/>
                <w:u w:val="none"/>
              </w:rPr>
            </w:pPr>
          </w:p>
        </w:tc>
        <w:tc>
          <w:tcPr>
            <w:tcW w:w="601" w:type="pct"/>
            <w:tcBorders>
              <w:top w:val="nil"/>
              <w:left w:val="nil"/>
              <w:bottom w:val="nil"/>
              <w:right w:val="nil"/>
            </w:tcBorders>
            <w:shd w:val="clear" w:color="auto" w:fill="auto"/>
            <w:vAlign w:val="center"/>
          </w:tcPr>
          <w:p w14:paraId="62BD09B2">
            <w:pPr>
              <w:rPr>
                <w:rFonts w:hint="eastAsia" w:ascii="宋体" w:hAnsi="宋体" w:eastAsia="宋体" w:cs="宋体"/>
                <w:i w:val="0"/>
                <w:iCs w:val="0"/>
                <w:color w:val="000000"/>
                <w:sz w:val="18"/>
                <w:szCs w:val="18"/>
                <w:u w:val="none"/>
              </w:rPr>
            </w:pPr>
          </w:p>
        </w:tc>
        <w:tc>
          <w:tcPr>
            <w:tcW w:w="237" w:type="pct"/>
            <w:tcBorders>
              <w:top w:val="nil"/>
              <w:left w:val="nil"/>
              <w:bottom w:val="nil"/>
              <w:right w:val="nil"/>
            </w:tcBorders>
            <w:shd w:val="clear" w:color="auto" w:fill="auto"/>
            <w:vAlign w:val="center"/>
          </w:tcPr>
          <w:p w14:paraId="7EE30EA7">
            <w:pPr>
              <w:rPr>
                <w:rFonts w:hint="eastAsia" w:ascii="宋体" w:hAnsi="宋体" w:eastAsia="宋体" w:cs="宋体"/>
                <w:i w:val="0"/>
                <w:iCs w:val="0"/>
                <w:color w:val="000000"/>
                <w:sz w:val="18"/>
                <w:szCs w:val="18"/>
                <w:u w:val="none"/>
              </w:rPr>
            </w:pPr>
          </w:p>
        </w:tc>
        <w:tc>
          <w:tcPr>
            <w:tcW w:w="724" w:type="pct"/>
            <w:gridSpan w:val="3"/>
            <w:tcBorders>
              <w:top w:val="nil"/>
              <w:left w:val="nil"/>
              <w:bottom w:val="nil"/>
              <w:right w:val="nil"/>
            </w:tcBorders>
            <w:shd w:val="clear" w:color="auto" w:fill="auto"/>
            <w:vAlign w:val="center"/>
          </w:tcPr>
          <w:p w14:paraId="6B1C706D">
            <w:pPr>
              <w:rPr>
                <w:rFonts w:hint="eastAsia" w:ascii="宋体" w:hAnsi="宋体" w:eastAsia="宋体" w:cs="宋体"/>
                <w:i w:val="0"/>
                <w:iCs w:val="0"/>
                <w:color w:val="000000"/>
                <w:sz w:val="18"/>
                <w:szCs w:val="18"/>
                <w:u w:val="none"/>
              </w:rPr>
            </w:pPr>
          </w:p>
        </w:tc>
        <w:tc>
          <w:tcPr>
            <w:tcW w:w="241" w:type="pct"/>
            <w:gridSpan w:val="2"/>
            <w:tcBorders>
              <w:top w:val="nil"/>
              <w:left w:val="nil"/>
              <w:bottom w:val="nil"/>
              <w:right w:val="nil"/>
            </w:tcBorders>
            <w:shd w:val="clear" w:color="auto" w:fill="auto"/>
            <w:vAlign w:val="center"/>
          </w:tcPr>
          <w:p w14:paraId="4B55BB6A">
            <w:pPr>
              <w:rPr>
                <w:rFonts w:hint="eastAsia" w:ascii="宋体" w:hAnsi="宋体" w:eastAsia="宋体" w:cs="宋体"/>
                <w:i w:val="0"/>
                <w:iCs w:val="0"/>
                <w:color w:val="000000"/>
                <w:sz w:val="18"/>
                <w:szCs w:val="18"/>
                <w:u w:val="none"/>
              </w:rPr>
            </w:pPr>
          </w:p>
        </w:tc>
        <w:tc>
          <w:tcPr>
            <w:tcW w:w="237" w:type="pct"/>
            <w:tcBorders>
              <w:top w:val="nil"/>
              <w:left w:val="nil"/>
              <w:bottom w:val="nil"/>
              <w:right w:val="nil"/>
            </w:tcBorders>
            <w:shd w:val="clear" w:color="auto" w:fill="auto"/>
            <w:vAlign w:val="center"/>
          </w:tcPr>
          <w:p w14:paraId="1B8FF74B">
            <w:pPr>
              <w:rPr>
                <w:rFonts w:hint="eastAsia" w:ascii="宋体" w:hAnsi="宋体" w:eastAsia="宋体" w:cs="宋体"/>
                <w:i w:val="0"/>
                <w:iCs w:val="0"/>
                <w:color w:val="000000"/>
                <w:sz w:val="18"/>
                <w:szCs w:val="18"/>
                <w:u w:val="none"/>
              </w:rPr>
            </w:pPr>
          </w:p>
        </w:tc>
        <w:tc>
          <w:tcPr>
            <w:tcW w:w="391" w:type="pct"/>
            <w:tcBorders>
              <w:top w:val="nil"/>
              <w:left w:val="nil"/>
              <w:bottom w:val="nil"/>
              <w:right w:val="nil"/>
            </w:tcBorders>
            <w:shd w:val="clear" w:color="auto" w:fill="auto"/>
            <w:vAlign w:val="center"/>
          </w:tcPr>
          <w:p w14:paraId="47DCB3DC">
            <w:pPr>
              <w:rPr>
                <w:rFonts w:hint="eastAsia" w:ascii="宋体" w:hAnsi="宋体" w:eastAsia="宋体" w:cs="宋体"/>
                <w:i w:val="0"/>
                <w:iCs w:val="0"/>
                <w:color w:val="000000"/>
                <w:sz w:val="18"/>
                <w:szCs w:val="18"/>
                <w:u w:val="none"/>
              </w:rPr>
            </w:pPr>
          </w:p>
        </w:tc>
      </w:tr>
      <w:tr w14:paraId="2E6BF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18F7E3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F9BF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815C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92"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8092E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51322326T000014220843-制式服装购置及执法装备提升经费</w:t>
            </w:r>
          </w:p>
        </w:tc>
      </w:tr>
      <w:tr w14:paraId="0AD10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5E4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57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E20C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茂县综合行政执法局</w:t>
            </w:r>
          </w:p>
        </w:tc>
        <w:tc>
          <w:tcPr>
            <w:tcW w:w="1120" w:type="pct"/>
            <w:gridSpan w:val="4"/>
            <w:tcBorders>
              <w:top w:val="nil"/>
              <w:left w:val="nil"/>
              <w:bottom w:val="nil"/>
              <w:right w:val="nil"/>
            </w:tcBorders>
            <w:shd w:val="clear" w:color="auto" w:fill="auto"/>
            <w:vAlign w:val="center"/>
          </w:tcPr>
          <w:p w14:paraId="325B3FB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9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F1C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茂县综合行政执法局（行政）</w:t>
            </w:r>
          </w:p>
        </w:tc>
      </w:tr>
      <w:tr w14:paraId="4B5C7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2690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8022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157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EAB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1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A8345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03A4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155DA">
            <w:pP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09B66">
            <w:pPr>
              <w:rPr>
                <w:rFonts w:hint="eastAsia" w:ascii="宋体" w:hAnsi="宋体" w:eastAsia="宋体" w:cs="宋体"/>
                <w:i w:val="0"/>
                <w:iCs w:val="0"/>
                <w:color w:val="000000"/>
                <w:sz w:val="18"/>
                <w:szCs w:val="18"/>
                <w:u w:val="none"/>
              </w:rPr>
            </w:pPr>
          </w:p>
        </w:tc>
        <w:tc>
          <w:tcPr>
            <w:tcW w:w="157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A771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解决我局职工制式服装购置及执法装备提升经费共计232196元.</w:t>
            </w:r>
          </w:p>
        </w:tc>
        <w:tc>
          <w:tcPr>
            <w:tcW w:w="251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41DEF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w:t>
            </w:r>
          </w:p>
        </w:tc>
      </w:tr>
      <w:tr w14:paraId="5AF1C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33B58">
            <w:pP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F80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92"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F77AA37">
            <w:pPr>
              <w:rPr>
                <w:rFonts w:hint="eastAsia" w:ascii="宋体" w:hAnsi="宋体" w:eastAsia="宋体" w:cs="宋体"/>
                <w:i w:val="0"/>
                <w:iCs w:val="0"/>
                <w:color w:val="000000"/>
                <w:sz w:val="18"/>
                <w:szCs w:val="18"/>
                <w:u w:val="none"/>
              </w:rPr>
            </w:pPr>
          </w:p>
        </w:tc>
      </w:tr>
      <w:tr w14:paraId="110BB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D93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021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B7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17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54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BAEA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DF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9E0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B26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DB4E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4CBEF">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68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E0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CE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22.97</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9B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22.97</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E16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A3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49B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63E05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2ED9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93385">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2A6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8A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DF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22.97</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4F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22.97</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AA7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E3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C5E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22B8E">
            <w:pPr>
              <w:rPr>
                <w:rFonts w:hint="eastAsia" w:ascii="黑体" w:hAnsi="黑体" w:eastAsia="黑体" w:cs="黑体"/>
                <w:i/>
                <w:iCs/>
                <w:color w:val="000000"/>
                <w:sz w:val="18"/>
                <w:szCs w:val="18"/>
                <w:u w:val="none"/>
              </w:rPr>
            </w:pPr>
          </w:p>
        </w:tc>
      </w:tr>
      <w:tr w14:paraId="088AD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2A1E2">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57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B2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B2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CC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C34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60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BEC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6DEC8">
            <w:pPr>
              <w:rPr>
                <w:rFonts w:hint="eastAsia" w:ascii="黑体" w:hAnsi="黑体" w:eastAsia="黑体" w:cs="黑体"/>
                <w:i/>
                <w:iCs/>
                <w:color w:val="000000"/>
                <w:sz w:val="18"/>
                <w:szCs w:val="18"/>
                <w:u w:val="none"/>
              </w:rPr>
            </w:pPr>
          </w:p>
        </w:tc>
      </w:tr>
      <w:tr w14:paraId="3494C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2B408">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A1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63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B3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79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D57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7E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422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3712C">
            <w:pPr>
              <w:rPr>
                <w:rFonts w:hint="eastAsia" w:ascii="黑体" w:hAnsi="黑体" w:eastAsia="黑体" w:cs="黑体"/>
                <w:i/>
                <w:iCs/>
                <w:color w:val="000000"/>
                <w:sz w:val="18"/>
                <w:szCs w:val="18"/>
                <w:u w:val="none"/>
              </w:rPr>
            </w:pPr>
          </w:p>
        </w:tc>
      </w:tr>
      <w:tr w14:paraId="2824B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19E82">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13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595F8">
            <w:pPr>
              <w:jc w:val="center"/>
              <w:rPr>
                <w:rFonts w:hint="eastAsia" w:ascii="微软雅黑" w:hAnsi="微软雅黑" w:eastAsia="微软雅黑" w:cs="微软雅黑"/>
                <w:i/>
                <w:iCs/>
                <w:color w:val="000000"/>
                <w:sz w:val="16"/>
                <w:szCs w:val="16"/>
                <w:u w:val="none"/>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7AA99">
            <w:pPr>
              <w:jc w:val="center"/>
              <w:rPr>
                <w:rFonts w:hint="eastAsia" w:ascii="微软雅黑" w:hAnsi="微软雅黑" w:eastAsia="微软雅黑" w:cs="微软雅黑"/>
                <w:i/>
                <w:iCs/>
                <w:color w:val="000000"/>
                <w:sz w:val="16"/>
                <w:szCs w:val="16"/>
                <w:u w:val="none"/>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FF043">
            <w:pPr>
              <w:jc w:val="center"/>
              <w:rPr>
                <w:rFonts w:hint="eastAsia" w:ascii="微软雅黑" w:hAnsi="微软雅黑" w:eastAsia="微软雅黑" w:cs="微软雅黑"/>
                <w:i/>
                <w:iCs/>
                <w:color w:val="000000"/>
                <w:sz w:val="16"/>
                <w:szCs w:val="16"/>
                <w:u w:val="none"/>
              </w:rPr>
            </w:pP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988DAE">
            <w:pPr>
              <w:jc w:val="center"/>
              <w:rPr>
                <w:rFonts w:hint="eastAsia" w:ascii="微软雅黑" w:hAns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AF4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C3C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B9804">
            <w:pPr>
              <w:rPr>
                <w:rFonts w:hint="eastAsia" w:ascii="黑体" w:hAnsi="黑体" w:eastAsia="黑体" w:cs="黑体"/>
                <w:i/>
                <w:iCs/>
                <w:color w:val="000000"/>
                <w:sz w:val="18"/>
                <w:szCs w:val="18"/>
                <w:u w:val="none"/>
              </w:rPr>
            </w:pPr>
          </w:p>
        </w:tc>
      </w:tr>
      <w:tr w14:paraId="7610A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BC7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72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E0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2E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5C8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F8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A8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F40A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CD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47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0D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1F2A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F0241">
            <w:pPr>
              <w:jc w:val="center"/>
              <w:rPr>
                <w:rFonts w:hint="eastAsia" w:ascii="宋体" w:hAnsi="宋体" w:eastAsia="宋体" w:cs="宋体"/>
                <w:i w:val="0"/>
                <w:iCs w:val="0"/>
                <w:color w:val="000000"/>
                <w:sz w:val="18"/>
                <w:szCs w:val="18"/>
                <w:u w:val="none"/>
              </w:rPr>
            </w:pPr>
          </w:p>
        </w:tc>
        <w:tc>
          <w:tcPr>
            <w:tcW w:w="5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1B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E31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02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采购付服装的数量</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50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31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5F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F39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96C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1D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8D593">
            <w:pPr>
              <w:jc w:val="center"/>
              <w:rPr>
                <w:rFonts w:hint="eastAsia" w:ascii="微软雅黑" w:hAnsi="微软雅黑" w:eastAsia="微软雅黑" w:cs="微软雅黑"/>
                <w:i/>
                <w:iCs/>
                <w:color w:val="000000"/>
                <w:sz w:val="16"/>
                <w:szCs w:val="16"/>
                <w:u w:val="none"/>
              </w:rPr>
            </w:pPr>
          </w:p>
        </w:tc>
      </w:tr>
      <w:tr w14:paraId="12A7E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4"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FD573">
            <w:pPr>
              <w:jc w:val="cente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13F11">
            <w:pPr>
              <w:jc w:val="center"/>
              <w:rPr>
                <w:rFonts w:hint="eastAsia" w:ascii="宋体" w:hAnsi="宋体" w:eastAsia="宋体" w:cs="宋体"/>
                <w:i w:val="0"/>
                <w:iCs w:val="0"/>
                <w:color w:val="000000"/>
                <w:sz w:val="18"/>
                <w:szCs w:val="18"/>
                <w:u w:val="none"/>
              </w:rPr>
            </w:pP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99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6F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采购验收合格率</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5F4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F0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8C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40F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312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7A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340FA">
            <w:pPr>
              <w:jc w:val="center"/>
              <w:rPr>
                <w:rFonts w:hint="eastAsia" w:ascii="微软雅黑" w:hAnsi="微软雅黑" w:eastAsia="微软雅黑" w:cs="微软雅黑"/>
                <w:i/>
                <w:iCs/>
                <w:color w:val="000000"/>
                <w:sz w:val="16"/>
                <w:szCs w:val="16"/>
                <w:u w:val="none"/>
              </w:rPr>
            </w:pPr>
          </w:p>
        </w:tc>
      </w:tr>
      <w:tr w14:paraId="5EE0B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E70AC">
            <w:pPr>
              <w:jc w:val="cente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600F1">
            <w:pPr>
              <w:jc w:val="center"/>
              <w:rPr>
                <w:rFonts w:hint="eastAsia" w:ascii="宋体" w:hAnsi="宋体" w:eastAsia="宋体" w:cs="宋体"/>
                <w:i w:val="0"/>
                <w:iCs w:val="0"/>
                <w:color w:val="000000"/>
                <w:sz w:val="18"/>
                <w:szCs w:val="18"/>
                <w:u w:val="none"/>
              </w:rPr>
            </w:pP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64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45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3C4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97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6C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EF2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2606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6E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C01B8">
            <w:pPr>
              <w:jc w:val="center"/>
              <w:rPr>
                <w:rFonts w:hint="eastAsia" w:ascii="微软雅黑" w:hAnsi="微软雅黑" w:eastAsia="微软雅黑" w:cs="微软雅黑"/>
                <w:i/>
                <w:iCs/>
                <w:color w:val="000000"/>
                <w:sz w:val="16"/>
                <w:szCs w:val="16"/>
                <w:u w:val="none"/>
              </w:rPr>
            </w:pPr>
          </w:p>
        </w:tc>
      </w:tr>
      <w:tr w14:paraId="52BC1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6C39F">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25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B3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8F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提高工作完成质量</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3DA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3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90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B90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EF5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5F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9F152">
            <w:pPr>
              <w:jc w:val="center"/>
              <w:rPr>
                <w:rFonts w:hint="eastAsia" w:ascii="微软雅黑" w:hAnsi="微软雅黑" w:eastAsia="微软雅黑" w:cs="微软雅黑"/>
                <w:i/>
                <w:iCs/>
                <w:color w:val="000000"/>
                <w:sz w:val="16"/>
                <w:szCs w:val="16"/>
                <w:u w:val="none"/>
              </w:rPr>
            </w:pPr>
          </w:p>
        </w:tc>
      </w:tr>
      <w:tr w14:paraId="0B84B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A09A0">
            <w:pPr>
              <w:jc w:val="center"/>
              <w:rPr>
                <w:rFonts w:hint="eastAsia" w:ascii="宋体" w:hAnsi="宋体" w:eastAsia="宋体" w:cs="宋体"/>
                <w:i w:val="0"/>
                <w:iCs w:val="0"/>
                <w:color w:val="000000"/>
                <w:sz w:val="18"/>
                <w:szCs w:val="18"/>
                <w:u w:val="none"/>
              </w:rPr>
            </w:pPr>
          </w:p>
        </w:tc>
        <w:tc>
          <w:tcPr>
            <w:tcW w:w="5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306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80A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CA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21C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5D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5C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CCC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F5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B8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EA12E">
            <w:pPr>
              <w:jc w:val="center"/>
              <w:rPr>
                <w:rFonts w:hint="eastAsia" w:ascii="微软雅黑" w:hAnsi="微软雅黑" w:eastAsia="微软雅黑" w:cs="微软雅黑"/>
                <w:i/>
                <w:iCs/>
                <w:color w:val="000000"/>
                <w:sz w:val="16"/>
                <w:szCs w:val="16"/>
                <w:u w:val="none"/>
              </w:rPr>
            </w:pPr>
          </w:p>
        </w:tc>
      </w:tr>
      <w:tr w14:paraId="787D7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97113">
            <w:pPr>
              <w:jc w:val="cente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7B730">
            <w:pPr>
              <w:jc w:val="center"/>
              <w:rPr>
                <w:rFonts w:hint="eastAsia" w:ascii="宋体" w:hAnsi="宋体" w:eastAsia="宋体" w:cs="宋体"/>
                <w:i w:val="0"/>
                <w:iCs w:val="0"/>
                <w:color w:val="000000"/>
                <w:sz w:val="18"/>
                <w:szCs w:val="18"/>
                <w:u w:val="none"/>
              </w:rPr>
            </w:pP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73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22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单位职工满意度</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C7C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30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2A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139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378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12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2F94E">
            <w:pPr>
              <w:jc w:val="center"/>
              <w:rPr>
                <w:rFonts w:hint="eastAsia" w:ascii="微软雅黑" w:hAnsi="微软雅黑" w:eastAsia="微软雅黑" w:cs="微软雅黑"/>
                <w:i/>
                <w:iCs/>
                <w:color w:val="000000"/>
                <w:sz w:val="16"/>
                <w:szCs w:val="16"/>
                <w:u w:val="none"/>
              </w:rPr>
            </w:pPr>
          </w:p>
        </w:tc>
      </w:tr>
      <w:tr w14:paraId="16E0D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03A7F">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FB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50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08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项目预算控制</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060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3C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232196</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A0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7EA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C4C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8D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F71D8">
            <w:pPr>
              <w:jc w:val="center"/>
              <w:rPr>
                <w:rFonts w:hint="eastAsia" w:ascii="微软雅黑" w:hAnsi="微软雅黑" w:eastAsia="微软雅黑" w:cs="微软雅黑"/>
                <w:i/>
                <w:iCs/>
                <w:color w:val="000000"/>
                <w:sz w:val="16"/>
                <w:szCs w:val="16"/>
                <w:u w:val="none"/>
              </w:rPr>
            </w:pPr>
          </w:p>
        </w:tc>
      </w:tr>
      <w:tr w14:paraId="1A427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trPr>
        <w:tc>
          <w:tcPr>
            <w:tcW w:w="360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15D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58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144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000758">
            <w:pPr>
              <w:rPr>
                <w:rFonts w:hint="eastAsia" w:ascii="宋体" w:hAnsi="宋体" w:eastAsia="宋体" w:cs="宋体"/>
                <w:i w:val="0"/>
                <w:iCs w:val="0"/>
                <w:color w:val="000000"/>
                <w:sz w:val="18"/>
                <w:szCs w:val="18"/>
                <w:u w:val="none"/>
              </w:rPr>
            </w:pPr>
          </w:p>
        </w:tc>
      </w:tr>
      <w:tr w14:paraId="52B88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4E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5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4D86AC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项目自评得分100分，项目预算执行率100%。</w:t>
            </w:r>
          </w:p>
        </w:tc>
      </w:tr>
      <w:tr w14:paraId="265B1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3F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5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9B0525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D769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64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5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D33CF8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4B93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0" w:hRule="atLeast"/>
        </w:trPr>
        <w:tc>
          <w:tcPr>
            <w:tcW w:w="345" w:type="pct"/>
            <w:tcBorders>
              <w:top w:val="nil"/>
              <w:left w:val="nil"/>
              <w:bottom w:val="nil"/>
              <w:right w:val="nil"/>
            </w:tcBorders>
            <w:shd w:val="clear" w:color="auto" w:fill="auto"/>
            <w:vAlign w:val="center"/>
          </w:tcPr>
          <w:p w14:paraId="229D7A26">
            <w:pPr>
              <w:rPr>
                <w:rFonts w:hint="eastAsia" w:ascii="宋体" w:hAnsi="宋体" w:eastAsia="宋体" w:cs="宋体"/>
                <w:i w:val="0"/>
                <w:iCs w:val="0"/>
                <w:color w:val="000000"/>
                <w:sz w:val="18"/>
                <w:szCs w:val="18"/>
                <w:u w:val="none"/>
              </w:rPr>
            </w:pPr>
          </w:p>
        </w:tc>
        <w:tc>
          <w:tcPr>
            <w:tcW w:w="561" w:type="pct"/>
            <w:tcBorders>
              <w:top w:val="nil"/>
              <w:left w:val="nil"/>
              <w:bottom w:val="nil"/>
              <w:right w:val="nil"/>
            </w:tcBorders>
            <w:shd w:val="clear" w:color="auto" w:fill="auto"/>
            <w:vAlign w:val="center"/>
          </w:tcPr>
          <w:p w14:paraId="56BD4ED9">
            <w:pPr>
              <w:rPr>
                <w:rFonts w:hint="eastAsia" w:ascii="宋体" w:hAnsi="宋体" w:eastAsia="宋体" w:cs="宋体"/>
                <w:i w:val="0"/>
                <w:iCs w:val="0"/>
                <w:color w:val="000000"/>
                <w:sz w:val="18"/>
                <w:szCs w:val="18"/>
                <w:u w:val="none"/>
              </w:rPr>
            </w:pPr>
          </w:p>
        </w:tc>
        <w:tc>
          <w:tcPr>
            <w:tcW w:w="778" w:type="pct"/>
            <w:tcBorders>
              <w:top w:val="nil"/>
              <w:left w:val="nil"/>
              <w:bottom w:val="nil"/>
              <w:right w:val="nil"/>
            </w:tcBorders>
            <w:shd w:val="clear" w:color="auto" w:fill="auto"/>
            <w:vAlign w:val="center"/>
          </w:tcPr>
          <w:p w14:paraId="406C5A97">
            <w:pPr>
              <w:rPr>
                <w:rFonts w:hint="eastAsia" w:ascii="宋体" w:hAnsi="宋体" w:eastAsia="宋体" w:cs="宋体"/>
                <w:i w:val="0"/>
                <w:iCs w:val="0"/>
                <w:color w:val="000000"/>
                <w:sz w:val="18"/>
                <w:szCs w:val="18"/>
                <w:u w:val="none"/>
              </w:rPr>
            </w:pPr>
          </w:p>
        </w:tc>
        <w:tc>
          <w:tcPr>
            <w:tcW w:w="399" w:type="pct"/>
            <w:tcBorders>
              <w:top w:val="nil"/>
              <w:left w:val="nil"/>
              <w:bottom w:val="nil"/>
              <w:right w:val="nil"/>
            </w:tcBorders>
            <w:shd w:val="clear" w:color="auto" w:fill="auto"/>
            <w:vAlign w:val="center"/>
          </w:tcPr>
          <w:p w14:paraId="6DB936F7">
            <w:pPr>
              <w:rPr>
                <w:rFonts w:hint="eastAsia" w:ascii="宋体" w:hAnsi="宋体" w:eastAsia="宋体" w:cs="宋体"/>
                <w:i w:val="0"/>
                <w:iCs w:val="0"/>
                <w:color w:val="000000"/>
                <w:sz w:val="18"/>
                <w:szCs w:val="18"/>
                <w:u w:val="none"/>
              </w:rPr>
            </w:pPr>
          </w:p>
          <w:p w14:paraId="73CE94C9">
            <w:pPr>
              <w:rPr>
                <w:rFonts w:hint="eastAsia" w:ascii="宋体" w:hAnsi="宋体" w:eastAsia="宋体" w:cs="宋体"/>
                <w:i w:val="0"/>
                <w:iCs w:val="0"/>
                <w:color w:val="000000"/>
                <w:sz w:val="18"/>
                <w:szCs w:val="18"/>
                <w:u w:val="none"/>
              </w:rPr>
            </w:pPr>
          </w:p>
          <w:p w14:paraId="1DE71080">
            <w:pPr>
              <w:rPr>
                <w:rFonts w:hint="eastAsia" w:ascii="宋体" w:hAnsi="宋体" w:eastAsia="宋体" w:cs="宋体"/>
                <w:i w:val="0"/>
                <w:iCs w:val="0"/>
                <w:color w:val="000000"/>
                <w:sz w:val="18"/>
                <w:szCs w:val="18"/>
                <w:u w:val="none"/>
              </w:rPr>
            </w:pPr>
          </w:p>
          <w:p w14:paraId="19338426">
            <w:pPr>
              <w:rPr>
                <w:rFonts w:hint="eastAsia" w:ascii="宋体" w:hAnsi="宋体" w:eastAsia="宋体" w:cs="宋体"/>
                <w:i w:val="0"/>
                <w:iCs w:val="0"/>
                <w:color w:val="000000"/>
                <w:sz w:val="18"/>
                <w:szCs w:val="18"/>
                <w:u w:val="none"/>
              </w:rPr>
            </w:pPr>
          </w:p>
          <w:p w14:paraId="0539ED9F">
            <w:pPr>
              <w:rPr>
                <w:rFonts w:hint="eastAsia" w:ascii="宋体" w:hAnsi="宋体" w:eastAsia="宋体" w:cs="宋体"/>
                <w:i w:val="0"/>
                <w:iCs w:val="0"/>
                <w:color w:val="000000"/>
                <w:sz w:val="18"/>
                <w:szCs w:val="18"/>
                <w:u w:val="none"/>
              </w:rPr>
            </w:pPr>
          </w:p>
        </w:tc>
        <w:tc>
          <w:tcPr>
            <w:tcW w:w="479" w:type="pct"/>
            <w:gridSpan w:val="2"/>
            <w:tcBorders>
              <w:top w:val="nil"/>
              <w:left w:val="nil"/>
              <w:bottom w:val="nil"/>
              <w:right w:val="nil"/>
            </w:tcBorders>
            <w:shd w:val="clear" w:color="auto" w:fill="auto"/>
            <w:vAlign w:val="center"/>
          </w:tcPr>
          <w:p w14:paraId="0711C75F">
            <w:pPr>
              <w:rPr>
                <w:rFonts w:hint="eastAsia" w:ascii="宋体" w:hAnsi="宋体" w:eastAsia="宋体" w:cs="宋体"/>
                <w:i w:val="0"/>
                <w:iCs w:val="0"/>
                <w:color w:val="000000"/>
                <w:sz w:val="18"/>
                <w:szCs w:val="18"/>
                <w:u w:val="none"/>
              </w:rPr>
            </w:pPr>
          </w:p>
        </w:tc>
        <w:tc>
          <w:tcPr>
            <w:tcW w:w="601" w:type="pct"/>
            <w:tcBorders>
              <w:top w:val="nil"/>
              <w:left w:val="nil"/>
              <w:bottom w:val="nil"/>
              <w:right w:val="nil"/>
            </w:tcBorders>
            <w:shd w:val="clear" w:color="auto" w:fill="auto"/>
            <w:vAlign w:val="center"/>
          </w:tcPr>
          <w:p w14:paraId="00EB2EB1">
            <w:pPr>
              <w:rPr>
                <w:rFonts w:hint="eastAsia" w:ascii="宋体" w:hAnsi="宋体" w:eastAsia="宋体" w:cs="宋体"/>
                <w:i w:val="0"/>
                <w:iCs w:val="0"/>
                <w:color w:val="000000"/>
                <w:sz w:val="18"/>
                <w:szCs w:val="18"/>
                <w:u w:val="none"/>
              </w:rPr>
            </w:pPr>
          </w:p>
        </w:tc>
        <w:tc>
          <w:tcPr>
            <w:tcW w:w="237" w:type="pct"/>
            <w:tcBorders>
              <w:top w:val="nil"/>
              <w:left w:val="nil"/>
              <w:bottom w:val="nil"/>
              <w:right w:val="nil"/>
            </w:tcBorders>
            <w:shd w:val="clear" w:color="auto" w:fill="auto"/>
            <w:vAlign w:val="center"/>
          </w:tcPr>
          <w:p w14:paraId="536D2CE6">
            <w:pPr>
              <w:rPr>
                <w:rFonts w:hint="eastAsia" w:ascii="宋体" w:hAnsi="宋体" w:eastAsia="宋体" w:cs="宋体"/>
                <w:i w:val="0"/>
                <w:iCs w:val="0"/>
                <w:color w:val="000000"/>
                <w:sz w:val="18"/>
                <w:szCs w:val="18"/>
                <w:u w:val="none"/>
              </w:rPr>
            </w:pPr>
          </w:p>
        </w:tc>
        <w:tc>
          <w:tcPr>
            <w:tcW w:w="724" w:type="pct"/>
            <w:gridSpan w:val="3"/>
            <w:tcBorders>
              <w:top w:val="nil"/>
              <w:left w:val="nil"/>
              <w:bottom w:val="nil"/>
              <w:right w:val="nil"/>
            </w:tcBorders>
            <w:shd w:val="clear" w:color="auto" w:fill="auto"/>
            <w:vAlign w:val="center"/>
          </w:tcPr>
          <w:p w14:paraId="47AEC2AE">
            <w:pPr>
              <w:rPr>
                <w:rFonts w:hint="eastAsia" w:ascii="宋体" w:hAnsi="宋体" w:eastAsia="宋体" w:cs="宋体"/>
                <w:i w:val="0"/>
                <w:iCs w:val="0"/>
                <w:color w:val="000000"/>
                <w:sz w:val="18"/>
                <w:szCs w:val="18"/>
                <w:u w:val="none"/>
              </w:rPr>
            </w:pPr>
          </w:p>
        </w:tc>
        <w:tc>
          <w:tcPr>
            <w:tcW w:w="241" w:type="pct"/>
            <w:gridSpan w:val="2"/>
            <w:tcBorders>
              <w:top w:val="nil"/>
              <w:left w:val="nil"/>
              <w:bottom w:val="nil"/>
              <w:right w:val="nil"/>
            </w:tcBorders>
            <w:shd w:val="clear" w:color="auto" w:fill="auto"/>
            <w:vAlign w:val="center"/>
          </w:tcPr>
          <w:p w14:paraId="45191DB0">
            <w:pPr>
              <w:rPr>
                <w:rFonts w:hint="eastAsia" w:ascii="宋体" w:hAnsi="宋体" w:eastAsia="宋体" w:cs="宋体"/>
                <w:i w:val="0"/>
                <w:iCs w:val="0"/>
                <w:color w:val="000000"/>
                <w:sz w:val="18"/>
                <w:szCs w:val="18"/>
                <w:u w:val="none"/>
              </w:rPr>
            </w:pPr>
          </w:p>
        </w:tc>
        <w:tc>
          <w:tcPr>
            <w:tcW w:w="237" w:type="pct"/>
            <w:tcBorders>
              <w:top w:val="nil"/>
              <w:left w:val="nil"/>
              <w:bottom w:val="nil"/>
              <w:right w:val="nil"/>
            </w:tcBorders>
            <w:shd w:val="clear" w:color="auto" w:fill="auto"/>
            <w:vAlign w:val="center"/>
          </w:tcPr>
          <w:p w14:paraId="5813856A">
            <w:pPr>
              <w:rPr>
                <w:rFonts w:hint="eastAsia" w:ascii="宋体" w:hAnsi="宋体" w:eastAsia="宋体" w:cs="宋体"/>
                <w:i w:val="0"/>
                <w:iCs w:val="0"/>
                <w:color w:val="000000"/>
                <w:sz w:val="18"/>
                <w:szCs w:val="18"/>
                <w:u w:val="none"/>
              </w:rPr>
            </w:pPr>
          </w:p>
        </w:tc>
        <w:tc>
          <w:tcPr>
            <w:tcW w:w="391" w:type="pct"/>
            <w:tcBorders>
              <w:top w:val="nil"/>
              <w:left w:val="nil"/>
              <w:bottom w:val="nil"/>
              <w:right w:val="nil"/>
            </w:tcBorders>
            <w:shd w:val="clear" w:color="auto" w:fill="auto"/>
            <w:vAlign w:val="center"/>
          </w:tcPr>
          <w:p w14:paraId="2D59C053">
            <w:pPr>
              <w:rPr>
                <w:rFonts w:hint="eastAsia" w:ascii="宋体" w:hAnsi="宋体" w:eastAsia="宋体" w:cs="宋体"/>
                <w:i w:val="0"/>
                <w:iCs w:val="0"/>
                <w:color w:val="000000"/>
                <w:sz w:val="18"/>
                <w:szCs w:val="18"/>
                <w:u w:val="none"/>
              </w:rPr>
            </w:pPr>
          </w:p>
        </w:tc>
      </w:tr>
      <w:tr w14:paraId="44E31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37C8E2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D714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174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92"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0B13F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51322326T000014965268-2025年省级财政市场监管专项资金</w:t>
            </w:r>
          </w:p>
        </w:tc>
      </w:tr>
      <w:tr w14:paraId="37104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12C5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57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15EF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茂县综合行政执法局</w:t>
            </w:r>
          </w:p>
        </w:tc>
        <w:tc>
          <w:tcPr>
            <w:tcW w:w="1120" w:type="pct"/>
            <w:gridSpan w:val="4"/>
            <w:tcBorders>
              <w:top w:val="nil"/>
              <w:left w:val="nil"/>
              <w:bottom w:val="nil"/>
              <w:right w:val="nil"/>
            </w:tcBorders>
            <w:shd w:val="clear" w:color="auto" w:fill="auto"/>
            <w:vAlign w:val="center"/>
          </w:tcPr>
          <w:p w14:paraId="3C08ACC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9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DD3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茂县综合行政执法局（行政）</w:t>
            </w:r>
          </w:p>
        </w:tc>
      </w:tr>
      <w:tr w14:paraId="1C07E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6A29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FC2C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157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B956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1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3EACF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43D9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1BB28">
            <w:pP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2F26F">
            <w:pPr>
              <w:rPr>
                <w:rFonts w:hint="eastAsia" w:ascii="宋体" w:hAnsi="宋体" w:eastAsia="宋体" w:cs="宋体"/>
                <w:i w:val="0"/>
                <w:iCs w:val="0"/>
                <w:color w:val="000000"/>
                <w:sz w:val="18"/>
                <w:szCs w:val="18"/>
                <w:u w:val="none"/>
              </w:rPr>
            </w:pPr>
          </w:p>
        </w:tc>
        <w:tc>
          <w:tcPr>
            <w:tcW w:w="157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7000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聚焦县域内食品、化妆品安全及重点产品质量安检等核心领域，强化县级市场监管综合行政执法大队一线执法能力，开展专项执法检查与质量抽检，提升执法人员专业素养，规范执法流程，及时查处违法违规行为，防范区域性安全风险，保障县域群众消费安全与市场秩序稳定。</w:t>
            </w:r>
          </w:p>
        </w:tc>
        <w:tc>
          <w:tcPr>
            <w:tcW w:w="251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91C48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w:t>
            </w:r>
          </w:p>
        </w:tc>
      </w:tr>
      <w:tr w14:paraId="54DEB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EADF6">
            <w:pP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842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92"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4C59D3C">
            <w:pPr>
              <w:rPr>
                <w:rFonts w:hint="eastAsia" w:ascii="宋体" w:hAnsi="宋体" w:eastAsia="宋体" w:cs="宋体"/>
                <w:i w:val="0"/>
                <w:iCs w:val="0"/>
                <w:color w:val="000000"/>
                <w:sz w:val="18"/>
                <w:szCs w:val="18"/>
                <w:u w:val="none"/>
              </w:rPr>
            </w:pPr>
          </w:p>
        </w:tc>
      </w:tr>
      <w:tr w14:paraId="2B86E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3AF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93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2E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1F8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4D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477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70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7DA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4689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1C3F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5DB61">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77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38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4D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6E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698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27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4ED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10FEB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54FA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FAA64">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9C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29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19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303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9C5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FA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51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EA799">
            <w:pPr>
              <w:rPr>
                <w:rFonts w:hint="eastAsia" w:ascii="黑体" w:hAnsi="黑体" w:eastAsia="黑体" w:cs="黑体"/>
                <w:i/>
                <w:iCs/>
                <w:color w:val="000000"/>
                <w:sz w:val="18"/>
                <w:szCs w:val="18"/>
                <w:u w:val="none"/>
              </w:rPr>
            </w:pPr>
          </w:p>
        </w:tc>
      </w:tr>
      <w:tr w14:paraId="7BD11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3F8DC">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AB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F6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77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6C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AC6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66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E94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B6F42">
            <w:pPr>
              <w:rPr>
                <w:rFonts w:hint="eastAsia" w:ascii="黑体" w:hAnsi="黑体" w:eastAsia="黑体" w:cs="黑体"/>
                <w:i/>
                <w:iCs/>
                <w:color w:val="000000"/>
                <w:sz w:val="18"/>
                <w:szCs w:val="18"/>
                <w:u w:val="none"/>
              </w:rPr>
            </w:pPr>
          </w:p>
        </w:tc>
      </w:tr>
      <w:tr w14:paraId="55E7E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B883E">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685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3F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8E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66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71E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9C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1C6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A0AEB">
            <w:pPr>
              <w:rPr>
                <w:rFonts w:hint="eastAsia" w:ascii="黑体" w:hAnsi="黑体" w:eastAsia="黑体" w:cs="黑体"/>
                <w:i/>
                <w:iCs/>
                <w:color w:val="000000"/>
                <w:sz w:val="18"/>
                <w:szCs w:val="18"/>
                <w:u w:val="none"/>
              </w:rPr>
            </w:pPr>
          </w:p>
        </w:tc>
      </w:tr>
      <w:tr w14:paraId="10B44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438E9">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9C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BD311">
            <w:pPr>
              <w:jc w:val="center"/>
              <w:rPr>
                <w:rFonts w:hint="eastAsia" w:ascii="微软雅黑" w:hAnsi="微软雅黑" w:eastAsia="微软雅黑" w:cs="微软雅黑"/>
                <w:i/>
                <w:iCs/>
                <w:color w:val="000000"/>
                <w:sz w:val="16"/>
                <w:szCs w:val="16"/>
                <w:u w:val="none"/>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12877">
            <w:pPr>
              <w:jc w:val="center"/>
              <w:rPr>
                <w:rFonts w:hint="eastAsia" w:ascii="微软雅黑" w:hAnsi="微软雅黑" w:eastAsia="微软雅黑" w:cs="微软雅黑"/>
                <w:i/>
                <w:iCs/>
                <w:color w:val="000000"/>
                <w:sz w:val="16"/>
                <w:szCs w:val="16"/>
                <w:u w:val="none"/>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037CF">
            <w:pPr>
              <w:jc w:val="center"/>
              <w:rPr>
                <w:rFonts w:hint="eastAsia" w:ascii="微软雅黑" w:hAnsi="微软雅黑" w:eastAsia="微软雅黑" w:cs="微软雅黑"/>
                <w:i/>
                <w:iCs/>
                <w:color w:val="000000"/>
                <w:sz w:val="16"/>
                <w:szCs w:val="16"/>
                <w:u w:val="none"/>
              </w:rPr>
            </w:pP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59F2D4">
            <w:pPr>
              <w:jc w:val="center"/>
              <w:rPr>
                <w:rFonts w:hint="eastAsia" w:ascii="微软雅黑" w:hAns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1E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0DB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B0D15">
            <w:pPr>
              <w:rPr>
                <w:rFonts w:hint="eastAsia" w:ascii="黑体" w:hAnsi="黑体" w:eastAsia="黑体" w:cs="黑体"/>
                <w:i/>
                <w:iCs/>
                <w:color w:val="000000"/>
                <w:sz w:val="18"/>
                <w:szCs w:val="18"/>
                <w:u w:val="none"/>
              </w:rPr>
            </w:pPr>
          </w:p>
        </w:tc>
      </w:tr>
      <w:tr w14:paraId="4762A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386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19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4F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70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315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E3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75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E60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C1D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CA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6A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CD4C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D8301">
            <w:pPr>
              <w:jc w:val="center"/>
              <w:rPr>
                <w:rFonts w:hint="eastAsia" w:ascii="宋体" w:hAnsi="宋体" w:eastAsia="宋体" w:cs="宋体"/>
                <w:i w:val="0"/>
                <w:iCs w:val="0"/>
                <w:color w:val="000000"/>
                <w:sz w:val="18"/>
                <w:szCs w:val="18"/>
                <w:u w:val="none"/>
              </w:rPr>
            </w:pPr>
          </w:p>
        </w:tc>
        <w:tc>
          <w:tcPr>
            <w:tcW w:w="56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3C9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778" w:type="pct"/>
            <w:tcBorders>
              <w:top w:val="single" w:color="000000" w:sz="4" w:space="0"/>
              <w:left w:val="nil"/>
              <w:bottom w:val="single" w:color="000000" w:sz="4" w:space="0"/>
              <w:right w:val="single" w:color="000000" w:sz="4" w:space="0"/>
            </w:tcBorders>
            <w:shd w:val="clear" w:color="auto" w:fill="auto"/>
            <w:noWrap/>
            <w:vAlign w:val="center"/>
          </w:tcPr>
          <w:p w14:paraId="4D75F4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C9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年度监管任务完成及时率</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AD9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03E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BA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8F4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B5B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EE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09B8D">
            <w:pPr>
              <w:jc w:val="center"/>
              <w:rPr>
                <w:rFonts w:hint="eastAsia" w:ascii="宋体" w:hAnsi="宋体" w:eastAsia="宋体" w:cs="宋体"/>
                <w:i w:val="0"/>
                <w:iCs w:val="0"/>
                <w:color w:val="000000"/>
                <w:sz w:val="18"/>
                <w:szCs w:val="18"/>
                <w:u w:val="none"/>
              </w:rPr>
            </w:pPr>
          </w:p>
        </w:tc>
      </w:tr>
      <w:tr w14:paraId="3B6BC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ABE07">
            <w:pPr>
              <w:jc w:val="cente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8D859">
            <w:pPr>
              <w:jc w:val="center"/>
              <w:rPr>
                <w:rFonts w:hint="eastAsia" w:ascii="宋体" w:hAnsi="宋体" w:eastAsia="宋体" w:cs="宋体"/>
                <w:i w:val="0"/>
                <w:iCs w:val="0"/>
                <w:color w:val="000000"/>
                <w:sz w:val="18"/>
                <w:szCs w:val="18"/>
                <w:u w:val="none"/>
              </w:rPr>
            </w:pPr>
          </w:p>
        </w:tc>
        <w:tc>
          <w:tcPr>
            <w:tcW w:w="778" w:type="pct"/>
            <w:tcBorders>
              <w:top w:val="single" w:color="000000" w:sz="4" w:space="0"/>
              <w:left w:val="nil"/>
              <w:bottom w:val="single" w:color="000000" w:sz="4" w:space="0"/>
              <w:right w:val="single" w:color="000000" w:sz="4" w:space="0"/>
            </w:tcBorders>
            <w:shd w:val="clear" w:color="auto" w:fill="auto"/>
            <w:noWrap/>
            <w:vAlign w:val="center"/>
          </w:tcPr>
          <w:p w14:paraId="3AE5F7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A5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市场监管相关培训次数</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CC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C6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E7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E16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C89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13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67590">
            <w:pPr>
              <w:jc w:val="center"/>
              <w:rPr>
                <w:rFonts w:hint="eastAsia" w:ascii="宋体" w:hAnsi="宋体" w:eastAsia="宋体" w:cs="宋体"/>
                <w:i w:val="0"/>
                <w:iCs w:val="0"/>
                <w:color w:val="000000"/>
                <w:sz w:val="18"/>
                <w:szCs w:val="18"/>
                <w:u w:val="none"/>
              </w:rPr>
            </w:pPr>
          </w:p>
        </w:tc>
      </w:tr>
      <w:tr w14:paraId="7D2FE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7F359">
            <w:pPr>
              <w:jc w:val="cente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96170">
            <w:pPr>
              <w:jc w:val="center"/>
              <w:rPr>
                <w:rFonts w:hint="eastAsia" w:ascii="宋体" w:hAnsi="宋体" w:eastAsia="宋体" w:cs="宋体"/>
                <w:i w:val="0"/>
                <w:iCs w:val="0"/>
                <w:color w:val="000000"/>
                <w:sz w:val="18"/>
                <w:szCs w:val="18"/>
                <w:u w:val="none"/>
              </w:rPr>
            </w:pPr>
          </w:p>
        </w:tc>
        <w:tc>
          <w:tcPr>
            <w:tcW w:w="778" w:type="pct"/>
            <w:tcBorders>
              <w:top w:val="single" w:color="000000" w:sz="4" w:space="0"/>
              <w:left w:val="nil"/>
              <w:bottom w:val="single" w:color="000000" w:sz="4" w:space="0"/>
              <w:right w:val="single" w:color="000000" w:sz="4" w:space="0"/>
            </w:tcBorders>
            <w:shd w:val="clear" w:color="auto" w:fill="auto"/>
            <w:noWrap/>
            <w:vAlign w:val="center"/>
          </w:tcPr>
          <w:p w14:paraId="72AE4A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2F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重点领域监管检查家次（食品经营、化妆品销售、重点消费品生产经营单位等）</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A86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7E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6C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8BA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931E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B0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8D679">
            <w:pPr>
              <w:jc w:val="center"/>
              <w:rPr>
                <w:rFonts w:hint="eastAsia" w:ascii="宋体" w:hAnsi="宋体" w:eastAsia="宋体" w:cs="宋体"/>
                <w:i w:val="0"/>
                <w:iCs w:val="0"/>
                <w:color w:val="000000"/>
                <w:sz w:val="18"/>
                <w:szCs w:val="18"/>
                <w:u w:val="none"/>
              </w:rPr>
            </w:pPr>
          </w:p>
        </w:tc>
      </w:tr>
      <w:tr w14:paraId="34D82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5D7BD">
            <w:pPr>
              <w:jc w:val="center"/>
              <w:rPr>
                <w:rFonts w:hint="eastAsia" w:ascii="宋体" w:hAnsi="宋体" w:eastAsia="宋体" w:cs="宋体"/>
                <w:i w:val="0"/>
                <w:iCs w:val="0"/>
                <w:color w:val="000000"/>
                <w:sz w:val="18"/>
                <w:szCs w:val="18"/>
                <w:u w:val="none"/>
              </w:rPr>
            </w:pPr>
          </w:p>
        </w:tc>
        <w:tc>
          <w:tcPr>
            <w:tcW w:w="5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FA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7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53C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D13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重大食品药品安全事故发生数</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AC2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08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C33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F92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EEAE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F6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B979A">
            <w:pPr>
              <w:jc w:val="center"/>
              <w:rPr>
                <w:rFonts w:hint="eastAsia" w:ascii="宋体" w:hAnsi="宋体" w:eastAsia="宋体" w:cs="宋体"/>
                <w:i w:val="0"/>
                <w:iCs w:val="0"/>
                <w:color w:val="000000"/>
                <w:sz w:val="18"/>
                <w:szCs w:val="18"/>
                <w:u w:val="none"/>
              </w:rPr>
            </w:pPr>
          </w:p>
        </w:tc>
      </w:tr>
      <w:tr w14:paraId="6D962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9D6D0">
            <w:pPr>
              <w:jc w:val="cente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790B5">
            <w:pPr>
              <w:jc w:val="center"/>
              <w:rPr>
                <w:rFonts w:hint="eastAsia" w:ascii="宋体" w:hAnsi="宋体" w:eastAsia="宋体" w:cs="宋体"/>
                <w:i w:val="0"/>
                <w:iCs w:val="0"/>
                <w:color w:val="000000"/>
                <w:sz w:val="18"/>
                <w:szCs w:val="18"/>
                <w:u w:val="none"/>
              </w:rPr>
            </w:pPr>
          </w:p>
        </w:tc>
        <w:tc>
          <w:tcPr>
            <w:tcW w:w="7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797AE">
            <w:pPr>
              <w:jc w:val="center"/>
              <w:rPr>
                <w:rFonts w:hint="eastAsia" w:ascii="宋体" w:hAnsi="宋体" w:eastAsia="宋体" w:cs="宋体"/>
                <w:i w:val="0"/>
                <w:iCs w:val="0"/>
                <w:color w:val="000000"/>
                <w:sz w:val="18"/>
                <w:szCs w:val="18"/>
                <w:u w:val="none"/>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D4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社会公众对市场环境满意度</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504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1F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5FE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E04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D08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D3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4310F">
            <w:pPr>
              <w:jc w:val="center"/>
              <w:rPr>
                <w:rFonts w:hint="eastAsia" w:ascii="宋体" w:hAnsi="宋体" w:eastAsia="宋体" w:cs="宋体"/>
                <w:i w:val="0"/>
                <w:iCs w:val="0"/>
                <w:color w:val="000000"/>
                <w:sz w:val="18"/>
                <w:szCs w:val="18"/>
                <w:u w:val="none"/>
              </w:rPr>
            </w:pPr>
          </w:p>
        </w:tc>
      </w:tr>
      <w:tr w14:paraId="3062F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62CEB">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96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DA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满意度指标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E2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市场主体对监管服务满意度</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E0E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62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19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BAE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957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6E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7E1D8">
            <w:pPr>
              <w:jc w:val="center"/>
              <w:rPr>
                <w:rFonts w:hint="eastAsia" w:ascii="宋体" w:hAnsi="宋体" w:eastAsia="宋体" w:cs="宋体"/>
                <w:i w:val="0"/>
                <w:iCs w:val="0"/>
                <w:color w:val="000000"/>
                <w:sz w:val="18"/>
                <w:szCs w:val="18"/>
                <w:u w:val="none"/>
              </w:rPr>
            </w:pPr>
          </w:p>
        </w:tc>
      </w:tr>
      <w:tr w14:paraId="19DCE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6C18D">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DB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14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38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项目总支出控制额</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AA4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19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D0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1A240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C65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8A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49267">
            <w:pPr>
              <w:jc w:val="center"/>
              <w:rPr>
                <w:rFonts w:hint="eastAsia" w:ascii="微软雅黑" w:hAnsi="微软雅黑" w:eastAsia="微软雅黑" w:cs="微软雅黑"/>
                <w:i/>
                <w:iCs/>
                <w:color w:val="000000"/>
                <w:sz w:val="16"/>
                <w:szCs w:val="16"/>
                <w:u w:val="none"/>
              </w:rPr>
            </w:pPr>
          </w:p>
        </w:tc>
      </w:tr>
      <w:tr w14:paraId="148DD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60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DB8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CB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8DC9C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54D8F6">
            <w:pPr>
              <w:rPr>
                <w:rFonts w:hint="eastAsia" w:ascii="宋体" w:hAnsi="宋体" w:eastAsia="宋体" w:cs="宋体"/>
                <w:i w:val="0"/>
                <w:iCs w:val="0"/>
                <w:color w:val="000000"/>
                <w:sz w:val="18"/>
                <w:szCs w:val="18"/>
                <w:u w:val="none"/>
              </w:rPr>
            </w:pPr>
          </w:p>
        </w:tc>
      </w:tr>
      <w:tr w14:paraId="74ACD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89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5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E6E54D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项目自评得分100分，项目预算执行率100%。</w:t>
            </w:r>
          </w:p>
        </w:tc>
      </w:tr>
      <w:tr w14:paraId="660E8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4"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8B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5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3A9FBB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5F31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23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5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6F7881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bl>
    <w:p w14:paraId="53D8CFE2">
      <w:pPr>
        <w:pStyle w:val="3"/>
        <w:rPr>
          <w:rFonts w:hint="eastAsia" w:ascii="Times New Roman" w:hAnsi="Times New Roman" w:cs="宋体"/>
          <w:color w:val="FF0000"/>
          <w:kern w:val="0"/>
          <w:sz w:val="32"/>
          <w:szCs w:val="32"/>
          <w:highlight w:val="yellow"/>
          <w:shd w:val="clear" w:color="auto" w:fill="FFFFFF"/>
          <w:lang w:val="zh-CN"/>
        </w:rPr>
        <w:sectPr>
          <w:type w:val="continuous"/>
          <w:pgSz w:w="11906" w:h="16838"/>
          <w:pgMar w:top="1440" w:right="1800" w:bottom="1440" w:left="1800" w:header="851" w:footer="992" w:gutter="0"/>
          <w:pgNumType w:fmt="decimal"/>
          <w:cols w:space="0" w:num="1"/>
          <w:rtlGutter w:val="0"/>
          <w:docGrid w:type="lines" w:linePitch="312" w:charSpace="0"/>
        </w:sectPr>
      </w:pPr>
    </w:p>
    <w:p w14:paraId="09931563">
      <w:pPr>
        <w:rPr>
          <w:rFonts w:hint="eastAsia" w:ascii="Times New Roman" w:hAnsi="Times New Roman" w:eastAsia="黑体"/>
          <w:color w:val="auto"/>
          <w:sz w:val="44"/>
          <w:szCs w:val="44"/>
          <w:highlight w:val="none"/>
        </w:rPr>
      </w:pPr>
      <w:bookmarkStart w:id="58" w:name="_Toc15396618"/>
    </w:p>
    <w:p w14:paraId="7B8D657A">
      <w:pPr>
        <w:pStyle w:val="4"/>
        <w:bidi w:val="0"/>
        <w:jc w:val="center"/>
        <w:rPr>
          <w:rFonts w:hint="eastAsia" w:ascii="Times New Roman" w:hAnsi="Times New Roman" w:eastAsia="仿宋_GB2312" w:cs="仿宋_GB2312"/>
          <w:color w:val="auto"/>
          <w:sz w:val="32"/>
          <w:szCs w:val="32"/>
          <w:highlight w:val="none"/>
        </w:rPr>
      </w:pPr>
      <w:bookmarkStart w:id="59" w:name="_Toc29150"/>
      <w:r>
        <w:rPr>
          <w:rFonts w:hint="eastAsia" w:ascii="方正小标宋简体" w:hAnsi="方正小标宋简体" w:eastAsia="方正小标宋简体" w:cs="方正小标宋简体"/>
          <w:b w:val="0"/>
          <w:bCs w:val="0"/>
        </w:rPr>
        <w:t>第五部分 附表</w:t>
      </w:r>
      <w:bookmarkEnd w:id="55"/>
      <w:bookmarkEnd w:id="58"/>
      <w:bookmarkEnd w:id="59"/>
      <w:bookmarkStart w:id="60" w:name="_Toc15396619"/>
    </w:p>
    <w:p w14:paraId="6C4B9D36">
      <w:pPr>
        <w:pStyle w:val="5"/>
        <w:bidi w:val="0"/>
        <w:ind w:firstLine="640" w:firstLineChars="200"/>
        <w:rPr>
          <w:rFonts w:hint="eastAsia" w:ascii="黑体" w:hAnsi="黑体" w:eastAsia="黑体" w:cs="黑体"/>
          <w:b w:val="0"/>
          <w:bCs w:val="0"/>
          <w:lang w:eastAsia="zh-CN"/>
        </w:rPr>
      </w:pPr>
      <w:bookmarkStart w:id="61" w:name="_Toc3790"/>
      <w:r>
        <w:rPr>
          <w:rFonts w:hint="eastAsia" w:ascii="黑体" w:hAnsi="黑体" w:eastAsia="黑体" w:cs="黑体"/>
          <w:b w:val="0"/>
          <w:bCs w:val="0"/>
          <w:lang w:eastAsia="zh-CN"/>
        </w:rPr>
        <w:t>一、收入支出决算总表</w:t>
      </w:r>
      <w:bookmarkEnd w:id="60"/>
      <w:bookmarkEnd w:id="61"/>
    </w:p>
    <w:p w14:paraId="29F57581">
      <w:pPr>
        <w:pStyle w:val="5"/>
        <w:bidi w:val="0"/>
        <w:ind w:firstLine="640" w:firstLineChars="200"/>
        <w:rPr>
          <w:rFonts w:hint="eastAsia" w:ascii="黑体" w:hAnsi="黑体" w:eastAsia="黑体" w:cs="黑体"/>
          <w:b w:val="0"/>
          <w:bCs w:val="0"/>
          <w:lang w:eastAsia="zh-CN"/>
        </w:rPr>
      </w:pPr>
      <w:bookmarkStart w:id="62" w:name="_Toc15396620"/>
      <w:bookmarkStart w:id="63" w:name="_Toc1125"/>
      <w:r>
        <w:rPr>
          <w:rFonts w:hint="eastAsia" w:ascii="黑体" w:hAnsi="黑体" w:eastAsia="黑体" w:cs="黑体"/>
          <w:b w:val="0"/>
          <w:bCs w:val="0"/>
          <w:lang w:eastAsia="zh-CN"/>
        </w:rPr>
        <w:t>二、收入决算表</w:t>
      </w:r>
      <w:bookmarkEnd w:id="62"/>
      <w:bookmarkEnd w:id="63"/>
    </w:p>
    <w:p w14:paraId="0E04DF29">
      <w:pPr>
        <w:pStyle w:val="5"/>
        <w:bidi w:val="0"/>
        <w:ind w:firstLine="640" w:firstLineChars="200"/>
        <w:rPr>
          <w:rFonts w:hint="eastAsia" w:ascii="黑体" w:hAnsi="黑体" w:eastAsia="黑体" w:cs="黑体"/>
          <w:b w:val="0"/>
          <w:bCs w:val="0"/>
          <w:lang w:eastAsia="zh-CN"/>
        </w:rPr>
      </w:pPr>
      <w:bookmarkStart w:id="64" w:name="_Toc11421"/>
      <w:bookmarkStart w:id="65" w:name="_Toc15396621"/>
      <w:r>
        <w:rPr>
          <w:rFonts w:hint="eastAsia" w:ascii="黑体" w:hAnsi="黑体" w:eastAsia="黑体" w:cs="黑体"/>
          <w:b w:val="0"/>
          <w:bCs w:val="0"/>
          <w:lang w:eastAsia="zh-CN"/>
        </w:rPr>
        <w:t>三、支出决算表</w:t>
      </w:r>
      <w:bookmarkEnd w:id="64"/>
      <w:bookmarkEnd w:id="65"/>
    </w:p>
    <w:p w14:paraId="6375DA4A">
      <w:pPr>
        <w:pStyle w:val="5"/>
        <w:bidi w:val="0"/>
        <w:ind w:firstLine="640" w:firstLineChars="200"/>
        <w:rPr>
          <w:rFonts w:hint="eastAsia" w:ascii="黑体" w:hAnsi="黑体" w:eastAsia="黑体" w:cs="黑体"/>
          <w:b w:val="0"/>
          <w:bCs w:val="0"/>
          <w:lang w:eastAsia="zh-CN"/>
        </w:rPr>
      </w:pPr>
      <w:bookmarkStart w:id="66" w:name="_Toc3690"/>
      <w:bookmarkStart w:id="67" w:name="_Toc15396622"/>
      <w:r>
        <w:rPr>
          <w:rFonts w:hint="eastAsia" w:ascii="黑体" w:hAnsi="黑体" w:eastAsia="黑体" w:cs="黑体"/>
          <w:b w:val="0"/>
          <w:bCs w:val="0"/>
          <w:lang w:eastAsia="zh-CN"/>
        </w:rPr>
        <w:t>四、财政拨款收入支出决算总表</w:t>
      </w:r>
      <w:bookmarkEnd w:id="66"/>
      <w:bookmarkEnd w:id="67"/>
    </w:p>
    <w:p w14:paraId="5EA56DD2">
      <w:pPr>
        <w:pStyle w:val="5"/>
        <w:bidi w:val="0"/>
        <w:ind w:firstLine="640" w:firstLineChars="200"/>
        <w:rPr>
          <w:rFonts w:hint="eastAsia" w:ascii="黑体" w:hAnsi="黑体" w:eastAsia="黑体" w:cs="黑体"/>
          <w:b w:val="0"/>
          <w:bCs w:val="0"/>
          <w:lang w:eastAsia="zh-CN"/>
        </w:rPr>
      </w:pPr>
      <w:bookmarkStart w:id="68" w:name="_Toc14679"/>
      <w:bookmarkStart w:id="69" w:name="_Toc15396623"/>
      <w:r>
        <w:rPr>
          <w:rFonts w:hint="eastAsia" w:ascii="黑体" w:hAnsi="黑体" w:eastAsia="黑体" w:cs="黑体"/>
          <w:b w:val="0"/>
          <w:bCs w:val="0"/>
          <w:lang w:eastAsia="zh-CN"/>
        </w:rPr>
        <w:t>五、财政拨款支出决算明细表</w:t>
      </w:r>
      <w:bookmarkEnd w:id="68"/>
      <w:bookmarkEnd w:id="69"/>
      <w:bookmarkStart w:id="70" w:name="_Toc15396624"/>
    </w:p>
    <w:p w14:paraId="60B2E877">
      <w:pPr>
        <w:pStyle w:val="5"/>
        <w:bidi w:val="0"/>
        <w:ind w:firstLine="640" w:firstLineChars="200"/>
        <w:rPr>
          <w:rFonts w:hint="eastAsia" w:ascii="黑体" w:hAnsi="黑体" w:eastAsia="黑体" w:cs="黑体"/>
          <w:b w:val="0"/>
          <w:bCs w:val="0"/>
          <w:lang w:eastAsia="zh-CN"/>
        </w:rPr>
      </w:pPr>
      <w:bookmarkStart w:id="71" w:name="_Toc26756"/>
      <w:r>
        <w:rPr>
          <w:rFonts w:hint="eastAsia" w:ascii="黑体" w:hAnsi="黑体" w:eastAsia="黑体" w:cs="黑体"/>
          <w:b w:val="0"/>
          <w:bCs w:val="0"/>
          <w:lang w:eastAsia="zh-CN"/>
        </w:rPr>
        <w:t>六、一般公共预算财政拨款支出决算表</w:t>
      </w:r>
      <w:bookmarkEnd w:id="70"/>
      <w:bookmarkEnd w:id="71"/>
    </w:p>
    <w:p w14:paraId="460EC54D">
      <w:pPr>
        <w:pStyle w:val="5"/>
        <w:bidi w:val="0"/>
        <w:ind w:firstLine="640" w:firstLineChars="200"/>
        <w:rPr>
          <w:rFonts w:hint="eastAsia" w:ascii="黑体" w:hAnsi="黑体" w:eastAsia="黑体" w:cs="黑体"/>
          <w:b w:val="0"/>
          <w:bCs w:val="0"/>
          <w:lang w:eastAsia="zh-CN"/>
        </w:rPr>
      </w:pPr>
      <w:bookmarkStart w:id="72" w:name="_Toc15396625"/>
      <w:bookmarkStart w:id="73" w:name="_Toc10317"/>
      <w:r>
        <w:rPr>
          <w:rFonts w:hint="eastAsia" w:ascii="黑体" w:hAnsi="黑体" w:eastAsia="黑体" w:cs="黑体"/>
          <w:b w:val="0"/>
          <w:bCs w:val="0"/>
          <w:lang w:eastAsia="zh-CN"/>
        </w:rPr>
        <w:t>七、一般公共预算财政拨款支出决算明细表</w:t>
      </w:r>
      <w:bookmarkEnd w:id="72"/>
      <w:bookmarkEnd w:id="73"/>
    </w:p>
    <w:p w14:paraId="49E27059">
      <w:pPr>
        <w:pStyle w:val="5"/>
        <w:bidi w:val="0"/>
        <w:ind w:firstLine="640" w:firstLineChars="200"/>
        <w:rPr>
          <w:rFonts w:hint="eastAsia" w:ascii="黑体" w:hAnsi="黑体" w:eastAsia="黑体" w:cs="黑体"/>
          <w:b w:val="0"/>
          <w:bCs w:val="0"/>
          <w:lang w:eastAsia="zh-CN"/>
        </w:rPr>
      </w:pPr>
      <w:bookmarkStart w:id="74" w:name="_Toc10613"/>
      <w:bookmarkStart w:id="75" w:name="_Toc15396626"/>
      <w:r>
        <w:rPr>
          <w:rFonts w:hint="eastAsia" w:ascii="黑体" w:hAnsi="黑体" w:eastAsia="黑体" w:cs="黑体"/>
          <w:b w:val="0"/>
          <w:bCs w:val="0"/>
          <w:lang w:eastAsia="zh-CN"/>
        </w:rPr>
        <w:t>八、一般公共预算财政拨款基本支出决算表</w:t>
      </w:r>
      <w:bookmarkEnd w:id="74"/>
      <w:bookmarkEnd w:id="75"/>
    </w:p>
    <w:p w14:paraId="2FD2B161">
      <w:pPr>
        <w:pStyle w:val="5"/>
        <w:bidi w:val="0"/>
        <w:ind w:firstLine="640" w:firstLineChars="200"/>
        <w:rPr>
          <w:rFonts w:hint="eastAsia" w:ascii="黑体" w:hAnsi="黑体" w:eastAsia="黑体" w:cs="黑体"/>
          <w:b w:val="0"/>
          <w:bCs w:val="0"/>
          <w:lang w:eastAsia="zh-CN"/>
        </w:rPr>
      </w:pPr>
      <w:bookmarkStart w:id="76" w:name="_Toc15396627"/>
      <w:bookmarkStart w:id="77" w:name="_Toc11046"/>
      <w:r>
        <w:rPr>
          <w:rFonts w:hint="eastAsia" w:ascii="黑体" w:hAnsi="黑体" w:eastAsia="黑体" w:cs="黑体"/>
          <w:b w:val="0"/>
          <w:bCs w:val="0"/>
          <w:lang w:eastAsia="zh-CN"/>
        </w:rPr>
        <w:t>九、一般公共预算财政拨款项目支出决算表</w:t>
      </w:r>
      <w:bookmarkEnd w:id="76"/>
      <w:bookmarkEnd w:id="77"/>
    </w:p>
    <w:p w14:paraId="563E56B8">
      <w:pPr>
        <w:pStyle w:val="5"/>
        <w:bidi w:val="0"/>
        <w:ind w:firstLine="640" w:firstLineChars="200"/>
        <w:rPr>
          <w:rFonts w:hint="eastAsia" w:ascii="黑体" w:hAnsi="黑体" w:eastAsia="黑体" w:cs="黑体"/>
          <w:b w:val="0"/>
          <w:bCs w:val="0"/>
          <w:lang w:eastAsia="zh-CN"/>
        </w:rPr>
      </w:pPr>
      <w:bookmarkStart w:id="78" w:name="_Toc15396628"/>
      <w:bookmarkStart w:id="79" w:name="_Toc645"/>
      <w:r>
        <w:rPr>
          <w:rFonts w:hint="eastAsia" w:ascii="黑体" w:hAnsi="黑体" w:eastAsia="黑体" w:cs="黑体"/>
          <w:b w:val="0"/>
          <w:bCs w:val="0"/>
          <w:lang w:eastAsia="zh-CN"/>
        </w:rPr>
        <w:t>十、</w:t>
      </w:r>
      <w:bookmarkEnd w:id="78"/>
      <w:r>
        <w:rPr>
          <w:rFonts w:hint="eastAsia" w:ascii="黑体" w:hAnsi="黑体" w:eastAsia="黑体" w:cs="黑体"/>
          <w:b w:val="0"/>
          <w:bCs w:val="0"/>
          <w:lang w:eastAsia="zh-CN"/>
        </w:rPr>
        <w:t>政府性基金预算财政拨款收入支出决算表</w:t>
      </w:r>
      <w:bookmarkEnd w:id="79"/>
    </w:p>
    <w:p w14:paraId="2D691D7B">
      <w:pPr>
        <w:pStyle w:val="5"/>
        <w:bidi w:val="0"/>
        <w:ind w:firstLine="640" w:firstLineChars="200"/>
        <w:rPr>
          <w:rFonts w:hint="eastAsia" w:ascii="黑体" w:hAnsi="黑体" w:eastAsia="黑体" w:cs="黑体"/>
          <w:b w:val="0"/>
          <w:bCs w:val="0"/>
          <w:lang w:eastAsia="zh-CN"/>
        </w:rPr>
      </w:pPr>
      <w:bookmarkStart w:id="80" w:name="_Toc15396629"/>
      <w:bookmarkStart w:id="81" w:name="_Toc25413"/>
      <w:r>
        <w:rPr>
          <w:rFonts w:hint="eastAsia" w:ascii="黑体" w:hAnsi="黑体" w:eastAsia="黑体" w:cs="黑体"/>
          <w:b w:val="0"/>
          <w:bCs w:val="0"/>
          <w:lang w:eastAsia="zh-CN"/>
        </w:rPr>
        <w:t>十一、</w:t>
      </w:r>
      <w:bookmarkEnd w:id="80"/>
      <w:r>
        <w:rPr>
          <w:rFonts w:hint="eastAsia" w:ascii="黑体" w:hAnsi="黑体" w:eastAsia="黑体" w:cs="黑体"/>
          <w:b w:val="0"/>
          <w:bCs w:val="0"/>
          <w:lang w:eastAsia="zh-CN"/>
        </w:rPr>
        <w:t>国有资本经营预算财政拨款收入支出决算表</w:t>
      </w:r>
      <w:bookmarkEnd w:id="81"/>
    </w:p>
    <w:p w14:paraId="387F817F">
      <w:pPr>
        <w:pStyle w:val="5"/>
        <w:bidi w:val="0"/>
        <w:ind w:firstLine="640" w:firstLineChars="200"/>
        <w:rPr>
          <w:rFonts w:hint="eastAsia" w:ascii="黑体" w:hAnsi="黑体" w:eastAsia="黑体" w:cs="黑体"/>
          <w:b w:val="0"/>
          <w:bCs w:val="0"/>
          <w:lang w:eastAsia="zh-CN"/>
        </w:rPr>
      </w:pPr>
      <w:bookmarkStart w:id="82" w:name="_Toc15396630"/>
      <w:bookmarkStart w:id="83" w:name="_Toc22495"/>
      <w:r>
        <w:rPr>
          <w:rFonts w:hint="eastAsia" w:ascii="黑体" w:hAnsi="黑体" w:eastAsia="黑体" w:cs="黑体"/>
          <w:b w:val="0"/>
          <w:bCs w:val="0"/>
          <w:lang w:eastAsia="zh-CN"/>
        </w:rPr>
        <w:t>十二、</w:t>
      </w:r>
      <w:bookmarkEnd w:id="82"/>
      <w:r>
        <w:rPr>
          <w:rFonts w:hint="eastAsia" w:ascii="黑体" w:hAnsi="黑体" w:eastAsia="黑体" w:cs="黑体"/>
          <w:b w:val="0"/>
          <w:bCs w:val="0"/>
          <w:lang w:eastAsia="zh-CN"/>
        </w:rPr>
        <w:t>国有资本经营预算财政拨款支出决算表</w:t>
      </w:r>
      <w:bookmarkEnd w:id="83"/>
    </w:p>
    <w:p w14:paraId="3700079E">
      <w:pPr>
        <w:pStyle w:val="5"/>
        <w:bidi w:val="0"/>
        <w:ind w:firstLine="640" w:firstLineChars="200"/>
        <w:rPr>
          <w:rFonts w:hint="eastAsia" w:ascii="黑体" w:hAnsi="黑体" w:eastAsia="黑体" w:cs="黑体"/>
          <w:b w:val="0"/>
          <w:bCs w:val="0"/>
          <w:lang w:eastAsia="zh-CN"/>
        </w:rPr>
      </w:pPr>
      <w:bookmarkStart w:id="84" w:name="_Toc15396631"/>
      <w:bookmarkStart w:id="85" w:name="_Toc4912"/>
      <w:r>
        <w:rPr>
          <w:rFonts w:hint="eastAsia" w:ascii="黑体" w:hAnsi="黑体" w:eastAsia="黑体" w:cs="黑体"/>
          <w:b w:val="0"/>
          <w:bCs w:val="0"/>
          <w:lang w:eastAsia="zh-CN"/>
        </w:rPr>
        <w:t>十三、</w:t>
      </w:r>
      <w:bookmarkEnd w:id="84"/>
      <w:r>
        <w:rPr>
          <w:rFonts w:hint="eastAsia" w:ascii="黑体" w:hAnsi="黑体" w:eastAsia="黑体" w:cs="黑体"/>
          <w:b w:val="0"/>
          <w:bCs w:val="0"/>
          <w:lang w:eastAsia="zh-CN"/>
        </w:rPr>
        <w:t>财政拨款“三公”经费支出决算表</w:t>
      </w:r>
      <w:bookmarkEnd w:id="85"/>
    </w:p>
    <w:p w14:paraId="1D4A14F9">
      <w:pPr>
        <w:pStyle w:val="5"/>
        <w:bidi w:val="0"/>
        <w:ind w:firstLine="640" w:firstLineChars="200"/>
        <w:rPr>
          <w:rFonts w:hint="eastAsia" w:ascii="黑体" w:hAnsi="黑体" w:eastAsia="黑体" w:cs="黑体"/>
          <w:b w:val="0"/>
          <w:bCs w:val="0"/>
          <w:lang w:eastAsia="zh-CN"/>
        </w:rPr>
      </w:pPr>
    </w:p>
    <w:sectPr>
      <w:type w:val="continuous"/>
      <w:pgSz w:w="11906" w:h="16838"/>
      <w:pgMar w:top="1440" w:right="1800" w:bottom="1440" w:left="1800"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84387">
    <w:pPr>
      <w:pStyle w:val="1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60954F">
                          <w:pPr>
                            <w:pStyle w:val="1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0960954F">
                    <w:pPr>
                      <w:pStyle w:val="13"/>
                    </w:pPr>
                  </w:p>
                </w:txbxContent>
              </v:textbox>
            </v:shape>
          </w:pict>
        </mc:Fallback>
      </mc:AlternateContent>
    </w:r>
  </w:p>
  <w:p w14:paraId="1CC3ED22">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45A59">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98EC69">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C98EC69">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2E3E7">
    <w:pPr>
      <w:pStyle w:val="1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A475C1">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2DA475C1">
                    <w:pPr>
                      <w:pStyle w:val="13"/>
                    </w:pPr>
                    <w:r>
                      <w:fldChar w:fldCharType="begin"/>
                    </w:r>
                    <w:r>
                      <w:instrText xml:space="preserve"> PAGE  \* MERGEFORMAT </w:instrText>
                    </w:r>
                    <w:r>
                      <w:fldChar w:fldCharType="separate"/>
                    </w:r>
                    <w:r>
                      <w:t>1</w:t>
                    </w:r>
                    <w:r>
                      <w:fldChar w:fldCharType="end"/>
                    </w:r>
                  </w:p>
                </w:txbxContent>
              </v:textbox>
            </v:shape>
          </w:pict>
        </mc:Fallback>
      </mc:AlternateContent>
    </w:r>
  </w:p>
  <w:p w14:paraId="00499C0F">
    <w:pPr>
      <w:pStyle w:val="1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documentProtection w:enforcement="0"/>
  <w:defaultTabStop w:val="420"/>
  <w:drawingGridHorizontalSpacing w:val="105"/>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791"/>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64C4"/>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6550B"/>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088A"/>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5D4B"/>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E7797"/>
    <w:rsid w:val="00BF5BD6"/>
    <w:rsid w:val="00C03E31"/>
    <w:rsid w:val="00C33E72"/>
    <w:rsid w:val="00C354B2"/>
    <w:rsid w:val="00C35554"/>
    <w:rsid w:val="00C42709"/>
    <w:rsid w:val="00C533CC"/>
    <w:rsid w:val="00C5751C"/>
    <w:rsid w:val="00C61BFC"/>
    <w:rsid w:val="00C62B85"/>
    <w:rsid w:val="00C65438"/>
    <w:rsid w:val="00C823C4"/>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317F69"/>
    <w:rsid w:val="0132783D"/>
    <w:rsid w:val="01377491"/>
    <w:rsid w:val="014632E9"/>
    <w:rsid w:val="015975B8"/>
    <w:rsid w:val="017309D2"/>
    <w:rsid w:val="018C519F"/>
    <w:rsid w:val="019404F8"/>
    <w:rsid w:val="01E4322D"/>
    <w:rsid w:val="01FB0577"/>
    <w:rsid w:val="01FB2F91"/>
    <w:rsid w:val="02317B1B"/>
    <w:rsid w:val="0241242E"/>
    <w:rsid w:val="024912E2"/>
    <w:rsid w:val="0261662C"/>
    <w:rsid w:val="0297204E"/>
    <w:rsid w:val="02A66735"/>
    <w:rsid w:val="02BF77F6"/>
    <w:rsid w:val="02E97F00"/>
    <w:rsid w:val="02F30F60"/>
    <w:rsid w:val="02FEBE30"/>
    <w:rsid w:val="03404493"/>
    <w:rsid w:val="03634626"/>
    <w:rsid w:val="03962305"/>
    <w:rsid w:val="03AF786B"/>
    <w:rsid w:val="03F07987"/>
    <w:rsid w:val="046643CE"/>
    <w:rsid w:val="047D34C5"/>
    <w:rsid w:val="04893C18"/>
    <w:rsid w:val="04AC51BF"/>
    <w:rsid w:val="04C74740"/>
    <w:rsid w:val="057228FE"/>
    <w:rsid w:val="05791EDF"/>
    <w:rsid w:val="05A50F26"/>
    <w:rsid w:val="05CD2772"/>
    <w:rsid w:val="06127C3D"/>
    <w:rsid w:val="061614DB"/>
    <w:rsid w:val="061E35DE"/>
    <w:rsid w:val="062F07EF"/>
    <w:rsid w:val="065701C8"/>
    <w:rsid w:val="066E0107"/>
    <w:rsid w:val="070B300A"/>
    <w:rsid w:val="074C4BA7"/>
    <w:rsid w:val="07996F6E"/>
    <w:rsid w:val="07DFD8BA"/>
    <w:rsid w:val="08204893"/>
    <w:rsid w:val="08393BA7"/>
    <w:rsid w:val="08634780"/>
    <w:rsid w:val="08752E31"/>
    <w:rsid w:val="08BB280E"/>
    <w:rsid w:val="08BE2B46"/>
    <w:rsid w:val="08D4742C"/>
    <w:rsid w:val="08DB07E4"/>
    <w:rsid w:val="08F5187C"/>
    <w:rsid w:val="091066B6"/>
    <w:rsid w:val="095F763D"/>
    <w:rsid w:val="097A26B6"/>
    <w:rsid w:val="09867E8F"/>
    <w:rsid w:val="09972933"/>
    <w:rsid w:val="09C53944"/>
    <w:rsid w:val="0A0855DF"/>
    <w:rsid w:val="0A122902"/>
    <w:rsid w:val="0A2032A3"/>
    <w:rsid w:val="0A342878"/>
    <w:rsid w:val="0A374116"/>
    <w:rsid w:val="0A4707FD"/>
    <w:rsid w:val="0A6462CF"/>
    <w:rsid w:val="0A83110A"/>
    <w:rsid w:val="0AB37C41"/>
    <w:rsid w:val="0AC41E4E"/>
    <w:rsid w:val="0AE41BA8"/>
    <w:rsid w:val="0AE918B4"/>
    <w:rsid w:val="0AFF4C34"/>
    <w:rsid w:val="0B10295D"/>
    <w:rsid w:val="0B161F7E"/>
    <w:rsid w:val="0B185CF6"/>
    <w:rsid w:val="0B505490"/>
    <w:rsid w:val="0B892750"/>
    <w:rsid w:val="0BA16207"/>
    <w:rsid w:val="0BE04A65"/>
    <w:rsid w:val="0BEF4CA9"/>
    <w:rsid w:val="0C030754"/>
    <w:rsid w:val="0C0544CC"/>
    <w:rsid w:val="0C394176"/>
    <w:rsid w:val="0C591F54"/>
    <w:rsid w:val="0C6C4794"/>
    <w:rsid w:val="0C9D165E"/>
    <w:rsid w:val="0CA8290A"/>
    <w:rsid w:val="0D132C19"/>
    <w:rsid w:val="0D350DE1"/>
    <w:rsid w:val="0D35B1ED"/>
    <w:rsid w:val="0D5A65D7"/>
    <w:rsid w:val="0DD201F4"/>
    <w:rsid w:val="0DDE3227"/>
    <w:rsid w:val="0DE07E2B"/>
    <w:rsid w:val="0E032C8D"/>
    <w:rsid w:val="0E83792A"/>
    <w:rsid w:val="0EAA3109"/>
    <w:rsid w:val="0EAF071F"/>
    <w:rsid w:val="0EF32D02"/>
    <w:rsid w:val="0EF56A7A"/>
    <w:rsid w:val="0F500107"/>
    <w:rsid w:val="0F98263C"/>
    <w:rsid w:val="0FAB0EE6"/>
    <w:rsid w:val="0FC1070A"/>
    <w:rsid w:val="101860EC"/>
    <w:rsid w:val="103709CC"/>
    <w:rsid w:val="10463305"/>
    <w:rsid w:val="105D7981"/>
    <w:rsid w:val="10C055FF"/>
    <w:rsid w:val="10ED3781"/>
    <w:rsid w:val="11146F5F"/>
    <w:rsid w:val="111E1B8C"/>
    <w:rsid w:val="113969C6"/>
    <w:rsid w:val="11477335"/>
    <w:rsid w:val="11537A88"/>
    <w:rsid w:val="11772AA4"/>
    <w:rsid w:val="117A5014"/>
    <w:rsid w:val="118107EC"/>
    <w:rsid w:val="11966221"/>
    <w:rsid w:val="11996E96"/>
    <w:rsid w:val="11EB4164"/>
    <w:rsid w:val="11FD5C45"/>
    <w:rsid w:val="123553DF"/>
    <w:rsid w:val="12543AB7"/>
    <w:rsid w:val="125C471A"/>
    <w:rsid w:val="135D4BEE"/>
    <w:rsid w:val="136C3083"/>
    <w:rsid w:val="13816ECC"/>
    <w:rsid w:val="138A3509"/>
    <w:rsid w:val="13AC7923"/>
    <w:rsid w:val="13C63F15"/>
    <w:rsid w:val="13D50BC4"/>
    <w:rsid w:val="14022904"/>
    <w:rsid w:val="145558C5"/>
    <w:rsid w:val="146B158C"/>
    <w:rsid w:val="14987A67"/>
    <w:rsid w:val="14E07884"/>
    <w:rsid w:val="15013364"/>
    <w:rsid w:val="15155054"/>
    <w:rsid w:val="152F2A07"/>
    <w:rsid w:val="154D0C92"/>
    <w:rsid w:val="156758B0"/>
    <w:rsid w:val="157306F8"/>
    <w:rsid w:val="16585B40"/>
    <w:rsid w:val="165E0673"/>
    <w:rsid w:val="165E3157"/>
    <w:rsid w:val="168D57EA"/>
    <w:rsid w:val="16BB723D"/>
    <w:rsid w:val="16C805D0"/>
    <w:rsid w:val="16DB47A7"/>
    <w:rsid w:val="16E86EC4"/>
    <w:rsid w:val="16F70EB5"/>
    <w:rsid w:val="17011D34"/>
    <w:rsid w:val="173D7210"/>
    <w:rsid w:val="174C7453"/>
    <w:rsid w:val="176302F9"/>
    <w:rsid w:val="17C3523B"/>
    <w:rsid w:val="17D80CE7"/>
    <w:rsid w:val="17E01949"/>
    <w:rsid w:val="18291542"/>
    <w:rsid w:val="186504BB"/>
    <w:rsid w:val="19017DC9"/>
    <w:rsid w:val="1938089F"/>
    <w:rsid w:val="193E2DCB"/>
    <w:rsid w:val="197113F3"/>
    <w:rsid w:val="19832ED4"/>
    <w:rsid w:val="19A445FC"/>
    <w:rsid w:val="19C72DC1"/>
    <w:rsid w:val="19DB061A"/>
    <w:rsid w:val="1A027F67"/>
    <w:rsid w:val="1A2A3350"/>
    <w:rsid w:val="1A2E65C1"/>
    <w:rsid w:val="1A3218B3"/>
    <w:rsid w:val="1A9D6217"/>
    <w:rsid w:val="1AB07CF9"/>
    <w:rsid w:val="1AB84DFF"/>
    <w:rsid w:val="1AD52AE7"/>
    <w:rsid w:val="1AE80EB9"/>
    <w:rsid w:val="1AFB4802"/>
    <w:rsid w:val="1B6D1746"/>
    <w:rsid w:val="1B7D550C"/>
    <w:rsid w:val="1BE834C2"/>
    <w:rsid w:val="1BE8440E"/>
    <w:rsid w:val="1BEE0ACC"/>
    <w:rsid w:val="1C244174"/>
    <w:rsid w:val="1C321B2D"/>
    <w:rsid w:val="1C646FED"/>
    <w:rsid w:val="1CC17F9B"/>
    <w:rsid w:val="1CC7641A"/>
    <w:rsid w:val="1CF57C45"/>
    <w:rsid w:val="1D036806"/>
    <w:rsid w:val="1D061E52"/>
    <w:rsid w:val="1D155CEE"/>
    <w:rsid w:val="1D813BCE"/>
    <w:rsid w:val="1DAD0520"/>
    <w:rsid w:val="1DBB0E8E"/>
    <w:rsid w:val="1DE06B47"/>
    <w:rsid w:val="1E2C58E8"/>
    <w:rsid w:val="1E2C7696"/>
    <w:rsid w:val="1E630076"/>
    <w:rsid w:val="1E641526"/>
    <w:rsid w:val="1E6F1C79"/>
    <w:rsid w:val="1E740ACF"/>
    <w:rsid w:val="1E890F8D"/>
    <w:rsid w:val="1E9F255E"/>
    <w:rsid w:val="1EB15DEE"/>
    <w:rsid w:val="1ED815CC"/>
    <w:rsid w:val="1EDD6BE3"/>
    <w:rsid w:val="1F1F71FB"/>
    <w:rsid w:val="1F9C6A9E"/>
    <w:rsid w:val="1FE87F35"/>
    <w:rsid w:val="1FF35744"/>
    <w:rsid w:val="1FF6BC77"/>
    <w:rsid w:val="20062169"/>
    <w:rsid w:val="201900EE"/>
    <w:rsid w:val="202820DF"/>
    <w:rsid w:val="20586E69"/>
    <w:rsid w:val="205D447F"/>
    <w:rsid w:val="2079293B"/>
    <w:rsid w:val="208F6602"/>
    <w:rsid w:val="20A26336"/>
    <w:rsid w:val="20F12E19"/>
    <w:rsid w:val="20F17F62"/>
    <w:rsid w:val="20F63F8C"/>
    <w:rsid w:val="20FC2F31"/>
    <w:rsid w:val="2116462E"/>
    <w:rsid w:val="21962A9E"/>
    <w:rsid w:val="21997739"/>
    <w:rsid w:val="21AE7C77"/>
    <w:rsid w:val="21AF5D06"/>
    <w:rsid w:val="21BE719F"/>
    <w:rsid w:val="21D20555"/>
    <w:rsid w:val="220B3A67"/>
    <w:rsid w:val="22356D36"/>
    <w:rsid w:val="226E2973"/>
    <w:rsid w:val="22765384"/>
    <w:rsid w:val="22BC3C41"/>
    <w:rsid w:val="22C00CF5"/>
    <w:rsid w:val="236830D2"/>
    <w:rsid w:val="237B69CA"/>
    <w:rsid w:val="23810897"/>
    <w:rsid w:val="23860B96"/>
    <w:rsid w:val="23A45F21"/>
    <w:rsid w:val="23F24EDE"/>
    <w:rsid w:val="23FB7503"/>
    <w:rsid w:val="240371BF"/>
    <w:rsid w:val="2409047A"/>
    <w:rsid w:val="244119C2"/>
    <w:rsid w:val="24523BCF"/>
    <w:rsid w:val="24C543A1"/>
    <w:rsid w:val="24E54A43"/>
    <w:rsid w:val="252437BD"/>
    <w:rsid w:val="253B28B5"/>
    <w:rsid w:val="2558097B"/>
    <w:rsid w:val="25951FC5"/>
    <w:rsid w:val="25AD01C7"/>
    <w:rsid w:val="25F72C80"/>
    <w:rsid w:val="260F557C"/>
    <w:rsid w:val="261C702C"/>
    <w:rsid w:val="26234EE0"/>
    <w:rsid w:val="263B1CAD"/>
    <w:rsid w:val="265C0D35"/>
    <w:rsid w:val="26647BE9"/>
    <w:rsid w:val="266D4CF0"/>
    <w:rsid w:val="26797B39"/>
    <w:rsid w:val="26BE08C7"/>
    <w:rsid w:val="26C24F24"/>
    <w:rsid w:val="26D905D7"/>
    <w:rsid w:val="26F64CE5"/>
    <w:rsid w:val="270F224B"/>
    <w:rsid w:val="27313F6F"/>
    <w:rsid w:val="27BB7CDD"/>
    <w:rsid w:val="281408E2"/>
    <w:rsid w:val="2818512F"/>
    <w:rsid w:val="288F53F1"/>
    <w:rsid w:val="28CF4308"/>
    <w:rsid w:val="290851A4"/>
    <w:rsid w:val="29183639"/>
    <w:rsid w:val="291E22D1"/>
    <w:rsid w:val="293D6BFB"/>
    <w:rsid w:val="2940493E"/>
    <w:rsid w:val="29524F49"/>
    <w:rsid w:val="2987431B"/>
    <w:rsid w:val="29944708"/>
    <w:rsid w:val="29B15BAA"/>
    <w:rsid w:val="29B449E4"/>
    <w:rsid w:val="29C410CB"/>
    <w:rsid w:val="29DC3DF4"/>
    <w:rsid w:val="29FD04D3"/>
    <w:rsid w:val="2A1536D4"/>
    <w:rsid w:val="2A1F09F7"/>
    <w:rsid w:val="2A3224D8"/>
    <w:rsid w:val="2A81520E"/>
    <w:rsid w:val="2ABC7FF4"/>
    <w:rsid w:val="2AED28A3"/>
    <w:rsid w:val="2B1E480B"/>
    <w:rsid w:val="2B535728"/>
    <w:rsid w:val="2B726905"/>
    <w:rsid w:val="2B7A085E"/>
    <w:rsid w:val="2B7B1C5D"/>
    <w:rsid w:val="2BFF7BC6"/>
    <w:rsid w:val="2C1C51EE"/>
    <w:rsid w:val="2C212804"/>
    <w:rsid w:val="2C3047F5"/>
    <w:rsid w:val="2C5B55EB"/>
    <w:rsid w:val="2C6705BD"/>
    <w:rsid w:val="2C7C5C8D"/>
    <w:rsid w:val="2C8A61B5"/>
    <w:rsid w:val="2C950AFD"/>
    <w:rsid w:val="2CAB6572"/>
    <w:rsid w:val="2CDD4252"/>
    <w:rsid w:val="2D047A30"/>
    <w:rsid w:val="2D2E01CF"/>
    <w:rsid w:val="2D334B69"/>
    <w:rsid w:val="2D957F46"/>
    <w:rsid w:val="2DC007B4"/>
    <w:rsid w:val="2DC773DC"/>
    <w:rsid w:val="2DCE076A"/>
    <w:rsid w:val="2DF04E50"/>
    <w:rsid w:val="2E0E4B9C"/>
    <w:rsid w:val="2E5F4766"/>
    <w:rsid w:val="2E67471B"/>
    <w:rsid w:val="2E7F39BA"/>
    <w:rsid w:val="2E8B0409"/>
    <w:rsid w:val="2E9545B0"/>
    <w:rsid w:val="2EFE0BDB"/>
    <w:rsid w:val="2F040D46"/>
    <w:rsid w:val="2F08119A"/>
    <w:rsid w:val="2F154177"/>
    <w:rsid w:val="2F2B5748"/>
    <w:rsid w:val="2F2D7712"/>
    <w:rsid w:val="2F324D29"/>
    <w:rsid w:val="2F6A2714"/>
    <w:rsid w:val="2F6B3D97"/>
    <w:rsid w:val="2F762E67"/>
    <w:rsid w:val="2F7B66D0"/>
    <w:rsid w:val="2F82362D"/>
    <w:rsid w:val="2FAA2B11"/>
    <w:rsid w:val="2FAE5751"/>
    <w:rsid w:val="2FB1A395"/>
    <w:rsid w:val="2FD9A7D8"/>
    <w:rsid w:val="2FFD5337"/>
    <w:rsid w:val="30422D49"/>
    <w:rsid w:val="3097418D"/>
    <w:rsid w:val="30B05F05"/>
    <w:rsid w:val="30B5507D"/>
    <w:rsid w:val="30E87D95"/>
    <w:rsid w:val="310E5321"/>
    <w:rsid w:val="312D57A8"/>
    <w:rsid w:val="319C292D"/>
    <w:rsid w:val="319F7F4E"/>
    <w:rsid w:val="31A1398E"/>
    <w:rsid w:val="31A93643"/>
    <w:rsid w:val="31B163D9"/>
    <w:rsid w:val="321B2544"/>
    <w:rsid w:val="324C7EAF"/>
    <w:rsid w:val="3260395B"/>
    <w:rsid w:val="327A0EC0"/>
    <w:rsid w:val="32C65EB4"/>
    <w:rsid w:val="32EE518C"/>
    <w:rsid w:val="3304709D"/>
    <w:rsid w:val="33391BEB"/>
    <w:rsid w:val="333A41AC"/>
    <w:rsid w:val="333C7F24"/>
    <w:rsid w:val="336D27D3"/>
    <w:rsid w:val="337551E4"/>
    <w:rsid w:val="33A51F6D"/>
    <w:rsid w:val="33AF6948"/>
    <w:rsid w:val="33B62074"/>
    <w:rsid w:val="33C323F3"/>
    <w:rsid w:val="34281836"/>
    <w:rsid w:val="349D6851"/>
    <w:rsid w:val="34A55F9D"/>
    <w:rsid w:val="34F32864"/>
    <w:rsid w:val="34FD1935"/>
    <w:rsid w:val="35610116"/>
    <w:rsid w:val="35BA6CAF"/>
    <w:rsid w:val="364D14C1"/>
    <w:rsid w:val="36681030"/>
    <w:rsid w:val="36AA5135"/>
    <w:rsid w:val="36BE0DA7"/>
    <w:rsid w:val="372E5DD5"/>
    <w:rsid w:val="373D426B"/>
    <w:rsid w:val="376B6AA6"/>
    <w:rsid w:val="376D39B2"/>
    <w:rsid w:val="37B23AF9"/>
    <w:rsid w:val="37E16F03"/>
    <w:rsid w:val="37F53A3B"/>
    <w:rsid w:val="38211DDE"/>
    <w:rsid w:val="382F0057"/>
    <w:rsid w:val="384F06F9"/>
    <w:rsid w:val="389B6C89"/>
    <w:rsid w:val="38AC16A8"/>
    <w:rsid w:val="38D469F0"/>
    <w:rsid w:val="393D46F1"/>
    <w:rsid w:val="39627CCD"/>
    <w:rsid w:val="397BAF1F"/>
    <w:rsid w:val="39A44A75"/>
    <w:rsid w:val="39AE72B7"/>
    <w:rsid w:val="39BD1693"/>
    <w:rsid w:val="3A064DE8"/>
    <w:rsid w:val="3A3C4CAD"/>
    <w:rsid w:val="3A571AE7"/>
    <w:rsid w:val="3A59760D"/>
    <w:rsid w:val="3A8B1791"/>
    <w:rsid w:val="3A976388"/>
    <w:rsid w:val="3AB79AF3"/>
    <w:rsid w:val="3AB94550"/>
    <w:rsid w:val="3AF61300"/>
    <w:rsid w:val="3B003F2D"/>
    <w:rsid w:val="3B234D20"/>
    <w:rsid w:val="3B7010B2"/>
    <w:rsid w:val="3B7EF35A"/>
    <w:rsid w:val="3B9FDB6C"/>
    <w:rsid w:val="3BB23479"/>
    <w:rsid w:val="3BB5459C"/>
    <w:rsid w:val="3BCC2061"/>
    <w:rsid w:val="3BD333EF"/>
    <w:rsid w:val="3BF5BC2F"/>
    <w:rsid w:val="3BFA7034"/>
    <w:rsid w:val="3C4147FD"/>
    <w:rsid w:val="3C746980"/>
    <w:rsid w:val="3C964B49"/>
    <w:rsid w:val="3CEBA265"/>
    <w:rsid w:val="3D211F38"/>
    <w:rsid w:val="3D3305EA"/>
    <w:rsid w:val="3D4A76E1"/>
    <w:rsid w:val="3D8175A7"/>
    <w:rsid w:val="3D98207C"/>
    <w:rsid w:val="3D9B0D99"/>
    <w:rsid w:val="3DAB63D2"/>
    <w:rsid w:val="3DD516A1"/>
    <w:rsid w:val="3DEE7CF3"/>
    <w:rsid w:val="3DF02244"/>
    <w:rsid w:val="3E0C2BE9"/>
    <w:rsid w:val="3E330175"/>
    <w:rsid w:val="3E78745D"/>
    <w:rsid w:val="3E8D5AD7"/>
    <w:rsid w:val="3EC7661E"/>
    <w:rsid w:val="3EC84D62"/>
    <w:rsid w:val="3ED25BE0"/>
    <w:rsid w:val="3F2A7D78"/>
    <w:rsid w:val="3F402B4A"/>
    <w:rsid w:val="3F450160"/>
    <w:rsid w:val="3F4A7E6C"/>
    <w:rsid w:val="3F5C54AA"/>
    <w:rsid w:val="3FE45BCB"/>
    <w:rsid w:val="3FE931E1"/>
    <w:rsid w:val="3FEC2CD2"/>
    <w:rsid w:val="3FF4CAE0"/>
    <w:rsid w:val="3FF7B227"/>
    <w:rsid w:val="40112738"/>
    <w:rsid w:val="401F6C03"/>
    <w:rsid w:val="406063DD"/>
    <w:rsid w:val="407B4DD5"/>
    <w:rsid w:val="40865D95"/>
    <w:rsid w:val="40B90F2A"/>
    <w:rsid w:val="40D45C40"/>
    <w:rsid w:val="40E54C45"/>
    <w:rsid w:val="40E85247"/>
    <w:rsid w:val="40FC63F3"/>
    <w:rsid w:val="415B010F"/>
    <w:rsid w:val="41682B86"/>
    <w:rsid w:val="41B415CD"/>
    <w:rsid w:val="41FD2F74"/>
    <w:rsid w:val="425D1C65"/>
    <w:rsid w:val="42672AE3"/>
    <w:rsid w:val="426D0DA2"/>
    <w:rsid w:val="429C453B"/>
    <w:rsid w:val="42BA2C13"/>
    <w:rsid w:val="43185992"/>
    <w:rsid w:val="435C3CCA"/>
    <w:rsid w:val="438374A9"/>
    <w:rsid w:val="43A407DF"/>
    <w:rsid w:val="43AC6A00"/>
    <w:rsid w:val="43C006FD"/>
    <w:rsid w:val="43CC52F4"/>
    <w:rsid w:val="43D877F5"/>
    <w:rsid w:val="44515BEA"/>
    <w:rsid w:val="44663053"/>
    <w:rsid w:val="449C6A74"/>
    <w:rsid w:val="44A678F3"/>
    <w:rsid w:val="44B00772"/>
    <w:rsid w:val="44C22253"/>
    <w:rsid w:val="44E268DA"/>
    <w:rsid w:val="45392515"/>
    <w:rsid w:val="453F7E5B"/>
    <w:rsid w:val="45C81AEB"/>
    <w:rsid w:val="45D16BF2"/>
    <w:rsid w:val="45F60406"/>
    <w:rsid w:val="463D7DE3"/>
    <w:rsid w:val="46965169"/>
    <w:rsid w:val="46C10A14"/>
    <w:rsid w:val="471D19C3"/>
    <w:rsid w:val="472D286B"/>
    <w:rsid w:val="473E02B7"/>
    <w:rsid w:val="475063D8"/>
    <w:rsid w:val="47554441"/>
    <w:rsid w:val="476F03A3"/>
    <w:rsid w:val="478F28C0"/>
    <w:rsid w:val="47A520E4"/>
    <w:rsid w:val="47AD2D46"/>
    <w:rsid w:val="48082673"/>
    <w:rsid w:val="481B6721"/>
    <w:rsid w:val="481E3C44"/>
    <w:rsid w:val="482B7039"/>
    <w:rsid w:val="48442155"/>
    <w:rsid w:val="486A6C7A"/>
    <w:rsid w:val="488066AD"/>
    <w:rsid w:val="488D56D5"/>
    <w:rsid w:val="48934632"/>
    <w:rsid w:val="49176D9B"/>
    <w:rsid w:val="4968786D"/>
    <w:rsid w:val="49726F4F"/>
    <w:rsid w:val="498F24DB"/>
    <w:rsid w:val="499D2CBB"/>
    <w:rsid w:val="4A627F82"/>
    <w:rsid w:val="4A630CF5"/>
    <w:rsid w:val="4A6C513B"/>
    <w:rsid w:val="4A8E50B1"/>
    <w:rsid w:val="4AE747C1"/>
    <w:rsid w:val="4AEC002A"/>
    <w:rsid w:val="4AFF1B0B"/>
    <w:rsid w:val="4B0E749A"/>
    <w:rsid w:val="4B221C9D"/>
    <w:rsid w:val="4B3009DE"/>
    <w:rsid w:val="4B414B3C"/>
    <w:rsid w:val="4B49075B"/>
    <w:rsid w:val="4B4F25DA"/>
    <w:rsid w:val="4B83098E"/>
    <w:rsid w:val="4BA91A77"/>
    <w:rsid w:val="4BAB3A41"/>
    <w:rsid w:val="4BB70638"/>
    <w:rsid w:val="4BDA0CFB"/>
    <w:rsid w:val="4BDE5BC4"/>
    <w:rsid w:val="4BE068DB"/>
    <w:rsid w:val="4C5845A9"/>
    <w:rsid w:val="4C650094"/>
    <w:rsid w:val="4CD60F91"/>
    <w:rsid w:val="4D185106"/>
    <w:rsid w:val="4D197E75"/>
    <w:rsid w:val="4D3A1520"/>
    <w:rsid w:val="4D3C0CCC"/>
    <w:rsid w:val="4D445EFB"/>
    <w:rsid w:val="4D577224"/>
    <w:rsid w:val="4D754306"/>
    <w:rsid w:val="4D8B3B2A"/>
    <w:rsid w:val="4DB0533F"/>
    <w:rsid w:val="4DB50BA7"/>
    <w:rsid w:val="4DBF1CEB"/>
    <w:rsid w:val="4DC86B2C"/>
    <w:rsid w:val="4DD03C33"/>
    <w:rsid w:val="4DD51249"/>
    <w:rsid w:val="4E161FCA"/>
    <w:rsid w:val="4E1E499E"/>
    <w:rsid w:val="4E411E87"/>
    <w:rsid w:val="4E8011B5"/>
    <w:rsid w:val="4EAB630A"/>
    <w:rsid w:val="4EAE1A2D"/>
    <w:rsid w:val="4ECE2238"/>
    <w:rsid w:val="4ED11A10"/>
    <w:rsid w:val="4EE5726A"/>
    <w:rsid w:val="4F833267"/>
    <w:rsid w:val="4F870321"/>
    <w:rsid w:val="4F9E4682"/>
    <w:rsid w:val="4FE9BD67"/>
    <w:rsid w:val="4FFB052F"/>
    <w:rsid w:val="503009B9"/>
    <w:rsid w:val="5032028D"/>
    <w:rsid w:val="507D0D21"/>
    <w:rsid w:val="50C17863"/>
    <w:rsid w:val="50CA4969"/>
    <w:rsid w:val="51230178"/>
    <w:rsid w:val="51501312"/>
    <w:rsid w:val="517308B7"/>
    <w:rsid w:val="51A053AF"/>
    <w:rsid w:val="51A96CBC"/>
    <w:rsid w:val="51B66656"/>
    <w:rsid w:val="51DB6702"/>
    <w:rsid w:val="51E14DA1"/>
    <w:rsid w:val="51F167D1"/>
    <w:rsid w:val="523302EC"/>
    <w:rsid w:val="52721A5F"/>
    <w:rsid w:val="528950C3"/>
    <w:rsid w:val="52AD62F0"/>
    <w:rsid w:val="52B458D1"/>
    <w:rsid w:val="53083A92"/>
    <w:rsid w:val="530879CB"/>
    <w:rsid w:val="530F6FAB"/>
    <w:rsid w:val="536A45EB"/>
    <w:rsid w:val="537E6D0A"/>
    <w:rsid w:val="538452A3"/>
    <w:rsid w:val="539F032F"/>
    <w:rsid w:val="53A56FC8"/>
    <w:rsid w:val="53AF27A2"/>
    <w:rsid w:val="53D17DBD"/>
    <w:rsid w:val="53E2021C"/>
    <w:rsid w:val="53F74C96"/>
    <w:rsid w:val="543C16DA"/>
    <w:rsid w:val="543C792C"/>
    <w:rsid w:val="545B2183"/>
    <w:rsid w:val="546155E5"/>
    <w:rsid w:val="548337AD"/>
    <w:rsid w:val="549D256F"/>
    <w:rsid w:val="54AD4386"/>
    <w:rsid w:val="55472A2C"/>
    <w:rsid w:val="554C1DF1"/>
    <w:rsid w:val="556C5FEF"/>
    <w:rsid w:val="557B26D6"/>
    <w:rsid w:val="55A7171D"/>
    <w:rsid w:val="55D54A04"/>
    <w:rsid w:val="55F54236"/>
    <w:rsid w:val="56486A5C"/>
    <w:rsid w:val="565C2507"/>
    <w:rsid w:val="566D64C3"/>
    <w:rsid w:val="569A3030"/>
    <w:rsid w:val="56E47B74"/>
    <w:rsid w:val="57390153"/>
    <w:rsid w:val="577E200A"/>
    <w:rsid w:val="57BD3DD4"/>
    <w:rsid w:val="57D8693C"/>
    <w:rsid w:val="57EE53E1"/>
    <w:rsid w:val="58150BC0"/>
    <w:rsid w:val="581B1F4E"/>
    <w:rsid w:val="5829466B"/>
    <w:rsid w:val="5886386C"/>
    <w:rsid w:val="58A12453"/>
    <w:rsid w:val="58B57CAD"/>
    <w:rsid w:val="58FC7EC5"/>
    <w:rsid w:val="591F781C"/>
    <w:rsid w:val="592B7F6F"/>
    <w:rsid w:val="59A55F73"/>
    <w:rsid w:val="59D625D1"/>
    <w:rsid w:val="5A2C3F9F"/>
    <w:rsid w:val="5A3E3CD2"/>
    <w:rsid w:val="5A767910"/>
    <w:rsid w:val="5AAB4CAC"/>
    <w:rsid w:val="5AAE6BFF"/>
    <w:rsid w:val="5AC10B8B"/>
    <w:rsid w:val="5ADD173D"/>
    <w:rsid w:val="5AEE1D63"/>
    <w:rsid w:val="5AF92295"/>
    <w:rsid w:val="5AFA22EF"/>
    <w:rsid w:val="5B1A1E2F"/>
    <w:rsid w:val="5B61236E"/>
    <w:rsid w:val="5BDD79E6"/>
    <w:rsid w:val="5BF561CA"/>
    <w:rsid w:val="5BFF5DFC"/>
    <w:rsid w:val="5C1D44E7"/>
    <w:rsid w:val="5C333469"/>
    <w:rsid w:val="5C381321"/>
    <w:rsid w:val="5CD71FC4"/>
    <w:rsid w:val="5D1F11B5"/>
    <w:rsid w:val="5D5C103F"/>
    <w:rsid w:val="5D616655"/>
    <w:rsid w:val="5DAE1B18"/>
    <w:rsid w:val="5DB04EE7"/>
    <w:rsid w:val="5DB91FED"/>
    <w:rsid w:val="5DCC7F73"/>
    <w:rsid w:val="5DE352BC"/>
    <w:rsid w:val="5DE7D9E5"/>
    <w:rsid w:val="5E5835B4"/>
    <w:rsid w:val="5E714948"/>
    <w:rsid w:val="5E8D2343"/>
    <w:rsid w:val="5EB135C8"/>
    <w:rsid w:val="5EB56C59"/>
    <w:rsid w:val="5EB84053"/>
    <w:rsid w:val="5ECEC941"/>
    <w:rsid w:val="5EDC2437"/>
    <w:rsid w:val="5F04373C"/>
    <w:rsid w:val="5F0C518E"/>
    <w:rsid w:val="5F493CB7"/>
    <w:rsid w:val="5F6C2999"/>
    <w:rsid w:val="5F7E34EF"/>
    <w:rsid w:val="5F942D12"/>
    <w:rsid w:val="5FA666FE"/>
    <w:rsid w:val="5FA82319"/>
    <w:rsid w:val="5FBF9FF3"/>
    <w:rsid w:val="5FC133DB"/>
    <w:rsid w:val="5FCD4E2C"/>
    <w:rsid w:val="5FD15F49"/>
    <w:rsid w:val="5FD92698"/>
    <w:rsid w:val="5FEF394A"/>
    <w:rsid w:val="5FF45827"/>
    <w:rsid w:val="5FF67715"/>
    <w:rsid w:val="6044257D"/>
    <w:rsid w:val="606A75CF"/>
    <w:rsid w:val="607A471F"/>
    <w:rsid w:val="60830691"/>
    <w:rsid w:val="60A07495"/>
    <w:rsid w:val="60C72C73"/>
    <w:rsid w:val="612E2CF2"/>
    <w:rsid w:val="619A3EE4"/>
    <w:rsid w:val="61AD3C17"/>
    <w:rsid w:val="61DA0784"/>
    <w:rsid w:val="61ED089A"/>
    <w:rsid w:val="62081A71"/>
    <w:rsid w:val="627E7362"/>
    <w:rsid w:val="628250A4"/>
    <w:rsid w:val="628726BA"/>
    <w:rsid w:val="62886432"/>
    <w:rsid w:val="62BF3928"/>
    <w:rsid w:val="62DA2113"/>
    <w:rsid w:val="62F87114"/>
    <w:rsid w:val="634B7B8C"/>
    <w:rsid w:val="63585C51"/>
    <w:rsid w:val="63770981"/>
    <w:rsid w:val="63BF7C32"/>
    <w:rsid w:val="63C65464"/>
    <w:rsid w:val="63CE4319"/>
    <w:rsid w:val="63DC4C88"/>
    <w:rsid w:val="63DD630A"/>
    <w:rsid w:val="63E678B4"/>
    <w:rsid w:val="641536A9"/>
    <w:rsid w:val="64356146"/>
    <w:rsid w:val="644E03A0"/>
    <w:rsid w:val="646709F5"/>
    <w:rsid w:val="646B7DB9"/>
    <w:rsid w:val="647F5392"/>
    <w:rsid w:val="64AC465A"/>
    <w:rsid w:val="650A312E"/>
    <w:rsid w:val="65336B29"/>
    <w:rsid w:val="65605444"/>
    <w:rsid w:val="65A73073"/>
    <w:rsid w:val="65C9123C"/>
    <w:rsid w:val="65E816C2"/>
    <w:rsid w:val="661029C7"/>
    <w:rsid w:val="663A5C95"/>
    <w:rsid w:val="664B1C51"/>
    <w:rsid w:val="664B1D71"/>
    <w:rsid w:val="6663343E"/>
    <w:rsid w:val="66A23F66"/>
    <w:rsid w:val="66BA7F3D"/>
    <w:rsid w:val="66DB1226"/>
    <w:rsid w:val="66F75934"/>
    <w:rsid w:val="6717419F"/>
    <w:rsid w:val="671D35ED"/>
    <w:rsid w:val="673943D7"/>
    <w:rsid w:val="673E6826"/>
    <w:rsid w:val="674D79C1"/>
    <w:rsid w:val="67542D87"/>
    <w:rsid w:val="678371C8"/>
    <w:rsid w:val="67AA3209"/>
    <w:rsid w:val="680500FC"/>
    <w:rsid w:val="681C4F0D"/>
    <w:rsid w:val="689A2A1B"/>
    <w:rsid w:val="68AF4719"/>
    <w:rsid w:val="68CF6B69"/>
    <w:rsid w:val="68DD74D8"/>
    <w:rsid w:val="68FA1082"/>
    <w:rsid w:val="69046D0F"/>
    <w:rsid w:val="696C43B8"/>
    <w:rsid w:val="698D0931"/>
    <w:rsid w:val="699735A6"/>
    <w:rsid w:val="69DD52B6"/>
    <w:rsid w:val="69E20B1E"/>
    <w:rsid w:val="69E46644"/>
    <w:rsid w:val="6A2C3B47"/>
    <w:rsid w:val="6A2E78BF"/>
    <w:rsid w:val="6A723C50"/>
    <w:rsid w:val="6A8D0A8A"/>
    <w:rsid w:val="6A993CED"/>
    <w:rsid w:val="6AAB7162"/>
    <w:rsid w:val="6AAF0A00"/>
    <w:rsid w:val="6ACB7804"/>
    <w:rsid w:val="6ACD2AEF"/>
    <w:rsid w:val="6AE0505D"/>
    <w:rsid w:val="6B030D4C"/>
    <w:rsid w:val="6B053271"/>
    <w:rsid w:val="6B0C26E9"/>
    <w:rsid w:val="6B1C1E0E"/>
    <w:rsid w:val="6B272C8C"/>
    <w:rsid w:val="6B321631"/>
    <w:rsid w:val="6B3929BF"/>
    <w:rsid w:val="6B5477F9"/>
    <w:rsid w:val="6B607F4C"/>
    <w:rsid w:val="6B767770"/>
    <w:rsid w:val="6BB81B36"/>
    <w:rsid w:val="6BCE6674"/>
    <w:rsid w:val="6C0B55A7"/>
    <w:rsid w:val="6C4A05C8"/>
    <w:rsid w:val="6C5555D7"/>
    <w:rsid w:val="6C675CD0"/>
    <w:rsid w:val="6C6F7E9C"/>
    <w:rsid w:val="6C8742B8"/>
    <w:rsid w:val="6C8A170F"/>
    <w:rsid w:val="6CA30EBC"/>
    <w:rsid w:val="6CB54609"/>
    <w:rsid w:val="6D3723B5"/>
    <w:rsid w:val="6D7F6F34"/>
    <w:rsid w:val="6DBB76BC"/>
    <w:rsid w:val="6DBF5E93"/>
    <w:rsid w:val="6DFF077E"/>
    <w:rsid w:val="6E396833"/>
    <w:rsid w:val="6E5F098F"/>
    <w:rsid w:val="6E7E3605"/>
    <w:rsid w:val="6E7FDCC7"/>
    <w:rsid w:val="6E91041D"/>
    <w:rsid w:val="6ED6A62E"/>
    <w:rsid w:val="6EE00B15"/>
    <w:rsid w:val="6EFD4726"/>
    <w:rsid w:val="6F032AA8"/>
    <w:rsid w:val="6F03756C"/>
    <w:rsid w:val="6F544B20"/>
    <w:rsid w:val="6F5778B8"/>
    <w:rsid w:val="6F63000B"/>
    <w:rsid w:val="6F6FB3EB"/>
    <w:rsid w:val="6F71097A"/>
    <w:rsid w:val="6F784160"/>
    <w:rsid w:val="6F8731EA"/>
    <w:rsid w:val="6F8F7052"/>
    <w:rsid w:val="6FCE6052"/>
    <w:rsid w:val="6FD26F3F"/>
    <w:rsid w:val="6FD57C00"/>
    <w:rsid w:val="6FDB5DF3"/>
    <w:rsid w:val="6FEE1FCA"/>
    <w:rsid w:val="6FEFFFD8"/>
    <w:rsid w:val="6FF549E0"/>
    <w:rsid w:val="6FF5CC65"/>
    <w:rsid w:val="6FFB47EC"/>
    <w:rsid w:val="6FFF034A"/>
    <w:rsid w:val="700C06A3"/>
    <w:rsid w:val="70381498"/>
    <w:rsid w:val="70496804"/>
    <w:rsid w:val="706E7F9D"/>
    <w:rsid w:val="706F478E"/>
    <w:rsid w:val="70804E40"/>
    <w:rsid w:val="70893D25"/>
    <w:rsid w:val="708C533F"/>
    <w:rsid w:val="70974410"/>
    <w:rsid w:val="70C96594"/>
    <w:rsid w:val="7103668C"/>
    <w:rsid w:val="710D46D2"/>
    <w:rsid w:val="711D57E5"/>
    <w:rsid w:val="711E068D"/>
    <w:rsid w:val="712A28F1"/>
    <w:rsid w:val="7141612A"/>
    <w:rsid w:val="715C0E4B"/>
    <w:rsid w:val="7161057A"/>
    <w:rsid w:val="71934DC7"/>
    <w:rsid w:val="71940950"/>
    <w:rsid w:val="71955E82"/>
    <w:rsid w:val="71B40FF2"/>
    <w:rsid w:val="71C72AD3"/>
    <w:rsid w:val="71D97FC7"/>
    <w:rsid w:val="71EF153B"/>
    <w:rsid w:val="71FC02A3"/>
    <w:rsid w:val="721D6B97"/>
    <w:rsid w:val="72233669"/>
    <w:rsid w:val="72734D90"/>
    <w:rsid w:val="728F7CBD"/>
    <w:rsid w:val="72A526E9"/>
    <w:rsid w:val="73090EC9"/>
    <w:rsid w:val="7332FE48"/>
    <w:rsid w:val="73351CBE"/>
    <w:rsid w:val="73497518"/>
    <w:rsid w:val="734B5983"/>
    <w:rsid w:val="73813156"/>
    <w:rsid w:val="73974727"/>
    <w:rsid w:val="739F538A"/>
    <w:rsid w:val="73AA26AC"/>
    <w:rsid w:val="73AB61DA"/>
    <w:rsid w:val="73AD73D5"/>
    <w:rsid w:val="73B6EB34"/>
    <w:rsid w:val="73FA497D"/>
    <w:rsid w:val="740578E3"/>
    <w:rsid w:val="74463A57"/>
    <w:rsid w:val="744731E5"/>
    <w:rsid w:val="74527205"/>
    <w:rsid w:val="7463285B"/>
    <w:rsid w:val="74850A24"/>
    <w:rsid w:val="748C590E"/>
    <w:rsid w:val="74AC7D5E"/>
    <w:rsid w:val="74BBD01D"/>
    <w:rsid w:val="74DD37CB"/>
    <w:rsid w:val="74E41BEE"/>
    <w:rsid w:val="74ED5379"/>
    <w:rsid w:val="74FC2395"/>
    <w:rsid w:val="75063912"/>
    <w:rsid w:val="750E27C7"/>
    <w:rsid w:val="753D30AC"/>
    <w:rsid w:val="756774F9"/>
    <w:rsid w:val="75A4312B"/>
    <w:rsid w:val="75BC0475"/>
    <w:rsid w:val="75DEEEC2"/>
    <w:rsid w:val="762E1BFC"/>
    <w:rsid w:val="76342701"/>
    <w:rsid w:val="767E1BCE"/>
    <w:rsid w:val="76913C02"/>
    <w:rsid w:val="76962A74"/>
    <w:rsid w:val="76B33626"/>
    <w:rsid w:val="76E3355F"/>
    <w:rsid w:val="76FD0D45"/>
    <w:rsid w:val="76FF5125"/>
    <w:rsid w:val="77100A78"/>
    <w:rsid w:val="771A1486"/>
    <w:rsid w:val="776112D4"/>
    <w:rsid w:val="776F6FFA"/>
    <w:rsid w:val="778769C8"/>
    <w:rsid w:val="77A6318B"/>
    <w:rsid w:val="77B84C6C"/>
    <w:rsid w:val="77BC650A"/>
    <w:rsid w:val="77C35511"/>
    <w:rsid w:val="77DA4BE2"/>
    <w:rsid w:val="77DC22F5"/>
    <w:rsid w:val="77DE46D3"/>
    <w:rsid w:val="789C2C49"/>
    <w:rsid w:val="78A91184"/>
    <w:rsid w:val="78E84C32"/>
    <w:rsid w:val="79086DAD"/>
    <w:rsid w:val="7918007B"/>
    <w:rsid w:val="79626335"/>
    <w:rsid w:val="797F5A41"/>
    <w:rsid w:val="79974F09"/>
    <w:rsid w:val="79D7FD79"/>
    <w:rsid w:val="79E461EC"/>
    <w:rsid w:val="79E93803"/>
    <w:rsid w:val="79EE5BA4"/>
    <w:rsid w:val="79F53F55"/>
    <w:rsid w:val="7A1F0FD2"/>
    <w:rsid w:val="7A5C3FD5"/>
    <w:rsid w:val="7A894339"/>
    <w:rsid w:val="7AA339B1"/>
    <w:rsid w:val="7AA42131"/>
    <w:rsid w:val="7AAC6D0A"/>
    <w:rsid w:val="7AFF7572"/>
    <w:rsid w:val="7B000E04"/>
    <w:rsid w:val="7B0A57DF"/>
    <w:rsid w:val="7B3F7B7E"/>
    <w:rsid w:val="7B615D46"/>
    <w:rsid w:val="7B6C7DFB"/>
    <w:rsid w:val="7BBFBED0"/>
    <w:rsid w:val="7BC3E394"/>
    <w:rsid w:val="7C1F3737"/>
    <w:rsid w:val="7C23124E"/>
    <w:rsid w:val="7C896BD7"/>
    <w:rsid w:val="7CA67789"/>
    <w:rsid w:val="7CBFC87B"/>
    <w:rsid w:val="7CC85951"/>
    <w:rsid w:val="7CE107C1"/>
    <w:rsid w:val="7CF624BE"/>
    <w:rsid w:val="7CF84488"/>
    <w:rsid w:val="7CFE0F48"/>
    <w:rsid w:val="7D050953"/>
    <w:rsid w:val="7D07647A"/>
    <w:rsid w:val="7D292894"/>
    <w:rsid w:val="7D43322A"/>
    <w:rsid w:val="7D7EC23E"/>
    <w:rsid w:val="7D916348"/>
    <w:rsid w:val="7E074257"/>
    <w:rsid w:val="7E260B81"/>
    <w:rsid w:val="7E464D80"/>
    <w:rsid w:val="7E8ADEBF"/>
    <w:rsid w:val="7EEF11D3"/>
    <w:rsid w:val="7F0971A6"/>
    <w:rsid w:val="7F2C666B"/>
    <w:rsid w:val="7F2D5F40"/>
    <w:rsid w:val="7F337740"/>
    <w:rsid w:val="7F345520"/>
    <w:rsid w:val="7F3F679B"/>
    <w:rsid w:val="7F4FC4EF"/>
    <w:rsid w:val="7F5E4D54"/>
    <w:rsid w:val="7F6851CA"/>
    <w:rsid w:val="7F6E0135"/>
    <w:rsid w:val="7F840255"/>
    <w:rsid w:val="7F930498"/>
    <w:rsid w:val="7F9F3B25"/>
    <w:rsid w:val="7FA30C79"/>
    <w:rsid w:val="7FAF8ABF"/>
    <w:rsid w:val="7FB7269E"/>
    <w:rsid w:val="7FBC53A6"/>
    <w:rsid w:val="7FBF303C"/>
    <w:rsid w:val="7FC96657"/>
    <w:rsid w:val="7FCC39AA"/>
    <w:rsid w:val="7FDA9588"/>
    <w:rsid w:val="7FDF220F"/>
    <w:rsid w:val="7FEDC5F7"/>
    <w:rsid w:val="7FEDD9DE"/>
    <w:rsid w:val="7FF16F6D"/>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3"/>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3"/>
    <w:unhideWhenUsed/>
    <w:qFormat/>
    <w:uiPriority w:val="9"/>
    <w:pPr>
      <w:keepNext/>
      <w:keepLines/>
      <w:spacing w:line="120" w:lineRule="auto"/>
      <w:outlineLvl w:val="1"/>
    </w:pPr>
    <w:rPr>
      <w:rFonts w:asciiTheme="majorAscii" w:hAnsiTheme="majorAscii" w:eastAsiaTheme="majorEastAsia" w:cstheme="majorBidi"/>
      <w:b/>
      <w:bCs/>
      <w:sz w:val="32"/>
      <w:szCs w:val="32"/>
    </w:rPr>
  </w:style>
  <w:style w:type="paragraph" w:styleId="6">
    <w:name w:val="heading 3"/>
    <w:basedOn w:val="1"/>
    <w:next w:val="1"/>
    <w:link w:val="36"/>
    <w:unhideWhenUsed/>
    <w:qFormat/>
    <w:uiPriority w:val="9"/>
    <w:pPr>
      <w:keepNext/>
      <w:keepLines/>
      <w:spacing w:before="260" w:after="260" w:line="416" w:lineRule="auto"/>
      <w:outlineLvl w:val="2"/>
    </w:pPr>
    <w:rPr>
      <w:b/>
      <w:bCs/>
      <w:sz w:val="32"/>
      <w:szCs w:val="32"/>
    </w:rPr>
  </w:style>
  <w:style w:type="paragraph" w:styleId="7">
    <w:name w:val="heading 4"/>
    <w:basedOn w:val="1"/>
    <w:next w:val="1"/>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paragraph" w:styleId="8">
    <w:name w:val="heading 5"/>
    <w:basedOn w:val="1"/>
    <w:next w:val="1"/>
    <w:unhideWhenUsed/>
    <w:qFormat/>
    <w:uiPriority w:val="9"/>
    <w:pPr>
      <w:keepNext/>
      <w:keepLines/>
      <w:spacing w:before="280" w:beforeLines="0" w:beforeAutospacing="0" w:after="290" w:afterLines="0" w:afterAutospacing="0" w:line="372" w:lineRule="auto"/>
      <w:outlineLvl w:val="4"/>
    </w:pPr>
    <w:rPr>
      <w:b/>
      <w:sz w:val="28"/>
    </w:rPr>
  </w:style>
  <w:style w:type="character" w:default="1" w:styleId="20">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30"/>
    <w:qFormat/>
    <w:uiPriority w:val="99"/>
    <w:pPr>
      <w:spacing w:beforeLines="30"/>
    </w:pPr>
    <w:rPr>
      <w:rFonts w:ascii="仿宋_GB2312" w:eastAsia="仿宋_GB2312"/>
      <w:kern w:val="0"/>
      <w:sz w:val="30"/>
    </w:rPr>
  </w:style>
  <w:style w:type="paragraph" w:styleId="3">
    <w:name w:val="Body Text First Indent"/>
    <w:basedOn w:val="2"/>
    <w:unhideWhenUsed/>
    <w:qFormat/>
    <w:uiPriority w:val="0"/>
    <w:pPr>
      <w:tabs>
        <w:tab w:val="left" w:pos="2160"/>
      </w:tabs>
      <w:ind w:firstLine="420" w:firstLineChars="100"/>
    </w:pPr>
    <w:rPr>
      <w:rFonts w:ascii="Times New Roman" w:hAnsi="Times New Roman"/>
      <w:kern w:val="0"/>
      <w:sz w:val="18"/>
      <w:szCs w:val="18"/>
    </w:rPr>
  </w:style>
  <w:style w:type="paragraph" w:styleId="9">
    <w:name w:val="Body Text Indent"/>
    <w:basedOn w:val="1"/>
    <w:next w:val="10"/>
    <w:qFormat/>
    <w:uiPriority w:val="0"/>
    <w:pPr>
      <w:spacing w:after="120"/>
      <w:ind w:leftChars="200"/>
    </w:pPr>
    <w:rPr>
      <w:rFonts w:ascii="仿宋_GB2312"/>
      <w:szCs w:val="32"/>
    </w:rPr>
  </w:style>
  <w:style w:type="paragraph" w:styleId="10">
    <w:name w:val="Body Text First Indent 2"/>
    <w:basedOn w:val="9"/>
    <w:next w:val="1"/>
    <w:unhideWhenUsed/>
    <w:qFormat/>
    <w:uiPriority w:val="99"/>
    <w:pPr>
      <w:ind w:firstLine="420" w:firstLineChars="200"/>
    </w:pPr>
  </w:style>
  <w:style w:type="paragraph" w:styleId="11">
    <w:name w:val="toc 3"/>
    <w:basedOn w:val="1"/>
    <w:next w:val="1"/>
    <w:unhideWhenUsed/>
    <w:qFormat/>
    <w:uiPriority w:val="39"/>
    <w:pPr>
      <w:tabs>
        <w:tab w:val="right" w:leader="dot" w:pos="8296"/>
      </w:tabs>
      <w:ind w:left="840" w:leftChars="400"/>
    </w:pPr>
  </w:style>
  <w:style w:type="paragraph" w:styleId="12">
    <w:name w:val="Balloon Text"/>
    <w:basedOn w:val="1"/>
    <w:link w:val="35"/>
    <w:semiHidden/>
    <w:unhideWhenUsed/>
    <w:qFormat/>
    <w:uiPriority w:val="99"/>
    <w:rPr>
      <w:sz w:val="18"/>
      <w:szCs w:val="18"/>
    </w:rPr>
  </w:style>
  <w:style w:type="paragraph" w:styleId="13">
    <w:name w:val="footer"/>
    <w:basedOn w:val="1"/>
    <w:link w:val="28"/>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6"/>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link w:val="40"/>
    <w:unhideWhenUsed/>
    <w:qFormat/>
    <w:uiPriority w:val="39"/>
    <w:pPr>
      <w:tabs>
        <w:tab w:val="right" w:leader="dot" w:pos="8296"/>
      </w:tabs>
      <w:spacing w:before="93"/>
      <w:jc w:val="center"/>
    </w:pPr>
    <w:rPr>
      <w:rFonts w:ascii="仿宋" w:hAnsi="仿宋" w:eastAsia="仿宋"/>
      <w:sz w:val="28"/>
      <w:szCs w:val="28"/>
    </w:rPr>
  </w:style>
  <w:style w:type="paragraph" w:styleId="16">
    <w:name w:val="footnote text"/>
    <w:basedOn w:val="1"/>
    <w:next w:val="10"/>
    <w:qFormat/>
    <w:uiPriority w:val="0"/>
    <w:pPr>
      <w:snapToGrid w:val="0"/>
      <w:jc w:val="left"/>
    </w:pPr>
    <w:rPr>
      <w:sz w:val="18"/>
      <w:szCs w:val="18"/>
    </w:rPr>
  </w:style>
  <w:style w:type="paragraph" w:styleId="17">
    <w:name w:val="table of figures"/>
    <w:next w:val="1"/>
    <w:qFormat/>
    <w:uiPriority w:val="0"/>
    <w:pPr>
      <w:widowControl w:val="0"/>
      <w:ind w:left="200" w:leftChars="200" w:hanging="200" w:hangingChars="200"/>
      <w:jc w:val="both"/>
    </w:pPr>
    <w:rPr>
      <w:rFonts w:ascii="Times New Roman" w:hAnsi="Times New Roman" w:eastAsia="仿宋_GB2312" w:cs="Times New Roman"/>
      <w:kern w:val="2"/>
      <w:sz w:val="32"/>
      <w:szCs w:val="24"/>
      <w:lang w:val="en-US" w:eastAsia="zh-CN" w:bidi="ar-SA"/>
    </w:rPr>
  </w:style>
  <w:style w:type="paragraph" w:styleId="18">
    <w:name w:val="toc 2"/>
    <w:basedOn w:val="1"/>
    <w:next w:val="1"/>
    <w:link w:val="39"/>
    <w:unhideWhenUsed/>
    <w:qFormat/>
    <w:uiPriority w:val="39"/>
    <w:pPr>
      <w:tabs>
        <w:tab w:val="right" w:leader="dot" w:pos="8296"/>
      </w:tabs>
      <w:ind w:left="420" w:leftChars="200"/>
    </w:p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customStyle="1" w:styleId="23">
    <w:name w:val="标题 2 Char"/>
    <w:basedOn w:val="20"/>
    <w:link w:val="5"/>
    <w:qFormat/>
    <w:uiPriority w:val="9"/>
    <w:rPr>
      <w:rFonts w:asciiTheme="majorAscii" w:hAnsiTheme="majorAscii" w:eastAsiaTheme="majorEastAsia" w:cstheme="majorBidi"/>
      <w:b/>
      <w:bCs/>
      <w:kern w:val="2"/>
      <w:sz w:val="32"/>
      <w:szCs w:val="32"/>
    </w:rPr>
  </w:style>
  <w:style w:type="paragraph" w:customStyle="1" w:styleId="24">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5">
    <w:name w:val="Header Char"/>
    <w:basedOn w:val="20"/>
    <w:semiHidden/>
    <w:qFormat/>
    <w:uiPriority w:val="99"/>
    <w:rPr>
      <w:rFonts w:ascii="Times New Roman" w:hAnsi="Times New Roman"/>
      <w:sz w:val="18"/>
      <w:szCs w:val="18"/>
    </w:rPr>
  </w:style>
  <w:style w:type="character" w:customStyle="1" w:styleId="26">
    <w:name w:val="页眉 Char"/>
    <w:link w:val="14"/>
    <w:semiHidden/>
    <w:qFormat/>
    <w:locked/>
    <w:uiPriority w:val="99"/>
    <w:rPr>
      <w:sz w:val="18"/>
    </w:rPr>
  </w:style>
  <w:style w:type="character" w:customStyle="1" w:styleId="27">
    <w:name w:val="Footer Char"/>
    <w:basedOn w:val="20"/>
    <w:semiHidden/>
    <w:qFormat/>
    <w:uiPriority w:val="99"/>
    <w:rPr>
      <w:rFonts w:ascii="Times New Roman" w:hAnsi="Times New Roman"/>
      <w:sz w:val="18"/>
      <w:szCs w:val="18"/>
    </w:rPr>
  </w:style>
  <w:style w:type="character" w:customStyle="1" w:styleId="28">
    <w:name w:val="页脚 Char"/>
    <w:link w:val="13"/>
    <w:qFormat/>
    <w:locked/>
    <w:uiPriority w:val="99"/>
    <w:rPr>
      <w:sz w:val="18"/>
    </w:rPr>
  </w:style>
  <w:style w:type="character" w:customStyle="1" w:styleId="29">
    <w:name w:val="Body Text Char"/>
    <w:basedOn w:val="20"/>
    <w:semiHidden/>
    <w:qFormat/>
    <w:uiPriority w:val="99"/>
    <w:rPr>
      <w:rFonts w:ascii="Times New Roman" w:hAnsi="Times New Roman"/>
      <w:szCs w:val="24"/>
    </w:rPr>
  </w:style>
  <w:style w:type="character" w:customStyle="1" w:styleId="30">
    <w:name w:val="正文文本 Char"/>
    <w:link w:val="2"/>
    <w:qFormat/>
    <w:locked/>
    <w:uiPriority w:val="99"/>
    <w:rPr>
      <w:rFonts w:ascii="仿宋_GB2312" w:hAnsi="Times New Roman" w:eastAsia="仿宋_GB2312"/>
      <w:sz w:val="24"/>
    </w:rPr>
  </w:style>
  <w:style w:type="paragraph" w:customStyle="1" w:styleId="31">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2">
    <w:name w:val="List Paragraph"/>
    <w:basedOn w:val="1"/>
    <w:qFormat/>
    <w:uiPriority w:val="34"/>
    <w:pPr>
      <w:ind w:firstLine="420" w:firstLineChars="200"/>
    </w:pPr>
  </w:style>
  <w:style w:type="character" w:customStyle="1" w:styleId="33">
    <w:name w:val="标题 1 Char"/>
    <w:basedOn w:val="20"/>
    <w:link w:val="4"/>
    <w:qFormat/>
    <w:uiPriority w:val="9"/>
    <w:rPr>
      <w:rFonts w:ascii="Times New Roman" w:hAnsi="Times New Roman"/>
      <w:b/>
      <w:bCs/>
      <w:kern w:val="44"/>
      <w:sz w:val="44"/>
      <w:szCs w:val="44"/>
    </w:rPr>
  </w:style>
  <w:style w:type="paragraph" w:customStyle="1" w:styleId="34">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Char"/>
    <w:basedOn w:val="20"/>
    <w:link w:val="12"/>
    <w:semiHidden/>
    <w:qFormat/>
    <w:uiPriority w:val="99"/>
    <w:rPr>
      <w:rFonts w:ascii="Times New Roman" w:hAnsi="Times New Roman"/>
      <w:kern w:val="2"/>
      <w:sz w:val="18"/>
      <w:szCs w:val="18"/>
    </w:rPr>
  </w:style>
  <w:style w:type="character" w:customStyle="1" w:styleId="36">
    <w:name w:val="标题 3 Char"/>
    <w:basedOn w:val="20"/>
    <w:link w:val="6"/>
    <w:qFormat/>
    <w:uiPriority w:val="9"/>
    <w:rPr>
      <w:rFonts w:ascii="Times New Roman" w:hAnsi="Times New Roman"/>
      <w:b/>
      <w:bCs/>
      <w:kern w:val="2"/>
      <w:sz w:val="32"/>
      <w:szCs w:val="32"/>
    </w:rPr>
  </w:style>
  <w:style w:type="paragraph" w:customStyle="1" w:styleId="37">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8">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9">
    <w:name w:val="目录 2 Char"/>
    <w:link w:val="18"/>
    <w:qFormat/>
    <w:uiPriority w:val="39"/>
  </w:style>
  <w:style w:type="character" w:customStyle="1" w:styleId="40">
    <w:name w:val="目录 1 Char"/>
    <w:link w:val="15"/>
    <w:uiPriority w:val="39"/>
    <w:rPr>
      <w:rFonts w:ascii="仿宋" w:hAnsi="仿宋" w:eastAsia="仿宋"/>
      <w:sz w:val="28"/>
      <w:szCs w:val="28"/>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收、支决算总计变动情况</a:t>
            </a:r>
          </a:p>
        </c:rich>
      </c:tx>
      <c:layout>
        <c:manualLayout>
          <c:xMode val="edge"/>
          <c:yMode val="edge"/>
          <c:x val="0.268663928485141"/>
          <c:y val="0.0342116447088823"/>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dLbl>
              <c:idx val="0"/>
              <c:layout>
                <c:manualLayout>
                  <c:x val="-0.0263348634935975"/>
                  <c:y val="0"/>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1582.79</a:t>
                    </a:r>
                    <a:r>
                      <a:t>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46702101956994"/>
                  <c:y val="0.0029749256268593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1582.79</a:t>
                    </a:r>
                    <a:r>
                      <a:t>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总收入</c:v>
                </c:pt>
                <c:pt idx="1">
                  <c:v>总支出</c:v>
                </c:pt>
              </c:strCache>
            </c:strRef>
          </c:cat>
          <c:val>
            <c:numRef>
              <c:f>Sheet1!$B$2:$B$3</c:f>
              <c:numCache>
                <c:formatCode>General</c:formatCode>
                <c:ptCount val="2"/>
                <c:pt idx="0">
                  <c:v>1589.72</c:v>
                </c:pt>
                <c:pt idx="1">
                  <c:v>1589.72</c:v>
                </c:pt>
              </c:numCache>
            </c:numRef>
          </c:val>
        </c:ser>
        <c:ser>
          <c:idx val="1"/>
          <c:order val="1"/>
          <c:tx>
            <c:strRef>
              <c:f>Sheet1!$C$1</c:f>
              <c:strCache>
                <c:ptCount val="1"/>
                <c:pt idx="0">
                  <c:v>2024年</c:v>
                </c:pt>
              </c:strCache>
            </c:strRef>
          </c:tx>
          <c:spPr>
            <a:solidFill>
              <a:schemeClr val="accent2"/>
            </a:solidFill>
            <a:ln>
              <a:noFill/>
            </a:ln>
            <a:effectLst/>
          </c:spPr>
          <c:invertIfNegative val="0"/>
          <c:dLbls>
            <c:dLbl>
              <c:idx val="0"/>
              <c:layout>
                <c:manualLayout>
                  <c:x val="0.0198115486832568"/>
                  <c:y val="0.0029749256268593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1382.11万元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98115486832568"/>
                  <c:y val="-0.0029749256268593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1382.11万元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总收入</c:v>
                </c:pt>
                <c:pt idx="1">
                  <c:v>总支出</c:v>
                </c:pt>
              </c:strCache>
            </c:strRef>
          </c:cat>
          <c:val>
            <c:numRef>
              <c:f>Sheet1!$C$2:$C$3</c:f>
              <c:numCache>
                <c:formatCode>General</c:formatCode>
                <c:ptCount val="2"/>
                <c:pt idx="0">
                  <c:v>1382.11</c:v>
                </c:pt>
                <c:pt idx="1">
                  <c:v>1382.11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总收入</c:v>
                </c:pt>
                <c:pt idx="1">
                  <c:v>总支出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590404301"/>
        <c:axId val="491554123"/>
      </c:barChart>
      <c:catAx>
        <c:axId val="59040430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1554123"/>
        <c:crosses val="autoZero"/>
        <c:auto val="1"/>
        <c:lblAlgn val="ctr"/>
        <c:lblOffset val="100"/>
        <c:noMultiLvlLbl val="0"/>
      </c:catAx>
      <c:valAx>
        <c:axId val="49155412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0404301"/>
        <c:crosses val="autoZero"/>
        <c:crossBetween val="between"/>
      </c:valAx>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7aa3335-1105-447e-9ef8-0ff0c95f47d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c:v>
                </c:pt>
              </c:strCache>
            </c:strRef>
          </c:tx>
          <c:spPr/>
          <c:explosion val="0"/>
          <c:dPt>
            <c:idx val="0"/>
            <c:bubble3D val="0"/>
            <c:spPr>
              <a:solidFill>
                <a:schemeClr val="accent1"/>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1582.79</a:t>
                    </a:r>
                    <a:r>
                      <a:t>万元</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General</c:formatCode>
                <c:ptCount val="1"/>
                <c:pt idx="0">
                  <c:v>1382.11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3edf6c7-351c-458e-9225-4f10bc405867}"/>
      </c:ext>
    </c:extLst>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0453159519145828"/>
                  <c:y val="-0.225289835172351"/>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1523.26</a:t>
                    </a:r>
                    <a:r>
                      <a:t>万元</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39803047334305"/>
                  <c:y val="0.0171610598668877"/>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59.53</a:t>
                    </a:r>
                    <a:r>
                      <a:t>万元</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pt idx="1">
                  <c:v>项目支出</c:v>
                </c:pt>
              </c:strCache>
            </c:strRef>
          </c:cat>
          <c:val>
            <c:numRef>
              <c:f>Sheet1!$B$2:$B$5</c:f>
              <c:numCache>
                <c:formatCode>General</c:formatCode>
                <c:ptCount val="4"/>
                <c:pt idx="0">
                  <c:v>1523.26</c:v>
                </c:pt>
                <c:pt idx="1">
                  <c:v>59.53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2"/>
        <c:delete val="1"/>
      </c:legendEntry>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c3eaec4-b626-4000-91da-7b5c89574936}"/>
      </c:ext>
    </c:extLst>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manualLayout>
          <c:xMode val="edge"/>
          <c:yMode val="edge"/>
          <c:x val="0.268663928485141"/>
          <c:y val="0.0342116447088823"/>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Lbl>
              <c:idx val="0"/>
              <c:layout>
                <c:manualLayout>
                  <c:x val="-0.0263348634935975"/>
                  <c:y val="0"/>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1382.11</a:t>
                    </a:r>
                    <a:r>
                      <a:t>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46702101956994"/>
                  <c:y val="0.0029749256268593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1382.11</a:t>
                    </a:r>
                    <a:r>
                      <a:t>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总收入</c:v>
                </c:pt>
                <c:pt idx="1">
                  <c:v>总支出</c:v>
                </c:pt>
              </c:strCache>
            </c:strRef>
          </c:cat>
          <c:val>
            <c:numRef>
              <c:f>Sheet1!$B$2:$B$3</c:f>
              <c:numCache>
                <c:formatCode>General</c:formatCode>
                <c:ptCount val="2"/>
                <c:pt idx="0">
                  <c:v>1382.11</c:v>
                </c:pt>
                <c:pt idx="1">
                  <c:v>1382.11</c:v>
                </c:pt>
              </c:numCache>
            </c:numRef>
          </c:val>
        </c:ser>
        <c:ser>
          <c:idx val="1"/>
          <c:order val="1"/>
          <c:tx>
            <c:strRef>
              <c:f>Sheet1!$C$1</c:f>
              <c:strCache>
                <c:ptCount val="1"/>
                <c:pt idx="0">
                  <c:v>2025年</c:v>
                </c:pt>
              </c:strCache>
            </c:strRef>
          </c:tx>
          <c:spPr>
            <a:solidFill>
              <a:schemeClr val="accent2"/>
            </a:solidFill>
            <a:ln>
              <a:noFill/>
            </a:ln>
            <a:effectLst/>
          </c:spPr>
          <c:invertIfNegative val="0"/>
          <c:dLbls>
            <c:dLbl>
              <c:idx val="0"/>
              <c:layout>
                <c:manualLayout>
                  <c:x val="0.0198115486832568"/>
                  <c:y val="0.0029749256268593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1582.79</a:t>
                    </a:r>
                    <a:r>
                      <a:t>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98115486832568"/>
                  <c:y val="-0.0029749256268593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1582.79</a:t>
                    </a:r>
                    <a:r>
                      <a:t>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总收入</c:v>
                </c:pt>
                <c:pt idx="1">
                  <c:v>总支出</c:v>
                </c:pt>
              </c:strCache>
            </c:strRef>
          </c:cat>
          <c:val>
            <c:numRef>
              <c:f>Sheet1!$C$2:$C$3</c:f>
              <c:numCache>
                <c:formatCode>General</c:formatCode>
                <c:ptCount val="2"/>
                <c:pt idx="0">
                  <c:v>1582.79</c:v>
                </c:pt>
                <c:pt idx="1">
                  <c:v>1582.79</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总收入</c:v>
                </c:pt>
                <c:pt idx="1">
                  <c:v>总支出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590404301"/>
        <c:axId val="491554123"/>
      </c:barChart>
      <c:catAx>
        <c:axId val="59040430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1554123"/>
        <c:crosses val="autoZero"/>
        <c:auto val="1"/>
        <c:lblAlgn val="ctr"/>
        <c:lblOffset val="100"/>
        <c:noMultiLvlLbl val="0"/>
      </c:catAx>
      <c:valAx>
        <c:axId val="49155412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0404301"/>
        <c:crosses val="autoZero"/>
        <c:crossBetween val="between"/>
      </c:valAx>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73a537e-a0a6-4d3c-a808-fba3d565bd6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1382.11</a:t>
                    </a:r>
                    <a:r>
                      <a:t>万元</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总支出</c:v>
                </c:pt>
              </c:strCache>
            </c:strRef>
          </c:cat>
          <c:val>
            <c:numRef>
              <c:f>Sheet1!$B$2</c:f>
              <c:numCache>
                <c:formatCode>General</c:formatCode>
                <c:ptCount val="1"/>
                <c:pt idx="0">
                  <c:v>1382.11</c:v>
                </c:pt>
              </c:numCache>
            </c:numRef>
          </c:val>
        </c:ser>
        <c:ser>
          <c:idx val="1"/>
          <c:order val="1"/>
          <c:tx>
            <c:strRef>
              <c:f>Sheet1!$C$1</c:f>
              <c:strCache>
                <c:ptCount val="1"/>
                <c:pt idx="0">
                  <c:v>2025年</c:v>
                </c:pt>
              </c:strCache>
            </c:strRef>
          </c:tx>
          <c:spPr>
            <a:solidFill>
              <a:schemeClr val="accent2"/>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1582.79</a:t>
                    </a:r>
                    <a:r>
                      <a:t>万元</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总支出</c:v>
                </c:pt>
              </c:strCache>
            </c:strRef>
          </c:cat>
          <c:val>
            <c:numRef>
              <c:f>Sheet1!$C$2</c:f>
              <c:numCache>
                <c:formatCode>General</c:formatCode>
                <c:ptCount val="1"/>
                <c:pt idx="0">
                  <c:v>1582.79</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c:f>
              <c:strCache>
                <c:ptCount val="1"/>
                <c:pt idx="0">
                  <c:v>总支出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958322751"/>
        <c:axId val="260383338"/>
      </c:barChart>
      <c:catAx>
        <c:axId val="95832275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0383338"/>
        <c:crosses val="autoZero"/>
        <c:auto val="1"/>
        <c:lblAlgn val="ctr"/>
        <c:lblOffset val="100"/>
        <c:noMultiLvlLbl val="0"/>
      </c:catAx>
      <c:valAx>
        <c:axId val="26038333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8322751"/>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a61f5be-c3e1-4950-b8d4-d3e64e09f5c3}"/>
      </c:ext>
    </c:extLst>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1177.68</a:t>
                    </a:r>
                    <a:r>
                      <a:t>万元</a:t>
                    </a:r>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209.04</a:t>
                    </a:r>
                    <a:r>
                      <a:t>万元</a:t>
                    </a:r>
                  </a:p>
                </c:rich>
              </c:tx>
              <c:dLblPos val="bestFit"/>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81.56</a:t>
                    </a:r>
                    <a:r>
                      <a:t>万元</a:t>
                    </a:r>
                  </a:p>
                </c:rich>
              </c:tx>
              <c:dLblPos val="bestFit"/>
              <c:showLegendKey val="0"/>
              <c:showVal val="1"/>
              <c:showCatName val="0"/>
              <c:showSerName val="0"/>
              <c:showPercent val="0"/>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a:t>
                    </a:r>
                    <a:r>
                      <a:rPr lang="en-US" altLang="zh-CN"/>
                      <a:t>14.51</a:t>
                    </a:r>
                    <a:r>
                      <a:t>万元</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1177.68</c:v>
                </c:pt>
                <c:pt idx="1">
                  <c:v>209.04</c:v>
                </c:pt>
                <c:pt idx="2">
                  <c:v>81.56</c:v>
                </c:pt>
                <c:pt idx="3">
                  <c:v>114.51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13155351534187"/>
          <c:y val="0.14619634509137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7a46123-3d22-4572-96c4-b2aa1601a57d}"/>
      </c:ext>
    </c:extLst>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8.6</a:t>
                    </a:r>
                    <a:r>
                      <a:t>万元</a:t>
                    </a:r>
                  </a:p>
                </c:rich>
              </c:tx>
              <c:dLblPos val="inEnd"/>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公务用车购置及运行维护费
</c:v>
                </c:pt>
                <c:pt idx="1">
                  <c:v>接待费</c:v>
                </c:pt>
                <c:pt idx="2">
                  <c:v>因公出国（境）</c:v>
                </c:pt>
              </c:strCache>
            </c:strRef>
          </c:cat>
          <c:val>
            <c:numRef>
              <c:f>Sheet1!$B$2:$B$4</c:f>
              <c:numCache>
                <c:formatCode>General</c:formatCode>
                <c:ptCount val="3"/>
                <c:pt idx="0">
                  <c:v>10.6</c:v>
                </c:pt>
                <c:pt idx="1">
                  <c:v>0</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104a734-4abb-4415-9580-ade6a087254e}"/>
      </c:ext>
    </c:extLst>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4943</Words>
  <Characters>5362</Characters>
  <Lines>61</Lines>
  <Paragraphs>17</Paragraphs>
  <TotalTime>4</TotalTime>
  <ScaleCrop>false</ScaleCrop>
  <LinksUpToDate>false</LinksUpToDate>
  <CharactersWithSpaces>5484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泥巴的籽籽</cp:lastModifiedBy>
  <cp:lastPrinted>2026-08-31T07:29:00Z</cp:lastPrinted>
  <dcterms:modified xsi:type="dcterms:W3CDTF">2026-09-03T01:04:19Z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eyJoZGlkIjoiMzZjNmM5OGJkYWFmNGEwMTYwNmQzZDhhODNmNGQ0ZjUiLCJ1c2VySWQiOiI0OTAzMTIyODkifQ==</vt:lpwstr>
  </property>
</Properties>
</file>